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jc w:val="left"/>
        <w:rPr>
          <w:rFonts w:hint="eastAsia" w:ascii="仿宋" w:hAnsi="仿宋" w:eastAsia="仿宋" w:cs="仿宋"/>
          <w:color w:val="000000"/>
          <w:sz w:val="32"/>
        </w:rPr>
      </w:pPr>
      <w:r>
        <w:rPr>
          <w:rFonts w:hint="eastAsia" w:ascii="仿宋" w:hAnsi="仿宋" w:eastAsia="仿宋" w:cs="仿宋"/>
          <w:color w:val="000000"/>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2" o:title=""/>
              </v:shape>
            </w:pict>
          </mc:Fallback>
        </mc:AlternateContent>
      </w:r>
      <w:r>
        <w:rPr>
          <w:rFonts w:hint="eastAsia" w:ascii="仿宋" w:hAnsi="仿宋" w:eastAsia="仿宋" w:cs="仿宋"/>
          <w:color w:val="000000"/>
          <w:sz w:val="32"/>
        </w:rPr>
        <w:t xml:space="preserve">       </w:t>
      </w:r>
      <w:r>
        <w:rPr>
          <w:rFonts w:hint="eastAsia" w:ascii="仿宋" w:hAnsi="仿宋" w:eastAsia="仿宋" w:cs="仿宋"/>
          <w:color w:val="000000"/>
          <w:sz w:val="32"/>
        </w:rPr>
      </w:r>
      <w:r/>
    </w:p>
    <w:p>
      <w:pPr>
        <w:pStyle w:val="752"/>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招</w:t>
      </w:r>
      <w:r>
        <w:rPr>
          <w:rFonts w:hint="eastAsia" w:ascii="仿宋" w:hAnsi="仿宋" w:eastAsia="仿宋" w:cs="仿宋"/>
          <w:color w:val="000000"/>
          <w:spacing w:val="76"/>
          <w:sz w:val="144"/>
        </w:rPr>
      </w:r>
      <w:r/>
    </w:p>
    <w:p>
      <w:pPr>
        <w:pStyle w:val="752"/>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标</w:t>
      </w:r>
      <w:r>
        <w:rPr>
          <w:rFonts w:hint="eastAsia" w:ascii="仿宋" w:hAnsi="仿宋" w:eastAsia="仿宋" w:cs="仿宋"/>
          <w:color w:val="000000"/>
          <w:spacing w:val="76"/>
          <w:sz w:val="144"/>
        </w:rPr>
      </w:r>
      <w:r/>
    </w:p>
    <w:p>
      <w:pPr>
        <w:pStyle w:val="752"/>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文</w:t>
      </w:r>
      <w:r>
        <w:rPr>
          <w:rFonts w:hint="eastAsia" w:ascii="仿宋" w:hAnsi="仿宋" w:eastAsia="仿宋" w:cs="仿宋"/>
          <w:color w:val="000000"/>
          <w:spacing w:val="76"/>
          <w:sz w:val="144"/>
        </w:rPr>
      </w:r>
      <w:r/>
    </w:p>
    <w:p>
      <w:pPr>
        <w:pStyle w:val="752"/>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件</w:t>
      </w:r>
      <w:r>
        <w:rPr>
          <w:rFonts w:hint="eastAsia" w:ascii="仿宋" w:hAnsi="仿宋" w:eastAsia="仿宋" w:cs="仿宋"/>
          <w:color w:val="000000"/>
          <w:spacing w:val="76"/>
          <w:sz w:val="144"/>
        </w:rPr>
      </w:r>
      <w:r/>
    </w:p>
    <w:p>
      <w:pPr>
        <w:pStyle w:val="752"/>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ind w:firstLine="1200"/>
        <w:jc w:val="both"/>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lang w:eastAsia="zh-CN"/>
        </w:rPr>
      </w:r>
      <w:r/>
    </w:p>
    <w:p>
      <w:pPr>
        <w:pStyle w:val="752"/>
        <w:ind w:firstLine="1200"/>
        <w:jc w:val="both"/>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lang w:eastAsia="zh-CN"/>
        </w:rPr>
      </w:r>
      <w:r/>
    </w:p>
    <w:p>
      <w:pPr>
        <w:pStyle w:val="752"/>
        <w:ind w:firstLine="1200"/>
        <w:jc w:val="both"/>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采 购 人：</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lang w:eastAsia="zh-CN"/>
        </w:rPr>
      </w:r>
      <w:r/>
    </w:p>
    <w:p>
      <w:pPr>
        <w:pStyle w:val="752"/>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采购代理机构：江苏中际招标代理有限公司</w:t>
      </w:r>
      <w:r>
        <w:rPr>
          <w:rFonts w:hint="eastAsia" w:ascii="仿宋" w:hAnsi="仿宋" w:eastAsia="仿宋" w:cs="仿宋"/>
          <w:color w:val="000000"/>
          <w:sz w:val="30"/>
          <w:szCs w:val="30"/>
        </w:rPr>
      </w:r>
      <w:r/>
    </w:p>
    <w:p>
      <w:pPr>
        <w:pStyle w:val="977"/>
        <w:ind w:firstLine="0"/>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二〇二</w:t>
      </w:r>
      <w:r>
        <w:rPr>
          <w:rFonts w:hint="eastAsia" w:ascii="仿宋" w:hAnsi="仿宋" w:eastAsia="仿宋" w:cs="仿宋"/>
          <w:color w:val="000000"/>
          <w:sz w:val="30"/>
          <w:szCs w:val="30"/>
          <w:lang w:val="en-US" w:eastAsia="zh-CN"/>
        </w:rPr>
        <w:t xml:space="preserve">六</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五</w:t>
      </w:r>
      <w:r>
        <w:rPr>
          <w:rFonts w:hint="eastAsia" w:ascii="仿宋" w:hAnsi="仿宋" w:eastAsia="仿宋" w:cs="仿宋"/>
          <w:color w:val="000000"/>
          <w:sz w:val="30"/>
          <w:szCs w:val="30"/>
        </w:rPr>
        <w:t xml:space="preserve">月</w:t>
      </w:r>
      <w:r>
        <w:rPr>
          <w:rFonts w:hint="eastAsia" w:ascii="仿宋" w:hAnsi="仿宋" w:eastAsia="仿宋" w:cs="仿宋"/>
          <w:color w:val="000000"/>
          <w:sz w:val="30"/>
          <w:szCs w:val="30"/>
        </w:rPr>
      </w:r>
      <w:r/>
    </w:p>
    <w:p>
      <w:pPr>
        <w:pStyle w:val="752"/>
        <w:jc w:val="center"/>
        <w:widowControl/>
        <w:rPr>
          <w:rFonts w:hint="eastAsia" w:ascii="仿宋" w:hAnsi="仿宋" w:eastAsia="仿宋" w:cs="仿宋"/>
          <w:b/>
          <w:color w:val="000000"/>
          <w:sz w:val="44"/>
        </w:rPr>
      </w:pPr>
      <w:r>
        <w:rPr>
          <w:rFonts w:hint="eastAsia" w:ascii="仿宋" w:hAnsi="仿宋" w:eastAsia="仿宋" w:cs="仿宋"/>
          <w:b/>
          <w:color w:val="000000"/>
          <w:sz w:val="44"/>
        </w:rPr>
        <w:br w:type="page" w:clear="all"/>
      </w:r>
      <w:r>
        <w:rPr>
          <w:rFonts w:hint="eastAsia" w:ascii="仿宋" w:hAnsi="仿宋" w:eastAsia="仿宋" w:cs="仿宋"/>
          <w:b/>
          <w:color w:val="000000"/>
          <w:sz w:val="44"/>
        </w:rPr>
        <w:t xml:space="preserve">目 录</w:t>
      </w:r>
      <w:r>
        <w:rPr>
          <w:rFonts w:hint="eastAsia" w:ascii="仿宋" w:hAnsi="仿宋" w:eastAsia="仿宋" w:cs="仿宋"/>
          <w:b/>
          <w:color w:val="000000"/>
          <w:sz w:val="44"/>
        </w:rPr>
      </w:r>
      <w:r/>
    </w:p>
    <w:p>
      <w:pPr>
        <w:pStyle w:val="752"/>
        <w:jc w:val="center"/>
        <w:spacing w:line="520" w:lineRule="exact"/>
        <w:rPr>
          <w:rFonts w:hint="eastAsia" w:ascii="仿宋" w:hAnsi="仿宋" w:eastAsia="仿宋" w:cs="仿宋"/>
          <w:b/>
          <w:color w:val="000000"/>
          <w:sz w:val="44"/>
          <w:szCs w:val="44"/>
        </w:rPr>
      </w:pPr>
      <w:r/>
      <w:bookmarkStart w:id="0" w:name="_Toc522790130"/>
      <w:r>
        <w:rPr>
          <w:rFonts w:hint="eastAsia" w:ascii="仿宋" w:hAnsi="仿宋" w:eastAsia="仿宋" w:cs="仿宋"/>
          <w:b/>
          <w:color w:val="000000"/>
          <w:sz w:val="44"/>
          <w:szCs w:val="44"/>
        </w:rPr>
      </w:r>
      <w:r/>
    </w:p>
    <w:p>
      <w:pPr>
        <w:pStyle w:val="987"/>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b/>
          <w:color w:val="000000"/>
          <w:sz w:val="30"/>
          <w:szCs w:val="30"/>
        </w:rPr>
        <w:fldChar w:fldCharType="begin"/>
      </w:r>
      <w:r>
        <w:rPr>
          <w:rFonts w:hint="eastAsia" w:ascii="仿宋" w:hAnsi="仿宋" w:eastAsia="仿宋" w:cs="仿宋"/>
          <w:b/>
          <w:color w:val="000000"/>
          <w:sz w:val="30"/>
          <w:szCs w:val="30"/>
        </w:rPr>
        <w:instrText xml:space="preserve"> TOC \o "1-3" \h \z \u </w:instrText>
      </w:r>
      <w:r>
        <w:rPr>
          <w:rFonts w:hint="eastAsia" w:ascii="仿宋" w:hAnsi="仿宋" w:eastAsia="仿宋" w:cs="仿宋"/>
          <w:b/>
          <w:color w:val="000000"/>
          <w:sz w:val="30"/>
          <w:szCs w:val="30"/>
        </w:rPr>
        <w:fldChar w:fldCharType="separate"/>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_Toc24257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第一章  投标邀请</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_Toc24257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87"/>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_Toc6866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lang w:val="en-US" w:eastAsia="zh-CN"/>
        </w:rPr>
        <w:t xml:space="preserve">第二章  投标人须知</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_Toc6866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5</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87"/>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_Toc12259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第三章  投标资料表</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_Toc12259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17</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87"/>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_Toc9429 </w:instrText>
      </w:r>
      <w:r>
        <w:rPr>
          <w:rFonts w:hint="eastAsia" w:ascii="仿宋" w:hAnsi="仿宋" w:eastAsia="仿宋" w:cs="仿宋"/>
          <w:color w:val="000000"/>
          <w:sz w:val="30"/>
          <w:szCs w:val="30"/>
        </w:rPr>
        <w:fldChar w:fldCharType="separate"/>
      </w:r>
      <w:r>
        <w:rPr>
          <w:rFonts w:hint="eastAsia" w:ascii="仿宋" w:hAnsi="仿宋" w:eastAsia="仿宋" w:cs="仿宋"/>
          <w:bCs/>
          <w:color w:val="000000"/>
          <w:sz w:val="30"/>
          <w:szCs w:val="30"/>
        </w:rPr>
        <w:t xml:space="preserve">第四章 </w:t>
      </w:r>
      <w:r>
        <w:rPr>
          <w:rFonts w:hint="eastAsia" w:ascii="仿宋" w:hAnsi="仿宋" w:eastAsia="仿宋" w:cs="仿宋"/>
          <w:color w:val="000000"/>
          <w:sz w:val="30"/>
          <w:szCs w:val="30"/>
        </w:rPr>
        <w:t xml:space="preserve"> 评标标准</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_Toc9429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29</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87"/>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_Toc14780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第五章  拟签订的合同文本</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_Toc14780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32</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87"/>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_Toc12097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第六章  采购需求</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_Toc12097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32</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87"/>
        <w:keepLines w:val="0"/>
        <w:keepNext w:val="0"/>
        <w:pageBreakBefore w:val="0"/>
        <w:spacing w:line="360" w:lineRule="auto"/>
        <w:widowControl w:val="off"/>
        <w:tabs>
          <w:tab w:val="right" w:pos="8306" w:leader="dot"/>
        </w:tabs>
        <w:rPr>
          <w:rFonts w:hint="eastAsia" w:ascii="仿宋" w:hAnsi="仿宋" w:eastAsia="仿宋" w:cs="仿宋"/>
          <w:color w:val="00000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_Toc17335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第七章  投标文件相关格式</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_Toc17335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115</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rPr>
      </w:r>
      <w:r/>
    </w:p>
    <w:p>
      <w:pPr>
        <w:pStyle w:val="752"/>
        <w:jc w:val="center"/>
        <w:spacing w:line="520" w:lineRule="exact"/>
        <w:rPr>
          <w:rFonts w:hint="eastAsia" w:ascii="仿宋" w:hAnsi="仿宋" w:eastAsia="仿宋" w:cs="仿宋"/>
          <w:b/>
          <w:color w:val="000000"/>
          <w:sz w:val="44"/>
          <w:szCs w:val="44"/>
        </w:rPr>
      </w:pPr>
      <w:r>
        <w:rPr>
          <w:rFonts w:hint="eastAsia" w:ascii="仿宋" w:hAnsi="仿宋" w:eastAsia="仿宋" w:cs="仿宋"/>
          <w:color w:val="000000"/>
          <w:szCs w:val="30"/>
        </w:rPr>
        <w:fldChar w:fldCharType="end"/>
      </w:r>
      <w:r>
        <w:rPr>
          <w:rFonts w:hint="eastAsia" w:ascii="仿宋" w:hAnsi="仿宋" w:eastAsia="仿宋" w:cs="仿宋"/>
          <w:b/>
          <w:color w:val="000000"/>
          <w:sz w:val="44"/>
          <w:szCs w:val="44"/>
        </w:rPr>
      </w:r>
      <w:r/>
    </w:p>
    <w:p>
      <w:pPr>
        <w:pStyle w:val="752"/>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2"/>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2"/>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2"/>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2"/>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2"/>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2"/>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2"/>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2"/>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2"/>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2"/>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2"/>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2"/>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2"/>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2"/>
        <w:jc w:val="center"/>
        <w:widowControl/>
        <w:rPr>
          <w:rFonts w:hint="eastAsia" w:ascii="仿宋" w:hAnsi="仿宋" w:eastAsia="仿宋" w:cs="仿宋"/>
          <w:b/>
          <w:color w:val="000000"/>
          <w:sz w:val="44"/>
          <w:szCs w:val="44"/>
          <w:lang w:eastAsia="zh-CN"/>
        </w:rPr>
      </w:pPr>
      <w:r>
        <w:rPr>
          <w:rFonts w:hint="eastAsia" w:ascii="仿宋" w:hAnsi="仿宋" w:eastAsia="仿宋" w:cs="仿宋"/>
          <w:b/>
          <w:color w:val="000000"/>
          <w:sz w:val="44"/>
          <w:szCs w:val="44"/>
        </w:rPr>
        <w:br w:type="page" w:clear="all"/>
      </w:r>
      <w:r>
        <w:rPr>
          <w:rFonts w:hint="eastAsia" w:ascii="仿宋" w:hAnsi="仿宋" w:eastAsia="仿宋" w:cs="仿宋"/>
          <w:b/>
          <w:color w:val="000000"/>
          <w:sz w:val="44"/>
          <w:szCs w:val="44"/>
          <w:lang w:eastAsia="zh-CN"/>
        </w:rPr>
        <w:t xml:space="preserve">徐州生物工程职业技术学院</w:t>
      </w:r>
      <w:r>
        <w:rPr>
          <w:rFonts w:hint="eastAsia" w:ascii="仿宋" w:hAnsi="仿宋" w:eastAsia="仿宋" w:cs="仿宋"/>
          <w:b/>
          <w:color w:val="000000"/>
          <w:sz w:val="44"/>
          <w:szCs w:val="44"/>
          <w:lang w:eastAsia="zh-CN"/>
        </w:rPr>
      </w:r>
      <w:r/>
    </w:p>
    <w:p>
      <w:pPr>
        <w:pStyle w:val="752"/>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w:t>
      </w:r>
      <w:r>
        <w:rPr>
          <w:rFonts w:hint="eastAsia" w:ascii="仿宋" w:hAnsi="仿宋" w:eastAsia="仿宋" w:cs="仿宋"/>
          <w:b/>
          <w:color w:val="000000"/>
          <w:sz w:val="44"/>
          <w:szCs w:val="44"/>
          <w:lang w:eastAsia="zh-CN"/>
        </w:rPr>
        <w:t xml:space="preserve">徐州生物工程职业技术学院大学生活动中心舞美设备采购与安装</w:t>
      </w:r>
      <w:r>
        <w:rPr>
          <w:rFonts w:hint="eastAsia" w:ascii="仿宋" w:hAnsi="仿宋" w:eastAsia="仿宋" w:cs="仿宋"/>
          <w:b/>
          <w:color w:val="000000"/>
          <w:sz w:val="44"/>
          <w:szCs w:val="44"/>
        </w:rPr>
        <w:t xml:space="preserve">项目》招标文件</w:t>
      </w:r>
      <w:r>
        <w:rPr>
          <w:rFonts w:hint="eastAsia" w:ascii="仿宋" w:hAnsi="仿宋" w:eastAsia="仿宋" w:cs="仿宋"/>
          <w:b/>
          <w:color w:val="000000"/>
          <w:sz w:val="44"/>
          <w:szCs w:val="44"/>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仿宋" w:hAnsi="仿宋" w:eastAsia="仿宋" w:cs="仿宋"/>
          <w:color w:val="000000"/>
          <w:sz w:val="30"/>
          <w:szCs w:val="30"/>
        </w:rPr>
      </w:r>
      <w:r/>
    </w:p>
    <w:p>
      <w:pPr>
        <w:pStyle w:val="752"/>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11"/>
        <w:spacing w:line="520" w:lineRule="exact"/>
        <w:rPr>
          <w:rFonts w:hint="eastAsia" w:ascii="仿宋" w:hAnsi="仿宋" w:eastAsia="仿宋" w:cs="仿宋"/>
          <w:color w:val="000000"/>
        </w:rPr>
      </w:pPr>
      <w:r/>
      <w:bookmarkStart w:id="1" w:name="_Toc24257"/>
      <w:r>
        <w:rPr>
          <w:rFonts w:hint="eastAsia" w:ascii="仿宋" w:hAnsi="仿宋" w:eastAsia="仿宋" w:cs="仿宋"/>
          <w:color w:val="000000"/>
        </w:rPr>
        <w:t xml:space="preserve">第一章  投标邀请</w:t>
      </w:r>
      <w:bookmarkEnd w:id="1"/>
      <w:r>
        <w:rPr>
          <w:rFonts w:hint="eastAsia" w:ascii="仿宋" w:hAnsi="仿宋" w:eastAsia="仿宋" w:cs="仿宋"/>
          <w:color w:val="000000"/>
        </w:rPr>
      </w:r>
      <w:r/>
    </w:p>
    <w:p>
      <w:pPr>
        <w:pStyle w:val="752"/>
        <w:jc w:val="cente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江苏中际招标代理有限公司对</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rPr>
        <w:t xml:space="preserve">项目”进行公开招标采购，现邀请符合相关条件的供应商投标。</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一、项目名称和项目编号</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(一)项目名称：</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lang w:eastAsia="zh-CN"/>
        </w:rPr>
      </w:r>
      <w:r/>
    </w:p>
    <w:p>
      <w:pPr>
        <w:pStyle w:val="752"/>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(二)项目编号：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lang w:eastAsia="zh-CN"/>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二、对投标人的资格要求</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详见本项目公开招标公告。</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三、获取招标文件</w:t>
      </w:r>
      <w:bookmarkEnd w:id="0"/>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（1）潜在供应商访问电子招标投标交易平台的网络地址和方法：</w:t>
      </w:r>
      <w:r>
        <w:rPr>
          <w:rFonts w:hint="eastAsia" w:ascii="仿宋" w:hAnsi="仿宋" w:eastAsia="仿宋" w:cs="仿宋"/>
          <w:bCs/>
          <w:color w:val="000000"/>
          <w:sz w:val="30"/>
          <w:szCs w:val="30"/>
        </w:rPr>
      </w:r>
      <w:r/>
    </w:p>
    <w:p>
      <w:pPr>
        <w:pStyle w:val="752"/>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①登录 http://jszfcg.jsczt.cn/ ，或进入徐州政府采购网--业务工作--用户登录，点击“苏采云”进入系统。</w:t>
      </w:r>
      <w:r>
        <w:rPr>
          <w:rFonts w:hint="eastAsia" w:ascii="仿宋" w:hAnsi="仿宋" w:eastAsia="仿宋" w:cs="仿宋"/>
          <w:bCs/>
          <w:color w:val="000000"/>
          <w:sz w:val="30"/>
          <w:szCs w:val="30"/>
        </w:rPr>
      </w:r>
      <w:r/>
    </w:p>
    <w:p>
      <w:pPr>
        <w:pStyle w:val="752"/>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bCs/>
          <w:color w:val="000000"/>
          <w:sz w:val="30"/>
          <w:szCs w:val="30"/>
        </w:rPr>
      </w:r>
      <w:r/>
    </w:p>
    <w:p>
      <w:pPr>
        <w:pStyle w:val="752"/>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（2）采购代理机构将数据电文形式的招标文件加载至电子招标投标交易平台，供潜在供应商下载或者查阅。</w:t>
      </w:r>
      <w:r>
        <w:rPr>
          <w:rFonts w:hint="eastAsia" w:ascii="仿宋" w:hAnsi="仿宋" w:eastAsia="仿宋" w:cs="仿宋"/>
          <w:bCs/>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bCs/>
          <w:color w:val="000000"/>
          <w:sz w:val="30"/>
          <w:szCs w:val="30"/>
        </w:rPr>
        <w:t xml:space="preserve">（3）售价：免费。</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四、提交投标文件截止时间、开标时间和地点</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（一）投标截止时间：202</w:t>
      </w:r>
      <w:r>
        <w:rPr>
          <w:rFonts w:hint="eastAsia" w:ascii="仿宋" w:hAnsi="仿宋" w:eastAsia="仿宋" w:cs="仿宋"/>
          <w:color w:val="000000"/>
          <w:sz w:val="30"/>
          <w:szCs w:val="30"/>
          <w:lang w:val="en-US" w:eastAsia="zh-CN"/>
        </w:rPr>
        <w:t xml:space="preserve">6</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05月29日</w:t>
      </w:r>
      <w:r>
        <w:rPr>
          <w:rFonts w:hint="eastAsia" w:ascii="仿宋" w:hAnsi="仿宋" w:eastAsia="仿宋" w:cs="仿宋"/>
          <w:color w:val="000000"/>
          <w:sz w:val="30"/>
          <w:szCs w:val="30"/>
        </w:rPr>
        <w:t xml:space="preserve">北京时间</w:t>
      </w:r>
      <w:r>
        <w:rPr>
          <w:rFonts w:hint="eastAsia" w:ascii="仿宋" w:hAnsi="仿宋" w:eastAsia="仿宋" w:cs="仿宋"/>
          <w:color w:val="000000"/>
          <w:sz w:val="30"/>
          <w:szCs w:val="30"/>
          <w:lang w:val="en-US" w:eastAsia="zh-CN"/>
        </w:rPr>
        <w:t xml:space="preserve">09</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0。</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（二）开标时间：202</w:t>
      </w:r>
      <w:r>
        <w:rPr>
          <w:rFonts w:hint="eastAsia" w:ascii="仿宋" w:hAnsi="仿宋" w:eastAsia="仿宋" w:cs="仿宋"/>
          <w:color w:val="000000"/>
          <w:sz w:val="30"/>
          <w:szCs w:val="30"/>
          <w:lang w:val="en-US" w:eastAsia="zh-CN"/>
        </w:rPr>
        <w:t xml:space="preserve">6</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05月29日</w:t>
      </w:r>
      <w:r>
        <w:rPr>
          <w:rFonts w:hint="eastAsia" w:ascii="仿宋" w:hAnsi="仿宋" w:eastAsia="仿宋" w:cs="仿宋"/>
          <w:color w:val="000000"/>
          <w:sz w:val="30"/>
          <w:szCs w:val="30"/>
        </w:rPr>
        <w:t xml:space="preserve">北京时间</w:t>
      </w:r>
      <w:r>
        <w:rPr>
          <w:rFonts w:hint="eastAsia" w:ascii="仿宋" w:hAnsi="仿宋" w:eastAsia="仿宋" w:cs="仿宋"/>
          <w:color w:val="000000"/>
          <w:sz w:val="30"/>
          <w:szCs w:val="30"/>
          <w:lang w:val="en-US" w:eastAsia="zh-CN"/>
        </w:rPr>
        <w:t xml:space="preserve">09</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0。</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（三）开标地点：“苏采云”系统（网址： http://jszfcg.jsczt.cn/）“开标大厅”或进入徐州政府采购网（网址：</w:t>
      </w:r>
      <w:r>
        <w:rPr>
          <w:rFonts w:hint="eastAsia" w:ascii="仿宋" w:hAnsi="仿宋" w:eastAsia="仿宋" w:cs="仿宋"/>
          <w:color w:val="000000"/>
          <w:sz w:val="30"/>
          <w:szCs w:val="30"/>
          <w:lang w:eastAsia="zh-CN"/>
        </w:rPr>
        <w:t xml:space="preserve">https://czj.xz.gov.cn/zfcg/</w:t>
      </w:r>
      <w:r>
        <w:rPr>
          <w:rFonts w:hint="eastAsia" w:ascii="仿宋" w:hAnsi="仿宋" w:eastAsia="仿宋" w:cs="仿宋"/>
          <w:color w:val="000000"/>
          <w:sz w:val="30"/>
          <w:szCs w:val="30"/>
        </w:rPr>
        <w:t xml:space="preserve">）点击“苏采云”进入系统“开标大厅”。</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五、采购人</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（一）名称：</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（二）地址：</w:t>
      </w:r>
      <w:r>
        <w:rPr>
          <w:rFonts w:hint="eastAsia" w:ascii="仿宋" w:hAnsi="仿宋" w:eastAsia="仿宋" w:cs="仿宋"/>
          <w:color w:val="000000"/>
          <w:sz w:val="30"/>
          <w:szCs w:val="30"/>
          <w:lang w:eastAsia="zh-CN"/>
        </w:rPr>
        <w:t xml:space="preserve">徐州市西三环路297号。</w:t>
      </w:r>
      <w:r>
        <w:rPr>
          <w:rFonts w:hint="eastAsia" w:ascii="仿宋" w:hAnsi="仿宋" w:eastAsia="仿宋" w:cs="仿宋"/>
          <w:color w:val="000000"/>
          <w:sz w:val="30"/>
          <w:szCs w:val="30"/>
          <w:lang w:eastAsia="zh-CN"/>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（三）联系方法：</w:t>
      </w:r>
      <w:r>
        <w:rPr>
          <w:rFonts w:hint="eastAsia" w:ascii="仿宋" w:hAnsi="仿宋" w:eastAsia="仿宋" w:cs="仿宋"/>
          <w:color w:val="000000"/>
          <w:sz w:val="30"/>
          <w:szCs w:val="30"/>
          <w:lang w:eastAsia="zh-CN"/>
        </w:rPr>
        <w:t xml:space="preserve">0516-83628918</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（四）采购项目联系人：</w:t>
      </w:r>
      <w:r>
        <w:rPr>
          <w:rFonts w:hint="eastAsia" w:ascii="仿宋" w:hAnsi="仿宋" w:eastAsia="仿宋" w:cs="仿宋"/>
          <w:color w:val="000000"/>
          <w:sz w:val="30"/>
          <w:szCs w:val="30"/>
          <w:lang w:eastAsia="zh-CN"/>
        </w:rPr>
        <w:t xml:space="preserve">杜雷</w:t>
      </w:r>
      <w:r>
        <w:rPr>
          <w:rFonts w:hint="eastAsia" w:ascii="仿宋" w:hAnsi="仿宋" w:eastAsia="仿宋" w:cs="仿宋"/>
          <w:color w:val="000000"/>
          <w:sz w:val="30"/>
          <w:szCs w:val="30"/>
        </w:rPr>
        <w:t xml:space="preserve">；联系电话：</w:t>
      </w:r>
      <w:r>
        <w:rPr>
          <w:rFonts w:hint="eastAsia" w:ascii="仿宋" w:hAnsi="仿宋" w:eastAsia="仿宋" w:cs="仿宋"/>
          <w:color w:val="000000"/>
          <w:sz w:val="30"/>
          <w:szCs w:val="30"/>
          <w:lang w:eastAsia="zh-CN"/>
        </w:rPr>
        <w:t xml:space="preserve">0516-83628918</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六、采购代理机构</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（一）名称：江苏中际招标代理有限公司。</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（二）地址：徐州市云龙区绿地商务城LOFT领海办公楼5#1906室（汉风路和昆仑大道交叉口东北角）</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（三）联系方法：</w:t>
      </w:r>
      <w:r>
        <w:rPr>
          <w:rFonts w:hint="eastAsia" w:ascii="仿宋" w:hAnsi="仿宋" w:eastAsia="仿宋" w:cs="仿宋"/>
          <w:color w:val="000000"/>
          <w:sz w:val="30"/>
          <w:szCs w:val="30"/>
          <w:lang w:eastAsia="zh-CN"/>
        </w:rPr>
        <w:t xml:space="preserve">0516-83205176</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（四）采购项目联系人：</w:t>
      </w:r>
      <w:r>
        <w:rPr>
          <w:rFonts w:hint="eastAsia" w:ascii="仿宋" w:hAnsi="仿宋" w:eastAsia="仿宋" w:cs="仿宋"/>
          <w:color w:val="000000"/>
          <w:sz w:val="30"/>
          <w:szCs w:val="30"/>
          <w:lang w:eastAsia="zh-CN"/>
        </w:rPr>
        <w:t xml:space="preserve">李海沫、柴鑫</w:t>
      </w:r>
      <w:r>
        <w:rPr>
          <w:rFonts w:hint="eastAsia" w:ascii="仿宋" w:hAnsi="仿宋" w:eastAsia="仿宋" w:cs="仿宋"/>
          <w:color w:val="000000"/>
          <w:sz w:val="30"/>
          <w:szCs w:val="30"/>
        </w:rPr>
        <w:t xml:space="preserve">；联系电话：</w:t>
      </w:r>
      <w:r>
        <w:rPr>
          <w:rFonts w:hint="eastAsia" w:ascii="仿宋" w:hAnsi="仿宋" w:eastAsia="仿宋" w:cs="仿宋"/>
          <w:color w:val="000000"/>
          <w:sz w:val="30"/>
          <w:szCs w:val="30"/>
          <w:lang w:eastAsia="zh-CN"/>
        </w:rPr>
        <w:t xml:space="preserve">0516-83205176</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2"/>
        <w:ind w:firstLine="600"/>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jc w:val="center"/>
        <w:widowControl/>
        <w:rPr>
          <w:rFonts w:hint="eastAsia" w:ascii="仿宋" w:hAnsi="仿宋" w:eastAsia="仿宋" w:cs="仿宋"/>
          <w:color w:val="000000"/>
        </w:rPr>
      </w:pPr>
      <w:r/>
      <w:bookmarkStart w:id="2" w:name="_Toc6866"/>
      <w:r/>
      <w:bookmarkStart w:id="3" w:name="_Toc522790131"/>
      <w:r>
        <w:rPr>
          <w:rStyle w:val="810"/>
          <w:rFonts w:hint="eastAsia" w:ascii="仿宋" w:hAnsi="仿宋" w:eastAsia="仿宋" w:cs="仿宋"/>
          <w:color w:val="000000"/>
          <w:lang w:val="en-US" w:eastAsia="zh-CN"/>
        </w:rPr>
        <w:br w:type="page" w:clear="all"/>
      </w:r>
      <w:r>
        <w:rPr>
          <w:rStyle w:val="810"/>
          <w:rFonts w:hint="eastAsia" w:ascii="仿宋" w:hAnsi="仿宋" w:eastAsia="仿宋" w:cs="仿宋"/>
          <w:color w:val="000000"/>
          <w:lang w:val="en-US" w:eastAsia="zh-CN"/>
        </w:rPr>
        <w:t xml:space="preserve">第二章  投标人须知</w:t>
      </w:r>
      <w:bookmarkEnd w:id="2"/>
      <w:r/>
      <w:bookmarkEnd w:id="3"/>
      <w:r>
        <w:rPr>
          <w:rFonts w:hint="eastAsia" w:ascii="仿宋" w:hAnsi="仿宋" w:eastAsia="仿宋" w:cs="仿宋"/>
          <w:color w:val="000000"/>
        </w:rPr>
      </w:r>
      <w:r/>
    </w:p>
    <w:p>
      <w:pPr>
        <w:pStyle w:val="752"/>
        <w:ind w:firstLine="600"/>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一、总则</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（一）采购人。采购人即指依法进行政府采购的国家机关、事业单位和团体组织。</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（二）政府招标采购方式。政府采购货物或服务（以下简称“货物服务”）的招标方式，分为公开招标和邀请招标。</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（五）采购人委托采购代理机构代理招标的，采购代理机构必须在采购人委托的范围内依法开展采购活动。</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（六）投标人的资格条件：</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投标人是指响应招标、参加投标竞争的法人、其他组织或者自然人。</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2.投标人授权代表系指法定代表人或受法人委托的受托人。</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二、招标</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（八）招标文件应包括以下内容：</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第一章，投标邀请；</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第二章，投标人须知；</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第三章，投标资料表；</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第四章，评标标准；</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第五章，拟签订的合同文本；</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第六章，采购需求；</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第七章，投标文件相关格式。</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（九）招标文件澄清或者修改：</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2.现场考察以本文件第三章《投标资料表》中的要求为准。</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3.开标前答疑会以本文件第三章《投标资料表》中的要求为准。</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（十）投标人应当按照招标文件的要求编制投标文件。投标文件应对招标文件提出的要求和条件作出实质性响应。</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（十二）投标文件的构成：</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1.投标文件的构成以本文件第三章《投标资料表》中的要求为准。</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2.投标人应当提交的资格、资信证明文件，以本文件第三章《投标资料表》中的所提要求为准。</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（十三）投标函和价格表、商务条件、交货和提供服务的时间：</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1.投标函和价格表的要求见本章（十二）、（十三），格式见本文件第七章《投标文件相关格式》中《投标函》和《开标一览表》。</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2.商务条件以本文件第三章《投标资料表》中的要求为准。</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3.交货和提供服务的时间，以本文件第三章《投标资料表》中所提要求为准。</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（十四）投标报价要求：</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1.投标人应按照招标文件的要求报出分项价格和总价。</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2.投标人应按照招标文件的要求进行报价，如投标人作出偏离，应在《偏离表》中列出。</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3.采购人不支付报价以外的任何费用。</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5.投标人只能提交一个投标价格，投标人提交多个价格的投标文件，在资格性、符合性检查时按照无效投标处理。</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（十五）投标货币。以本文件第三章《投标资料表》中所提要求为准。</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（十六）投标有效期：</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1.投标有效期为开标之日后90天。采购人可以要求对投标有效期延长一次，但该延长期最长不得超过30天。</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（十七）投标文件的编制要求和签署要求：</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1.电子投标文件要求</w:t>
      </w:r>
      <w:r>
        <w:rPr>
          <w:rFonts w:hint="eastAsia" w:ascii="仿宋" w:hAnsi="仿宋" w:eastAsia="仿宋" w:cs="仿宋"/>
          <w:color w:val="000000"/>
          <w:sz w:val="30"/>
          <w:szCs w:val="30"/>
        </w:rPr>
      </w:r>
      <w:r/>
    </w:p>
    <w:p>
      <w:pPr>
        <w:pStyle w:val="752"/>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（1）电子招标投标交易平台（即“苏采云”系统）相关要求是本招标文件的组成部分。</w:t>
      </w:r>
      <w:r>
        <w:rPr>
          <w:rFonts w:hint="eastAsia" w:ascii="仿宋" w:hAnsi="仿宋" w:eastAsia="仿宋" w:cs="仿宋"/>
          <w:color w:val="000000"/>
          <w:sz w:val="30"/>
          <w:szCs w:val="30"/>
        </w:rPr>
      </w:r>
      <w:r/>
    </w:p>
    <w:p>
      <w:pPr>
        <w:pStyle w:val="752"/>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（2）投标人应对 CA 证书妥善保管，如被他人盗用投标，因此带来的结果均由投标人自行承担。</w:t>
      </w:r>
      <w:r>
        <w:rPr>
          <w:rFonts w:hint="eastAsia" w:ascii="仿宋" w:hAnsi="仿宋" w:eastAsia="仿宋" w:cs="仿宋"/>
          <w:color w:val="000000"/>
          <w:sz w:val="30"/>
          <w:szCs w:val="30"/>
        </w:rPr>
      </w:r>
      <w:r/>
    </w:p>
    <w:p>
      <w:pPr>
        <w:pStyle w:val="752"/>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（3）投标人应当对招标文件提出的要求和条件作出实质性响应，并在电子投标系统逐条应答。</w:t>
      </w:r>
      <w:r>
        <w:rPr>
          <w:rFonts w:hint="eastAsia" w:ascii="仿宋" w:hAnsi="仿宋" w:eastAsia="仿宋" w:cs="仿宋"/>
          <w:color w:val="000000"/>
          <w:sz w:val="30"/>
          <w:szCs w:val="30"/>
        </w:rPr>
      </w:r>
      <w:r/>
    </w:p>
    <w:p>
      <w:pPr>
        <w:pStyle w:val="752"/>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（4）投标人应对要求提供的资格证明文件（如资质证书、资格证书）、技术资料（如白皮书、彩页、手册、检测报告等）扫描上传至投标系统。</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（十八）投标文件的盖章要求：</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投标文件的盖章要求，以本文件第三章《投标资料表》中所提要求为准。</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（十九）提交投标文件的截止 时间和收到投标文件后注意事项。投标人应在招标文件要求的提交投标文件的截止时间前，将投标文件提交至“苏采云”系统。</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二十</w:t>
      </w:r>
      <w:r>
        <w:rPr>
          <w:rFonts w:hint="eastAsia" w:ascii="仿宋" w:hAnsi="仿宋" w:eastAsia="仿宋" w:cs="仿宋"/>
          <w:color w:val="000000"/>
          <w:sz w:val="30"/>
          <w:szCs w:val="30"/>
        </w:rPr>
        <w:t xml:space="preserve">）凡在招标文件要求提交投标文件的截止时间之后</w:t>
      </w:r>
      <w:r>
        <w:rPr>
          <w:rFonts w:hint="eastAsia" w:ascii="仿宋" w:hAnsi="仿宋" w:eastAsia="仿宋" w:cs="仿宋"/>
          <w:color w:val="000000"/>
          <w:sz w:val="30"/>
          <w:szCs w:val="30"/>
          <w:lang w:eastAsia="zh-CN"/>
        </w:rPr>
        <w:t xml:space="preserve">提交</w:t>
      </w:r>
      <w:r>
        <w:rPr>
          <w:rFonts w:hint="eastAsia" w:ascii="仿宋" w:hAnsi="仿宋" w:eastAsia="仿宋" w:cs="仿宋"/>
          <w:color w:val="000000"/>
          <w:sz w:val="30"/>
          <w:szCs w:val="30"/>
        </w:rPr>
        <w:t xml:space="preserve">的投标文件，均为无效投标文件，</w:t>
      </w:r>
      <w:r>
        <w:rPr>
          <w:rFonts w:hint="eastAsia" w:ascii="仿宋" w:hAnsi="仿宋" w:eastAsia="仿宋" w:cs="仿宋"/>
          <w:color w:val="000000"/>
          <w:sz w:val="30"/>
          <w:szCs w:val="30"/>
          <w:lang w:eastAsia="zh-CN"/>
        </w:rPr>
        <w:t xml:space="preserve">“苏采云”系统将自动拒收</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各投标人应</w:t>
      </w:r>
      <w:r>
        <w:rPr>
          <w:rFonts w:hint="eastAsia" w:ascii="仿宋" w:hAnsi="仿宋" w:eastAsia="仿宋" w:cs="仿宋"/>
          <w:color w:val="000000"/>
          <w:sz w:val="30"/>
          <w:szCs w:val="30"/>
        </w:rPr>
        <w:t xml:space="preserve">在规定时间内</w:t>
      </w:r>
      <w:r>
        <w:rPr>
          <w:rFonts w:hint="eastAsia" w:ascii="仿宋" w:hAnsi="仿宋" w:eastAsia="仿宋" w:cs="仿宋"/>
          <w:color w:val="000000"/>
          <w:sz w:val="30"/>
          <w:szCs w:val="30"/>
          <w:lang w:eastAsia="zh-CN"/>
        </w:rPr>
        <w:t xml:space="preserve">通过</w:t>
      </w:r>
      <w:r>
        <w:rPr>
          <w:rFonts w:hint="eastAsia" w:ascii="仿宋" w:hAnsi="仿宋" w:eastAsia="仿宋" w:cs="仿宋"/>
          <w:color w:val="000000"/>
          <w:sz w:val="30"/>
          <w:szCs w:val="30"/>
        </w:rPr>
        <w:t xml:space="preserve">CA锁进行网上解密。</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一</w:t>
      </w:r>
      <w:r>
        <w:rPr>
          <w:rFonts w:hint="eastAsia" w:ascii="仿宋" w:hAnsi="仿宋" w:eastAsia="仿宋" w:cs="仿宋"/>
          <w:color w:val="000000"/>
          <w:sz w:val="30"/>
          <w:szCs w:val="30"/>
        </w:rPr>
        <w:t xml:space="preserve">）投标人在投标截止时间前，可以对所递交的投标文件进行补充、修改或者撤回，但应书面通知采购代理机构。其所进行补充、修改的内容，应当按照招标文件要求进行</w:t>
      </w:r>
      <w:r>
        <w:rPr>
          <w:rFonts w:hint="eastAsia" w:ascii="仿宋" w:hAnsi="仿宋" w:eastAsia="仿宋" w:cs="仿宋"/>
          <w:color w:val="000000"/>
          <w:sz w:val="30"/>
          <w:szCs w:val="30"/>
          <w:lang w:eastAsia="zh-CN"/>
        </w:rPr>
        <w:t xml:space="preserve">电子签章</w:t>
      </w:r>
      <w:r>
        <w:rPr>
          <w:rFonts w:hint="eastAsia" w:ascii="仿宋" w:hAnsi="仿宋" w:eastAsia="仿宋" w:cs="仿宋"/>
          <w:color w:val="000000"/>
          <w:sz w:val="30"/>
          <w:szCs w:val="30"/>
        </w:rPr>
        <w:t xml:space="preserve">，然后纳为投标文件的组成部分。</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二</w:t>
      </w:r>
      <w:r>
        <w:rPr>
          <w:rFonts w:hint="eastAsia" w:ascii="仿宋" w:hAnsi="仿宋" w:eastAsia="仿宋" w:cs="仿宋"/>
          <w:color w:val="000000"/>
          <w:sz w:val="30"/>
          <w:szCs w:val="30"/>
        </w:rPr>
        <w:t xml:space="preserve">）本项目不允许分包。</w:t>
      </w:r>
      <w:r>
        <w:rPr>
          <w:rFonts w:hint="eastAsia" w:ascii="仿宋" w:hAnsi="仿宋" w:eastAsia="仿宋" w:cs="仿宋"/>
          <w:color w:val="000000"/>
          <w:sz w:val="30"/>
          <w:szCs w:val="30"/>
        </w:rPr>
      </w:r>
      <w:r/>
    </w:p>
    <w:p>
      <w:pPr>
        <w:pStyle w:val="752"/>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三</w:t>
      </w:r>
      <w:r>
        <w:rPr>
          <w:rFonts w:hint="eastAsia" w:ascii="仿宋" w:hAnsi="仿宋" w:eastAsia="仿宋" w:cs="仿宋"/>
          <w:color w:val="000000"/>
          <w:sz w:val="30"/>
          <w:szCs w:val="30"/>
        </w:rPr>
        <w:t xml:space="preserve">）投标人应当遵循公平竞争的原则，不得恶意串通，不得妨碍其他投标人的竞争行为，不得损害采购人或者其他投标人的合法权益。</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在评标过程中发现投标人有上述情形的，评标委员会应当认定其投标无效，并书面报告本级财政部门。</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四</w:t>
      </w:r>
      <w:r>
        <w:rPr>
          <w:rFonts w:hint="eastAsia" w:ascii="仿宋" w:hAnsi="仿宋" w:eastAsia="仿宋" w:cs="仿宋"/>
          <w:color w:val="000000"/>
          <w:sz w:val="30"/>
          <w:szCs w:val="30"/>
        </w:rPr>
        <w:t xml:space="preserve">）有下列情形之一的，其投标无效。</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1.不同投标人的投标文件，由同一单位或者个人编制；</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2.不同投标人委托同一单位或者个人办理投标事宜；</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3.不同投标人的投标文件中，所载明的项目管理成员或联系人为同一人；</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4.不同投标人的投标文件，异常一致或者投标报价呈规律性差异；</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5.不同投标人的投标文件相互混装；</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6.不同投标人投标文件内容存在非正常一致、项目组成员出现同一人、投标文件中错误（或异常）一致或雷同、电子文档信息一致或雷同的、投标报价呈规律性差异的；</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7.电子投标文件未按规定期限投标的；</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8.电子投标文件未按招标文件要求签章的；</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9.投标人未在规定时间内解密电子投标文件的；</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10.投标文件未按招标文件规定的内容和要求填写的；没有在投标系统指定位置上传对应文件、材料的。</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1</w:t>
      </w:r>
      <w:r>
        <w:rPr>
          <w:rFonts w:hint="eastAsia" w:ascii="仿宋" w:hAnsi="仿宋" w:eastAsia="仿宋" w:cs="仿宋"/>
          <w:color w:val="000000"/>
          <w:sz w:val="30"/>
          <w:szCs w:val="30"/>
        </w:rPr>
        <w:t xml:space="preserve">.不具备招标文件中规定的资格要求的；</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2</w:t>
      </w:r>
      <w:r>
        <w:rPr>
          <w:rFonts w:hint="eastAsia" w:ascii="仿宋" w:hAnsi="仿宋" w:eastAsia="仿宋" w:cs="仿宋"/>
          <w:color w:val="000000"/>
          <w:sz w:val="30"/>
          <w:szCs w:val="30"/>
        </w:rPr>
        <w:t xml:space="preserve">.报价超过招标文件中规定的预算金额或者最高限价的；</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.投标文件含有采购人不能接受的附加条件的；</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4</w:t>
      </w:r>
      <w:r>
        <w:rPr>
          <w:rFonts w:hint="eastAsia" w:ascii="仿宋" w:hAnsi="仿宋" w:eastAsia="仿宋" w:cs="仿宋"/>
          <w:color w:val="000000"/>
          <w:sz w:val="30"/>
          <w:szCs w:val="30"/>
        </w:rPr>
        <w:t xml:space="preserve">.法律、法规和招标文件规定的其他无效情形。</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四、开标</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五</w:t>
      </w:r>
      <w:r>
        <w:rPr>
          <w:rFonts w:hint="eastAsia" w:ascii="仿宋" w:hAnsi="仿宋" w:eastAsia="仿宋" w:cs="仿宋"/>
          <w:color w:val="000000"/>
          <w:sz w:val="30"/>
          <w:szCs w:val="30"/>
        </w:rPr>
        <w:t xml:space="preserve">）开标：</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color w:val="000000"/>
          <w:sz w:val="30"/>
          <w:szCs w:val="30"/>
          <w:highlight w:val="none"/>
        </w:rPr>
      </w:r>
      <w:r/>
    </w:p>
    <w:p>
      <w:pPr>
        <w:pStyle w:val="752"/>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2.由电子招标投标交易平台主持，邀请投标人参加。</w:t>
      </w:r>
      <w:r>
        <w:rPr>
          <w:rFonts w:hint="eastAsia" w:ascii="仿宋" w:hAnsi="仿宋" w:eastAsia="仿宋" w:cs="仿宋"/>
          <w:color w:val="000000"/>
          <w:sz w:val="30"/>
          <w:szCs w:val="30"/>
          <w:highlight w:val="none"/>
        </w:rPr>
      </w:r>
      <w:r/>
    </w:p>
    <w:p>
      <w:pPr>
        <w:pStyle w:val="752"/>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 所有投标单位使用 CA 证书在开标时间时，解密各自投标文件，由工作人员操作系统进行开标，投标人不足3家的，不得评标。</w:t>
      </w:r>
      <w:r>
        <w:rPr>
          <w:rFonts w:hint="eastAsia" w:ascii="仿宋" w:hAnsi="仿宋" w:eastAsia="仿宋" w:cs="仿宋"/>
          <w:color w:val="000000"/>
          <w:sz w:val="30"/>
          <w:szCs w:val="30"/>
          <w:highlight w:val="none"/>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五、评标</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六</w:t>
      </w:r>
      <w:r>
        <w:rPr>
          <w:rFonts w:hint="eastAsia" w:ascii="仿宋" w:hAnsi="仿宋" w:eastAsia="仿宋" w:cs="仿宋"/>
          <w:color w:val="000000"/>
          <w:sz w:val="30"/>
          <w:szCs w:val="30"/>
        </w:rPr>
        <w:t xml:space="preserve">）公开招标采购项目开标结束后，采购人依法对投标人的资格进行审查。合格投标人不足3家的，不得评标。</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1.评标工作由采购代理机构负责组织，并履行下列职责：</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（2）宣布评标纪律；</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（3）公布投标人名单，告知评审专家应当回避的情形；</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（4）组织评标委员会推选评标组长（采购人代表不得担任组长）；</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（5）在评标期间采取必要的通讯管理措施，保证评标活动不受外界干扰；</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（6）根据评标委员会的要求介绍政府采购相关政策法规、招标文件；</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（8）核对评标结果，对有《</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"http://www.caigou2003.com/"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政府采购</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（9）评审工作完成后，按照规定向评审专家支付劳务报酬和异地评审差旅费，不得向评审专家以外的其他人员支付评审劳务报酬； </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（10）处理与评标有关的其他事项。</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2.评标委员会负责具体评标事务，并独立履行下列职责：</w:t>
      </w:r>
      <w:r>
        <w:rPr>
          <w:rFonts w:hint="eastAsia" w:ascii="仿宋" w:hAnsi="仿宋" w:eastAsia="仿宋" w:cs="仿宋"/>
          <w:color w:val="000000"/>
          <w:sz w:val="30"/>
          <w:szCs w:val="30"/>
        </w:rPr>
      </w:r>
      <w:r/>
    </w:p>
    <w:p>
      <w:pPr>
        <w:pStyle w:val="752"/>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（1）审查、评价投标文件是否符合招标文件的商务、技术等实质性要求；</w:t>
      </w:r>
      <w:r>
        <w:rPr>
          <w:rFonts w:hint="eastAsia" w:ascii="仿宋" w:hAnsi="仿宋" w:eastAsia="仿宋" w:cs="仿宋"/>
          <w:color w:val="000000"/>
          <w:sz w:val="30"/>
          <w:szCs w:val="30"/>
        </w:rPr>
      </w:r>
      <w:r/>
    </w:p>
    <w:p>
      <w:pPr>
        <w:pStyle w:val="752"/>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（2）要求投标人对投标文件有关事项作出澄清或者说明；</w:t>
      </w:r>
      <w:r>
        <w:rPr>
          <w:rFonts w:hint="eastAsia" w:ascii="仿宋" w:hAnsi="仿宋" w:eastAsia="仿宋" w:cs="仿宋"/>
          <w:color w:val="000000"/>
          <w:sz w:val="30"/>
          <w:szCs w:val="30"/>
        </w:rPr>
      </w:r>
      <w:r/>
    </w:p>
    <w:p>
      <w:pPr>
        <w:pStyle w:val="752"/>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（3）对投标文件进行比较和评价；</w:t>
      </w:r>
      <w:r>
        <w:rPr>
          <w:rFonts w:hint="eastAsia" w:ascii="仿宋" w:hAnsi="仿宋" w:eastAsia="仿宋" w:cs="仿宋"/>
          <w:color w:val="000000"/>
          <w:sz w:val="30"/>
          <w:szCs w:val="30"/>
        </w:rPr>
      </w:r>
      <w:r/>
    </w:p>
    <w:p>
      <w:pPr>
        <w:pStyle w:val="752"/>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（4）确定中标候选人名单，以及根据采购人委托直接确定中标人；</w:t>
      </w:r>
      <w:r>
        <w:rPr>
          <w:rFonts w:hint="eastAsia" w:ascii="仿宋" w:hAnsi="仿宋" w:eastAsia="仿宋" w:cs="仿宋"/>
          <w:color w:val="000000"/>
          <w:sz w:val="30"/>
          <w:szCs w:val="30"/>
        </w:rPr>
      </w:r>
      <w:r/>
    </w:p>
    <w:p>
      <w:pPr>
        <w:pStyle w:val="752"/>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（5）向采购人、采购代理机构或有关部门报告评标中发现的违法行为。</w:t>
      </w:r>
      <w:r>
        <w:rPr>
          <w:rFonts w:hint="eastAsia" w:ascii="仿宋" w:hAnsi="仿宋" w:eastAsia="仿宋" w:cs="仿宋"/>
          <w:color w:val="000000"/>
          <w:sz w:val="30"/>
          <w:szCs w:val="30"/>
        </w:rPr>
      </w:r>
      <w:r/>
    </w:p>
    <w:p>
      <w:pPr>
        <w:pStyle w:val="752"/>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七</w:t>
      </w:r>
      <w:r>
        <w:rPr>
          <w:rFonts w:hint="eastAsia" w:ascii="仿宋" w:hAnsi="仿宋" w:eastAsia="仿宋" w:cs="仿宋"/>
          <w:color w:val="000000"/>
          <w:sz w:val="30"/>
          <w:szCs w:val="30"/>
        </w:rPr>
        <w:t xml:space="preserve">）评标方法分为最低评标价法和综合评分法。</w:t>
      </w:r>
      <w:r>
        <w:rPr>
          <w:rFonts w:hint="eastAsia" w:ascii="仿宋" w:hAnsi="仿宋" w:eastAsia="仿宋" w:cs="仿宋"/>
          <w:color w:val="000000"/>
          <w:sz w:val="30"/>
          <w:szCs w:val="30"/>
        </w:rPr>
      </w:r>
      <w:r/>
    </w:p>
    <w:p>
      <w:pPr>
        <w:pStyle w:val="752"/>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八</w:t>
      </w:r>
      <w:r>
        <w:rPr>
          <w:rFonts w:hint="eastAsia" w:ascii="仿宋" w:hAnsi="仿宋" w:eastAsia="仿宋" w:cs="仿宋"/>
          <w:color w:val="000000"/>
          <w:sz w:val="30"/>
          <w:szCs w:val="30"/>
        </w:rPr>
        <w:t xml:space="preserve">）评标</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1.评标工作程序：</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（1）投标文件初审。</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①资格性审查。</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②符合性审查。</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（2）澄清有关问题。</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（3）比较与评价。</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（4）推荐中标候选供应商名单。</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（5）编写评审报告（评标报告）。</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color w:val="000000"/>
          <w:sz w:val="30"/>
          <w:szCs w:val="30"/>
        </w:rPr>
      </w:r>
      <w:r/>
    </w:p>
    <w:p>
      <w:pPr>
        <w:pStyle w:val="752"/>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3.采用</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"http://lilun.caigou2003.com/recijiedu/2365668.html"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最低评标价法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 w:hAnsi="仿宋" w:eastAsia="仿宋" w:cs="仿宋"/>
          <w:color w:val="000000"/>
          <w:sz w:val="30"/>
          <w:szCs w:val="30"/>
        </w:rPr>
      </w:r>
      <w:r/>
    </w:p>
    <w:p>
      <w:pPr>
        <w:pStyle w:val="752"/>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采用</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"http://lilun.caigou2003.com/recijiedu/2365667.html"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综合评分法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 w:hAnsi="仿宋" w:eastAsia="仿宋" w:cs="仿宋"/>
          <w:color w:val="000000"/>
          <w:sz w:val="30"/>
          <w:szCs w:val="30"/>
        </w:rPr>
      </w:r>
      <w:r/>
    </w:p>
    <w:p>
      <w:pPr>
        <w:pStyle w:val="752"/>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非单一产品采购项目，多家投标人提供的核心产品品牌相同的，按前两款规定处理。</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九</w:t>
      </w:r>
      <w:r>
        <w:rPr>
          <w:rFonts w:hint="eastAsia" w:ascii="仿宋" w:hAnsi="仿宋" w:eastAsia="仿宋" w:cs="仿宋"/>
          <w:color w:val="000000"/>
          <w:sz w:val="30"/>
          <w:szCs w:val="30"/>
        </w:rPr>
        <w:t xml:space="preserve">）投标文件报价出现前后不一致的，按照下列规定修正：</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1.投标文件中开标一览表（报价表）内容与投标文件中相应内容不一致的，以开标一览表（报价表）为准；</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2.大写金额和小写金额不一致的，以大写金额为准；</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3.单价金额小数点或者百分比有明显错位的，以开标一览表的总价为准，并修改单价；</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4.总价金额与按单价合计金额不一致的，以单价金额计算结果为准。</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评标中需要投标人对投标文件澄清或者说明的，应当通过“苏采云”系统交换数据电文。在评标期间，请投标人保持在线。</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（三十二）废标条款：</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出现下列情形之一的，应予废标。</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1.符合专业条件的供应商或者对招标文件作实质响应的供应商不足三家的；</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2.出现影响采购公正的违法、违规行为的；</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3.投标人的报价均超过了采购预算，采购人不能支付的；</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4.因重大变故，采购任务取消的。</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六、定标</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（三十三）采购代理机构应当在评标结束后2个工作日内将评标报告送采购人。</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（三十四）采购人应当自收到评标报告之日起5个工作日内，在评标报告确定的中标候选人名单中按顺序确定中标人。</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七、政府采购合同</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（三十六）签订政府采购合同（合同签订方式）：</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采购人不得向中标人提出任何不合理的要求作为签订合同的条件。</w:t>
      </w:r>
      <w:r>
        <w:rPr>
          <w:rFonts w:hint="eastAsia" w:ascii="仿宋" w:hAnsi="仿宋" w:eastAsia="仿宋" w:cs="仿宋"/>
          <w:color w:val="000000"/>
          <w:sz w:val="30"/>
          <w:szCs w:val="30"/>
        </w:rPr>
      </w:r>
      <w:r/>
    </w:p>
    <w:p>
      <w:pPr>
        <w:pStyle w:val="752"/>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仿宋" w:hAnsi="仿宋" w:eastAsia="仿宋" w:cs="仿宋"/>
          <w:color w:val="000000"/>
          <w:sz w:val="30"/>
          <w:szCs w:val="30"/>
        </w:rPr>
      </w:r>
      <w:r/>
    </w:p>
    <w:p>
      <w:pPr>
        <w:pStyle w:val="752"/>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（三十七）采购人与中标人应当根据合同的约定依法履行合同义务。政府采购合同的履行、违约责任和解决争议的方法等，按《中华人民共和国</w:t>
      </w:r>
      <w:r>
        <w:rPr>
          <w:rFonts w:hint="eastAsia" w:ascii="仿宋" w:hAnsi="仿宋" w:eastAsia="仿宋" w:cs="仿宋"/>
          <w:color w:val="000000"/>
          <w:sz w:val="30"/>
          <w:szCs w:val="30"/>
          <w:lang w:eastAsia="zh-CN"/>
        </w:rPr>
        <w:t xml:space="preserve">民法典</w:t>
      </w:r>
      <w:r>
        <w:rPr>
          <w:rFonts w:hint="eastAsia" w:ascii="仿宋" w:hAnsi="仿宋" w:eastAsia="仿宋" w:cs="仿宋"/>
          <w:color w:val="000000"/>
          <w:sz w:val="30"/>
          <w:szCs w:val="30"/>
        </w:rPr>
        <w:t xml:space="preserve">》相关条款执行。</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（三十八）履约保证金：</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1.中标人应当在中标公告起三日内向采购人提交本文件第三章《投标资料表》中规定金额的履约保证金。</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3.中标人凭采购人出具验收书的复印件及收款收据办理履约保证金退付手续。履约保证金在采购人处存放期间，不计利息。</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（三十九）腐败和欺诈行为：</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1.采购代理机构、采购人、投标人等参与招投标的各方，均应在招标、采购、合同执行等过程中保持廉洁和最高的道德水准。</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（1）腐败和欺诈行为的含义：</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②“欺诈行为”系指为了影响招标、采购和合同执行等过程，隐瞒事实真象，给买方、卖方、采购代理机构及他人造成损害的行为，其中包括投标人之间的串通行为。</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（2）如果被推荐的中标人有腐败和欺诈行为，将取消其中标资格。</w:t>
      </w:r>
      <w:r>
        <w:rPr>
          <w:rFonts w:hint="eastAsia" w:ascii="仿宋" w:hAnsi="仿宋" w:eastAsia="仿宋" w:cs="仿宋"/>
          <w:color w:val="000000"/>
          <w:sz w:val="30"/>
          <w:szCs w:val="30"/>
        </w:rPr>
      </w:r>
      <w:r/>
    </w:p>
    <w:p>
      <w:pPr>
        <w:pStyle w:val="752"/>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（3）如果投标人在任何时候，被法院及政府有关管理部门认定为有腐败和欺诈行为，采购代理机构有权拒绝其投标、取消其中标资格和撤消其已签署的合同。</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八、询问和质疑</w:t>
      </w:r>
      <w:r>
        <w:rPr>
          <w:rFonts w:hint="eastAsia" w:ascii="仿宋" w:hAnsi="仿宋" w:eastAsia="仿宋" w:cs="仿宋"/>
          <w:color w:val="000000"/>
          <w:sz w:val="30"/>
          <w:szCs w:val="30"/>
        </w:rPr>
      </w:r>
      <w:r/>
    </w:p>
    <w:p>
      <w:pPr>
        <w:pStyle w:val="752"/>
        <w:ind w:firstLine="600"/>
        <w:jc w:val="left"/>
        <w:keepLines w:val="0"/>
        <w:keepNext w:val="0"/>
        <w:pageBreakBefore w:val="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（四十）询问和质疑</w:t>
      </w:r>
      <w:r>
        <w:rPr>
          <w:rFonts w:hint="eastAsia" w:ascii="仿宋" w:hAnsi="仿宋" w:eastAsia="仿宋" w:cs="仿宋"/>
          <w:color w:val="000000"/>
          <w:sz w:val="30"/>
          <w:szCs w:val="30"/>
        </w:rPr>
      </w:r>
      <w:r/>
    </w:p>
    <w:p>
      <w:pPr>
        <w:pStyle w:val="752"/>
        <w:ind w:firstLine="600"/>
        <w:jc w:val="left"/>
        <w:keepLines w:val="0"/>
        <w:keepNext w:val="0"/>
        <w:pageBreakBefore w:val="0"/>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30"/>
          <w:szCs w:val="30"/>
        </w:rPr>
      </w:r>
      <w:r/>
    </w:p>
    <w:p>
      <w:pPr>
        <w:pStyle w:val="752"/>
        <w:ind w:firstLine="600"/>
        <w:keepLines w:val="0"/>
        <w:keepNext w:val="0"/>
        <w:pageBreakBefore w:val="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九、电子招标投标交易平台</w:t>
      </w:r>
      <w:r>
        <w:rPr>
          <w:rFonts w:hint="eastAsia" w:ascii="仿宋" w:hAnsi="仿宋" w:eastAsia="仿宋" w:cs="仿宋"/>
          <w:color w:val="000000"/>
          <w:sz w:val="30"/>
          <w:szCs w:val="30"/>
        </w:rPr>
      </w:r>
      <w:r/>
    </w:p>
    <w:p>
      <w:pPr>
        <w:pStyle w:val="971"/>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（四十一）电子招标投标交易平台（即“苏采云”系统，网址：</w:t>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"http://jszfcg.jsczt.cn/" \o "http://jszfcg.jsczt.cn/"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http://jszfcg.jsczt.cn/</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）相关要求是本招标文件的组成部分。</w:t>
      </w:r>
      <w:r>
        <w:rPr>
          <w:rFonts w:hint="eastAsia" w:ascii="仿宋" w:hAnsi="仿宋" w:eastAsia="仿宋" w:cs="仿宋"/>
          <w:color w:val="000000"/>
          <w:sz w:val="30"/>
          <w:szCs w:val="30"/>
        </w:rPr>
      </w:r>
      <w:r/>
    </w:p>
    <w:p>
      <w:pPr>
        <w:pStyle w:val="971"/>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30"/>
          <w:szCs w:val="30"/>
        </w:rPr>
      </w:r>
      <w:r/>
    </w:p>
    <w:p>
      <w:pPr>
        <w:pStyle w:val="752"/>
        <w:ind w:firstLine="602"/>
        <w:jc w:val="center"/>
        <w:spacing w:line="36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pStyle w:val="752"/>
        <w:jc w:val="center"/>
        <w:rPr>
          <w:rFonts w:hint="eastAsia" w:ascii="仿宋" w:hAnsi="仿宋" w:eastAsia="仿宋" w:cs="仿宋"/>
          <w:color w:val="000000"/>
        </w:rPr>
      </w:pPr>
      <w:r/>
      <w:bookmarkStart w:id="4" w:name="_Toc522790132"/>
      <w:r>
        <w:rPr>
          <w:rFonts w:hint="eastAsia" w:ascii="仿宋" w:hAnsi="仿宋" w:eastAsia="仿宋" w:cs="仿宋"/>
          <w:color w:val="000000"/>
        </w:rPr>
        <w:br w:type="page" w:clear="all"/>
      </w:r>
      <w:bookmarkStart w:id="5" w:name="_Toc12259"/>
      <w:r>
        <w:rPr>
          <w:rStyle w:val="810"/>
          <w:rFonts w:hint="eastAsia" w:ascii="仿宋" w:hAnsi="仿宋" w:eastAsia="仿宋" w:cs="仿宋"/>
          <w:color w:val="000000"/>
          <w:lang w:val="en-US" w:eastAsia="zh-CN"/>
        </w:rPr>
        <w:t xml:space="preserve">第三章  投标资料表</w:t>
      </w:r>
      <w:bookmarkEnd w:id="4"/>
      <w:r/>
      <w:bookmarkEnd w:id="5"/>
      <w:r>
        <w:rPr>
          <w:rFonts w:hint="eastAsia" w:ascii="仿宋" w:hAnsi="仿宋" w:eastAsia="仿宋" w:cs="仿宋"/>
          <w:color w:val="000000"/>
        </w:rPr>
      </w:r>
      <w:r/>
    </w:p>
    <w:p>
      <w:pPr>
        <w:pStyle w:val="752"/>
        <w:ind w:firstLine="600"/>
        <w:jc w:val="cente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80"/>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000000"/>
          <w:sz w:val="30"/>
          <w:szCs w:val="30"/>
        </w:rPr>
      </w:r>
      <w:r/>
    </w:p>
    <w:p>
      <w:pPr>
        <w:pStyle w:val="752"/>
        <w:spacing w:line="240" w:lineRule="exact"/>
        <w:rPr>
          <w:rFonts w:hint="eastAsia" w:ascii="仿宋" w:hAnsi="仿宋" w:eastAsia="仿宋" w:cs="仿宋"/>
          <w:color w:val="000000"/>
        </w:rPr>
      </w:pPr>
      <w:r>
        <w:rPr>
          <w:rFonts w:hint="eastAsia" w:ascii="仿宋" w:hAnsi="仿宋" w:eastAsia="仿宋" w:cs="仿宋"/>
          <w:color w:val="000000"/>
        </w:rPr>
      </w:r>
      <w:r/>
    </w:p>
    <w:tbl>
      <w:tblPr>
        <w:tblW w:w="8780"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pStyle w:val="752"/>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条款项号</w:t>
            </w:r>
            <w:r>
              <w:rPr>
                <w:rFonts w:hint="eastAsia" w:ascii="仿宋" w:hAnsi="仿宋" w:eastAsia="仿宋" w:cs="仿宋"/>
                <w:b/>
                <w:color w:val="000000"/>
                <w:sz w:val="28"/>
                <w:szCs w:val="28"/>
              </w:rPr>
            </w:r>
            <w:r/>
          </w:p>
        </w:tc>
        <w:tc>
          <w:tcPr>
            <w:tcW w:w="7220" w:type="dxa"/>
            <w:vAlign w:val="top"/>
            <w:textDirection w:val="lrTb"/>
            <w:noWrap w:val="false"/>
          </w:tcPr>
          <w:p>
            <w:pPr>
              <w:pStyle w:val="752"/>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内    容</w:t>
            </w:r>
            <w:r>
              <w:rPr>
                <w:rFonts w:hint="eastAsia" w:ascii="仿宋" w:hAnsi="仿宋" w:eastAsia="仿宋" w:cs="仿宋"/>
                <w:b/>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总则</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本项目采购人：</w:t>
            </w:r>
            <w:r>
              <w:rPr>
                <w:rFonts w:hint="eastAsia" w:ascii="仿宋" w:hAnsi="仿宋" w:eastAsia="仿宋" w:cs="仿宋"/>
                <w:color w:val="000000"/>
                <w:sz w:val="28"/>
                <w:szCs w:val="28"/>
                <w:lang w:eastAsia="zh-CN"/>
              </w:rPr>
              <w:t xml:space="preserve">徐州生物工程职业技术学院</w:t>
            </w:r>
            <w:r>
              <w:rPr>
                <w:rFonts w:hint="eastAsia" w:ascii="仿宋" w:hAnsi="仿宋" w:eastAsia="仿宋" w:cs="仿宋"/>
                <w:color w:val="000000"/>
                <w:sz w:val="28"/>
                <w:szCs w:val="28"/>
                <w:lang w:eastAsia="zh-CN"/>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本次采购采用的政府采购方式：公开招标。</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采购人确定的采购项目属性：</w:t>
            </w:r>
            <w:r>
              <w:rPr>
                <w:rFonts w:hint="eastAsia" w:ascii="仿宋" w:hAnsi="仿宋" w:eastAsia="仿宋" w:cs="仿宋"/>
                <w:color w:val="000000"/>
                <w:sz w:val="28"/>
                <w:szCs w:val="28"/>
                <w:lang w:eastAsia="zh-CN"/>
              </w:rPr>
              <w:t xml:space="preserve">货物</w:t>
            </w:r>
            <w:r>
              <w:rPr>
                <w:rFonts w:hint="eastAsia" w:ascii="仿宋" w:hAnsi="仿宋" w:eastAsia="仿宋" w:cs="仿宋"/>
                <w:color w:val="000000"/>
                <w:sz w:val="28"/>
                <w:szCs w:val="28"/>
                <w:lang w:eastAsia="zh-CN"/>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本项目采购代理机构：江苏中际招标代理有限公司</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投标人的资格条件：</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1.符合《中华人民共和国政府采购法》第二十二条的规定；</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本项目不属于专门面向中小微企业采购的项目</w:t>
            </w:r>
            <w:r>
              <w:rPr>
                <w:rFonts w:hint="eastAsia" w:ascii="仿宋" w:hAnsi="仿宋" w:eastAsia="仿宋" w:cs="仿宋"/>
                <w:color w:val="000000"/>
                <w:sz w:val="28"/>
                <w:szCs w:val="28"/>
              </w:rPr>
            </w:r>
            <w:r/>
          </w:p>
          <w:p>
            <w:pPr>
              <w:pStyle w:val="752"/>
              <w:spacing w:line="400" w:lineRule="exact"/>
              <w:rPr>
                <w:rFonts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3.本顶目的特定资格要求：无</w:t>
            </w:r>
            <w:r>
              <w:rPr>
                <w:rFonts w:ascii="仿宋" w:hAnsi="仿宋" w:eastAsia="仿宋" w:cs="仿宋"/>
                <w:color w:val="000000"/>
                <w:sz w:val="28"/>
                <w:szCs w:val="28"/>
                <w:lang w:val="en-US"/>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同时明确相关事项如下：</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本项目不接受联合体参与采购活动。</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、单位负责人为同一人或者存在直接控股、管理关系的不同供应商，不得参加同一合同项下的政府采购活动。</w:t>
            </w:r>
            <w:r>
              <w:rPr>
                <w:rFonts w:hint="eastAsia" w:ascii="仿宋" w:hAnsi="仿宋" w:eastAsia="仿宋" w:cs="仿宋"/>
                <w:color w:val="000000"/>
                <w:sz w:val="28"/>
                <w:szCs w:val="28"/>
              </w:rPr>
            </w:r>
            <w:r/>
          </w:p>
          <w:p>
            <w:pPr>
              <w:pStyle w:val="752"/>
              <w:ind w:left="560" w:hanging="560"/>
              <w:jc w:val="left"/>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三</w:t>
            </w:r>
            <w:r>
              <w:rPr>
                <w:rFonts w:hint="eastAsia" w:ascii="仿宋" w:hAnsi="仿宋" w:eastAsia="仿宋" w:cs="仿宋"/>
                <w:color w:val="000000"/>
                <w:sz w:val="28"/>
                <w:szCs w:val="28"/>
              </w:rPr>
              <w:t xml:space="preserve">、为本采购项目提供整体设计、规范编制或者项目管理、监理、检测等服务的供应商，不得再参加本采购项目的采购活动。</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四</w:t>
            </w:r>
            <w:r>
              <w:rPr>
                <w:rFonts w:hint="eastAsia" w:ascii="仿宋" w:hAnsi="仿宋" w:eastAsia="仿宋" w:cs="仿宋"/>
                <w:color w:val="000000"/>
                <w:sz w:val="28"/>
                <w:szCs w:val="28"/>
              </w:rPr>
              <w:t xml:space="preserve">、查询及使用供应商信用记录：</w:t>
            </w:r>
            <w:r>
              <w:rPr>
                <w:rFonts w:hint="eastAsia" w:ascii="仿宋" w:hAnsi="仿宋" w:eastAsia="仿宋" w:cs="仿宋"/>
                <w:color w:val="000000"/>
                <w:sz w:val="28"/>
                <w:szCs w:val="28"/>
              </w:rPr>
            </w:r>
            <w:r/>
          </w:p>
          <w:p>
            <w:pPr>
              <w:pStyle w:val="752"/>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(一)由采购人查询信用信息。</w:t>
            </w:r>
            <w:r>
              <w:rPr>
                <w:rFonts w:hint="eastAsia" w:ascii="仿宋" w:hAnsi="仿宋" w:eastAsia="仿宋" w:cs="仿宋"/>
                <w:color w:val="000000"/>
                <w:sz w:val="28"/>
                <w:szCs w:val="28"/>
              </w:rPr>
            </w:r>
            <w:r/>
          </w:p>
          <w:p>
            <w:pPr>
              <w:pStyle w:val="752"/>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(二)查询渠道包括：</w:t>
            </w:r>
            <w:r>
              <w:rPr>
                <w:rFonts w:hint="eastAsia" w:ascii="仿宋" w:hAnsi="仿宋" w:eastAsia="仿宋" w:cs="仿宋"/>
                <w:color w:val="000000"/>
                <w:sz w:val="28"/>
                <w:szCs w:val="28"/>
              </w:rPr>
            </w:r>
            <w:r/>
          </w:p>
          <w:p>
            <w:pPr>
              <w:pStyle w:val="752"/>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1.“信用中国”网（</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"http://www.creditchina.gov.cn/"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www.creditchina.gov.cn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752"/>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2.中国政府采购网（</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"http://www.ccgp.gov.cn/"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www.ccgp.gov.cn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752"/>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3.“信用江苏”网（www.jscredit.gov.cn）；</w:t>
            </w:r>
            <w:r>
              <w:rPr>
                <w:rFonts w:hint="eastAsia" w:ascii="仿宋" w:hAnsi="仿宋" w:eastAsia="仿宋" w:cs="仿宋"/>
                <w:color w:val="000000"/>
                <w:sz w:val="28"/>
                <w:szCs w:val="28"/>
              </w:rPr>
            </w:r>
            <w:r/>
          </w:p>
          <w:p>
            <w:pPr>
              <w:pStyle w:val="752"/>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4.“信用中国（江苏徐州）”网</w:t>
            </w:r>
            <w:r>
              <w:rPr>
                <w:rFonts w:hint="eastAsia" w:ascii="仿宋" w:hAnsi="仿宋" w:eastAsia="仿宋" w:cs="仿宋"/>
                <w:color w:val="000000"/>
                <w:sz w:val="28"/>
                <w:szCs w:val="28"/>
              </w:rPr>
            </w:r>
            <w:r/>
          </w:p>
          <w:p>
            <w:pPr>
              <w:pStyle w:val="752"/>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"http://www.xuzhoucredit.gov.cn/"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http://www.xuzhoucredit.gov.cn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(三)截止时点（查询环节）：评标结束前。</w:t>
            </w:r>
            <w:r>
              <w:rPr>
                <w:rFonts w:hint="eastAsia" w:ascii="仿宋" w:hAnsi="仿宋" w:eastAsia="仿宋" w:cs="仿宋"/>
                <w:color w:val="000000"/>
                <w:sz w:val="28"/>
                <w:szCs w:val="28"/>
              </w:rPr>
            </w:r>
            <w:r/>
          </w:p>
          <w:p>
            <w:pPr>
              <w:pStyle w:val="752"/>
              <w:ind w:left="98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(四)信用信息查询记录和证据留存的具体方式：网页截屏打印，与其他采购文件一并保存。</w:t>
            </w:r>
            <w:r>
              <w:rPr>
                <w:rFonts w:hint="eastAsia" w:ascii="仿宋" w:hAnsi="仿宋" w:eastAsia="仿宋" w:cs="仿宋"/>
                <w:color w:val="000000"/>
                <w:sz w:val="28"/>
                <w:szCs w:val="28"/>
              </w:rPr>
            </w:r>
            <w:r/>
          </w:p>
          <w:p>
            <w:pPr>
              <w:pStyle w:val="752"/>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(五)信用信息的使用规则：</w:t>
            </w:r>
            <w:r>
              <w:rPr>
                <w:rFonts w:hint="eastAsia" w:ascii="仿宋" w:hAnsi="仿宋" w:eastAsia="仿宋" w:cs="仿宋"/>
                <w:color w:val="000000"/>
                <w:sz w:val="28"/>
                <w:szCs w:val="28"/>
              </w:rPr>
            </w:r>
            <w:r/>
          </w:p>
          <w:p>
            <w:pPr>
              <w:pStyle w:val="752"/>
              <w:ind w:left="89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招标代理服务费由中标人支付，标准见《招标代理服务收费标准》（见附件）。</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(九)1</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(九)2</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tabs>
                <w:tab w:val="left" w:pos="57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不安排现场考察。</w:t>
            </w:r>
            <w:r>
              <w:rPr>
                <w:rFonts w:hint="eastAsia" w:ascii="仿宋" w:hAnsi="仿宋" w:eastAsia="仿宋" w:cs="仿宋"/>
                <w:color w:val="000000"/>
                <w:sz w:val="28"/>
                <w:szCs w:val="28"/>
              </w:rPr>
            </w:r>
            <w:r/>
          </w:p>
        </w:tc>
      </w:tr>
      <w:tr>
        <w:trPr>
          <w:trHeight w:val="375"/>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(九)3</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不安排开标前答疑会。</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w:t>
            </w:r>
            <w:r>
              <w:rPr>
                <w:rFonts w:hint="eastAsia" w:ascii="仿宋" w:hAnsi="仿宋" w:eastAsia="仿宋" w:cs="仿宋"/>
                <w:color w:val="000000"/>
                <w:sz w:val="28"/>
                <w:szCs w:val="28"/>
              </w:rPr>
            </w:r>
            <w:r/>
          </w:p>
        </w:tc>
      </w:tr>
      <w:tr>
        <w:trPr>
          <w:trHeight w:val="510"/>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tabs>
                <w:tab w:val="left" w:pos="57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投标文件的语言为中文</w:t>
            </w:r>
            <w:r>
              <w:rPr>
                <w:rFonts w:hint="eastAsia" w:ascii="仿宋" w:hAnsi="仿宋" w:eastAsia="仿宋" w:cs="仿宋"/>
                <w:color w:val="000000"/>
                <w:sz w:val="28"/>
                <w:szCs w:val="28"/>
              </w:rPr>
            </w:r>
            <w:r/>
          </w:p>
        </w:tc>
      </w:tr>
      <w:tr>
        <w:trPr>
          <w:trHeight w:val="90"/>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(十二)1</w:t>
            </w:r>
            <w:r>
              <w:rPr>
                <w:rFonts w:hint="eastAsia" w:ascii="仿宋" w:hAnsi="仿宋" w:eastAsia="仿宋" w:cs="仿宋"/>
                <w:color w:val="000000"/>
                <w:sz w:val="28"/>
                <w:szCs w:val="28"/>
              </w:rPr>
            </w:r>
            <w:r/>
          </w:p>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(十二)2</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线上投标文件编制要求：</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请按照以下要求（包括但不限于以下要求）制作：</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，政府采购客户端工具输入报价自动生成）；</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2.《授权委托书》（提供原件的扫描件，格式见招标文件第七章《投标文件相关格式》）；</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3.所投产品的环境标志产品认证证书原件的扫描件（如有）。</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（2）环境标志产品认证证书是否符合要求，采购人评标时查询中国政府采购网（www.ccgp.gov.cn）相关内容后确定。</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4.所投产品的节能产品认证证书原件的扫描件（如有）。</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（2）节能产品认证证书是否符合要求，采购人评标时查询中国政府采购网（www.ccgp.gov.cn）相关内容后确定。</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二、资格条件（1-</w:t>
            </w:r>
            <w:r>
              <w:rPr>
                <w:rFonts w:hint="eastAsia" w:ascii="仿宋" w:hAnsi="仿宋" w:eastAsia="仿宋" w:cs="仿宋"/>
                <w:b/>
                <w:bCs/>
                <w:color w:val="000000"/>
                <w:sz w:val="28"/>
                <w:szCs w:val="28"/>
                <w:lang w:val="en-US" w:eastAsia="zh-CN"/>
              </w:rPr>
              <w:t xml:space="preserve">7</w:t>
            </w:r>
            <w:r>
              <w:rPr>
                <w:rFonts w:hint="eastAsia" w:ascii="仿宋" w:hAnsi="仿宋" w:eastAsia="仿宋" w:cs="仿宋"/>
                <w:b/>
                <w:bCs/>
                <w:color w:val="000000"/>
                <w:sz w:val="28"/>
                <w:szCs w:val="28"/>
              </w:rPr>
              <w:t xml:space="preserve">必须提供，否则投标无效）</w:t>
            </w:r>
            <w:r>
              <w:rPr>
                <w:rFonts w:hint="eastAsia" w:ascii="仿宋" w:hAnsi="仿宋" w:eastAsia="仿宋" w:cs="仿宋"/>
                <w:b/>
                <w:bCs/>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1.投标人合法有效的法人或者其他组织的营业执照等证明文件，自然人的身份证明。以上证明文件提供原件的扫描件。</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2.财务状况报告（即提供投标人的本项目开标时间前6个月内任何时间的资产负债表、利润表各一份或提供投标人上年度财务报告</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2024年度或2025年度</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或投标人的本项目开标时间前6个月内银行出具的资信证明</w:t>
            </w:r>
            <w:r>
              <w:rPr>
                <w:rFonts w:hint="eastAsia" w:ascii="仿宋" w:hAnsi="仿宋" w:eastAsia="仿宋" w:cs="仿宋"/>
                <w:color w:val="000000"/>
                <w:sz w:val="28"/>
                <w:szCs w:val="28"/>
                <w:lang w:val="en-US" w:eastAsia="zh-CN"/>
              </w:rPr>
              <w:t xml:space="preserve">扫描</w:t>
            </w:r>
            <w:r>
              <w:rPr>
                <w:rFonts w:hint="eastAsia" w:ascii="仿宋" w:hAnsi="仿宋" w:eastAsia="仿宋" w:cs="仿宋"/>
                <w:color w:val="000000"/>
                <w:sz w:val="28"/>
                <w:szCs w:val="28"/>
              </w:rPr>
              <w:t xml:space="preserve">件）；</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3.投标人的本项目开标时间前6个月内任何1个月的依法缴纳税收和社会保障资金的相关材料</w:t>
            </w:r>
            <w:r>
              <w:rPr>
                <w:rFonts w:hint="eastAsia" w:ascii="仿宋" w:hAnsi="仿宋" w:eastAsia="仿宋" w:cs="仿宋"/>
                <w:color w:val="000000"/>
                <w:sz w:val="28"/>
                <w:szCs w:val="28"/>
                <w:lang w:val="en-US" w:eastAsia="zh-CN"/>
              </w:rPr>
              <w:t xml:space="preserve">扫描</w:t>
            </w:r>
            <w:r>
              <w:rPr>
                <w:rFonts w:hint="eastAsia" w:ascii="仿宋" w:hAnsi="仿宋" w:eastAsia="仿宋" w:cs="仿宋"/>
                <w:color w:val="000000"/>
                <w:sz w:val="28"/>
                <w:szCs w:val="28"/>
              </w:rPr>
              <w:t xml:space="preserve">件（依法免税或不需要缴纳社会保障资金的供应商,提供相应文件证明其依法免税或不需要缴纳社会保障资金)；</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4.具备履行合同所必需的设备和专业技术能力的证明材料</w:t>
            </w:r>
            <w:r>
              <w:rPr>
                <w:rFonts w:hint="eastAsia" w:ascii="仿宋" w:hAnsi="仿宋" w:eastAsia="仿宋" w:cs="仿宋"/>
                <w:b/>
                <w:bCs/>
                <w:color w:val="000000"/>
                <w:sz w:val="28"/>
                <w:szCs w:val="28"/>
              </w:rPr>
              <w:t xml:space="preserve">（即</w:t>
            </w:r>
            <w:r>
              <w:rPr>
                <w:rFonts w:hint="eastAsia" w:ascii="仿宋" w:hAnsi="仿宋" w:eastAsia="仿宋" w:cs="仿宋"/>
                <w:b/>
                <w:bCs/>
                <w:color w:val="000000"/>
                <w:sz w:val="28"/>
                <w:szCs w:val="28"/>
                <w:lang w:eastAsia="zh-CN"/>
              </w:rPr>
              <w:t xml:space="preserve">提供</w:t>
            </w:r>
            <w:r>
              <w:rPr>
                <w:rFonts w:hint="eastAsia" w:ascii="仿宋" w:hAnsi="仿宋" w:eastAsia="仿宋" w:cs="仿宋"/>
                <w:b/>
                <w:bCs/>
                <w:color w:val="000000"/>
                <w:sz w:val="28"/>
                <w:szCs w:val="28"/>
                <w:lang w:val="en-US" w:eastAsia="zh-CN"/>
              </w:rPr>
              <w:t xml:space="preserve">至</w:t>
            </w:r>
            <w:r>
              <w:rPr>
                <w:rFonts w:hint="eastAsia" w:ascii="仿宋" w:hAnsi="仿宋" w:eastAsia="仿宋" w:cs="仿宋"/>
                <w:b/>
                <w:bCs/>
                <w:color w:val="000000"/>
                <w:sz w:val="28"/>
                <w:szCs w:val="28"/>
                <w:lang w:eastAsia="zh-CN"/>
              </w:rPr>
              <w:t xml:space="preserve">少一名为本项目服务人员的劳动合同或身份证原件扫描件</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，格式见招标文件第七章《投标文件相关格式》）。</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7.供应商不是为本采购项目提供整体设计、规范编制或者项目管理、监理、检测等服务的供应商的书面声明。（加盖电子签章，格式见招标文件第七章《投标文件相关格式》）。</w:t>
            </w:r>
            <w:r>
              <w:rPr>
                <w:rFonts w:hint="eastAsia" w:ascii="仿宋" w:hAnsi="仿宋" w:eastAsia="仿宋" w:cs="仿宋"/>
                <w:color w:val="000000"/>
                <w:sz w:val="28"/>
                <w:szCs w:val="28"/>
              </w:rPr>
            </w:r>
            <w:r/>
          </w:p>
          <w:p>
            <w:pPr>
              <w:pStyle w:val="787"/>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投标人信用信息（要求见本章条款项号“(六)”中“四、”内容）</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r>
            <w:r/>
          </w:p>
          <w:p>
            <w:pPr>
              <w:pStyle w:val="752"/>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三、符合条件（必须提供，否则投标无效）</w:t>
            </w:r>
            <w:r>
              <w:rPr>
                <w:rFonts w:hint="eastAsia" w:ascii="仿宋" w:hAnsi="仿宋" w:eastAsia="仿宋" w:cs="仿宋"/>
                <w:b/>
                <w:bCs/>
                <w:color w:val="000000"/>
                <w:sz w:val="28"/>
                <w:szCs w:val="28"/>
                <w:highlight w:val="none"/>
              </w:rPr>
            </w:r>
            <w:r/>
          </w:p>
          <w:p>
            <w:pPr>
              <w:pStyle w:val="752"/>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(一)报价</w:t>
            </w:r>
            <w:r>
              <w:rPr>
                <w:rFonts w:hint="eastAsia" w:ascii="仿宋" w:hAnsi="仿宋" w:eastAsia="仿宋" w:cs="仿宋"/>
                <w:color w:val="000000"/>
                <w:sz w:val="28"/>
                <w:szCs w:val="28"/>
                <w:highlight w:val="none"/>
              </w:rPr>
            </w:r>
            <w:r/>
          </w:p>
          <w:p>
            <w:pPr>
              <w:pStyle w:val="752"/>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1.《分项价格表》（加盖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rPr>
                <w:rFonts w:hint="eastAsia" w:ascii="仿宋" w:hAnsi="仿宋" w:eastAsia="仿宋" w:cs="仿宋"/>
                <w:color w:val="000000"/>
                <w:sz w:val="28"/>
                <w:szCs w:val="28"/>
                <w:highlight w:val="none"/>
              </w:rPr>
            </w:r>
            <w:r/>
          </w:p>
          <w:p>
            <w:pPr>
              <w:pStyle w:val="752"/>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（二）商务资信</w:t>
            </w:r>
            <w:r>
              <w:rPr>
                <w:rFonts w:hint="eastAsia" w:ascii="仿宋" w:hAnsi="仿宋" w:eastAsia="仿宋" w:cs="仿宋"/>
                <w:color w:val="000000"/>
                <w:sz w:val="28"/>
                <w:szCs w:val="28"/>
                <w:highlight w:val="none"/>
              </w:rPr>
            </w:r>
            <w:r/>
          </w:p>
          <w:p>
            <w:pPr>
              <w:pStyle w:val="752"/>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1.《投标函》（加盖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52"/>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2.《授权委托书》（提供原件的扫描件，格式见招标文件第七章《投标文件相关格式》）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52"/>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（三）技术响应</w:t>
            </w:r>
            <w:r>
              <w:rPr>
                <w:rFonts w:hint="eastAsia" w:ascii="仿宋" w:hAnsi="仿宋" w:eastAsia="仿宋" w:cs="仿宋"/>
                <w:color w:val="000000"/>
                <w:sz w:val="28"/>
                <w:szCs w:val="28"/>
                <w:highlight w:val="none"/>
              </w:rPr>
            </w:r>
            <w:r/>
          </w:p>
          <w:p>
            <w:pPr>
              <w:pStyle w:val="752"/>
              <w:spacing w:line="40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1.《偏离表》（加盖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rPr>
                <w:rFonts w:hint="eastAsia" w:ascii="仿宋" w:hAnsi="仿宋" w:eastAsia="仿宋" w:cs="仿宋"/>
                <w:b/>
                <w:bCs/>
                <w:color w:val="000000"/>
                <w:sz w:val="28"/>
                <w:szCs w:val="28"/>
                <w:highlight w:val="none"/>
              </w:rPr>
            </w:r>
            <w:r/>
          </w:p>
          <w:p>
            <w:pPr>
              <w:pStyle w:val="752"/>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752"/>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四、综合评审评分项</w:t>
            </w:r>
            <w:r>
              <w:rPr>
                <w:rFonts w:hint="eastAsia" w:ascii="仿宋" w:hAnsi="仿宋" w:eastAsia="仿宋" w:cs="仿宋"/>
                <w:b/>
                <w:bCs/>
                <w:color w:val="000000"/>
                <w:sz w:val="28"/>
                <w:szCs w:val="28"/>
                <w:highlight w:val="none"/>
              </w:rPr>
            </w:r>
            <w:r/>
          </w:p>
          <w:p>
            <w:pPr>
              <w:pStyle w:val="752"/>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（一）技术部分</w:t>
            </w:r>
            <w:r>
              <w:rPr>
                <w:rFonts w:hint="eastAsia" w:ascii="仿宋" w:hAnsi="仿宋" w:eastAsia="仿宋" w:cs="仿宋"/>
                <w:color w:val="000000"/>
                <w:sz w:val="28"/>
                <w:szCs w:val="28"/>
                <w:highlight w:val="none"/>
              </w:rPr>
            </w:r>
            <w:r/>
          </w:p>
          <w:p>
            <w:pPr>
              <w:pStyle w:val="831"/>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1.所投产品的技术参数（格式自拟，要求见招标文件第四章《评标标准》）；</w:t>
            </w:r>
            <w:r>
              <w:rPr>
                <w:rFonts w:hint="eastAsia" w:ascii="仿宋" w:hAnsi="仿宋" w:eastAsia="仿宋" w:cs="仿宋"/>
                <w:bCs/>
                <w:color w:val="000000"/>
                <w:sz w:val="28"/>
                <w:szCs w:val="28"/>
                <w:highlight w:val="none"/>
              </w:rPr>
            </w:r>
            <w:r/>
          </w:p>
          <w:p>
            <w:pPr>
              <w:pStyle w:val="831"/>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2.实施方案（格式自拟，要求见招标文件第四章《评标标准》）；</w:t>
            </w:r>
            <w:r>
              <w:rPr>
                <w:rFonts w:hint="eastAsia" w:ascii="仿宋" w:hAnsi="仿宋" w:eastAsia="仿宋" w:cs="仿宋"/>
                <w:bCs/>
                <w:color w:val="000000"/>
                <w:sz w:val="28"/>
                <w:szCs w:val="28"/>
                <w:highlight w:val="none"/>
              </w:rPr>
            </w:r>
            <w:r/>
          </w:p>
          <w:p>
            <w:pPr>
              <w:pStyle w:val="831"/>
              <w:spacing w:line="400" w:lineRule="exac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val="en-US" w:eastAsia="zh-CN"/>
              </w:rPr>
              <w:t xml:space="preserve">3</w:t>
            </w:r>
            <w:r>
              <w:rPr>
                <w:rFonts w:hint="eastAsia" w:ascii="仿宋" w:hAnsi="仿宋" w:eastAsia="仿宋" w:cs="仿宋"/>
                <w:bCs/>
                <w:color w:val="000000"/>
                <w:sz w:val="28"/>
                <w:szCs w:val="28"/>
                <w:highlight w:val="none"/>
              </w:rPr>
              <w:t xml:space="preserve">.售后服务和培训方案（格式自拟，要求见招标文件第四章《评标标准》）</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eastAsia="zh-CN"/>
              </w:rPr>
            </w:r>
            <w:r/>
          </w:p>
          <w:p>
            <w:pPr>
              <w:pStyle w:val="831"/>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（二）商务部分</w:t>
            </w:r>
            <w:r>
              <w:rPr>
                <w:rFonts w:hint="eastAsia" w:ascii="仿宋" w:hAnsi="仿宋" w:eastAsia="仿宋" w:cs="仿宋"/>
                <w:bCs/>
                <w:color w:val="000000"/>
                <w:sz w:val="28"/>
                <w:szCs w:val="28"/>
                <w:highlight w:val="none"/>
              </w:rPr>
            </w:r>
            <w:r/>
          </w:p>
          <w:p>
            <w:pPr>
              <w:pStyle w:val="752"/>
              <w:spacing w:line="400" w:lineRule="exact"/>
              <w:widowControl/>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 xml:space="preserve">1.投标人业绩（要求见招标文件第四章《评标标准》）；</w:t>
            </w:r>
            <w:r>
              <w:rPr>
                <w:rFonts w:hint="eastAsia" w:ascii="仿宋" w:hAnsi="仿宋" w:eastAsia="仿宋" w:cs="仿宋"/>
                <w:bCs/>
                <w:color w:val="000000"/>
                <w:sz w:val="28"/>
                <w:szCs w:val="28"/>
                <w:highlight w:val="none"/>
                <w:lang w:eastAsia="zh-CN"/>
              </w:rPr>
            </w:r>
            <w:r/>
          </w:p>
          <w:p>
            <w:pPr>
              <w:pStyle w:val="752"/>
              <w:spacing w:line="400" w:lineRule="exact"/>
              <w:widowControl/>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2.品牌实力</w:t>
            </w:r>
            <w:r>
              <w:rPr>
                <w:rFonts w:hint="eastAsia" w:ascii="仿宋" w:hAnsi="仿宋" w:eastAsia="仿宋" w:cs="仿宋"/>
                <w:bCs/>
                <w:color w:val="000000"/>
                <w:sz w:val="28"/>
                <w:szCs w:val="28"/>
                <w:highlight w:val="none"/>
              </w:rPr>
              <w:t xml:space="preserve">（要求见招标文件第四章《评标标准》）</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r>
            <w:r/>
          </w:p>
          <w:p>
            <w:pPr>
              <w:pStyle w:val="752"/>
              <w:spacing w:line="400" w:lineRule="exact"/>
              <w:widowControl/>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3.投标人实力</w:t>
            </w:r>
            <w:r>
              <w:rPr>
                <w:rFonts w:hint="eastAsia" w:ascii="仿宋" w:hAnsi="仿宋" w:eastAsia="仿宋" w:cs="仿宋"/>
                <w:bCs/>
                <w:color w:val="000000"/>
                <w:sz w:val="28"/>
                <w:szCs w:val="28"/>
                <w:highlight w:val="none"/>
              </w:rPr>
              <w:t xml:space="preserve">（要求见招标文件第四章《评标标准》）</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r>
            <w:r/>
          </w:p>
          <w:p>
            <w:pPr>
              <w:pStyle w:val="752"/>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（三）其他</w:t>
            </w:r>
            <w:r>
              <w:rPr>
                <w:rFonts w:hint="eastAsia" w:ascii="仿宋" w:hAnsi="仿宋" w:eastAsia="仿宋" w:cs="仿宋"/>
                <w:color w:val="000000"/>
                <w:sz w:val="28"/>
                <w:szCs w:val="28"/>
                <w:highlight w:val="none"/>
              </w:rPr>
            </w:r>
            <w:r/>
          </w:p>
          <w:p>
            <w:pPr>
              <w:pStyle w:val="752"/>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1.所报产品为“环境标志产品”（要求见招标文件第四章《评标标准》）；</w:t>
            </w:r>
            <w:r>
              <w:rPr>
                <w:rFonts w:hint="eastAsia" w:ascii="仿宋" w:hAnsi="仿宋" w:eastAsia="仿宋" w:cs="仿宋"/>
                <w:color w:val="000000"/>
                <w:sz w:val="28"/>
                <w:szCs w:val="28"/>
                <w:highlight w:val="none"/>
              </w:rPr>
            </w:r>
            <w:r/>
          </w:p>
          <w:p>
            <w:pPr>
              <w:pStyle w:val="752"/>
              <w:spacing w:line="400" w:lineRule="exact"/>
              <w:rPr>
                <w:rFonts w:hint="eastAsia" w:ascii="仿宋" w:hAnsi="仿宋" w:eastAsia="仿宋" w:cs="仿宋"/>
              </w:rPr>
            </w:pPr>
            <w:r>
              <w:rPr>
                <w:rFonts w:hint="eastAsia" w:ascii="仿宋" w:hAnsi="仿宋" w:eastAsia="仿宋" w:cs="仿宋"/>
                <w:color w:val="000000"/>
                <w:sz w:val="28"/>
                <w:szCs w:val="28"/>
                <w:highlight w:val="none"/>
              </w:rPr>
              <w:t xml:space="preserve">2.所报产品为“节能产品”（要求见招标文件第四章《评标标准》）。</w:t>
            </w:r>
            <w:r>
              <w:rPr>
                <w:rFonts w:hint="eastAsia" w:ascii="仿宋" w:hAnsi="仿宋" w:eastAsia="仿宋" w:cs="仿宋"/>
              </w:rPr>
            </w:r>
            <w:r/>
          </w:p>
          <w:p>
            <w:pPr>
              <w:pStyle w:val="752"/>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五、</w:t>
            </w:r>
            <w:r>
              <w:rPr>
                <w:rFonts w:hint="eastAsia" w:ascii="仿宋" w:hAnsi="仿宋" w:eastAsia="仿宋" w:cs="仿宋"/>
                <w:b/>
                <w:bCs/>
                <w:color w:val="000000"/>
                <w:sz w:val="28"/>
                <w:szCs w:val="28"/>
              </w:rPr>
              <w:t xml:space="preserve">其他部分</w:t>
            </w:r>
            <w:r>
              <w:rPr>
                <w:rFonts w:hint="eastAsia" w:ascii="仿宋" w:hAnsi="仿宋" w:eastAsia="仿宋" w:cs="仿宋"/>
                <w:b/>
                <w:bCs/>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（一）投标人《关于符合本国产品标准的声明函》（填写完整，加盖公章，格式见招标文件第七章《投标文件相关格式》）（请填写完整，如不填写完整或未按要求填写的，视为非本国产品）。</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1、本国产品应当符合以下条件：</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（一）在中国境内生产</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产品应当在中国境内生产，即在中华人民共和国关境内实现从原材料、组件到产品的属性改变。</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1.为确保产品在运输或者储存期间保持某种状态而进行的操作；</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2.为产品运输或者销售进行的包装或者展示；</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3.在产品或者其包装上粘贴或者印刷品牌、标志、标识以及其他用于区别的标记；</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4.简单的上漆、磨光和分装；</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5.其他不属于属性改变的情形。</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（二）在中国境内生产的组件成本占比达到规定比例</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产品在中国境内生产的组件成本占比应当达到规定比例，计算公式为：</w:t>
            </w:r>
            <w:r>
              <w:rPr>
                <w:rFonts w:hint="eastAsia" w:ascii="仿宋" w:hAnsi="仿宋" w:eastAsia="仿宋" w:cs="仿宋"/>
                <w:color w:val="000000"/>
                <w:sz w:val="28"/>
                <w:szCs w:val="28"/>
              </w:rPr>
            </w:r>
            <w:r/>
          </w:p>
          <w:p>
            <w:pPr>
              <w:pStyle w:val="75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mc:AlternateContent>
                <mc:Choice Requires="wpg">
                  <w:drawing>
                    <wp:inline xmlns:wp="http://schemas.openxmlformats.org/drawingml/2006/wordprocessingDrawing" distT="0" distB="0" distL="0" distR="0">
                      <wp:extent cx="3467100" cy="52376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467100" cy="523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3.0pt;height:41.2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（三）特定产品的关键组件、关键工序符合相关要求</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对特定产品，在符合本通知第一条第（一）项和第（二）项条件的基础上，应当符合财政部会同有关行业主管部门确定的其关键组件、关键工序在中国境内生产、完成等要求。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2、本国产品标准的适用范围</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3、对本国产品的支持政策</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具体以《国务院办公厅关于在政府采购中实施本国产品标准及相关政策的通知》（国办发〔2025〕34号）规定为准。</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注：中国境内生产的组件成本核算基本规则</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一、产品的一级组件是指直接组成产品的组件。产品的二级组件是指直接组成产品一级组件的组件。一级组件不可分解的，视同二级组件。</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二、二级组件在中国境内生产的，其全部成本计入中国境内生产的组件成本；二级组件不在中国境内生产的，其成本不计入中国境内生产的组件成本。</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三、产品总成本和组件成本以相关会计核算数据、采购合同、进货记录等为基础进行计算。</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四、需要对成本核算规则予以进一步明确的其他有关事项，由财政部会同有关部门另行规定。</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六</w:t>
            </w:r>
            <w:r>
              <w:rPr>
                <w:rFonts w:hint="eastAsia" w:ascii="仿宋" w:hAnsi="仿宋" w:eastAsia="仿宋" w:cs="仿宋"/>
                <w:b/>
                <w:bCs/>
                <w:color w:val="000000"/>
                <w:sz w:val="28"/>
                <w:szCs w:val="28"/>
                <w:highlight w:val="none"/>
              </w:rPr>
              <w:t xml:space="preserve">、价格折扣文件格式</w:t>
            </w:r>
            <w:r>
              <w:rPr>
                <w:rFonts w:hint="eastAsia" w:ascii="仿宋" w:hAnsi="仿宋" w:eastAsia="仿宋" w:cs="仿宋"/>
                <w:b/>
                <w:bCs/>
                <w:color w:val="000000"/>
                <w:sz w:val="28"/>
                <w:szCs w:val="28"/>
                <w:highlight w:val="none"/>
              </w:rPr>
            </w:r>
            <w:r/>
          </w:p>
          <w:p>
            <w:pPr>
              <w:pStyle w:val="752"/>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企业报价折扣证明：</w:t>
            </w:r>
            <w:r>
              <w:rPr>
                <w:rFonts w:hint="eastAsia" w:ascii="仿宋" w:hAnsi="仿宋" w:eastAsia="仿宋" w:cs="仿宋"/>
                <w:color w:val="000000"/>
                <w:sz w:val="28"/>
                <w:szCs w:val="28"/>
                <w:lang w:eastAsia="zh-CN"/>
              </w:rPr>
            </w:r>
            <w:r/>
          </w:p>
          <w:p>
            <w:pPr>
              <w:pStyle w:val="752"/>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投标人提供的货物全部由符合政策要求的中小企业制造，提供《中小企业声明函》（加盖电子签章，格式见招标文件第七章《投标文件相关格式》）。（如不填写完整或未按要求填写的，视为无效）《中小企业声明函》查询渠道用微信搜索“中小企业规模类型自测小程序”；</w:t>
            </w:r>
            <w:r>
              <w:rPr>
                <w:rFonts w:hint="eastAsia" w:ascii="仿宋" w:hAnsi="仿宋" w:eastAsia="仿宋" w:cs="仿宋"/>
                <w:color w:val="000000"/>
                <w:sz w:val="28"/>
                <w:szCs w:val="28"/>
                <w:lang w:eastAsia="zh-CN"/>
              </w:rPr>
            </w:r>
            <w:r/>
          </w:p>
          <w:p>
            <w:pPr>
              <w:pStyle w:val="752"/>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注：具体以《政府采购促进中小企业发展管理办法》（财库[2020]46号）和《关于印发中小企业划型标准规定的通知》（工信部联企业[2011]300号）的规定为准。</w:t>
            </w:r>
            <w:r>
              <w:rPr>
                <w:rFonts w:hint="eastAsia" w:ascii="仿宋" w:hAnsi="仿宋" w:eastAsia="仿宋" w:cs="仿宋"/>
                <w:color w:val="000000"/>
                <w:sz w:val="28"/>
                <w:szCs w:val="28"/>
                <w:lang w:eastAsia="zh-CN"/>
              </w:rPr>
            </w:r>
            <w:r/>
          </w:p>
          <w:p>
            <w:pPr>
              <w:pStyle w:val="752"/>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注：监狱企业和残疾人福利性单位等同于小微企业。</w:t>
            </w:r>
            <w:r>
              <w:rPr>
                <w:rFonts w:hint="eastAsia" w:ascii="仿宋" w:hAnsi="仿宋" w:eastAsia="仿宋" w:cs="仿宋"/>
                <w:color w:val="000000"/>
                <w:sz w:val="28"/>
                <w:szCs w:val="28"/>
                <w:lang w:eastAsia="zh-CN"/>
              </w:rPr>
            </w:r>
            <w:r/>
          </w:p>
          <w:p>
            <w:pPr>
              <w:pStyle w:val="752"/>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投标人为监狱企业的，提供省级以上监狱管理局、戒毒管理局（含新疆生产建设兵团）出具的属于监狱企业的证明文件原件的扫描件。</w:t>
            </w:r>
            <w:r>
              <w:rPr>
                <w:rFonts w:hint="eastAsia" w:ascii="仿宋" w:hAnsi="仿宋" w:eastAsia="仿宋" w:cs="仿宋"/>
                <w:color w:val="000000"/>
                <w:sz w:val="28"/>
                <w:szCs w:val="28"/>
                <w:lang w:eastAsia="zh-CN"/>
              </w:rPr>
            </w:r>
            <w:r/>
          </w:p>
          <w:p>
            <w:pPr>
              <w:pStyle w:val="752"/>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具体以《财政部 司法部关于政府采购支持监狱企业发展有关问题的通知》（财库〔2014〕68号）的规定为准。</w:t>
            </w:r>
            <w:r>
              <w:rPr>
                <w:rFonts w:hint="eastAsia" w:ascii="仿宋" w:hAnsi="仿宋" w:eastAsia="仿宋" w:cs="仿宋"/>
                <w:color w:val="000000"/>
                <w:sz w:val="28"/>
                <w:szCs w:val="28"/>
                <w:lang w:eastAsia="zh-CN"/>
              </w:rPr>
            </w:r>
            <w:r/>
          </w:p>
          <w:p>
            <w:pPr>
              <w:pStyle w:val="752"/>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投标人为享受政府采购支持政策的残疾人福利性单位的，提供《残疾人福利性单位声明函》（加盖电子签章，格式见招标文件第七章《投标文件相关格式》）。</w:t>
            </w:r>
            <w:r>
              <w:rPr>
                <w:rFonts w:hint="eastAsia" w:ascii="仿宋" w:hAnsi="仿宋" w:eastAsia="仿宋" w:cs="仿宋"/>
                <w:color w:val="000000"/>
                <w:sz w:val="28"/>
                <w:szCs w:val="28"/>
                <w:lang w:eastAsia="zh-CN"/>
              </w:rPr>
            </w:r>
            <w:r/>
          </w:p>
          <w:p>
            <w:pPr>
              <w:pStyle w:val="752"/>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享受政府采购支持政策的残疾人福利性单位应当同时满足以下条件：</w:t>
            </w:r>
            <w:r>
              <w:rPr>
                <w:rFonts w:hint="eastAsia" w:ascii="仿宋" w:hAnsi="仿宋" w:eastAsia="仿宋" w:cs="仿宋"/>
                <w:color w:val="000000"/>
                <w:sz w:val="28"/>
                <w:szCs w:val="28"/>
                <w:lang w:eastAsia="zh-CN"/>
              </w:rPr>
            </w:r>
            <w:r/>
          </w:p>
          <w:p>
            <w:pPr>
              <w:pStyle w:val="752"/>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①安置的残疾人占本单位在职职工人数的比例不低于25%（含25%），并且安置的残疾人人数不少于10人（含10人）；</w:t>
            </w:r>
            <w:r>
              <w:rPr>
                <w:rFonts w:hint="eastAsia" w:ascii="仿宋" w:hAnsi="仿宋" w:eastAsia="仿宋" w:cs="仿宋"/>
                <w:color w:val="000000"/>
                <w:sz w:val="28"/>
                <w:szCs w:val="28"/>
                <w:lang w:eastAsia="zh-CN"/>
              </w:rPr>
            </w:r>
            <w:r/>
          </w:p>
          <w:p>
            <w:pPr>
              <w:pStyle w:val="752"/>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②依法与安置的每位残疾人签订了一年以上（含一年）的劳动合同或服务协议；</w:t>
            </w:r>
            <w:r>
              <w:rPr>
                <w:rFonts w:hint="eastAsia" w:ascii="仿宋" w:hAnsi="仿宋" w:eastAsia="仿宋" w:cs="仿宋"/>
                <w:color w:val="000000"/>
                <w:sz w:val="28"/>
                <w:szCs w:val="28"/>
                <w:lang w:eastAsia="zh-CN"/>
              </w:rPr>
            </w:r>
            <w:r/>
          </w:p>
          <w:p>
            <w:pPr>
              <w:pStyle w:val="752"/>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③为安置的每位残疾人按月足额缴纳了基本养老保险、基本医疗保险、失业保险、工伤保险和生育保险等社会保险费；</w:t>
            </w:r>
            <w:r>
              <w:rPr>
                <w:rFonts w:hint="eastAsia" w:ascii="仿宋" w:hAnsi="仿宋" w:eastAsia="仿宋" w:cs="仿宋"/>
                <w:color w:val="000000"/>
                <w:sz w:val="28"/>
                <w:szCs w:val="28"/>
                <w:lang w:eastAsia="zh-CN"/>
              </w:rPr>
            </w:r>
            <w:r/>
          </w:p>
          <w:p>
            <w:pPr>
              <w:pStyle w:val="752"/>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④通过银行等金融机构向安置的每位残疾人，按月支付了不低于单位所在区县适用的经省级人民政府批准的月最低工资标准的工资；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8"/>
                <w:szCs w:val="28"/>
                <w:lang w:eastAsia="zh-CN"/>
              </w:rPr>
            </w:r>
            <w:r/>
          </w:p>
          <w:p>
            <w:pPr>
              <w:pStyle w:val="752"/>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8"/>
                <w:szCs w:val="28"/>
                <w:lang w:eastAsia="zh-CN"/>
              </w:rPr>
            </w:r>
            <w:r/>
          </w:p>
          <w:p>
            <w:pPr>
              <w:pStyle w:val="752"/>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仿宋"/>
                <w:color w:val="000000"/>
                <w:sz w:val="28"/>
                <w:szCs w:val="28"/>
                <w:lang w:eastAsia="zh-CN"/>
              </w:rPr>
            </w:r>
            <w:r/>
          </w:p>
          <w:p>
            <w:pPr>
              <w:pStyle w:val="752"/>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具体以《三部门联合发布关于促进残疾人就业政府采购政策的通知》（财库〔2017〕141号）规定为准。</w:t>
            </w:r>
            <w:r>
              <w:rPr>
                <w:rFonts w:hint="eastAsia" w:ascii="仿宋" w:hAnsi="仿宋" w:eastAsia="仿宋" w:cs="仿宋"/>
                <w:color w:val="000000"/>
                <w:sz w:val="28"/>
                <w:szCs w:val="28"/>
                <w:lang w:eastAsia="zh-CN"/>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rPr>
            </w:r>
            <w:r/>
          </w:p>
          <w:p>
            <w:pPr>
              <w:pStyle w:val="752"/>
              <w:ind w:firstLine="56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1.投标人应对以上文件的合法性、真实性负责。</w:t>
            </w:r>
            <w:r>
              <w:rPr>
                <w:rFonts w:hint="eastAsia" w:ascii="仿宋" w:hAnsi="仿宋" w:eastAsia="仿宋" w:cs="仿宋"/>
                <w:color w:val="000000"/>
                <w:sz w:val="28"/>
                <w:szCs w:val="28"/>
              </w:rPr>
            </w:r>
            <w:r/>
          </w:p>
          <w:p>
            <w:pPr>
              <w:pStyle w:val="752"/>
              <w:ind w:left="832" w:hanging="280"/>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bCs/>
                <w:color w:val="000000"/>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仿宋" w:hAnsi="仿宋" w:eastAsia="仿宋" w:cs="仿宋"/>
                <w:bCs/>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(十三)2</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商务条件见：</w:t>
            </w:r>
            <w:r>
              <w:rPr>
                <w:rFonts w:hint="eastAsia" w:ascii="仿宋" w:hAnsi="仿宋" w:eastAsia="仿宋" w:cs="仿宋"/>
                <w:color w:val="000000"/>
                <w:sz w:val="28"/>
                <w:szCs w:val="28"/>
              </w:rPr>
            </w:r>
            <w:r/>
          </w:p>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一、本文件第四章《评标标准》中《评分细则》。</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二、本文件第三章《投标资料表》中(十二)1和(十二)2。</w:t>
            </w:r>
            <w:r>
              <w:rPr>
                <w:rFonts w:hint="eastAsia" w:ascii="仿宋" w:hAnsi="仿宋" w:eastAsia="仿宋" w:cs="仿宋"/>
                <w:bCs/>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(十三)3</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交货和提供服务的时间：见本文件第五章 《拟签订的合同文本》及或本文件第六章《采购需求》。</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(十四)3</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本项目不接受超</w:t>
            </w:r>
            <w:r>
              <w:rPr>
                <w:rFonts w:hint="eastAsia" w:ascii="仿宋" w:hAnsi="仿宋" w:eastAsia="仿宋" w:cs="仿宋"/>
                <w:bCs/>
                <w:color w:val="000000"/>
                <w:sz w:val="28"/>
                <w:szCs w:val="28"/>
                <w:highlight w:val="none"/>
              </w:rPr>
              <w:t xml:space="preserve">过</w:t>
            </w:r>
            <w:r>
              <w:rPr>
                <w:rFonts w:hint="eastAsia" w:ascii="仿宋" w:hAnsi="仿宋" w:eastAsia="仿宋" w:cs="仿宋"/>
                <w:color w:val="000000"/>
                <w:sz w:val="28"/>
                <w:szCs w:val="28"/>
                <w:highlight w:val="none"/>
                <w:u w:val="single"/>
                <w:lang w:val="en-US" w:eastAsia="zh-CN"/>
              </w:rPr>
              <w:t xml:space="preserve">440万元</w:t>
            </w:r>
            <w:r>
              <w:rPr>
                <w:rFonts w:hint="eastAsia" w:ascii="仿宋" w:hAnsi="仿宋" w:eastAsia="仿宋" w:cs="仿宋"/>
                <w:bCs/>
                <w:color w:val="000000"/>
                <w:sz w:val="28"/>
                <w:szCs w:val="28"/>
                <w:highlight w:val="none"/>
              </w:rPr>
              <w:t xml:space="preserve">人民币</w:t>
            </w:r>
            <w:r>
              <w:rPr>
                <w:rFonts w:hint="eastAsia" w:ascii="仿宋" w:hAnsi="仿宋" w:eastAsia="仿宋" w:cs="仿宋"/>
                <w:bCs/>
                <w:color w:val="000000"/>
                <w:sz w:val="28"/>
                <w:szCs w:val="28"/>
              </w:rPr>
              <w:t xml:space="preserve">（采购项目预算金额）的投标报价。</w:t>
            </w:r>
            <w:r>
              <w:rPr>
                <w:rFonts w:hint="eastAsia" w:ascii="仿宋" w:hAnsi="仿宋" w:eastAsia="仿宋" w:cs="仿宋"/>
                <w:color w:val="000000"/>
                <w:sz w:val="28"/>
                <w:szCs w:val="28"/>
              </w:rPr>
              <w:t xml:space="preserve">报价包括产品价、税金、运费、安装调试、检验、保险、验收等全部费用。用户不再支付报价以外的任何费用。</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eastAsia="zh-CN"/>
              </w:rPr>
              <w:t xml:space="preserve">五</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以人民币报价。</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（十七）</w:t>
            </w:r>
            <w:r>
              <w:rPr>
                <w:rFonts w:hint="eastAsia" w:ascii="仿宋" w:hAnsi="仿宋" w:eastAsia="仿宋" w:cs="仿宋"/>
                <w:bCs/>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rPr>
            </w:pPr>
            <w:r>
              <w:rPr>
                <w:rFonts w:hint="eastAsia" w:ascii="仿宋" w:hAnsi="仿宋" w:eastAsia="仿宋" w:cs="仿宋"/>
                <w:color w:val="000000"/>
                <w:sz w:val="28"/>
                <w:szCs w:val="28"/>
              </w:rPr>
              <w:t xml:space="preserve">说明：本项目采用线上投标，即供应商投标文件从政府采购客户端工具制作通过“苏采云”系统提交，未提供线上投标文件的，投标无效。</w:t>
            </w:r>
            <w:r>
              <w:rPr>
                <w:rFonts w:hint="eastAsia" w:ascii="仿宋" w:hAnsi="仿宋" w:eastAsia="仿宋" w:cs="仿宋"/>
                <w:color w:val="000000"/>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(十八)</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线上投标文件的密封、签署、盖章要求：</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一、投标文件的密封（加密）要求：</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二、投标文件的签署要求：见招标文件第七章《投标文件相关格式》。</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投标人未按规定加密的投标文件，“苏采云”系统应当拒收并提示。</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(十九)</w:t>
            </w:r>
            <w:r>
              <w:rPr>
                <w:rFonts w:hint="eastAsia" w:ascii="仿宋" w:hAnsi="仿宋" w:eastAsia="仿宋" w:cs="仿宋"/>
                <w:color w:val="000000"/>
                <w:sz w:val="28"/>
                <w:szCs w:val="28"/>
              </w:rPr>
            </w:r>
            <w:r/>
          </w:p>
        </w:tc>
        <w:tc>
          <w:tcPr>
            <w:tcW w:w="7220" w:type="dxa"/>
            <w:vAlign w:val="top"/>
            <w:textDirection w:val="lrTb"/>
            <w:noWrap w:val="false"/>
          </w:tcPr>
          <w:p>
            <w:pPr>
              <w:pStyle w:val="752"/>
              <w:ind w:left="560" w:hanging="560"/>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投标文件的提交： </w:t>
            </w:r>
            <w:r>
              <w:rPr>
                <w:rFonts w:hint="eastAsia" w:ascii="仿宋" w:hAnsi="仿宋" w:eastAsia="仿宋" w:cs="仿宋"/>
                <w:color w:val="000000"/>
                <w:sz w:val="28"/>
                <w:szCs w:val="28"/>
                <w:highlight w:val="none"/>
                <w:lang w:val="en-US" w:eastAsia="zh-CN"/>
              </w:rPr>
            </w:r>
            <w:r/>
          </w:p>
          <w:p>
            <w:pPr>
              <w:pStyle w:val="752"/>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1.投标文件提交时间：2026年05月29日北京时间09:30前。</w:t>
            </w:r>
            <w:r>
              <w:rPr>
                <w:rFonts w:hint="eastAsia" w:ascii="仿宋" w:hAnsi="仿宋" w:eastAsia="仿宋" w:cs="仿宋"/>
                <w:color w:val="000000"/>
                <w:sz w:val="28"/>
                <w:szCs w:val="28"/>
                <w:highlight w:val="none"/>
                <w:lang w:val="en-US" w:eastAsia="zh-CN"/>
              </w:rPr>
            </w:r>
            <w:r/>
          </w:p>
          <w:p>
            <w:pPr>
              <w:pStyle w:val="752"/>
              <w:ind w:left="560" w:hanging="560"/>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2.投标截止时间：2026年05月29日北京时间09:30。</w:t>
            </w:r>
            <w:r>
              <w:rPr>
                <w:rFonts w:hint="eastAsia" w:ascii="仿宋" w:hAnsi="仿宋" w:eastAsia="仿宋" w:cs="仿宋"/>
                <w:color w:val="000000"/>
                <w:sz w:val="28"/>
                <w:szCs w:val="28"/>
                <w:highlight w:val="none"/>
                <w:lang w:val="en-US" w:eastAsia="zh-CN"/>
              </w:rPr>
            </w:r>
            <w:r/>
          </w:p>
          <w:p>
            <w:pPr>
              <w:pStyle w:val="752"/>
              <w:spacing w:line="400" w:lineRule="exact"/>
              <w:rPr>
                <w:rFonts w:hint="eastAsia" w:ascii="仿宋" w:hAnsi="仿宋" w:eastAsia="仿宋" w:cs="仿宋"/>
                <w:color w:val="000000"/>
                <w:sz w:val="28"/>
                <w:szCs w:val="28"/>
                <w:highlight w:val="yellow"/>
              </w:rPr>
            </w:pPr>
            <w:r>
              <w:rPr>
                <w:rFonts w:hint="eastAsia" w:ascii="仿宋" w:hAnsi="仿宋" w:eastAsia="仿宋" w:cs="仿宋"/>
                <w:color w:val="000000"/>
                <w:sz w:val="28"/>
                <w:szCs w:val="28"/>
                <w:highlight w:val="none"/>
                <w:lang w:val="en-US" w:eastAsia="zh-CN"/>
              </w:rPr>
              <w:t xml:space="preserve">3.投标文件提交地点：投标人应当通过“苏采云”系统提交数据电文形式的投标文件（即电子投标），“苏采云”系统自动接收。</w:t>
            </w:r>
            <w:r>
              <w:rPr>
                <w:rFonts w:hint="eastAsia" w:ascii="仿宋" w:hAnsi="仿宋" w:eastAsia="仿宋" w:cs="仿宋"/>
                <w:color w:val="000000"/>
                <w:sz w:val="28"/>
                <w:szCs w:val="28"/>
                <w:highlight w:val="yellow"/>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仿宋" w:hAnsi="仿宋" w:eastAsia="仿宋" w:cs="仿宋"/>
                <w:color w:val="000000"/>
                <w:sz w:val="28"/>
                <w:szCs w:val="28"/>
                <w:lang w:val="en-US" w:eastAsia="zh-CN"/>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投标人应在达到开标时间后，使用CA数字证书解密各自投标文件。</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(二十五)1</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开标时间及地点：</w:t>
            </w:r>
            <w:r>
              <w:rPr>
                <w:rFonts w:hint="eastAsia" w:ascii="仿宋" w:hAnsi="仿宋" w:eastAsia="仿宋" w:cs="仿宋"/>
                <w:color w:val="000000"/>
                <w:sz w:val="28"/>
                <w:szCs w:val="28"/>
                <w:lang w:val="en-US" w:eastAsia="zh-CN"/>
              </w:rPr>
            </w:r>
            <w:r/>
          </w:p>
          <w:p>
            <w:pPr>
              <w:pStyle w:val="752"/>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1.开标时间：2026年05月29日09：30（标准时间）</w:t>
            </w:r>
            <w:r>
              <w:rPr>
                <w:rFonts w:hint="eastAsia" w:ascii="仿宋" w:hAnsi="仿宋" w:eastAsia="仿宋" w:cs="仿宋"/>
                <w:color w:val="000000"/>
                <w:sz w:val="28"/>
                <w:szCs w:val="28"/>
                <w:lang w:val="en-US" w:eastAsia="zh-CN"/>
              </w:rPr>
            </w:r>
            <w:r/>
          </w:p>
          <w:p>
            <w:pPr>
              <w:pStyle w:val="752"/>
              <w:spacing w:line="400" w:lineRule="exact"/>
              <w:rPr>
                <w:rFonts w:hint="eastAsia" w:ascii="仿宋" w:hAnsi="仿宋" w:eastAsia="仿宋" w:cs="仿宋"/>
                <w:color w:val="000000"/>
              </w:rPr>
            </w:pPr>
            <w:r>
              <w:rPr>
                <w:rFonts w:hint="eastAsia" w:ascii="仿宋" w:hAnsi="仿宋" w:eastAsia="仿宋" w:cs="仿宋"/>
                <w:color w:val="000000"/>
                <w:sz w:val="28"/>
                <w:szCs w:val="28"/>
                <w:lang w:val="en-US" w:eastAsia="zh-CN"/>
              </w:rPr>
              <w:t xml:space="preserve">2.开标地点：“苏采云”系统（网址： http://jszfcg.jsczt.cn/）“开标大厅”或进入徐州政府采购网（网址：https://czj.xz.gov.cn/zfcg/）--业务工作--用户登录，点击“苏采云”进入系统“开标大厅”。</w:t>
            </w:r>
            <w:r>
              <w:rPr>
                <w:rFonts w:hint="eastAsia" w:ascii="仿宋" w:hAnsi="仿宋" w:eastAsia="仿宋" w:cs="仿宋"/>
                <w:color w:val="000000"/>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(二十五)3</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所有投标人解密（或解密时间）结束后，“苏采云”系统生成开标记录并向社会公众公布，但依法应当保密的除外。</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评标</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(二十七)</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采用综合评分法。</w:t>
            </w:r>
            <w:r>
              <w:rPr>
                <w:rFonts w:hint="eastAsia" w:ascii="仿宋" w:hAnsi="仿宋" w:eastAsia="仿宋" w:cs="仿宋"/>
                <w:color w:val="000000"/>
                <w:sz w:val="28"/>
                <w:szCs w:val="28"/>
              </w:rPr>
            </w:r>
            <w:r/>
          </w:p>
        </w:tc>
      </w:tr>
      <w:tr>
        <w:trPr>
          <w:trHeight w:val="90"/>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w:t>
            </w:r>
            <w:r>
              <w:rPr>
                <w:rFonts w:hint="eastAsia" w:ascii="仿宋" w:hAnsi="仿宋" w:eastAsia="仿宋" w:cs="仿宋"/>
                <w:color w:val="000000"/>
                <w:sz w:val="28"/>
                <w:szCs w:val="28"/>
              </w:rPr>
            </w:r>
            <w:r/>
          </w:p>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(二十八)1（4）</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一、推荐中标候选供应商名单。中标候选供应商数量应当根据采购需要确定，但必须按顺序排列中标候选供应商。</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rPr>
            </w:pPr>
            <w:r>
              <w:rPr>
                <w:rFonts w:hint="eastAsia" w:ascii="仿宋" w:hAnsi="仿宋" w:eastAsia="仿宋" w:cs="仿宋"/>
                <w:color w:val="000000"/>
                <w:sz w:val="28"/>
                <w:szCs w:val="28"/>
              </w:rPr>
              <w:t xml:space="preserve">二、采用综合评分法的，按评审后得分由高到低顺序排列。得分相同的，按投标报价由低到高顺序排列。得分且投标报价相同的，按</w:t>
            </w:r>
            <w:r>
              <w:rPr>
                <w:rFonts w:hint="eastAsia" w:ascii="仿宋" w:hAnsi="仿宋" w:eastAsia="仿宋" w:cs="仿宋"/>
                <w:color w:val="000000"/>
                <w:sz w:val="28"/>
                <w:szCs w:val="28"/>
                <w:lang w:val="en-US" w:eastAsia="zh-CN"/>
              </w:rPr>
              <w:t xml:space="preserve">“所投产品的技术参数”</w:t>
            </w:r>
            <w:r>
              <w:rPr>
                <w:rFonts w:hint="eastAsia" w:ascii="仿宋" w:hAnsi="仿宋" w:eastAsia="仿宋" w:cs="仿宋"/>
                <w:color w:val="000000"/>
                <w:sz w:val="28"/>
                <w:szCs w:val="28"/>
                <w:highlight w:val="none"/>
              </w:rPr>
              <w:t xml:space="preserve">得分</w:t>
            </w:r>
            <w:r>
              <w:rPr>
                <w:rFonts w:hint="eastAsia" w:ascii="仿宋" w:hAnsi="仿宋" w:eastAsia="仿宋" w:cs="仿宋"/>
                <w:color w:val="000000"/>
                <w:sz w:val="28"/>
                <w:szCs w:val="28"/>
                <w:lang w:eastAsia="zh-CN"/>
              </w:rPr>
              <w:t xml:space="preserve">由高到低</w:t>
            </w:r>
            <w:r>
              <w:rPr>
                <w:rFonts w:hint="eastAsia" w:ascii="仿宋" w:hAnsi="仿宋" w:eastAsia="仿宋" w:cs="仿宋"/>
                <w:color w:val="000000"/>
                <w:sz w:val="28"/>
                <w:szCs w:val="28"/>
              </w:rPr>
              <w:t xml:space="preserve">顺序排列。</w:t>
            </w:r>
            <w:r>
              <w:rPr>
                <w:rFonts w:hint="eastAsia" w:ascii="仿宋" w:hAnsi="仿宋" w:eastAsia="仿宋" w:cs="仿宋"/>
                <w:color w:val="000000"/>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（二十九）</w:t>
            </w:r>
            <w:r>
              <w:rPr>
                <w:rFonts w:hint="eastAsia" w:ascii="仿宋" w:hAnsi="仿宋" w:eastAsia="仿宋" w:cs="仿宋"/>
                <w:b w:val="0"/>
                <w:bCs w:val="0"/>
                <w:color w:val="000000"/>
                <w:sz w:val="30"/>
                <w:szCs w:val="30"/>
              </w:rPr>
            </w:r>
            <w:r/>
          </w:p>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rPr>
              <w:t xml:space="preserve">（4）</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1.评标中需要投标人对投标文件澄清或者说明的，应当通过“苏采云”系统交换数据电文。在评标期间，请投标人保持在线。</w:t>
            </w:r>
            <w:r>
              <w:rPr>
                <w:rFonts w:hint="eastAsia" w:ascii="仿宋" w:hAnsi="仿宋" w:eastAsia="仿宋" w:cs="仿宋"/>
                <w:b w:val="0"/>
                <w:bCs w:val="0"/>
                <w:color w:val="000000"/>
                <w:sz w:val="28"/>
                <w:szCs w:val="28"/>
              </w:rPr>
            </w:r>
            <w:r/>
          </w:p>
          <w:p>
            <w:pPr>
              <w:pStyle w:val="752"/>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仿宋"/>
                <w:b w:val="0"/>
                <w:bCs w:val="0"/>
                <w:color w:val="000000"/>
                <w:sz w:val="28"/>
                <w:szCs w:val="28"/>
              </w:rPr>
            </w:r>
            <w:r/>
          </w:p>
          <w:p>
            <w:pPr>
              <w:pStyle w:val="752"/>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b w:val="0"/>
                <w:bCs w:val="0"/>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val="0"/>
                <w:bCs w:val="0"/>
                <w:color w:val="000000"/>
                <w:sz w:val="30"/>
                <w:szCs w:val="30"/>
              </w:rPr>
              <w:t xml:space="preserve">（三十）</w:t>
            </w:r>
            <w:r>
              <w:rPr>
                <w:rFonts w:hint="eastAsia" w:ascii="仿宋" w:hAnsi="仿宋" w:eastAsia="仿宋" w:cs="仿宋"/>
                <w:b w:val="0"/>
                <w:bCs w:val="0"/>
                <w:color w:val="000000"/>
                <w:sz w:val="30"/>
                <w:szCs w:val="30"/>
                <w:lang w:val="en-US" w:eastAsia="zh-CN"/>
              </w:rPr>
            </w:r>
            <w:r/>
          </w:p>
        </w:tc>
        <w:tc>
          <w:tcPr>
            <w:tcW w:w="7220" w:type="dxa"/>
            <w:vAlign w:val="top"/>
            <w:textDirection w:val="lrTb"/>
            <w:noWrap w:val="false"/>
          </w:tcPr>
          <w:p>
            <w:pPr>
              <w:pStyle w:val="752"/>
              <w:jc w:val="both"/>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val="0"/>
                <w:bCs w:val="0"/>
                <w:color w:val="000000"/>
                <w:sz w:val="30"/>
                <w:szCs w:val="30"/>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仿宋" w:hAnsi="仿宋" w:eastAsia="仿宋" w:cs="仿宋"/>
                <w:b w:val="0"/>
                <w:bCs w:val="0"/>
                <w:color w:val="000000"/>
                <w:sz w:val="30"/>
                <w:szCs w:val="30"/>
                <w:lang w:eastAsia="zh-CN"/>
              </w:rPr>
              <w:t xml:space="preserve">。</w:t>
            </w:r>
            <w:r>
              <w:rPr>
                <w:rFonts w:hint="eastAsia" w:ascii="仿宋" w:hAnsi="仿宋" w:eastAsia="仿宋" w:cs="仿宋"/>
                <w:b w:val="0"/>
                <w:bCs w:val="0"/>
                <w:color w:val="000000"/>
                <w:sz w:val="30"/>
                <w:szCs w:val="30"/>
                <w:lang w:val="en-US" w:eastAsia="zh-CN"/>
              </w:rPr>
            </w:r>
            <w:r/>
          </w:p>
          <w:p>
            <w:pPr>
              <w:pStyle w:val="752"/>
              <w:jc w:val="both"/>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bCs/>
                <w:color w:val="000000"/>
                <w:sz w:val="30"/>
                <w:szCs w:val="30"/>
              </w:rPr>
              <w:t xml:space="preserve">特别说明：“苏采云”系统通过“江苏省政府采购一体化不见面开标大厅”提醒投标人，投标人自行查看。投标人未及时查看或因自身原因导致未收到信息的，责任自负。</w:t>
            </w:r>
            <w:r>
              <w:rPr>
                <w:rFonts w:hint="eastAsia" w:ascii="仿宋" w:hAnsi="仿宋" w:eastAsia="仿宋" w:cs="仿宋"/>
                <w:b w:val="0"/>
                <w:bCs w:val="0"/>
                <w:color w:val="000000"/>
                <w:sz w:val="30"/>
                <w:szCs w:val="30"/>
                <w:lang w:val="en-US" w:eastAsia="zh-CN"/>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政府采购合同</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采购人与中标、成交供应商应当在中标、成交通知书发出之日起30日内，按照采购文件确定的事项签订政府采购合同。</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（三十八）</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履约保证金：中标金额的5%，向采购人交纳。</w:t>
            </w:r>
            <w:r>
              <w:rPr>
                <w:rFonts w:hint="eastAsia" w:ascii="仿宋" w:hAnsi="仿宋" w:eastAsia="仿宋" w:cs="仿宋"/>
                <w:b/>
                <w:bCs/>
                <w:color w:val="000000"/>
                <w:sz w:val="28"/>
                <w:szCs w:val="28"/>
                <w:highlight w:val="none"/>
              </w:rPr>
            </w:r>
            <w:r/>
          </w:p>
          <w:p>
            <w:pPr>
              <w:pStyle w:val="752"/>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仿宋" w:hAnsi="仿宋" w:eastAsia="仿宋" w:cs="仿宋"/>
                <w:color w:val="000000"/>
                <w:sz w:val="28"/>
                <w:szCs w:val="28"/>
                <w:lang w:eastAsia="zh-CN"/>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三十九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二、供应商在法定质疑期内一次性提出针对同一采购程序环节的质疑。</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质疑接收人：</w:t>
            </w:r>
            <w:r>
              <w:rPr>
                <w:rFonts w:hint="eastAsia" w:ascii="仿宋" w:hAnsi="仿宋" w:eastAsia="仿宋" w:cs="仿宋"/>
                <w:color w:val="000000"/>
                <w:sz w:val="28"/>
                <w:szCs w:val="28"/>
                <w:lang w:eastAsia="zh-CN"/>
              </w:rPr>
              <w:t xml:space="preserve">李海沫、柴鑫</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lang w:eastAsia="zh-CN"/>
              </w:rPr>
              <w:t xml:space="preserve">0516-83205176</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办公地址：徐州市云龙区绿地商务城LOFT领海办公楼5#19</w:t>
            </w: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rPr>
              <w:t xml:space="preserve">室（汉风路和昆仑大道交叉口东北角）</w:t>
            </w:r>
            <w:r>
              <w:rPr>
                <w:rFonts w:hint="eastAsia" w:ascii="仿宋" w:hAnsi="仿宋" w:eastAsia="仿宋" w:cs="仿宋"/>
                <w:color w:val="000000"/>
                <w:sz w:val="28"/>
                <w:szCs w:val="28"/>
              </w:rPr>
            </w:r>
            <w:r/>
          </w:p>
        </w:tc>
      </w:tr>
      <w:tr>
        <w:trPr/>
        <w:tc>
          <w:tcPr>
            <w:tcW w:w="1560" w:type="dxa"/>
            <w:vAlign w:val="top"/>
            <w:textDirection w:val="lrTb"/>
            <w:noWrap w:val="false"/>
          </w:tcPr>
          <w:p>
            <w:pPr>
              <w:pStyle w:val="752"/>
              <w:jc w:val="center"/>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附加说明</w:t>
            </w:r>
            <w:r>
              <w:rPr>
                <w:rFonts w:hint="eastAsia" w:ascii="仿宋" w:hAnsi="仿宋" w:eastAsia="仿宋" w:cs="仿宋"/>
                <w:color w:val="000000"/>
                <w:sz w:val="28"/>
                <w:szCs w:val="28"/>
              </w:rPr>
            </w:r>
            <w:r/>
          </w:p>
        </w:tc>
        <w:tc>
          <w:tcPr>
            <w:tcW w:w="7220" w:type="dxa"/>
            <w:vAlign w:val="top"/>
            <w:textDirection w:val="lrTb"/>
            <w:noWrap w:val="false"/>
          </w:tcPr>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中标人在收到中标通知书时，须向采购代理机构提交《开标一览表》和《分项价格表》的数据文件（WORD格式）。</w:t>
            </w:r>
            <w:r>
              <w:rPr>
                <w:rFonts w:hint="eastAsia" w:ascii="仿宋" w:hAnsi="仿宋" w:eastAsia="仿宋" w:cs="仿宋"/>
                <w:color w:val="000000"/>
                <w:sz w:val="28"/>
                <w:szCs w:val="28"/>
              </w:rPr>
            </w:r>
            <w:r/>
          </w:p>
        </w:tc>
      </w:tr>
    </w:tbl>
    <w:p>
      <w:pPr>
        <w:pStyle w:val="752"/>
        <w:ind w:firstLine="600"/>
        <w:spacing w:line="520" w:lineRule="exact"/>
        <w:widowControl/>
        <w:rPr>
          <w:rFonts w:hint="eastAsia" w:ascii="仿宋" w:hAnsi="仿宋" w:eastAsia="仿宋" w:cs="仿宋"/>
          <w:b/>
          <w:color w:val="000000"/>
          <w:sz w:val="30"/>
          <w:szCs w:val="30"/>
        </w:rPr>
      </w:pPr>
      <w:r/>
      <w:bookmarkStart w:id="6" w:name="_Toc522790133"/>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本章附件：</w:t>
      </w:r>
      <w:r>
        <w:rPr>
          <w:rFonts w:hint="eastAsia" w:ascii="仿宋" w:hAnsi="仿宋" w:eastAsia="仿宋" w:cs="仿宋"/>
          <w:b/>
          <w:color w:val="000000"/>
          <w:sz w:val="30"/>
          <w:szCs w:val="30"/>
        </w:rPr>
        <w:t xml:space="preserve">招标代理服务收费标准</w:t>
      </w:r>
      <w:r>
        <w:rPr>
          <w:rFonts w:hint="eastAsia" w:ascii="仿宋" w:hAnsi="仿宋" w:eastAsia="仿宋" w:cs="仿宋"/>
          <w:b/>
          <w:color w:val="000000"/>
          <w:sz w:val="30"/>
          <w:szCs w:val="30"/>
        </w:rPr>
      </w:r>
      <w:r/>
    </w:p>
    <w:tbl>
      <w:tblPr>
        <w:tblW w:w="74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trHeight w:val="23"/>
        </w:trPr>
        <w:tc>
          <w:tcPr>
            <w:tcW w:w="4291" w:type="dxa"/>
            <w:vAlign w:val="center"/>
            <w:textDirection w:val="lrTb"/>
            <w:noWrap w:val="false"/>
          </w:tcPr>
          <w:p>
            <w:pPr>
              <w:pStyle w:val="1007"/>
              <w:jc w:val="center"/>
              <w:spacing w:before="168" w:line="219" w:lineRule="auto"/>
              <w:rPr>
                <w:rFonts w:hint="eastAsia" w:ascii="仿宋" w:hAnsi="仿宋" w:eastAsia="仿宋" w:cs="仿宋"/>
                <w:color w:val="000000"/>
                <w:sz w:val="28"/>
                <w:szCs w:val="28"/>
              </w:rPr>
            </w:pPr>
            <w:r>
              <w:rPr>
                <w:rFonts w:hint="eastAsia" w:ascii="仿宋" w:hAnsi="仿宋" w:eastAsia="仿宋" w:cs="仿宋"/>
                <w:color w:val="000000"/>
                <w:spacing w:val="1"/>
                <w:sz w:val="28"/>
                <w:szCs w:val="28"/>
              </w:rPr>
              <w:t xml:space="preserve">中标或者成交金额</w:t>
            </w:r>
            <w:r>
              <w:rPr>
                <w:rFonts w:hint="eastAsia" w:ascii="仿宋" w:hAnsi="仿宋" w:eastAsia="仿宋" w:cs="仿宋"/>
                <w:color w:val="000000"/>
                <w:sz w:val="28"/>
                <w:szCs w:val="28"/>
              </w:rPr>
            </w:r>
            <w:r/>
          </w:p>
        </w:tc>
        <w:tc>
          <w:tcPr>
            <w:tcW w:w="3147" w:type="dxa"/>
            <w:vAlign w:val="center"/>
            <w:textDirection w:val="lrTb"/>
            <w:noWrap w:val="false"/>
          </w:tcPr>
          <w:p>
            <w:pPr>
              <w:pStyle w:val="1007"/>
              <w:jc w:val="center"/>
              <w:spacing w:before="168" w:line="219" w:lineRule="auto"/>
              <w:rPr>
                <w:rFonts w:hint="eastAsia" w:ascii="仿宋" w:hAnsi="仿宋" w:eastAsia="仿宋" w:cs="仿宋"/>
                <w:color w:val="000000"/>
                <w:sz w:val="28"/>
                <w:szCs w:val="28"/>
              </w:rPr>
            </w:pPr>
            <w:r>
              <w:rPr>
                <w:rFonts w:hint="eastAsia" w:ascii="仿宋" w:hAnsi="仿宋" w:eastAsia="仿宋" w:cs="仿宋"/>
                <w:color w:val="000000"/>
                <w:spacing w:val="7"/>
                <w:sz w:val="28"/>
                <w:szCs w:val="28"/>
              </w:rPr>
              <w:t xml:space="preserve">费率</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07"/>
              <w:spacing w:before="154" w:line="219" w:lineRule="auto"/>
              <w:rPr>
                <w:rFonts w:hint="eastAsia" w:ascii="仿宋" w:hAnsi="仿宋" w:eastAsia="仿宋" w:cs="仿宋"/>
                <w:color w:val="000000"/>
                <w:sz w:val="28"/>
                <w:szCs w:val="28"/>
              </w:rPr>
            </w:pPr>
            <w:r>
              <w:rPr>
                <w:rFonts w:hint="eastAsia" w:ascii="仿宋" w:hAnsi="仿宋" w:eastAsia="仿宋" w:cs="仿宋"/>
                <w:color w:val="000000"/>
                <w:spacing w:val="4"/>
                <w:sz w:val="28"/>
                <w:szCs w:val="28"/>
              </w:rPr>
              <w:t xml:space="preserve">最低收费金额(每个委托项目)</w:t>
            </w:r>
            <w:r>
              <w:rPr>
                <w:rFonts w:hint="eastAsia" w:ascii="仿宋" w:hAnsi="仿宋" w:eastAsia="仿宋" w:cs="仿宋"/>
                <w:color w:val="000000"/>
                <w:sz w:val="28"/>
                <w:szCs w:val="28"/>
              </w:rPr>
            </w:r>
            <w:r/>
          </w:p>
        </w:tc>
        <w:tc>
          <w:tcPr>
            <w:tcW w:w="3147" w:type="dxa"/>
            <w:vAlign w:val="center"/>
            <w:textDirection w:val="lrTb"/>
            <w:noWrap w:val="false"/>
          </w:tcPr>
          <w:p>
            <w:pPr>
              <w:pStyle w:val="1007"/>
              <w:jc w:val="center"/>
              <w:spacing w:before="155" w:line="220"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5000元</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07"/>
              <w:spacing w:before="155"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50万元以下(含50万元)</w:t>
            </w:r>
            <w:r>
              <w:rPr>
                <w:rFonts w:hint="eastAsia" w:ascii="仿宋" w:hAnsi="仿宋" w:eastAsia="仿宋" w:cs="仿宋"/>
                <w:color w:val="000000"/>
                <w:sz w:val="28"/>
                <w:szCs w:val="28"/>
              </w:rPr>
            </w:r>
            <w:r/>
          </w:p>
        </w:tc>
        <w:tc>
          <w:tcPr>
            <w:tcW w:w="3147" w:type="dxa"/>
            <w:vAlign w:val="center"/>
            <w:textDirection w:val="lrTb"/>
            <w:noWrap w:val="false"/>
          </w:tcPr>
          <w:p>
            <w:pPr>
              <w:pStyle w:val="1007"/>
              <w:jc w:val="center"/>
              <w:spacing w:before="236" w:line="184" w:lineRule="auto"/>
              <w:rPr>
                <w:rFonts w:hint="eastAsia" w:ascii="仿宋" w:hAnsi="仿宋" w:eastAsia="仿宋" w:cs="仿宋"/>
                <w:color w:val="000000"/>
                <w:sz w:val="28"/>
                <w:szCs w:val="28"/>
              </w:rPr>
            </w:pPr>
            <w:r>
              <w:rPr>
                <w:rFonts w:hint="eastAsia" w:ascii="仿宋" w:hAnsi="仿宋" w:eastAsia="仿宋" w:cs="仿宋"/>
                <w:color w:val="000000"/>
                <w:spacing w:val="-8"/>
                <w:sz w:val="28"/>
                <w:szCs w:val="28"/>
              </w:rPr>
              <w:t xml:space="preserve">1.6%</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07"/>
              <w:spacing w:before="156" w:line="219" w:lineRule="auto"/>
              <w:rPr>
                <w:rFonts w:hint="eastAsia" w:ascii="仿宋" w:hAnsi="仿宋" w:eastAsia="仿宋" w:cs="仿宋"/>
                <w:color w:val="000000"/>
                <w:sz w:val="28"/>
                <w:szCs w:val="28"/>
              </w:rPr>
            </w:pPr>
            <w:r>
              <w:rPr>
                <w:rFonts w:hint="eastAsia" w:ascii="仿宋" w:hAnsi="仿宋" w:eastAsia="仿宋" w:cs="仿宋"/>
                <w:color w:val="000000"/>
                <w:spacing w:val="4"/>
                <w:sz w:val="28"/>
                <w:szCs w:val="28"/>
              </w:rPr>
              <w:t xml:space="preserve">50-400万元(含400万元)</w:t>
            </w:r>
            <w:r>
              <w:rPr>
                <w:rFonts w:hint="eastAsia" w:ascii="仿宋" w:hAnsi="仿宋" w:eastAsia="仿宋" w:cs="仿宋"/>
                <w:color w:val="000000"/>
                <w:sz w:val="28"/>
                <w:szCs w:val="28"/>
              </w:rPr>
            </w:r>
            <w:r/>
          </w:p>
        </w:tc>
        <w:tc>
          <w:tcPr>
            <w:tcW w:w="3147" w:type="dxa"/>
            <w:vAlign w:val="center"/>
            <w:textDirection w:val="lrTb"/>
            <w:noWrap w:val="false"/>
          </w:tcPr>
          <w:p>
            <w:pPr>
              <w:pStyle w:val="1007"/>
              <w:jc w:val="center"/>
              <w:spacing w:before="237" w:line="184" w:lineRule="auto"/>
              <w:rPr>
                <w:rFonts w:hint="eastAsia" w:ascii="仿宋" w:hAnsi="仿宋" w:eastAsia="仿宋" w:cs="仿宋"/>
                <w:color w:val="000000"/>
                <w:sz w:val="28"/>
                <w:szCs w:val="28"/>
              </w:rPr>
            </w:pPr>
            <w:r>
              <w:rPr>
                <w:rFonts w:hint="eastAsia" w:ascii="仿宋" w:hAnsi="仿宋" w:eastAsia="仿宋" w:cs="仿宋"/>
                <w:color w:val="000000"/>
                <w:spacing w:val="-7"/>
                <w:sz w:val="28"/>
                <w:szCs w:val="28"/>
              </w:rPr>
              <w:t xml:space="preserve">1.5%</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07"/>
              <w:spacing w:before="167" w:line="219"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400-1000万元(含1000万元)</w:t>
            </w:r>
            <w:r>
              <w:rPr>
                <w:rFonts w:hint="eastAsia" w:ascii="仿宋" w:hAnsi="仿宋" w:eastAsia="仿宋" w:cs="仿宋"/>
                <w:color w:val="000000"/>
                <w:sz w:val="28"/>
                <w:szCs w:val="28"/>
              </w:rPr>
            </w:r>
            <w:r/>
          </w:p>
        </w:tc>
        <w:tc>
          <w:tcPr>
            <w:tcW w:w="3147" w:type="dxa"/>
            <w:vAlign w:val="center"/>
            <w:textDirection w:val="lrTb"/>
            <w:noWrap w:val="false"/>
          </w:tcPr>
          <w:p>
            <w:pPr>
              <w:pStyle w:val="1007"/>
              <w:jc w:val="center"/>
              <w:spacing w:before="248" w:line="184"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1.1%</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07"/>
              <w:spacing w:before="158" w:line="219"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1000-5000万元(含5000万元)</w:t>
            </w:r>
            <w:r>
              <w:rPr>
                <w:rFonts w:hint="eastAsia" w:ascii="仿宋" w:hAnsi="仿宋" w:eastAsia="仿宋" w:cs="仿宋"/>
                <w:color w:val="000000"/>
                <w:sz w:val="28"/>
                <w:szCs w:val="28"/>
              </w:rPr>
            </w:r>
            <w:r/>
          </w:p>
        </w:tc>
        <w:tc>
          <w:tcPr>
            <w:tcW w:w="3147" w:type="dxa"/>
            <w:vAlign w:val="center"/>
            <w:textDirection w:val="lrTb"/>
            <w:noWrap w:val="false"/>
          </w:tcPr>
          <w:p>
            <w:pPr>
              <w:pStyle w:val="1007"/>
              <w:jc w:val="center"/>
              <w:spacing w:before="240" w:line="183"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0.8%</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07"/>
              <w:spacing w:before="159"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5000-1亿元(含1亿元)</w:t>
            </w:r>
            <w:r>
              <w:rPr>
                <w:rFonts w:hint="eastAsia" w:ascii="仿宋" w:hAnsi="仿宋" w:eastAsia="仿宋" w:cs="仿宋"/>
                <w:color w:val="000000"/>
                <w:sz w:val="28"/>
                <w:szCs w:val="28"/>
              </w:rPr>
            </w:r>
            <w:r/>
          </w:p>
        </w:tc>
        <w:tc>
          <w:tcPr>
            <w:tcW w:w="3147" w:type="dxa"/>
            <w:vAlign w:val="center"/>
            <w:textDirection w:val="lrTb"/>
            <w:noWrap w:val="false"/>
          </w:tcPr>
          <w:p>
            <w:pPr>
              <w:pStyle w:val="1007"/>
              <w:jc w:val="center"/>
              <w:spacing w:before="241" w:line="183"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0.25%</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07"/>
              <w:spacing w:before="170"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1-10亿元(含10亿元)</w:t>
            </w:r>
            <w:r>
              <w:rPr>
                <w:rFonts w:hint="eastAsia" w:ascii="仿宋" w:hAnsi="仿宋" w:eastAsia="仿宋" w:cs="仿宋"/>
                <w:color w:val="000000"/>
                <w:sz w:val="28"/>
                <w:szCs w:val="28"/>
              </w:rPr>
            </w:r>
            <w:r/>
          </w:p>
        </w:tc>
        <w:tc>
          <w:tcPr>
            <w:tcW w:w="3147" w:type="dxa"/>
            <w:vAlign w:val="center"/>
            <w:textDirection w:val="lrTb"/>
            <w:noWrap w:val="false"/>
          </w:tcPr>
          <w:p>
            <w:pPr>
              <w:pStyle w:val="1007"/>
              <w:jc w:val="center"/>
              <w:spacing w:before="252" w:line="183"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0.05%</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07"/>
              <w:spacing w:before="162"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10-50亿元(含50亿元)</w:t>
            </w:r>
            <w:r>
              <w:rPr>
                <w:rFonts w:hint="eastAsia" w:ascii="仿宋" w:hAnsi="仿宋" w:eastAsia="仿宋" w:cs="仿宋"/>
                <w:color w:val="000000"/>
                <w:sz w:val="28"/>
                <w:szCs w:val="28"/>
              </w:rPr>
            </w:r>
            <w:r/>
          </w:p>
        </w:tc>
        <w:tc>
          <w:tcPr>
            <w:tcW w:w="3147" w:type="dxa"/>
            <w:vAlign w:val="center"/>
            <w:textDirection w:val="lrTb"/>
            <w:noWrap w:val="false"/>
          </w:tcPr>
          <w:p>
            <w:pPr>
              <w:pStyle w:val="1007"/>
              <w:jc w:val="center"/>
              <w:spacing w:before="243" w:line="184"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0.01%</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07"/>
              <w:spacing w:before="164" w:line="220"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50亿元以上</w:t>
            </w:r>
            <w:r>
              <w:rPr>
                <w:rFonts w:hint="eastAsia" w:ascii="仿宋" w:hAnsi="仿宋" w:eastAsia="仿宋" w:cs="仿宋"/>
                <w:color w:val="000000"/>
                <w:sz w:val="28"/>
                <w:szCs w:val="28"/>
              </w:rPr>
            </w:r>
            <w:r/>
          </w:p>
        </w:tc>
        <w:tc>
          <w:tcPr>
            <w:tcW w:w="3147" w:type="dxa"/>
            <w:vAlign w:val="center"/>
            <w:textDirection w:val="lrTb"/>
            <w:noWrap w:val="false"/>
          </w:tcPr>
          <w:p>
            <w:pPr>
              <w:pStyle w:val="1007"/>
              <w:jc w:val="center"/>
              <w:spacing w:before="245" w:line="183"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0.005%</w:t>
            </w:r>
            <w:r>
              <w:rPr>
                <w:rFonts w:hint="eastAsia" w:ascii="仿宋" w:hAnsi="仿宋" w:eastAsia="仿宋" w:cs="仿宋"/>
                <w:color w:val="000000"/>
                <w:sz w:val="28"/>
                <w:szCs w:val="28"/>
              </w:rPr>
            </w:r>
            <w:r/>
          </w:p>
        </w:tc>
      </w:tr>
    </w:tbl>
    <w:p>
      <w:pPr>
        <w:pStyle w:val="75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rPr>
          <w:rFonts w:hint="eastAsia" w:ascii="仿宋" w:hAnsi="仿宋" w:eastAsia="仿宋" w:cs="仿宋"/>
          <w:color w:val="000000"/>
          <w:sz w:val="28"/>
          <w:szCs w:val="28"/>
        </w:rPr>
      </w:r>
      <w:r/>
    </w:p>
    <w:p>
      <w:pPr>
        <w:pStyle w:val="752"/>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1.按上表计算的收费为代理服务全过程的收费金额。各社会代理机构不再收取采购文件制作售卖费用。</w:t>
      </w:r>
      <w:r>
        <w:rPr>
          <w:rFonts w:hint="eastAsia" w:ascii="仿宋" w:hAnsi="仿宋" w:eastAsia="仿宋" w:cs="仿宋"/>
          <w:color w:val="000000"/>
          <w:sz w:val="28"/>
          <w:szCs w:val="28"/>
        </w:rPr>
      </w:r>
      <w:r/>
    </w:p>
    <w:p>
      <w:pPr>
        <w:pStyle w:val="752"/>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2.代理服务费按差额定率累进法计算。</w:t>
      </w:r>
      <w:r>
        <w:rPr>
          <w:rFonts w:hint="eastAsia" w:ascii="仿宋" w:hAnsi="仿宋" w:eastAsia="仿宋" w:cs="仿宋"/>
          <w:color w:val="000000"/>
          <w:sz w:val="28"/>
          <w:szCs w:val="28"/>
        </w:rPr>
      </w:r>
      <w:r/>
    </w:p>
    <w:p>
      <w:pPr>
        <w:pStyle w:val="752"/>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3.代理服务费基准金额(按差额定率累进法计算的)=中标金额(按差额定率累进法计算的)*费率(%)</w:t>
      </w:r>
      <w:r>
        <w:rPr>
          <w:rFonts w:hint="eastAsia" w:ascii="仿宋" w:hAnsi="仿宋" w:eastAsia="仿宋" w:cs="仿宋"/>
          <w:color w:val="000000"/>
          <w:sz w:val="28"/>
          <w:szCs w:val="28"/>
        </w:rPr>
      </w:r>
      <w:r/>
    </w:p>
    <w:p>
      <w:pPr>
        <w:pStyle w:val="752"/>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4.代理服务费应收取金额=代理服务费基准金额(按差额定率累进法计算的)的合计数。</w:t>
      </w:r>
      <w:r>
        <w:rPr>
          <w:rFonts w:hint="eastAsia" w:ascii="仿宋" w:hAnsi="仿宋" w:eastAsia="仿宋" w:cs="仿宋"/>
          <w:color w:val="000000"/>
          <w:sz w:val="28"/>
          <w:szCs w:val="28"/>
        </w:rPr>
      </w:r>
      <w:r/>
    </w:p>
    <w:p>
      <w:pPr>
        <w:pStyle w:val="752"/>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5.定点类等无金额或事先不能计算出价格总额的项目，按中标(成交)金额按100万元计算。</w:t>
      </w:r>
      <w:r>
        <w:rPr>
          <w:rFonts w:hint="eastAsia" w:ascii="仿宋" w:hAnsi="仿宋" w:eastAsia="仿宋" w:cs="仿宋"/>
          <w:color w:val="000000"/>
          <w:sz w:val="28"/>
          <w:szCs w:val="28"/>
        </w:rPr>
      </w:r>
      <w:r/>
    </w:p>
    <w:p>
      <w:pPr>
        <w:pStyle w:val="752"/>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6.有分包(分标段)的以一个项目计算。</w:t>
      </w:r>
      <w:r>
        <w:rPr>
          <w:rFonts w:hint="eastAsia" w:ascii="仿宋" w:hAnsi="仿宋" w:eastAsia="仿宋" w:cs="仿宋"/>
          <w:color w:val="000000"/>
          <w:sz w:val="28"/>
          <w:szCs w:val="28"/>
        </w:rPr>
      </w:r>
      <w:r/>
    </w:p>
    <w:p>
      <w:pPr>
        <w:pStyle w:val="752"/>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7.以上价格为协会指导价，双方可根据项目难易程度和优质优价原则协商确定。</w:t>
      </w:r>
      <w:r>
        <w:rPr>
          <w:rFonts w:hint="eastAsia" w:ascii="仿宋" w:hAnsi="仿宋" w:eastAsia="仿宋" w:cs="仿宋"/>
          <w:color w:val="000000"/>
          <w:sz w:val="28"/>
          <w:szCs w:val="28"/>
        </w:rPr>
      </w:r>
      <w:r/>
    </w:p>
    <w:p>
      <w:pPr>
        <w:pStyle w:val="752"/>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8.账户信息：</w:t>
      </w:r>
      <w:r>
        <w:rPr>
          <w:rFonts w:hint="eastAsia" w:ascii="仿宋" w:hAnsi="仿宋" w:eastAsia="仿宋" w:cs="仿宋"/>
          <w:color w:val="000000"/>
          <w:sz w:val="28"/>
          <w:szCs w:val="28"/>
        </w:rPr>
      </w:r>
      <w:r/>
    </w:p>
    <w:p>
      <w:pPr>
        <w:pStyle w:val="752"/>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收款人：江苏中际招标代理有限公司 </w:t>
      </w:r>
      <w:r>
        <w:rPr>
          <w:rFonts w:hint="eastAsia" w:ascii="仿宋" w:hAnsi="仿宋" w:eastAsia="仿宋" w:cs="仿宋"/>
          <w:color w:val="000000"/>
          <w:sz w:val="28"/>
          <w:szCs w:val="28"/>
        </w:rPr>
      </w:r>
      <w:r/>
    </w:p>
    <w:p>
      <w:pPr>
        <w:pStyle w:val="752"/>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开户银行：徐州农村商业银行股份有限公司彭园支行 </w:t>
      </w:r>
      <w:r>
        <w:rPr>
          <w:rFonts w:hint="eastAsia" w:ascii="仿宋" w:hAnsi="仿宋" w:eastAsia="仿宋" w:cs="仿宋"/>
          <w:color w:val="000000"/>
          <w:sz w:val="28"/>
          <w:szCs w:val="28"/>
        </w:rPr>
      </w:r>
      <w:r/>
    </w:p>
    <w:p>
      <w:pPr>
        <w:pStyle w:val="752"/>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账号：3203020171010000003980</w:t>
      </w:r>
      <w:r>
        <w:rPr>
          <w:rFonts w:hint="eastAsia" w:ascii="仿宋" w:hAnsi="仿宋" w:eastAsia="仿宋" w:cs="仿宋"/>
          <w:color w:val="000000"/>
          <w:sz w:val="28"/>
          <w:szCs w:val="28"/>
        </w:rPr>
      </w:r>
      <w:r/>
    </w:p>
    <w:p>
      <w:pPr>
        <w:pStyle w:val="752"/>
        <w:ind w:firstLine="560"/>
        <w:spacing w:line="4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行号：314303000180</w:t>
      </w:r>
      <w:r>
        <w:rPr>
          <w:rFonts w:hint="eastAsia" w:ascii="仿宋" w:hAnsi="仿宋" w:eastAsia="仿宋" w:cs="仿宋"/>
          <w:color w:val="000000"/>
          <w:sz w:val="28"/>
          <w:szCs w:val="28"/>
        </w:rPr>
      </w:r>
      <w:r/>
    </w:p>
    <w:p>
      <w:pPr>
        <w:pStyle w:val="752"/>
        <w:ind w:firstLine="562"/>
        <w:spacing w:line="44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752"/>
        <w:numPr>
          <w:ilvl w:val="0"/>
          <w:numId w:val="1"/>
        </w:numPr>
        <w:ind w:firstLine="420"/>
        <w:jc w:val="center"/>
        <w:spacing w:line="520" w:lineRule="exact"/>
        <w:widowControl/>
        <w:rPr>
          <w:rFonts w:hint="eastAsia" w:ascii="仿宋" w:hAnsi="仿宋" w:eastAsia="仿宋" w:cs="仿宋"/>
          <w:b/>
          <w:color w:val="000000"/>
          <w:sz w:val="32"/>
          <w:szCs w:val="28"/>
        </w:rPr>
      </w:pPr>
      <w:r>
        <w:rPr>
          <w:rFonts w:hint="eastAsia" w:ascii="仿宋" w:hAnsi="仿宋" w:eastAsia="仿宋" w:cs="仿宋"/>
          <w:color w:val="000000"/>
        </w:rPr>
        <w:br w:type="page" w:clear="all"/>
      </w:r>
      <w:bookmarkStart w:id="7" w:name="_Toc9429"/>
      <w:r>
        <w:rPr>
          <w:rStyle w:val="810"/>
          <w:rFonts w:hint="eastAsia" w:ascii="仿宋" w:hAnsi="仿宋" w:eastAsia="仿宋" w:cs="仿宋"/>
          <w:color w:val="000000"/>
        </w:rPr>
        <w:t xml:space="preserve"> 评标标准</w:t>
      </w:r>
      <w:bookmarkEnd w:id="6"/>
      <w:r/>
      <w:bookmarkEnd w:id="7"/>
      <w:r>
        <w:rPr>
          <w:rFonts w:hint="eastAsia" w:ascii="仿宋" w:hAnsi="仿宋" w:eastAsia="仿宋" w:cs="仿宋"/>
          <w:b/>
          <w:color w:val="000000"/>
          <w:sz w:val="32"/>
          <w:szCs w:val="28"/>
        </w:rPr>
      </w:r>
      <w:r/>
    </w:p>
    <w:tbl>
      <w:tblPr>
        <w:tblpPr w:horzAnchor="page" w:tblpX="706" w:vertAnchor="text" w:tblpY="468" w:leftFromText="180" w:topFromText="0" w:rightFromText="180" w:bottomFromText="0"/>
        <w:tblW w:w="1055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88"/>
        <w:gridCol w:w="1347"/>
        <w:gridCol w:w="1522"/>
        <w:gridCol w:w="6793"/>
      </w:tblGrid>
      <w:tr>
        <w:trPr>
          <w:trHeight w:val="477"/>
        </w:trPr>
        <w:tc>
          <w:tcPr>
            <w:gridSpan w:val="2"/>
            <w:tcW w:w="2235" w:type="dxa"/>
            <w:vAlign w:val="center"/>
            <w:textDirection w:val="lrTb"/>
            <w:noWrap w:val="false"/>
          </w:tcPr>
          <w:p>
            <w:pPr>
              <w:pStyle w:val="752"/>
              <w:spacing w:line="400" w:lineRule="exact"/>
              <w:widowControl/>
              <w:rPr>
                <w:rFonts w:hint="eastAsia" w:ascii="仿宋" w:hAnsi="仿宋" w:eastAsia="仿宋" w:cs="仿宋"/>
                <w:b/>
                <w:bCs/>
                <w:color w:val="000000"/>
                <w:sz w:val="24"/>
                <w:szCs w:val="24"/>
                <w:highlight w:val="none"/>
              </w:rPr>
              <w:framePr w:vAnchor="text" w:hAnchor="page" w:x="706" w:y="468"/>
            </w:pPr>
            <w:r>
              <w:rPr>
                <w:rFonts w:hint="eastAsia" w:ascii="仿宋" w:hAnsi="仿宋" w:eastAsia="仿宋" w:cs="仿宋"/>
                <w:b/>
                <w:bCs/>
                <w:color w:val="000000"/>
                <w:sz w:val="24"/>
                <w:szCs w:val="24"/>
                <w:highlight w:val="none"/>
              </w:rPr>
              <w:t xml:space="preserve">评审因素</w:t>
            </w:r>
            <w:r>
              <w:rPr>
                <w:rFonts w:hint="eastAsia" w:ascii="仿宋" w:hAnsi="仿宋" w:eastAsia="仿宋" w:cs="仿宋"/>
                <w:b/>
                <w:bCs/>
                <w:color w:val="000000"/>
                <w:sz w:val="24"/>
                <w:szCs w:val="24"/>
                <w:highlight w:val="none"/>
              </w:rPr>
            </w:r>
            <w:r/>
          </w:p>
        </w:tc>
        <w:tc>
          <w:tcPr>
            <w:gridSpan w:val="2"/>
            <w:tcW w:w="8315" w:type="dxa"/>
            <w:vAlign w:val="center"/>
            <w:textDirection w:val="lrTb"/>
            <w:noWrap w:val="false"/>
          </w:tcPr>
          <w:p>
            <w:pPr>
              <w:pStyle w:val="752"/>
              <w:ind w:firstLine="482"/>
              <w:jc w:val="center"/>
              <w:spacing w:line="400" w:lineRule="exact"/>
              <w:widowControl/>
              <w:rPr>
                <w:rFonts w:hint="eastAsia" w:ascii="仿宋" w:hAnsi="仿宋" w:eastAsia="仿宋" w:cs="仿宋"/>
                <w:b/>
                <w:bCs/>
                <w:color w:val="000000"/>
                <w:sz w:val="24"/>
                <w:szCs w:val="24"/>
                <w:highlight w:val="none"/>
              </w:rPr>
              <w:framePr w:vAnchor="text" w:hAnchor="page" w:x="706" w:y="468"/>
            </w:pPr>
            <w:r>
              <w:rPr>
                <w:rFonts w:hint="eastAsia" w:ascii="仿宋" w:hAnsi="仿宋" w:eastAsia="仿宋" w:cs="仿宋"/>
                <w:b/>
                <w:bCs/>
                <w:color w:val="000000"/>
                <w:sz w:val="24"/>
                <w:szCs w:val="24"/>
                <w:highlight w:val="none"/>
              </w:rPr>
              <w:t xml:space="preserve">评审因素细化和量化</w:t>
            </w:r>
            <w:r>
              <w:rPr>
                <w:rFonts w:hint="eastAsia" w:ascii="仿宋" w:hAnsi="仿宋" w:eastAsia="仿宋" w:cs="仿宋"/>
                <w:b/>
                <w:bCs/>
                <w:color w:val="000000"/>
                <w:sz w:val="24"/>
                <w:szCs w:val="24"/>
                <w:highlight w:val="none"/>
              </w:rPr>
            </w:r>
            <w:r/>
          </w:p>
        </w:tc>
      </w:tr>
      <w:tr>
        <w:trPr>
          <w:trHeight w:val="1350"/>
        </w:trPr>
        <w:tc>
          <w:tcPr>
            <w:gridSpan w:val="2"/>
            <w:tcW w:w="2235" w:type="dxa"/>
            <w:vAlign w:val="center"/>
            <w:textDirection w:val="lrTb"/>
            <w:noWrap w:val="false"/>
          </w:tcPr>
          <w:p>
            <w:pPr>
              <w:pStyle w:val="752"/>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价格</w:t>
            </w:r>
            <w:r>
              <w:rPr>
                <w:rFonts w:hint="eastAsia" w:ascii="仿宋" w:hAnsi="仿宋" w:eastAsia="仿宋" w:cs="仿宋"/>
                <w:color w:val="000000"/>
                <w:sz w:val="24"/>
                <w:szCs w:val="24"/>
                <w:highlight w:val="none"/>
              </w:rPr>
            </w:r>
            <w:r/>
          </w:p>
          <w:p>
            <w:pPr>
              <w:pStyle w:val="752"/>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gridSpan w:val="2"/>
            <w:tcW w:w="8315" w:type="dxa"/>
            <w:vAlign w:val="center"/>
            <w:textDirection w:val="lrTb"/>
            <w:noWrap w:val="false"/>
          </w:tcPr>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采用低价优先法计算，即满足招标文件要求且投标人评审价格最低的投标报价为评标基准价，其价格得分为满分；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各投标人价格得分=评标基准价（投标人的最低评审价格）÷各投标人评审价格×</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b/>
                <w:bCs/>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得分四舍五入保留小数点后2位。</w:t>
            </w:r>
            <w:r>
              <w:rPr>
                <w:rFonts w:hint="eastAsia" w:ascii="仿宋" w:hAnsi="仿宋" w:eastAsia="仿宋" w:cs="仿宋"/>
                <w:b/>
                <w:bCs/>
                <w:color w:val="000000"/>
                <w:sz w:val="24"/>
                <w:szCs w:val="24"/>
                <w:highlight w:val="none"/>
              </w:rPr>
            </w:r>
            <w:r/>
          </w:p>
        </w:tc>
      </w:tr>
      <w:tr>
        <w:trPr>
          <w:trHeight w:val="2159"/>
        </w:trPr>
        <w:tc>
          <w:tcPr>
            <w:tcW w:w="888" w:type="dxa"/>
            <w:vAlign w:val="center"/>
            <w:vMerge w:val="restart"/>
            <w:textDirection w:val="lrTb"/>
            <w:noWrap w:val="false"/>
          </w:tcPr>
          <w:p>
            <w:pPr>
              <w:pStyle w:val="752"/>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商务部分（</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1347" w:type="dxa"/>
            <w:vAlign w:val="center"/>
            <w:textDirection w:val="lrTb"/>
            <w:noWrap w:val="false"/>
          </w:tcPr>
          <w:p>
            <w:pPr>
              <w:pStyle w:val="752"/>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bCs/>
                <w:color w:val="000000"/>
                <w:sz w:val="24"/>
                <w:szCs w:val="24"/>
                <w:highlight w:val="none"/>
              </w:rPr>
              <w:t xml:space="preserve">投标人</w:t>
            </w:r>
            <w:r>
              <w:rPr>
                <w:rFonts w:hint="eastAsia" w:ascii="仿宋" w:hAnsi="仿宋" w:eastAsia="仿宋" w:cs="仿宋"/>
                <w:color w:val="000000"/>
                <w:sz w:val="24"/>
                <w:szCs w:val="24"/>
                <w:highlight w:val="none"/>
              </w:rPr>
              <w:t xml:space="preserve">业绩</w:t>
            </w:r>
            <w:r>
              <w:rPr>
                <w:rFonts w:hint="eastAsia" w:ascii="仿宋" w:hAnsi="仿宋" w:eastAsia="仿宋" w:cs="仿宋"/>
                <w:color w:val="000000"/>
                <w:sz w:val="24"/>
                <w:szCs w:val="24"/>
                <w:highlight w:val="none"/>
              </w:rPr>
            </w:r>
            <w:r/>
          </w:p>
          <w:p>
            <w:pPr>
              <w:pStyle w:val="752"/>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gridSpan w:val="2"/>
            <w:tcW w:w="8315" w:type="dxa"/>
            <w:vAlign w:val="center"/>
            <w:textDirection w:val="lrTb"/>
            <w:noWrap w:val="false"/>
          </w:tcPr>
          <w:p>
            <w:pPr>
              <w:pStyle w:val="752"/>
              <w:spacing w:line="0" w:lineRule="atLeast"/>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rPr>
              <w:t xml:space="preserve">投标文件中提供投标人</w:t>
            </w:r>
            <w:r>
              <w:rPr>
                <w:rFonts w:hint="eastAsia" w:ascii="仿宋" w:hAnsi="仿宋" w:eastAsia="仿宋" w:cs="仿宋"/>
                <w:color w:val="000000"/>
                <w:sz w:val="24"/>
                <w:szCs w:val="24"/>
                <w:highlight w:val="none"/>
                <w:lang w:val="en-US" w:eastAsia="zh-CN"/>
              </w:rPr>
              <w:t xml:space="preserve">为卖方(乙方)，合同签订日期在2023年4月1日（含）之后，合同内容为本项目相同或类似业绩（类似业绩是指同时包含舞台机械系统、舞台灯光系统、舞台扩声系统等），每提供一个有效业绩的，得1分，本项最高得2分，未提供不得分。</w:t>
            </w:r>
            <w:r>
              <w:rPr>
                <w:rFonts w:hint="eastAsia" w:ascii="仿宋" w:hAnsi="仿宋" w:eastAsia="仿宋" w:cs="仿宋"/>
                <w:color w:val="000000"/>
                <w:sz w:val="24"/>
                <w:szCs w:val="24"/>
                <w:highlight w:val="none"/>
                <w:lang w:val="en-US" w:eastAsia="zh-CN"/>
              </w:rPr>
            </w:r>
            <w:r/>
          </w:p>
          <w:p>
            <w:pPr>
              <w:pStyle w:val="752"/>
              <w:spacing w:line="0" w:lineRule="atLeast"/>
              <w:rPr>
                <w:rFonts w:hint="eastAsia" w:ascii="仿宋" w:hAnsi="仿宋" w:eastAsia="仿宋" w:cs="仿宋"/>
              </w:rPr>
              <w:framePr w:vAnchor="text" w:hAnchor="page" w:x="706" w:y="468"/>
            </w:pPr>
            <w:r>
              <w:rPr>
                <w:rFonts w:hint="eastAsia" w:ascii="仿宋" w:hAnsi="仿宋" w:eastAsia="仿宋" w:cs="仿宋"/>
                <w:b/>
                <w:bCs/>
                <w:color w:val="000000"/>
                <w:sz w:val="24"/>
                <w:szCs w:val="24"/>
                <w:highlight w:val="none"/>
                <w:lang w:val="en-US" w:eastAsia="zh-CN"/>
              </w:rPr>
              <w:t xml:space="preserve">注：提供合同、具有甲方盖章的验收合格证明（竣工验收或项目完工证明），以上提供原件扫描件，业绩时间以合同签订时间为准，未提供或不符合不得分。</w:t>
            </w:r>
            <w:r>
              <w:rPr>
                <w:rFonts w:hint="eastAsia" w:ascii="仿宋" w:hAnsi="仿宋" w:eastAsia="仿宋" w:cs="仿宋"/>
              </w:rPr>
            </w:r>
            <w:r/>
          </w:p>
        </w:tc>
      </w:tr>
      <w:tr>
        <w:trPr>
          <w:trHeight w:val="904"/>
        </w:trPr>
        <w:tc>
          <w:tcPr>
            <w:tcW w:w="888" w:type="dxa"/>
            <w:vAlign w:val="center"/>
            <w:vMerge w:val="continue"/>
            <w:textDirection w:val="lrTb"/>
            <w:noWrap w:val="false"/>
          </w:tcPr>
          <w:p>
            <w:pPr>
              <w:pStyle w:val="752"/>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1347" w:type="dxa"/>
            <w:vAlign w:val="center"/>
            <w:textDirection w:val="lrTb"/>
            <w:noWrap w:val="false"/>
          </w:tcPr>
          <w:p>
            <w:pPr>
              <w:pStyle w:val="752"/>
              <w:jc w:val="both"/>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品牌实力（2分）</w:t>
            </w:r>
            <w:r>
              <w:rPr>
                <w:rFonts w:hint="eastAsia" w:ascii="仿宋" w:hAnsi="仿宋" w:eastAsia="仿宋" w:cs="仿宋"/>
                <w:color w:val="000000"/>
                <w:sz w:val="24"/>
                <w:szCs w:val="24"/>
                <w:highlight w:val="none"/>
                <w:lang w:val="en-US" w:eastAsia="zh-CN"/>
              </w:rPr>
            </w:r>
            <w:r/>
          </w:p>
        </w:tc>
        <w:tc>
          <w:tcPr>
            <w:gridSpan w:val="2"/>
            <w:tcW w:w="8315" w:type="dxa"/>
            <w:vAlign w:val="center"/>
            <w:textDirection w:val="lrTb"/>
            <w:noWrap w:val="false"/>
          </w:tcPr>
          <w:p>
            <w:pPr>
              <w:pStyle w:val="787"/>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音箱品牌制造商具有符合《JJF 1147-2006消声室和半消声室声学特性校准规范》的全消声室。</w:t>
            </w:r>
            <w:r>
              <w:rPr>
                <w:rFonts w:hint="eastAsia" w:ascii="仿宋" w:hAnsi="仿宋" w:eastAsia="仿宋" w:cs="仿宋"/>
                <w:color w:val="000000"/>
                <w:sz w:val="24"/>
                <w:szCs w:val="24"/>
                <w:highlight w:val="none"/>
                <w:lang w:val="en-US" w:eastAsia="zh-CN"/>
              </w:rPr>
            </w:r>
            <w:r/>
          </w:p>
          <w:p>
            <w:pPr>
              <w:pStyle w:val="787"/>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提供全消音室证书并加盖生产企业公章，得2分。未提供或不符合不得分</w:t>
            </w:r>
            <w:r>
              <w:rPr>
                <w:rFonts w:hint="eastAsia" w:ascii="仿宋" w:hAnsi="仿宋" w:eastAsia="仿宋" w:cs="仿宋"/>
                <w:color w:val="000000"/>
                <w:sz w:val="24"/>
                <w:szCs w:val="24"/>
                <w:highlight w:val="none"/>
                <w:lang w:val="en-US" w:eastAsia="zh-CN"/>
              </w:rPr>
            </w:r>
            <w:r/>
          </w:p>
        </w:tc>
      </w:tr>
      <w:tr>
        <w:trPr>
          <w:trHeight w:val="904"/>
        </w:trPr>
        <w:tc>
          <w:tcPr>
            <w:tcW w:w="888" w:type="dxa"/>
            <w:vAlign w:val="center"/>
            <w:vMerge w:val="continue"/>
            <w:textDirection w:val="lrTb"/>
            <w:noWrap w:val="false"/>
          </w:tcPr>
          <w:p>
            <w:pPr>
              <w:pStyle w:val="752"/>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1347" w:type="dxa"/>
            <w:vAlign w:val="center"/>
            <w:textDirection w:val="lrTb"/>
            <w:noWrap w:val="false"/>
          </w:tcPr>
          <w:p>
            <w:pPr>
              <w:pStyle w:val="752"/>
              <w:jc w:val="both"/>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投标人实力（3分）</w:t>
            </w:r>
            <w:r>
              <w:rPr>
                <w:rFonts w:hint="eastAsia" w:ascii="仿宋" w:hAnsi="仿宋" w:eastAsia="仿宋" w:cs="仿宋"/>
                <w:color w:val="000000"/>
                <w:sz w:val="24"/>
                <w:szCs w:val="24"/>
                <w:highlight w:val="none"/>
                <w:lang w:val="en-US" w:eastAsia="zh-CN"/>
              </w:rPr>
            </w:r>
            <w:r/>
          </w:p>
        </w:tc>
        <w:tc>
          <w:tcPr>
            <w:gridSpan w:val="2"/>
            <w:tcW w:w="8315" w:type="dxa"/>
            <w:vAlign w:val="center"/>
            <w:textDirection w:val="lrTb"/>
            <w:noWrap w:val="false"/>
          </w:tcPr>
          <w:p>
            <w:pPr>
              <w:pStyle w:val="752"/>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投标人具有以下有效资质的，每提供1个得1分，最多得3分：</w:t>
            </w:r>
            <w:r>
              <w:rPr>
                <w:rFonts w:hint="eastAsia" w:ascii="仿宋" w:hAnsi="仿宋" w:eastAsia="仿宋" w:cs="仿宋"/>
                <w:color w:val="000000"/>
                <w:sz w:val="24"/>
                <w:szCs w:val="24"/>
                <w:highlight w:val="none"/>
                <w:lang w:val="en-US" w:eastAsia="zh-CN"/>
              </w:rPr>
            </w:r>
            <w:r/>
          </w:p>
          <w:p>
            <w:pPr>
              <w:pStyle w:val="752"/>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1.专业音响工程综合技术能力贰级及以上资质；</w:t>
            </w:r>
            <w:r>
              <w:rPr>
                <w:rFonts w:hint="eastAsia" w:ascii="仿宋" w:hAnsi="仿宋" w:eastAsia="仿宋" w:cs="仿宋"/>
                <w:color w:val="000000"/>
                <w:sz w:val="24"/>
                <w:szCs w:val="24"/>
                <w:highlight w:val="none"/>
                <w:lang w:val="en-US" w:eastAsia="zh-CN"/>
              </w:rPr>
            </w:r>
            <w:r/>
          </w:p>
          <w:p>
            <w:pPr>
              <w:pStyle w:val="752"/>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2.电子与智能化工程专业承包贰级及以上资质；</w:t>
            </w:r>
            <w:r>
              <w:rPr>
                <w:rFonts w:hint="eastAsia" w:ascii="仿宋" w:hAnsi="仿宋" w:eastAsia="仿宋" w:cs="仿宋"/>
                <w:color w:val="000000"/>
                <w:sz w:val="24"/>
                <w:szCs w:val="24"/>
                <w:highlight w:val="none"/>
                <w:lang w:val="en-US" w:eastAsia="zh-CN"/>
              </w:rPr>
            </w:r>
            <w:r/>
          </w:p>
          <w:p>
            <w:pPr>
              <w:pStyle w:val="752"/>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3.音视频集成工程企业能力等级贰级及以上资质；</w:t>
            </w:r>
            <w:r>
              <w:rPr>
                <w:rFonts w:hint="eastAsia" w:ascii="仿宋" w:hAnsi="仿宋" w:eastAsia="仿宋" w:cs="仿宋"/>
                <w:color w:val="000000"/>
                <w:sz w:val="24"/>
                <w:szCs w:val="24"/>
                <w:highlight w:val="none"/>
                <w:lang w:val="en-US" w:eastAsia="zh-CN"/>
              </w:rPr>
            </w:r>
            <w:r/>
          </w:p>
          <w:p>
            <w:pPr>
              <w:pStyle w:val="752"/>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4.专业舞台音视频设计、安装及调试乙级资质。</w:t>
            </w:r>
            <w:r>
              <w:rPr>
                <w:rFonts w:hint="eastAsia" w:ascii="仿宋" w:hAnsi="仿宋" w:eastAsia="仿宋" w:cs="仿宋"/>
                <w:color w:val="000000"/>
                <w:sz w:val="24"/>
                <w:szCs w:val="24"/>
                <w:highlight w:val="none"/>
                <w:lang w:val="en-US" w:eastAsia="zh-CN"/>
              </w:rPr>
            </w:r>
            <w:r/>
          </w:p>
          <w:p>
            <w:pPr>
              <w:pStyle w:val="752"/>
              <w:framePr w:vAnchor="text" w:hAnchor="page" w:x="706" w:y="468"/>
            </w:pPr>
            <w:r>
              <w:rPr>
                <w:rFonts w:hint="eastAsia" w:ascii="仿宋" w:hAnsi="仿宋" w:eastAsia="仿宋" w:cs="仿宋"/>
                <w:color w:val="000000"/>
                <w:sz w:val="24"/>
                <w:szCs w:val="24"/>
                <w:highlight w:val="none"/>
                <w:lang w:val="en-US" w:eastAsia="zh-CN"/>
              </w:rPr>
              <w:t xml:space="preserve">本项最高得3分，同一资质不重复计分。</w:t>
            </w:r>
            <w:r/>
          </w:p>
          <w:p>
            <w:pPr>
              <w:pStyle w:val="752"/>
              <w:rPr>
                <w:rFonts w:hint="eastAsia" w:eastAsia="宋体"/>
                <w:lang w:val="en-US" w:eastAsia="zh-CN"/>
              </w:rPr>
              <w:framePr w:vAnchor="text" w:hAnchor="page" w:x="706" w:y="468"/>
            </w:pPr>
            <w:r>
              <w:rPr>
                <w:rFonts w:hint="eastAsia" w:ascii="仿宋" w:hAnsi="仿宋" w:eastAsia="仿宋" w:cs="仿宋"/>
                <w:b/>
                <w:bCs/>
                <w:color w:val="000000"/>
                <w:sz w:val="24"/>
                <w:szCs w:val="24"/>
                <w:highlight w:val="none"/>
                <w:lang w:val="en-US" w:eastAsia="zh-CN"/>
              </w:rPr>
              <w:t xml:space="preserve">注：投标文件中提供以上原件扫描件，未提供或不符合不得分。</w:t>
            </w:r>
            <w:r>
              <w:rPr>
                <w:rFonts w:hint="eastAsia" w:eastAsia="宋体"/>
                <w:lang w:val="en-US" w:eastAsia="zh-CN"/>
              </w:rPr>
            </w:r>
            <w:r/>
          </w:p>
        </w:tc>
      </w:tr>
      <w:tr>
        <w:trPr>
          <w:trHeight w:val="411"/>
        </w:trPr>
        <w:tc>
          <w:tcPr>
            <w:tcW w:w="888" w:type="dxa"/>
            <w:vAlign w:val="center"/>
            <w:vMerge w:val="restart"/>
            <w:textDirection w:val="lrTb"/>
            <w:noWrap w:val="false"/>
          </w:tcPr>
          <w:p>
            <w:pPr>
              <w:pStyle w:val="752"/>
              <w:jc w:val="center"/>
              <w:spacing w:line="400" w:lineRule="exact"/>
              <w:widowControl/>
              <w:rPr>
                <w:rFonts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技术部分（51</w:t>
            </w:r>
            <w:r>
              <w:rPr>
                <w:rFonts w:ascii="仿宋" w:hAnsi="仿宋" w:eastAsia="仿宋" w:cs="仿宋"/>
                <w:color w:val="000000"/>
                <w:sz w:val="24"/>
                <w:szCs w:val="24"/>
                <w:highlight w:val="none"/>
                <w:lang w:val="en-US" w:eastAsia="zh-CN"/>
              </w:rPr>
            </w:r>
            <w:r/>
          </w:p>
          <w:p>
            <w:pPr>
              <w:pStyle w:val="752"/>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52"/>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所投产品的技术参数（</w:t>
            </w: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gridSpan w:val="2"/>
            <w:tcW w:w="8315" w:type="dxa"/>
            <w:vAlign w:val="center"/>
            <w:textDirection w:val="lrTb"/>
            <w:noWrap w:val="false"/>
          </w:tcPr>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对投标文件中《技术要求》进行评价。</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完全符合招标文件第六章《采购需求》中“三、主要技术要求”响应指标满足要求的得基础分20分。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1.带“▲”号指标为主要参数，低于招标文件要求或负偏离的在基础分的基础上扣1分，扣完为止。</w:t>
            </w:r>
            <w:r>
              <w:rPr>
                <w:rFonts w:hint="eastAsia" w:ascii="仿宋" w:hAnsi="仿宋" w:eastAsia="仿宋" w:cs="仿宋"/>
                <w:color w:val="000000"/>
                <w:sz w:val="24"/>
                <w:szCs w:val="24"/>
                <w:highlight w:val="none"/>
                <w:lang w:val="en-US" w:eastAsia="zh-CN"/>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lang w:val="en-US" w:eastAsia="zh-CN"/>
              </w:rPr>
              <w:t xml:space="preserve">2.其他参数为常规参数，有1项负偏离扣0.5分，扣完为止。</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本项最高得</w:t>
            </w: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分，最低得0分。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注：招标文件中要求提供佐证材料的，投标人须在投标文件中提供相应的佐证材料，否则不予认可。</w:t>
            </w:r>
            <w:r>
              <w:rPr>
                <w:rFonts w:hint="eastAsia" w:ascii="仿宋" w:hAnsi="仿宋" w:eastAsia="仿宋" w:cs="仿宋"/>
                <w:color w:val="000000"/>
                <w:sz w:val="24"/>
                <w:szCs w:val="24"/>
                <w:highlight w:val="none"/>
              </w:rPr>
            </w:r>
            <w:r/>
          </w:p>
        </w:tc>
      </w:tr>
      <w:tr>
        <w:trPr>
          <w:trHeight w:val="634"/>
        </w:trPr>
        <w:tc>
          <w:tcPr>
            <w:tcW w:w="888" w:type="dxa"/>
            <w:vAlign w:val="center"/>
            <w:vMerge w:val="continue"/>
            <w:textDirection w:val="lrTb"/>
            <w:noWrap w:val="false"/>
          </w:tcPr>
          <w:p>
            <w:pPr>
              <w:pStyle w:val="752"/>
              <w:ind w:firstLine="480"/>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1347" w:type="dxa"/>
            <w:vAlign w:val="center"/>
            <w:vMerge w:val="restart"/>
            <w:textDirection w:val="lrTb"/>
            <w:noWrap w:val="false"/>
          </w:tcPr>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实施方案（</w:t>
            </w: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gridSpan w:val="2"/>
            <w:tcW w:w="8315" w:type="dxa"/>
            <w:vAlign w:val="center"/>
            <w:textDirection w:val="lrTb"/>
            <w:noWrap w:val="false"/>
          </w:tcPr>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1.根据投标文件实施方案中实施计划、组织保障等方面的合理性进行综合评价。</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完整性（</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分）方案完整完全符合项目特点的得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分；较为完整的得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分；不完整的得</w:t>
            </w:r>
            <w:r>
              <w:rPr>
                <w:rFonts w:hint="eastAsia" w:ascii="仿宋" w:hAnsi="仿宋" w:eastAsia="仿宋" w:cs="仿宋"/>
                <w:color w:val="000000"/>
                <w:sz w:val="24"/>
                <w:szCs w:val="24"/>
                <w:highlight w:val="none"/>
                <w:lang w:val="en-US" w:eastAsia="zh-CN"/>
              </w:rPr>
              <w:t xml:space="preserve">0.5</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合理性（2分）方案科学合理的得2分；较为科学合理的得1分；欠缺的得0.5分；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可行性（</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分）方案可行性强的得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分；方案可行性</w:t>
            </w:r>
            <w:r>
              <w:rPr>
                <w:rFonts w:hint="eastAsia" w:ascii="仿宋" w:hAnsi="仿宋" w:eastAsia="仿宋" w:cs="仿宋"/>
                <w:color w:val="000000"/>
                <w:sz w:val="24"/>
                <w:szCs w:val="24"/>
                <w:highlight w:val="none"/>
                <w:lang w:val="en-US" w:eastAsia="zh-CN"/>
              </w:rPr>
              <w:t xml:space="preserve">较</w:t>
            </w:r>
            <w:r>
              <w:rPr>
                <w:rFonts w:hint="eastAsia" w:ascii="仿宋" w:hAnsi="仿宋" w:eastAsia="仿宋" w:cs="仿宋"/>
                <w:color w:val="000000"/>
                <w:sz w:val="24"/>
                <w:szCs w:val="24"/>
                <w:highlight w:val="none"/>
              </w:rPr>
              <w:t xml:space="preserve">强</w:t>
            </w:r>
            <w:r>
              <w:rPr>
                <w:rFonts w:hint="eastAsia" w:ascii="仿宋" w:hAnsi="仿宋" w:eastAsia="仿宋" w:cs="仿宋"/>
                <w:color w:val="000000"/>
                <w:sz w:val="24"/>
                <w:szCs w:val="24"/>
                <w:highlight w:val="none"/>
                <w:lang w:eastAsia="zh-CN"/>
              </w:rPr>
              <w:t xml:space="preserve">的</w:t>
            </w:r>
            <w:r>
              <w:rPr>
                <w:rFonts w:hint="eastAsia" w:ascii="仿宋" w:hAnsi="仿宋" w:eastAsia="仿宋" w:cs="仿宋"/>
                <w:color w:val="000000"/>
                <w:sz w:val="24"/>
                <w:szCs w:val="24"/>
                <w:highlight w:val="none"/>
                <w:lang w:val="en-US" w:eastAsia="zh-CN"/>
              </w:rPr>
              <w:t xml:space="preserve">得1分；</w:t>
            </w:r>
            <w:r>
              <w:rPr>
                <w:rFonts w:hint="eastAsia" w:ascii="仿宋" w:hAnsi="仿宋" w:eastAsia="仿宋" w:cs="仿宋"/>
                <w:color w:val="000000"/>
                <w:sz w:val="24"/>
                <w:szCs w:val="24"/>
                <w:highlight w:val="none"/>
              </w:rPr>
              <w:t xml:space="preserve">欠缺的得0.5分；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未提供方案不得分。</w:t>
            </w:r>
            <w:r>
              <w:rPr>
                <w:rFonts w:hint="eastAsia" w:ascii="仿宋" w:hAnsi="仿宋" w:eastAsia="仿宋" w:cs="仿宋"/>
                <w:color w:val="000000"/>
                <w:sz w:val="24"/>
                <w:szCs w:val="24"/>
                <w:highlight w:val="none"/>
              </w:rPr>
            </w:r>
            <w:r/>
          </w:p>
        </w:tc>
      </w:tr>
      <w:tr>
        <w:trPr>
          <w:trHeight w:val="634"/>
        </w:trPr>
        <w:tc>
          <w:tcPr>
            <w:tcW w:w="888" w:type="dxa"/>
            <w:vAlign w:val="center"/>
            <w:vMerge w:val="continue"/>
            <w:textDirection w:val="lrTb"/>
            <w:noWrap w:val="false"/>
          </w:tcPr>
          <w:p>
            <w:pPr>
              <w:pStyle w:val="752"/>
              <w:ind w:firstLine="480"/>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1347" w:type="dxa"/>
            <w:vAlign w:val="center"/>
            <w:vMerge w:val="continue"/>
            <w:textDirection w:val="lrTb"/>
            <w:noWrap w:val="false"/>
          </w:tcPr>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gridSpan w:val="2"/>
            <w:tcW w:w="8315" w:type="dxa"/>
            <w:vAlign w:val="center"/>
            <w:textDirection w:val="lrTb"/>
            <w:noWrap w:val="false"/>
          </w:tcPr>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2.根据投标文件实施方案中项目管理策略、质量和进度控制措施等的完整性进行综合评价。</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方案完整性（</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分）方案完整完全符合项目特点的得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分；较为完整的得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分；不完整的得</w:t>
            </w:r>
            <w:r>
              <w:rPr>
                <w:rFonts w:hint="eastAsia" w:ascii="仿宋" w:hAnsi="仿宋" w:eastAsia="仿宋" w:cs="仿宋"/>
                <w:color w:val="000000"/>
                <w:sz w:val="24"/>
                <w:szCs w:val="24"/>
                <w:highlight w:val="none"/>
                <w:lang w:val="en-US" w:eastAsia="zh-CN"/>
              </w:rPr>
              <w:t xml:space="preserve">0.5</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合理性（2分）方案科学合理的得2分；较为科学合理的得1分；欠缺的得0.5分；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可行性（</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分）方案可行性强的得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分；方案可行性</w:t>
            </w:r>
            <w:r>
              <w:rPr>
                <w:rFonts w:hint="eastAsia" w:ascii="仿宋" w:hAnsi="仿宋" w:eastAsia="仿宋" w:cs="仿宋"/>
                <w:color w:val="000000"/>
                <w:sz w:val="24"/>
                <w:szCs w:val="24"/>
                <w:highlight w:val="none"/>
                <w:lang w:val="en-US" w:eastAsia="zh-CN"/>
              </w:rPr>
              <w:t xml:space="preserve">较</w:t>
            </w:r>
            <w:r>
              <w:rPr>
                <w:rFonts w:hint="eastAsia" w:ascii="仿宋" w:hAnsi="仿宋" w:eastAsia="仿宋" w:cs="仿宋"/>
                <w:color w:val="000000"/>
                <w:sz w:val="24"/>
                <w:szCs w:val="24"/>
                <w:highlight w:val="none"/>
              </w:rPr>
              <w:t xml:space="preserve">强</w:t>
            </w:r>
            <w:r>
              <w:rPr>
                <w:rFonts w:hint="eastAsia" w:ascii="仿宋" w:hAnsi="仿宋" w:eastAsia="仿宋" w:cs="仿宋"/>
                <w:color w:val="000000"/>
                <w:sz w:val="24"/>
                <w:szCs w:val="24"/>
                <w:highlight w:val="none"/>
                <w:lang w:eastAsia="zh-CN"/>
              </w:rPr>
              <w:t xml:space="preserve">的</w:t>
            </w:r>
            <w:r>
              <w:rPr>
                <w:rFonts w:hint="eastAsia" w:ascii="仿宋" w:hAnsi="仿宋" w:eastAsia="仿宋" w:cs="仿宋"/>
                <w:color w:val="000000"/>
                <w:sz w:val="24"/>
                <w:szCs w:val="24"/>
                <w:highlight w:val="none"/>
                <w:lang w:val="en-US" w:eastAsia="zh-CN"/>
              </w:rPr>
              <w:t xml:space="preserve">得1分；</w:t>
            </w:r>
            <w:r>
              <w:rPr>
                <w:rFonts w:hint="eastAsia" w:ascii="仿宋" w:hAnsi="仿宋" w:eastAsia="仿宋" w:cs="仿宋"/>
                <w:color w:val="000000"/>
                <w:sz w:val="24"/>
                <w:szCs w:val="24"/>
                <w:highlight w:val="none"/>
              </w:rPr>
              <w:t xml:space="preserve">欠缺的得0.5分；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未提供方案不得分。</w:t>
            </w:r>
            <w:r>
              <w:rPr>
                <w:rFonts w:hint="eastAsia" w:ascii="仿宋" w:hAnsi="仿宋" w:eastAsia="仿宋" w:cs="仿宋"/>
                <w:color w:val="000000"/>
                <w:sz w:val="24"/>
                <w:szCs w:val="24"/>
                <w:highlight w:val="none"/>
              </w:rPr>
            </w:r>
            <w:r/>
          </w:p>
        </w:tc>
      </w:tr>
      <w:tr>
        <w:trPr>
          <w:trHeight w:val="634"/>
        </w:trPr>
        <w:tc>
          <w:tcPr>
            <w:tcW w:w="888" w:type="dxa"/>
            <w:vAlign w:val="center"/>
            <w:vMerge w:val="continue"/>
            <w:textDirection w:val="lrTb"/>
            <w:noWrap w:val="false"/>
          </w:tcPr>
          <w:p>
            <w:pPr>
              <w:pStyle w:val="752"/>
              <w:ind w:firstLine="480"/>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1347" w:type="dxa"/>
            <w:vAlign w:val="center"/>
            <w:vMerge w:val="continue"/>
            <w:textDirection w:val="lrTb"/>
            <w:noWrap w:val="false"/>
          </w:tcPr>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gridSpan w:val="2"/>
            <w:tcW w:w="8315" w:type="dxa"/>
            <w:vAlign w:val="center"/>
            <w:textDirection w:val="lrTb"/>
            <w:noWrap w:val="false"/>
          </w:tcPr>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3.根据投标文件实施方案中拟配备实施团队结构和成员分工等的清晰性、可执行性进行综合评价。</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方案完整性（</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分）方案完整完全符合项目特点的得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分；较为完整的得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分；不完整的得</w:t>
            </w:r>
            <w:r>
              <w:rPr>
                <w:rFonts w:hint="eastAsia" w:ascii="仿宋" w:hAnsi="仿宋" w:eastAsia="仿宋" w:cs="仿宋"/>
                <w:color w:val="000000"/>
                <w:sz w:val="24"/>
                <w:szCs w:val="24"/>
                <w:highlight w:val="none"/>
                <w:lang w:val="en-US" w:eastAsia="zh-CN"/>
              </w:rPr>
              <w:t xml:space="preserve">0.5</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合理性（2分）方案科学合理的得2分；较为科学合理的得1分；欠缺的得0.5分；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可行性（</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分）方案可行性强的得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分；方案可行性</w:t>
            </w:r>
            <w:r>
              <w:rPr>
                <w:rFonts w:hint="eastAsia" w:ascii="仿宋" w:hAnsi="仿宋" w:eastAsia="仿宋" w:cs="仿宋"/>
                <w:color w:val="000000"/>
                <w:sz w:val="24"/>
                <w:szCs w:val="24"/>
                <w:highlight w:val="none"/>
                <w:lang w:val="en-US" w:eastAsia="zh-CN"/>
              </w:rPr>
              <w:t xml:space="preserve">较</w:t>
            </w:r>
            <w:r>
              <w:rPr>
                <w:rFonts w:hint="eastAsia" w:ascii="仿宋" w:hAnsi="仿宋" w:eastAsia="仿宋" w:cs="仿宋"/>
                <w:color w:val="000000"/>
                <w:sz w:val="24"/>
                <w:szCs w:val="24"/>
                <w:highlight w:val="none"/>
              </w:rPr>
              <w:t xml:space="preserve">强</w:t>
            </w:r>
            <w:r>
              <w:rPr>
                <w:rFonts w:hint="eastAsia" w:ascii="仿宋" w:hAnsi="仿宋" w:eastAsia="仿宋" w:cs="仿宋"/>
                <w:color w:val="000000"/>
                <w:sz w:val="24"/>
                <w:szCs w:val="24"/>
                <w:highlight w:val="none"/>
                <w:lang w:eastAsia="zh-CN"/>
              </w:rPr>
              <w:t xml:space="preserve">的</w:t>
            </w:r>
            <w:r>
              <w:rPr>
                <w:rFonts w:hint="eastAsia" w:ascii="仿宋" w:hAnsi="仿宋" w:eastAsia="仿宋" w:cs="仿宋"/>
                <w:color w:val="000000"/>
                <w:sz w:val="24"/>
                <w:szCs w:val="24"/>
                <w:highlight w:val="none"/>
                <w:lang w:val="en-US" w:eastAsia="zh-CN"/>
              </w:rPr>
              <w:t xml:space="preserve">得1分；</w:t>
            </w:r>
            <w:r>
              <w:rPr>
                <w:rFonts w:hint="eastAsia" w:ascii="仿宋" w:hAnsi="仿宋" w:eastAsia="仿宋" w:cs="仿宋"/>
                <w:color w:val="000000"/>
                <w:sz w:val="24"/>
                <w:szCs w:val="24"/>
                <w:highlight w:val="none"/>
              </w:rPr>
              <w:t xml:space="preserve">欠缺的得0.5分；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未提供方案不得分。</w:t>
            </w:r>
            <w:r>
              <w:rPr>
                <w:rFonts w:hint="eastAsia" w:ascii="仿宋" w:hAnsi="仿宋" w:eastAsia="仿宋" w:cs="仿宋"/>
                <w:color w:val="000000"/>
                <w:sz w:val="24"/>
                <w:szCs w:val="24"/>
                <w:highlight w:val="none"/>
              </w:rPr>
            </w:r>
            <w:r/>
          </w:p>
        </w:tc>
      </w:tr>
      <w:tr>
        <w:trPr>
          <w:trHeight w:val="634"/>
        </w:trPr>
        <w:tc>
          <w:tcPr>
            <w:tcW w:w="888" w:type="dxa"/>
            <w:vAlign w:val="center"/>
            <w:vMerge w:val="continue"/>
            <w:textDirection w:val="lrTb"/>
            <w:noWrap w:val="false"/>
          </w:tcPr>
          <w:p>
            <w:pPr>
              <w:pStyle w:val="752"/>
              <w:ind w:firstLine="480"/>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1347" w:type="dxa"/>
            <w:vAlign w:val="center"/>
            <w:vMerge w:val="continue"/>
            <w:textDirection w:val="lrTb"/>
            <w:noWrap w:val="false"/>
          </w:tcPr>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gridSpan w:val="2"/>
            <w:tcW w:w="8315" w:type="dxa"/>
            <w:vAlign w:val="center"/>
            <w:textDirection w:val="lrTb"/>
            <w:noWrap w:val="false"/>
          </w:tcPr>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4.根据投标文件中设备安装调试、配送方案、验收标准的清晰性、可执行性进行综合评价。</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方案完整性（2分）方案完整完全符合项目特点的得2分；较为完整的得1分；不完整的得0.5分；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合理性（2分）方案科学合理的得2分；较为科学合理的得1分；欠缺的得0.5分；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可行性（</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分）方案可行性强的得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分；方案可行性</w:t>
            </w:r>
            <w:r>
              <w:rPr>
                <w:rFonts w:hint="eastAsia" w:ascii="仿宋" w:hAnsi="仿宋" w:eastAsia="仿宋" w:cs="仿宋"/>
                <w:color w:val="000000"/>
                <w:sz w:val="24"/>
                <w:szCs w:val="24"/>
                <w:highlight w:val="none"/>
                <w:lang w:val="en-US" w:eastAsia="zh-CN"/>
              </w:rPr>
              <w:t xml:space="preserve">较</w:t>
            </w:r>
            <w:r>
              <w:rPr>
                <w:rFonts w:hint="eastAsia" w:ascii="仿宋" w:hAnsi="仿宋" w:eastAsia="仿宋" w:cs="仿宋"/>
                <w:color w:val="000000"/>
                <w:sz w:val="24"/>
                <w:szCs w:val="24"/>
                <w:highlight w:val="none"/>
              </w:rPr>
              <w:t xml:space="preserve">强</w:t>
            </w:r>
            <w:r>
              <w:rPr>
                <w:rFonts w:hint="eastAsia" w:ascii="仿宋" w:hAnsi="仿宋" w:eastAsia="仿宋" w:cs="仿宋"/>
                <w:color w:val="000000"/>
                <w:sz w:val="24"/>
                <w:szCs w:val="24"/>
                <w:highlight w:val="none"/>
                <w:lang w:eastAsia="zh-CN"/>
              </w:rPr>
              <w:t xml:space="preserve">的</w:t>
            </w:r>
            <w:r>
              <w:rPr>
                <w:rFonts w:hint="eastAsia" w:ascii="仿宋" w:hAnsi="仿宋" w:eastAsia="仿宋" w:cs="仿宋"/>
                <w:color w:val="000000"/>
                <w:sz w:val="24"/>
                <w:szCs w:val="24"/>
                <w:highlight w:val="none"/>
                <w:lang w:val="en-US" w:eastAsia="zh-CN"/>
              </w:rPr>
              <w:t xml:space="preserve">得1分；</w:t>
            </w:r>
            <w:r>
              <w:rPr>
                <w:rFonts w:hint="eastAsia" w:ascii="仿宋" w:hAnsi="仿宋" w:eastAsia="仿宋" w:cs="仿宋"/>
                <w:color w:val="000000"/>
                <w:sz w:val="24"/>
                <w:szCs w:val="24"/>
                <w:highlight w:val="none"/>
              </w:rPr>
              <w:t xml:space="preserve">较强的得0.5分；</w:t>
            </w:r>
            <w:r>
              <w:rPr>
                <w:rFonts w:hint="eastAsia" w:ascii="仿宋" w:hAnsi="仿宋" w:eastAsia="仿宋" w:cs="仿宋"/>
                <w:color w:val="000000"/>
                <w:sz w:val="24"/>
                <w:szCs w:val="24"/>
                <w:highlight w:val="none"/>
              </w:rPr>
            </w:r>
            <w:r/>
          </w:p>
          <w:p>
            <w:pPr>
              <w:pStyle w:val="752"/>
              <w:spacing w:line="400" w:lineRule="exac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未提供方案不得分。</w:t>
            </w:r>
            <w:r>
              <w:rPr>
                <w:rFonts w:hint="eastAsia" w:ascii="仿宋" w:hAnsi="仿宋" w:eastAsia="仿宋" w:cs="仿宋"/>
                <w:color w:val="000000"/>
                <w:sz w:val="24"/>
                <w:szCs w:val="24"/>
                <w:highlight w:val="none"/>
              </w:rPr>
            </w:r>
            <w:r/>
          </w:p>
        </w:tc>
      </w:tr>
      <w:tr>
        <w:trPr>
          <w:trHeight w:val="634"/>
        </w:trPr>
        <w:tc>
          <w:tcPr>
            <w:tcW w:w="888" w:type="dxa"/>
            <w:vAlign w:val="center"/>
            <w:vMerge w:val="continue"/>
            <w:textDirection w:val="lrTb"/>
            <w:noWrap w:val="false"/>
          </w:tcPr>
          <w:p>
            <w:pPr>
              <w:pStyle w:val="752"/>
              <w:ind w:firstLine="480"/>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1347" w:type="dxa"/>
            <w:vAlign w:val="center"/>
            <w:vMerge w:val="restart"/>
            <w:textDirection w:val="lrTb"/>
            <w:noWrap w:val="false"/>
          </w:tcPr>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售后服务和培训方案</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1522" w:type="dxa"/>
            <w:vAlign w:val="center"/>
            <w:textDirection w:val="lrTb"/>
            <w:noWrap w:val="false"/>
          </w:tcPr>
          <w:p>
            <w:pPr>
              <w:pStyle w:val="752"/>
              <w:jc w:val="left"/>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培训方案（</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6793" w:type="dxa"/>
            <w:vAlign w:val="center"/>
            <w:textDirection w:val="lrTb"/>
            <w:noWrap w:val="false"/>
          </w:tcPr>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根据投标文件中的培训方案包括但不限于人员安排、培训计划、系统使用等进行综合评价：</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方案完整性（</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分）方案完整完全符合项目特点的得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分；较为完整的得1分；较为完整的得0.5分；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合理性（1分）方案科学合理的得1分；欠缺的得0.5分；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可行性（1分）方案可行性强的得1分；较强的得0.5分；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bCs/>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未提供方案不得分。</w:t>
            </w:r>
            <w:r>
              <w:rPr>
                <w:rFonts w:hint="eastAsia" w:ascii="仿宋" w:hAnsi="仿宋" w:eastAsia="仿宋" w:cs="仿宋"/>
                <w:bCs/>
                <w:color w:val="000000"/>
                <w:sz w:val="24"/>
                <w:szCs w:val="24"/>
                <w:highlight w:val="none"/>
              </w:rPr>
            </w:r>
            <w:r/>
          </w:p>
        </w:tc>
      </w:tr>
      <w:tr>
        <w:trPr>
          <w:trHeight w:val="634"/>
        </w:trPr>
        <w:tc>
          <w:tcPr>
            <w:tcW w:w="888" w:type="dxa"/>
            <w:vAlign w:val="center"/>
            <w:vMerge w:val="continue"/>
            <w:textDirection w:val="lrTb"/>
            <w:noWrap w:val="false"/>
          </w:tcPr>
          <w:p>
            <w:pPr>
              <w:pStyle w:val="752"/>
              <w:ind w:firstLine="480"/>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1347" w:type="dxa"/>
            <w:vAlign w:val="center"/>
            <w:vMerge w:val="continue"/>
            <w:textDirection w:val="lrTb"/>
            <w:noWrap w:val="false"/>
          </w:tcPr>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1522" w:type="dxa"/>
            <w:vAlign w:val="center"/>
            <w:textDirection w:val="lrTb"/>
            <w:noWrap w:val="false"/>
          </w:tcPr>
          <w:p>
            <w:pPr>
              <w:pStyle w:val="752"/>
              <w:jc w:val="left"/>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售后服务方案</w:t>
            </w:r>
            <w:r>
              <w:rPr>
                <w:rFonts w:hint="eastAsia" w:ascii="仿宋" w:hAnsi="仿宋" w:eastAsia="仿宋" w:cs="仿宋"/>
                <w:color w:val="000000"/>
                <w:sz w:val="24"/>
                <w:szCs w:val="24"/>
                <w:highlight w:val="none"/>
              </w:rPr>
            </w:r>
            <w:r/>
          </w:p>
          <w:p>
            <w:pPr>
              <w:pStyle w:val="752"/>
              <w:jc w:val="left"/>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6793" w:type="dxa"/>
            <w:vAlign w:val="center"/>
            <w:textDirection w:val="lrTb"/>
            <w:noWrap w:val="false"/>
          </w:tcPr>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根据投标人提供的售后服务方案（包含</w:t>
            </w:r>
            <w:r>
              <w:rPr>
                <w:rFonts w:hint="eastAsia" w:ascii="仿宋" w:hAnsi="仿宋" w:eastAsia="仿宋" w:cs="仿宋"/>
                <w:color w:val="000000"/>
                <w:sz w:val="24"/>
                <w:szCs w:val="24"/>
                <w:highlight w:val="none"/>
                <w:lang w:val="en-US" w:eastAsia="zh-CN"/>
              </w:rPr>
              <w:t xml:space="preserve">本地售后服务团队、</w:t>
            </w:r>
            <w:r>
              <w:rPr>
                <w:rFonts w:hint="eastAsia" w:ascii="仿宋" w:hAnsi="仿宋" w:eastAsia="仿宋" w:cs="仿宋"/>
                <w:color w:val="000000"/>
                <w:sz w:val="24"/>
                <w:szCs w:val="24"/>
                <w:highlight w:val="none"/>
              </w:rPr>
              <w:t xml:space="preserve">服务体系、服务内容、故障解决方案、响应时间、专业技术人员保障及服务电话等）等方面打分。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方案完整性（</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方案完整完全符合项目特点的得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分；较为完整的得</w:t>
            </w:r>
            <w:r>
              <w:rPr>
                <w:rFonts w:hint="eastAsia" w:ascii="仿宋" w:hAnsi="仿宋" w:eastAsia="仿宋" w:cs="仿宋"/>
                <w:color w:val="000000"/>
                <w:sz w:val="24"/>
                <w:szCs w:val="24"/>
                <w:highlight w:val="none"/>
                <w:lang w:val="en-US" w:eastAsia="zh-CN"/>
              </w:rPr>
              <w:t xml:space="preserve">0.5</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合理性（1分）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方案科学合理的得1分；欠缺的得0.5分；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可行性（1分）方案可行性强的得1分；较强的得0.5分；</w:t>
            </w:r>
            <w:r>
              <w:rPr>
                <w:rFonts w:hint="eastAsia" w:ascii="仿宋" w:hAnsi="仿宋" w:eastAsia="仿宋" w:cs="仿宋"/>
                <w:color w:val="000000"/>
                <w:sz w:val="24"/>
                <w:szCs w:val="24"/>
                <w:highlight w:val="none"/>
              </w:rPr>
            </w:r>
            <w:r/>
          </w:p>
          <w:p>
            <w:pPr>
              <w:pStyle w:val="752"/>
              <w:spacing w:line="0" w:lineRule="atLeast"/>
              <w:rPr>
                <w:rFonts w:hint="eastAsia" w:ascii="仿宋" w:hAnsi="仿宋" w:eastAsia="仿宋" w:cs="仿宋"/>
                <w:bCs/>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未提供方案不得分。</w:t>
            </w:r>
            <w:r>
              <w:rPr>
                <w:rFonts w:hint="eastAsia" w:ascii="仿宋" w:hAnsi="仿宋" w:eastAsia="仿宋" w:cs="仿宋"/>
                <w:bCs/>
                <w:color w:val="000000"/>
                <w:sz w:val="24"/>
                <w:szCs w:val="24"/>
                <w:highlight w:val="none"/>
              </w:rPr>
            </w:r>
            <w:r/>
          </w:p>
        </w:tc>
      </w:tr>
      <w:tr>
        <w:trPr>
          <w:trHeight w:val="731"/>
        </w:trPr>
        <w:tc>
          <w:tcPr>
            <w:gridSpan w:val="2"/>
            <w:tcW w:w="2235" w:type="dxa"/>
            <w:vAlign w:val="center"/>
            <w:textDirection w:val="lrTb"/>
            <w:noWrap w:val="false"/>
          </w:tcPr>
          <w:p>
            <w:pPr>
              <w:pStyle w:val="752"/>
              <w:ind w:firstLine="480"/>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所报产品为“环境标志产品”（1分）</w:t>
            </w:r>
            <w:r>
              <w:rPr>
                <w:rFonts w:hint="eastAsia" w:ascii="仿宋" w:hAnsi="仿宋" w:eastAsia="仿宋" w:cs="仿宋"/>
                <w:color w:val="000000"/>
                <w:sz w:val="24"/>
                <w:szCs w:val="24"/>
                <w:highlight w:val="none"/>
              </w:rPr>
            </w:r>
            <w:r/>
          </w:p>
        </w:tc>
        <w:tc>
          <w:tcPr>
            <w:gridSpan w:val="2"/>
            <w:tcW w:w="8315" w:type="dxa"/>
            <w:vAlign w:val="center"/>
            <w:textDirection w:val="lrTb"/>
            <w:noWrap w:val="false"/>
          </w:tcPr>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投标主要产品（不低于投标总价的60%）属“环境标志产品”（必须是有效期内）的得1分，是否为“环境标志产品”，以是否列入中华人民共和国财政部、中华人民共和国环境保护部发布的“环境标志产品政府采购清单”为准，投标文件中提供有关证明材料扫描件，经评标委员会在</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"http://www.ccgp.gov.cn/"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http：//www.ccgp.gov.cn/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网上核查后方为有效。投标时不须原件核查。</w:t>
            </w:r>
            <w:r>
              <w:rPr>
                <w:rFonts w:hint="eastAsia" w:ascii="仿宋" w:hAnsi="仿宋" w:eastAsia="仿宋" w:cs="仿宋"/>
                <w:color w:val="000000"/>
                <w:sz w:val="24"/>
                <w:szCs w:val="24"/>
                <w:highlight w:val="none"/>
              </w:rPr>
            </w:r>
            <w:r/>
          </w:p>
        </w:tc>
      </w:tr>
      <w:tr>
        <w:trPr>
          <w:trHeight w:val="349"/>
        </w:trPr>
        <w:tc>
          <w:tcPr>
            <w:gridSpan w:val="2"/>
            <w:tcW w:w="2235" w:type="dxa"/>
            <w:vAlign w:val="center"/>
            <w:textDirection w:val="lrTb"/>
            <w:noWrap w:val="false"/>
          </w:tcPr>
          <w:p>
            <w:pPr>
              <w:pStyle w:val="752"/>
              <w:ind w:firstLine="480"/>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所报产品为“节能产品”（1分）</w:t>
            </w:r>
            <w:r>
              <w:rPr>
                <w:rFonts w:hint="eastAsia" w:ascii="仿宋" w:hAnsi="仿宋" w:eastAsia="仿宋" w:cs="仿宋"/>
                <w:color w:val="000000"/>
                <w:sz w:val="24"/>
                <w:szCs w:val="24"/>
                <w:highlight w:val="none"/>
              </w:rPr>
            </w:r>
            <w:r/>
          </w:p>
        </w:tc>
        <w:tc>
          <w:tcPr>
            <w:gridSpan w:val="2"/>
            <w:tcW w:w="8315" w:type="dxa"/>
            <w:vAlign w:val="center"/>
            <w:textDirection w:val="lrTb"/>
            <w:noWrap w:val="false"/>
          </w:tcPr>
          <w:p>
            <w:pPr>
              <w:pStyle w:val="752"/>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投标主要产品（不低于投标总价的60%）属“节能产品”（必须是有效期内）的得1分，是否为“节能产品”，以是否列入中华人民共和国财政部、中华人民共和国国家发展和改革委员会发布的“节能产品政府采购清单”为准，投标文件中提供有关证明材料扫描件，经评标委员会在</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"http://www.ccgp.gov.cn/"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http：//www.ccgp.gov.cn/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网上核查后方为有效。投标时不须原件核查。</w:t>
            </w:r>
            <w:r>
              <w:rPr>
                <w:rFonts w:hint="eastAsia" w:ascii="仿宋" w:hAnsi="仿宋" w:eastAsia="仿宋" w:cs="仿宋"/>
                <w:color w:val="000000"/>
                <w:sz w:val="24"/>
                <w:szCs w:val="24"/>
                <w:highlight w:val="none"/>
              </w:rPr>
            </w:r>
            <w:r/>
          </w:p>
        </w:tc>
      </w:tr>
    </w:tbl>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本章说明：本项目采用综合评分法。</w:t>
      </w:r>
      <w:r>
        <w:rPr>
          <w:rFonts w:hint="eastAsia" w:ascii="仿宋" w:hAnsi="仿宋" w:eastAsia="仿宋" w:cs="仿宋"/>
          <w:color w:val="000000"/>
          <w:sz w:val="30"/>
          <w:szCs w:val="30"/>
        </w:rPr>
      </w:r>
      <w:r/>
    </w:p>
    <w:p>
      <w:pPr>
        <w:pStyle w:val="811"/>
        <w:rPr>
          <w:rFonts w:hint="eastAsia" w:ascii="仿宋" w:hAnsi="仿宋" w:eastAsia="仿宋" w:cs="仿宋"/>
          <w:color w:val="000000"/>
        </w:rPr>
      </w:pPr>
      <w:r/>
      <w:bookmarkStart w:id="8" w:name="_Toc522790134"/>
      <w:r>
        <w:rPr>
          <w:rFonts w:hint="eastAsia" w:ascii="仿宋" w:hAnsi="仿宋" w:eastAsia="仿宋" w:cs="仿宋"/>
          <w:color w:val="000000"/>
        </w:rPr>
        <w:br w:type="page" w:clear="all"/>
      </w:r>
      <w:bookmarkStart w:id="9" w:name="_Toc14780"/>
      <w:r>
        <w:rPr>
          <w:rFonts w:hint="eastAsia" w:ascii="仿宋" w:hAnsi="仿宋" w:eastAsia="仿宋" w:cs="仿宋"/>
          <w:color w:val="000000"/>
        </w:rPr>
        <w:t xml:space="preserve">第五章  拟签订的合同文本</w:t>
      </w:r>
      <w:bookmarkEnd w:id="8"/>
      <w:r/>
      <w:bookmarkEnd w:id="9"/>
      <w:r>
        <w:rPr>
          <w:rFonts w:hint="eastAsia" w:ascii="仿宋" w:hAnsi="仿宋" w:eastAsia="仿宋" w:cs="仿宋"/>
          <w:color w:val="000000"/>
        </w:rPr>
      </w:r>
      <w:r/>
    </w:p>
    <w:p>
      <w:pPr>
        <w:pStyle w:val="776"/>
        <w:rPr>
          <w:rFonts w:hint="eastAsia" w:ascii="仿宋" w:hAnsi="仿宋" w:eastAsia="仿宋" w:cs="仿宋"/>
          <w:color w:val="000000"/>
          <w:sz w:val="28"/>
          <w:szCs w:val="28"/>
          <w:highlight w:val="none"/>
          <w:lang w:val="en-US" w:eastAsia="zh-CN"/>
        </w:rPr>
      </w:pPr>
      <w:r/>
      <w:bookmarkStart w:id="10" w:name="_Toc522790135"/>
      <w:r/>
      <w:bookmarkStart w:id="11" w:name="_Toc12097"/>
      <w:r>
        <w:rPr>
          <w:rFonts w:hint="eastAsia" w:ascii="仿宋" w:hAnsi="仿宋" w:eastAsia="仿宋" w:cs="仿宋"/>
          <w:color w:val="000000"/>
          <w:sz w:val="28"/>
          <w:szCs w:val="28"/>
          <w:highlight w:val="none"/>
        </w:rPr>
        <w:t xml:space="preserve">项目名称：</w:t>
      </w:r>
      <w:r>
        <w:rPr>
          <w:rFonts w:hint="eastAsia" w:ascii="仿宋" w:hAnsi="仿宋" w:eastAsia="仿宋" w:cs="仿宋"/>
          <w:i w:val="0"/>
          <w:iCs w:val="0"/>
          <w:caps w:val="0"/>
          <w:color w:val="000000"/>
          <w:spacing w:val="0"/>
          <w:sz w:val="28"/>
          <w:szCs w:val="28"/>
          <w:highlight w:val="none"/>
          <w:shd w:val="clear" w:color="auto" w:fill="auto"/>
          <w:lang w:eastAsia="zh-CN"/>
        </w:rPr>
        <w:t xml:space="preserve">徐州生物工程职业技术学院大学生活动中心舞美设备采购与安装</w:t>
      </w:r>
      <w:r>
        <w:rPr>
          <w:rFonts w:hint="eastAsia" w:ascii="仿宋" w:hAnsi="仿宋" w:eastAsia="仿宋" w:cs="仿宋"/>
          <w:color w:val="000000"/>
          <w:sz w:val="28"/>
          <w:szCs w:val="28"/>
          <w:highlight w:val="none"/>
          <w:lang w:val="en-US" w:eastAsia="zh-CN"/>
        </w:rPr>
      </w:r>
      <w:r/>
    </w:p>
    <w:p>
      <w:pPr>
        <w:pStyle w:val="77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rPr>
      </w:r>
      <w:r/>
    </w:p>
    <w:p>
      <w:pPr>
        <w:pStyle w:val="776"/>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合</w:t>
      </w:r>
      <w:r>
        <w:rPr>
          <w:rFonts w:hint="eastAsia" w:ascii="仿宋" w:hAnsi="仿宋" w:eastAsia="仿宋" w:cs="仿宋"/>
          <w:color w:val="000000"/>
          <w:sz w:val="72"/>
          <w:szCs w:val="72"/>
          <w:highlight w:val="none"/>
        </w:rPr>
      </w:r>
      <w:r/>
    </w:p>
    <w:p>
      <w:pPr>
        <w:pStyle w:val="776"/>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776"/>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776"/>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776"/>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同</w:t>
      </w:r>
      <w:r>
        <w:rPr>
          <w:rFonts w:hint="eastAsia" w:ascii="仿宋" w:hAnsi="仿宋" w:eastAsia="仿宋" w:cs="仿宋"/>
          <w:color w:val="000000"/>
          <w:sz w:val="72"/>
          <w:szCs w:val="72"/>
          <w:highlight w:val="none"/>
        </w:rPr>
      </w:r>
      <w:r/>
    </w:p>
    <w:p>
      <w:pPr>
        <w:pStyle w:val="77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7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7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76"/>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  购  人：</w:t>
      </w:r>
      <w:r>
        <w:rPr>
          <w:rFonts w:hint="eastAsia" w:ascii="仿宋" w:hAnsi="仿宋" w:eastAsia="仿宋" w:cs="仿宋"/>
          <w:color w:val="000000"/>
          <w:sz w:val="28"/>
          <w:szCs w:val="28"/>
          <w:highlight w:val="none"/>
        </w:rPr>
      </w:r>
      <w:r/>
    </w:p>
    <w:p>
      <w:pPr>
        <w:pStyle w:val="776"/>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76"/>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合同签订日期： 年 月 日</w:t>
      </w:r>
      <w:r>
        <w:rPr>
          <w:rFonts w:hint="eastAsia" w:ascii="仿宋" w:hAnsi="仿宋" w:eastAsia="仿宋" w:cs="仿宋"/>
          <w:color w:val="000000"/>
          <w:sz w:val="28"/>
          <w:szCs w:val="28"/>
          <w:highlight w:val="none"/>
        </w:rPr>
      </w:r>
      <w:r/>
    </w:p>
    <w:p>
      <w:pPr>
        <w:pStyle w:val="752"/>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友情提醒：采购人与中标、</w:t>
      </w: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应当在中标、成交通知书发出之日起三十日内，按照采购文件确定的事项签订政府采购合同。</w:t>
      </w:r>
      <w:r>
        <w:rPr>
          <w:rFonts w:hint="eastAsia" w:ascii="仿宋" w:hAnsi="仿宋" w:eastAsia="仿宋" w:cs="仿宋"/>
          <w:color w:val="000000"/>
          <w:sz w:val="28"/>
          <w:szCs w:val="28"/>
          <w:highlight w:val="none"/>
        </w:rPr>
      </w:r>
      <w:r/>
    </w:p>
    <w:p>
      <w:pPr>
        <w:pStyle w:val="752"/>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highlight w:val="none"/>
        </w:rPr>
      </w:r>
      <w:r/>
    </w:p>
    <w:p>
      <w:pPr>
        <w:pStyle w:val="752"/>
        <w:ind w:firstLine="48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52"/>
        <w:jc w:val="left"/>
        <w:spacing w:line="3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75"/>
        <w:ind w:firstLine="600"/>
        <w:jc w:val="center"/>
        <w:tabs>
          <w:tab w:val="left" w:pos="1440" w:leader="none"/>
          <w:tab w:val="right" w:pos="8296" w:leader="dot"/>
        </w:tabs>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clear="all"/>
      </w:r>
      <w:r>
        <w:rPr>
          <w:rFonts w:hint="eastAsia" w:ascii="仿宋" w:hAnsi="仿宋" w:eastAsia="仿宋" w:cs="仿宋"/>
          <w:b/>
          <w:bCs/>
          <w:color w:val="000000"/>
          <w:sz w:val="28"/>
          <w:szCs w:val="28"/>
          <w:highlight w:val="none"/>
        </w:rPr>
        <w:t xml:space="preserve">第一节 政府采购合同协议书</w:t>
      </w:r>
      <w:r>
        <w:rPr>
          <w:rFonts w:hint="eastAsia" w:ascii="仿宋" w:hAnsi="仿宋" w:eastAsia="仿宋" w:cs="仿宋"/>
          <w:color w:val="000000"/>
          <w:sz w:val="24"/>
          <w:szCs w:val="24"/>
          <w:highlight w:val="none"/>
        </w:rPr>
      </w:r>
      <w:r/>
    </w:p>
    <w:p>
      <w:pPr>
        <w:pStyle w:val="752"/>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徐州生物工程职业技术学院 </w:t>
      </w:r>
      <w:r>
        <w:rPr>
          <w:rFonts w:hint="eastAsia" w:ascii="仿宋" w:hAnsi="仿宋" w:eastAsia="仿宋" w:cs="仿宋"/>
          <w:color w:val="000000"/>
          <w:sz w:val="24"/>
          <w:szCs w:val="24"/>
          <w:highlight w:val="none"/>
        </w:rPr>
      </w:r>
      <w:r/>
    </w:p>
    <w:p>
      <w:pPr>
        <w:pStyle w:val="752"/>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rPr>
      </w:r>
      <w:r/>
    </w:p>
    <w:p>
      <w:pPr>
        <w:pStyle w:val="1009"/>
        <w:ind w:left="0"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仿宋" w:hAnsi="仿宋" w:eastAsia="仿宋" w:cs="仿宋"/>
          <w:color w:val="000000"/>
          <w:sz w:val="24"/>
          <w:szCs w:val="24"/>
          <w:highlight w:val="none"/>
        </w:rPr>
      </w:r>
      <w:r/>
    </w:p>
    <w:p>
      <w:pPr>
        <w:pStyle w:val="752"/>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项目信息</w:t>
      </w:r>
      <w:r>
        <w:rPr>
          <w:rFonts w:hint="eastAsia" w:ascii="仿宋" w:hAnsi="仿宋" w:eastAsia="仿宋" w:cs="仿宋"/>
          <w:b/>
          <w:color w:val="000000"/>
          <w:sz w:val="24"/>
          <w:szCs w:val="24"/>
          <w:highlight w:val="none"/>
        </w:rPr>
      </w:r>
      <w:r/>
    </w:p>
    <w:p>
      <w:pPr>
        <w:pStyle w:val="1009"/>
        <w:numPr>
          <w:ilvl w:val="0"/>
          <w:numId w:val="3"/>
        </w:numPr>
        <w:ind w:left="0" w:firstLine="560"/>
        <w:spacing w:after="0"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采购项目名称：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09"/>
        <w:ind w:left="0" w:firstLine="560"/>
        <w:spacing w:after="0" w:line="520" w:lineRule="exact"/>
        <w:tabs>
          <w:tab w:val="left" w:pos="99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采购项目编号：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09"/>
        <w:ind w:left="0"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（2）采购计划编号：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（3）项目内容：</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采购标的及数量（台/套</w:t>
      </w:r>
      <w:r>
        <w:rPr>
          <w:rFonts w:hint="eastAsia" w:ascii="仿宋" w:hAnsi="仿宋" w:eastAsia="仿宋" w:cs="仿宋"/>
          <w:color w:val="000000"/>
          <w:sz w:val="24"/>
          <w:szCs w:val="24"/>
          <w:highlight w:val="none"/>
          <w:lang w:val="en"/>
        </w:rPr>
        <w:t xml:space="preserve">/个/架/组等</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lang w:val="en"/>
        </w:rPr>
      </w:pPr>
      <w:r>
        <w:rPr>
          <w:rFonts w:hint="eastAsia" w:ascii="仿宋" w:hAnsi="仿宋" w:eastAsia="仿宋" w:cs="仿宋"/>
          <w:color w:val="000000"/>
          <w:sz w:val="24"/>
          <w:szCs w:val="24"/>
          <w:highlight w:val="none"/>
        </w:rPr>
        <w:t xml:space="preserve">     品牌：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en"/>
        </w:rPr>
        <w:t xml:space="preserve">     </w:t>
      </w:r>
      <w:r>
        <w:rPr>
          <w:rFonts w:hint="eastAsia" w:ascii="仿宋" w:hAnsi="仿宋" w:eastAsia="仿宋" w:cs="仿宋"/>
          <w:color w:val="000000"/>
          <w:sz w:val="24"/>
          <w:szCs w:val="24"/>
          <w:highlight w:val="none"/>
        </w:rPr>
        <w:t xml:space="preserve">规格型号：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en"/>
        </w:rPr>
      </w:r>
      <w:r/>
    </w:p>
    <w:p>
      <w:pPr>
        <w:pStyle w:val="752"/>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采购标的的技术要求、商务要求具体见附件。</w:t>
      </w:r>
      <w:r>
        <w:rPr>
          <w:rFonts w:hint="eastAsia" w:ascii="仿宋" w:hAnsi="仿宋" w:eastAsia="仿宋" w:cs="仿宋"/>
          <w:color w:val="000000"/>
          <w:sz w:val="24"/>
          <w:szCs w:val="24"/>
          <w:highlight w:val="none"/>
          <w:u w:val="single"/>
        </w:rPr>
      </w:r>
      <w:r/>
    </w:p>
    <w:p>
      <w:pPr>
        <w:pStyle w:val="1010"/>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4</w:t>
      </w:r>
      <w:r>
        <w:rPr>
          <w:rFonts w:hint="eastAsia" w:ascii="仿宋" w:hAnsi="仿宋" w:eastAsia="仿宋" w:cs="仿宋"/>
          <w:color w:val="000000"/>
          <w:sz w:val="24"/>
          <w:szCs w:val="24"/>
          <w:highlight w:val="none"/>
        </w:rPr>
        <w:t xml:space="preserve">）政府采购组织形式：□政府集中采购  □部门集中采购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分散采购</w:t>
      </w:r>
      <w:r>
        <w:rPr>
          <w:rFonts w:hint="eastAsia" w:ascii="仿宋" w:hAnsi="仿宋" w:eastAsia="仿宋" w:cs="仿宋"/>
          <w:color w:val="000000"/>
          <w:sz w:val="24"/>
          <w:szCs w:val="24"/>
          <w:highlight w:val="none"/>
        </w:rPr>
      </w:r>
      <w:r/>
    </w:p>
    <w:p>
      <w:pPr>
        <w:pStyle w:val="1010"/>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5</w:t>
      </w:r>
      <w:r>
        <w:rPr>
          <w:rFonts w:hint="eastAsia" w:ascii="仿宋" w:hAnsi="仿宋" w:eastAsia="仿宋" w:cs="仿宋"/>
          <w:color w:val="000000"/>
          <w:sz w:val="24"/>
          <w:szCs w:val="24"/>
          <w:highlight w:val="none"/>
        </w:rPr>
        <w:t xml:space="preserve">）政府采购方式：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公开招标 □邀请招标 □竞争性谈判 □竞争性磋商□询价 □单一来源 □框架协议 □其他：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10"/>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（注：在框架协议采购的第二阶段，可选择使用该合同文本）</w:t>
      </w:r>
      <w:r>
        <w:rPr>
          <w:rFonts w:hint="eastAsia" w:ascii="仿宋" w:hAnsi="仿宋" w:eastAsia="仿宋" w:cs="仿宋"/>
          <w:color w:val="000000"/>
          <w:sz w:val="24"/>
          <w:szCs w:val="24"/>
          <w:highlight w:val="none"/>
        </w:rPr>
      </w:r>
      <w:r/>
    </w:p>
    <w:p>
      <w:pPr>
        <w:pStyle w:val="1010"/>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6</w:t>
      </w:r>
      <w:r>
        <w:rPr>
          <w:rFonts w:hint="eastAsia" w:ascii="仿宋" w:hAnsi="仿宋" w:eastAsia="仿宋" w:cs="仿宋"/>
          <w:color w:val="000000"/>
          <w:sz w:val="24"/>
          <w:szCs w:val="24"/>
          <w:highlight w:val="none"/>
        </w:rPr>
        <w:t xml:space="preserve">）中标（成交）采购标的制造商是否为中小企业：□是      □否</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本合同是否为专门面向中小企业的采购合同（中小企业预留合同）：</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rPr>
          <w:rFonts w:hint="eastAsia" w:ascii="仿宋" w:hAnsi="仿宋" w:eastAsia="仿宋" w:cs="仿宋"/>
          <w:iCs/>
          <w:color w:val="000000"/>
          <w:sz w:val="24"/>
          <w:szCs w:val="24"/>
          <w:highlight w:val="none"/>
        </w:rPr>
      </w:r>
      <w:r/>
    </w:p>
    <w:p>
      <w:pPr>
        <w:pStyle w:val="752"/>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若本项目不专门面向中小企业采购，是否给予小微企业评审优惠：</w:t>
      </w:r>
      <w:r>
        <w:rPr>
          <w:rFonts w:hint="eastAsia" w:ascii="仿宋" w:hAnsi="仿宋" w:eastAsia="仿宋" w:cs="仿宋"/>
          <w:iCs/>
          <w:color w:val="000000"/>
          <w:sz w:val="24"/>
          <w:szCs w:val="24"/>
          <w:highlight w:val="none"/>
        </w:rPr>
        <w:t xml:space="preserve">□是   □否</w:t>
      </w:r>
      <w:r>
        <w:rPr>
          <w:rFonts w:hint="eastAsia" w:ascii="仿宋" w:hAnsi="仿宋" w:eastAsia="仿宋" w:cs="仿宋"/>
          <w:iCs/>
          <w:color w:val="000000"/>
          <w:sz w:val="24"/>
          <w:szCs w:val="24"/>
          <w:highlight w:val="none"/>
        </w:rPr>
      </w:r>
      <w:r/>
    </w:p>
    <w:p>
      <w:pPr>
        <w:pStyle w:val="752"/>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中标（成交）采购标的制造商是否为残疾人福利性单位：</w:t>
      </w:r>
      <w:r>
        <w:rPr>
          <w:rFonts w:hint="eastAsia" w:ascii="仿宋" w:hAnsi="仿宋" w:eastAsia="仿宋" w:cs="仿宋"/>
          <w:iCs/>
          <w:color w:val="000000"/>
          <w:sz w:val="24"/>
          <w:szCs w:val="24"/>
          <w:highlight w:val="none"/>
        </w:rPr>
        <w:t xml:space="preserve">□是   □否</w:t>
      </w:r>
      <w:r>
        <w:rPr>
          <w:rFonts w:hint="eastAsia" w:ascii="仿宋" w:hAnsi="仿宋" w:eastAsia="仿宋" w:cs="仿宋"/>
          <w:iCs/>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中标（成交）采购标的制造商是否为监狱企业：</w:t>
      </w:r>
      <w:r>
        <w:rPr>
          <w:rFonts w:hint="eastAsia" w:ascii="仿宋" w:hAnsi="仿宋" w:eastAsia="仿宋" w:cs="仿宋"/>
          <w:iCs/>
          <w:color w:val="000000"/>
          <w:sz w:val="24"/>
          <w:szCs w:val="24"/>
          <w:highlight w:val="none"/>
        </w:rPr>
        <w:t xml:space="preserve">□是       □否</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7</w:t>
      </w:r>
      <w:r>
        <w:rPr>
          <w:rFonts w:hint="eastAsia" w:ascii="仿宋" w:hAnsi="仿宋" w:eastAsia="仿宋" w:cs="仿宋"/>
          <w:color w:val="000000"/>
          <w:sz w:val="24"/>
          <w:szCs w:val="24"/>
          <w:highlight w:val="none"/>
        </w:rPr>
        <w:t xml:space="preserve">）合同是否分包：</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分包主要内容：</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2"/>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分包供应商/制造商名称（如供应商和制造商不同，请分别填写）：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分包供应商/制造商类型（如果供应商和制造商不同，只填写制造商类型）：</w:t>
      </w:r>
      <w:r>
        <w:rPr>
          <w:rFonts w:hint="eastAsia" w:ascii="仿宋" w:hAnsi="仿宋" w:eastAsia="仿宋" w:cs="仿宋"/>
          <w:iCs/>
          <w:color w:val="000000"/>
          <w:sz w:val="24"/>
          <w:szCs w:val="24"/>
          <w:highlight w:val="none"/>
        </w:rPr>
        <w:t xml:space="preserve">□大型企业  □中型企业  □小微型企业  □残疾人福利性单位 □监狱企业 □其他</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8</w:t>
      </w:r>
      <w:r>
        <w:rPr>
          <w:rFonts w:hint="eastAsia" w:ascii="仿宋" w:hAnsi="仿宋" w:eastAsia="仿宋" w:cs="仿宋"/>
          <w:color w:val="000000"/>
          <w:sz w:val="24"/>
          <w:szCs w:val="24"/>
          <w:highlight w:val="none"/>
        </w:rPr>
        <w:t xml:space="preserve">）中标（成交）供应商是否为外商投资企业：</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rPr>
          <w:rFonts w:hint="eastAsia" w:ascii="仿宋" w:hAnsi="仿宋" w:eastAsia="仿宋" w:cs="仿宋"/>
          <w:iCs/>
          <w:color w:val="000000"/>
          <w:sz w:val="24"/>
          <w:szCs w:val="24"/>
          <w:highlight w:val="none"/>
        </w:rPr>
      </w:r>
      <w:r/>
    </w:p>
    <w:p>
      <w:pPr>
        <w:pStyle w:val="1010"/>
        <w:ind w:firstLine="560"/>
        <w:spacing w:line="520" w:lineRule="exact"/>
        <w:tabs>
          <w:tab w:val="left" w:pos="134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外商投资企业类型：</w:t>
      </w:r>
      <w:r>
        <w:rPr>
          <w:rFonts w:hint="eastAsia" w:ascii="仿宋" w:hAnsi="仿宋" w:eastAsia="仿宋" w:cs="仿宋"/>
          <w:iCs/>
          <w:color w:val="000000"/>
          <w:sz w:val="24"/>
          <w:szCs w:val="24"/>
          <w:highlight w:val="none"/>
        </w:rPr>
        <w:t xml:space="preserve">□</w:t>
      </w:r>
      <w:r>
        <w:rPr>
          <w:rFonts w:hint="eastAsia" w:ascii="仿宋" w:hAnsi="仿宋" w:eastAsia="仿宋" w:cs="仿宋"/>
          <w:color w:val="000000"/>
          <w:sz w:val="24"/>
          <w:szCs w:val="24"/>
          <w:highlight w:val="none"/>
        </w:rPr>
        <w:t xml:space="preserve">全部由外国投资者投资  </w:t>
      </w:r>
      <w:r>
        <w:rPr>
          <w:rFonts w:hint="eastAsia" w:ascii="仿宋" w:hAnsi="仿宋" w:eastAsia="仿宋" w:cs="仿宋"/>
          <w:iCs/>
          <w:color w:val="000000"/>
          <w:sz w:val="24"/>
          <w:szCs w:val="24"/>
          <w:highlight w:val="none"/>
        </w:rPr>
        <w:t xml:space="preserve">□部分由外国投资者投资</w:t>
      </w:r>
      <w:r>
        <w:rPr>
          <w:rFonts w:hint="eastAsia" w:ascii="仿宋" w:hAnsi="仿宋" w:eastAsia="仿宋" w:cs="仿宋"/>
          <w:color w:val="000000"/>
          <w:sz w:val="24"/>
          <w:szCs w:val="24"/>
          <w:highlight w:val="none"/>
          <w:u w:val="singl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9</w:t>
      </w:r>
      <w:r>
        <w:rPr>
          <w:rFonts w:hint="eastAsia" w:ascii="仿宋" w:hAnsi="仿宋" w:eastAsia="仿宋" w:cs="仿宋"/>
          <w:color w:val="000000"/>
          <w:sz w:val="24"/>
          <w:szCs w:val="24"/>
          <w:highlight w:val="none"/>
        </w:rPr>
        <w:t xml:space="preserve">）是否涉及进口产品：</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□是，《政府采购品目分类目录》底级品目名称：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金额：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国别：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品牌：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规格型号：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752"/>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
        </w:rPr>
        <w:t xml:space="preserve">0</w:t>
      </w:r>
      <w:r>
        <w:rPr>
          <w:rFonts w:hint="eastAsia" w:ascii="仿宋" w:hAnsi="仿宋" w:eastAsia="仿宋" w:cs="仿宋"/>
          <w:color w:val="000000"/>
          <w:sz w:val="24"/>
          <w:szCs w:val="24"/>
          <w:highlight w:val="none"/>
        </w:rPr>
        <w:t xml:space="preserve">）是否涉及节能产品：</w:t>
      </w:r>
      <w:r>
        <w:rPr>
          <w:rFonts w:hint="eastAsia" w:ascii="仿宋" w:hAnsi="仿宋" w:eastAsia="仿宋" w:cs="仿宋"/>
          <w:color w:val="000000"/>
          <w:sz w:val="24"/>
          <w:szCs w:val="24"/>
          <w:highlight w:val="none"/>
        </w:rPr>
      </w:r>
      <w:r/>
    </w:p>
    <w:p>
      <w:pPr>
        <w:pStyle w:val="752"/>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□是，《节能产品政府采购品目清单》的底级品目名称：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     </w:t>
      </w:r>
      <w:r>
        <w:rPr>
          <w:rFonts w:hint="eastAsia" w:ascii="仿宋" w:hAnsi="仿宋" w:eastAsia="仿宋" w:cs="仿宋"/>
          <w:iCs/>
          <w:color w:val="000000"/>
          <w:sz w:val="24"/>
          <w:szCs w:val="24"/>
          <w:highlight w:val="none"/>
        </w:rPr>
      </w:r>
      <w:r/>
    </w:p>
    <w:p>
      <w:pPr>
        <w:pStyle w:val="752"/>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rPr>
          <w:rFonts w:hint="eastAsia" w:ascii="仿宋" w:hAnsi="仿宋" w:eastAsia="仿宋" w:cs="仿宋"/>
          <w:iCs/>
          <w:color w:val="000000"/>
          <w:sz w:val="24"/>
          <w:szCs w:val="24"/>
          <w:highlight w:val="none"/>
        </w:rPr>
      </w:r>
      <w:r/>
    </w:p>
    <w:p>
      <w:pPr>
        <w:pStyle w:val="752"/>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752"/>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是否涉及环境标志产品：</w:t>
      </w:r>
      <w:r>
        <w:rPr>
          <w:rFonts w:hint="eastAsia" w:ascii="仿宋" w:hAnsi="仿宋" w:eastAsia="仿宋" w:cs="仿宋"/>
          <w:color w:val="000000"/>
          <w:sz w:val="24"/>
          <w:szCs w:val="24"/>
          <w:highlight w:val="none"/>
        </w:rPr>
      </w:r>
      <w:r/>
    </w:p>
    <w:p>
      <w:pPr>
        <w:pStyle w:val="752"/>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□是，《环境标志产品政府采购品目清单》的底级品目名称：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 </w:t>
      </w:r>
      <w:r>
        <w:rPr>
          <w:rFonts w:hint="eastAsia" w:ascii="仿宋" w:hAnsi="仿宋" w:eastAsia="仿宋" w:cs="仿宋"/>
          <w:color w:val="000000"/>
          <w:sz w:val="24"/>
          <w:szCs w:val="24"/>
          <w:highlight w:val="none"/>
        </w:rPr>
      </w:r>
      <w:r/>
    </w:p>
    <w:p>
      <w:pPr>
        <w:pStyle w:val="752"/>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rPr>
          <w:rFonts w:hint="eastAsia" w:ascii="仿宋" w:hAnsi="仿宋" w:eastAsia="仿宋" w:cs="仿宋"/>
          <w:iCs/>
          <w:color w:val="000000"/>
          <w:sz w:val="24"/>
          <w:szCs w:val="24"/>
          <w:highlight w:val="none"/>
        </w:rPr>
      </w:r>
      <w:r/>
    </w:p>
    <w:p>
      <w:pPr>
        <w:pStyle w:val="752"/>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1010"/>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是否涉及绿色产品： </w:t>
      </w:r>
      <w:r>
        <w:rPr>
          <w:rFonts w:hint="eastAsia" w:ascii="仿宋" w:hAnsi="仿宋" w:eastAsia="仿宋" w:cs="仿宋"/>
          <w:color w:val="000000"/>
          <w:sz w:val="24"/>
          <w:szCs w:val="24"/>
          <w:highlight w:val="none"/>
        </w:rPr>
      </w:r>
      <w:r/>
    </w:p>
    <w:p>
      <w:pPr>
        <w:pStyle w:val="1010"/>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□是，绿色产品政府采购相关政策确定的底级品目名称：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2"/>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rPr>
          <w:rFonts w:hint="eastAsia" w:ascii="仿宋" w:hAnsi="仿宋" w:eastAsia="仿宋" w:cs="仿宋"/>
          <w:iCs/>
          <w:color w:val="000000"/>
          <w:sz w:val="24"/>
          <w:szCs w:val="24"/>
          <w:highlight w:val="none"/>
        </w:rPr>
      </w:r>
      <w:r/>
    </w:p>
    <w:p>
      <w:pPr>
        <w:pStyle w:val="1010"/>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
        </w:rPr>
        <w:t xml:space="preserve">1</w:t>
      </w:r>
      <w:r>
        <w:rPr>
          <w:rFonts w:hint="eastAsia" w:ascii="仿宋" w:hAnsi="仿宋" w:eastAsia="仿宋" w:cs="仿宋"/>
          <w:color w:val="000000"/>
          <w:sz w:val="24"/>
          <w:szCs w:val="24"/>
          <w:highlight w:val="none"/>
        </w:rPr>
        <w:t xml:space="preserve">）涉及商品包装和快递包装的，是否参考《商品包装政府采购需求标准（试行）》、《快递包装政府采购需求标准（试行）》明确产品及相关快递服务的具体包装要求：</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       □否      □不涉及</w:t>
      </w:r>
      <w:r>
        <w:rPr>
          <w:rFonts w:hint="eastAsia" w:ascii="仿宋" w:hAnsi="仿宋" w:eastAsia="仿宋" w:cs="仿宋"/>
          <w:color w:val="000000"/>
          <w:sz w:val="24"/>
          <w:szCs w:val="24"/>
          <w:highlight w:val="none"/>
        </w:rPr>
      </w:r>
      <w:r/>
    </w:p>
    <w:p>
      <w:pPr>
        <w:pStyle w:val="752"/>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合同金额</w:t>
      </w:r>
      <w:r>
        <w:rPr>
          <w:rFonts w:hint="eastAsia" w:ascii="仿宋" w:hAnsi="仿宋" w:eastAsia="仿宋" w:cs="仿宋"/>
          <w:b/>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（1）合同金额小写：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（注：固定单价合同应填写单价和最高限价）</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（2）合同定价方式（采用组合定价方式的，可以勾选多项）：</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固定总价 □固定单价 □固定费率 □成本补偿 □绩效激励 □其他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11"/>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（3）付款方式（按项目实际勾选填写）：</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□全额付款：</w:t>
      </w:r>
      <w:r>
        <w:rPr>
          <w:rFonts w:hint="eastAsia" w:ascii="仿宋" w:hAnsi="仿宋" w:eastAsia="仿宋" w:cs="仿宋"/>
          <w:color w:val="000000"/>
          <w:sz w:val="24"/>
          <w:szCs w:val="24"/>
          <w:highlight w:val="none"/>
          <w:u w:val="single"/>
        </w:rPr>
        <w:t xml:space="preserve">（应明确一次性支付合同款项的条件） </w:t>
      </w:r>
      <w:r>
        <w:rPr>
          <w:rFonts w:hint="eastAsia" w:ascii="仿宋" w:hAnsi="仿宋" w:eastAsia="仿宋" w:cs="仿宋"/>
          <w:color w:val="000000"/>
          <w:sz w:val="24"/>
          <w:szCs w:val="24"/>
          <w:highlight w:val="none"/>
          <w:u w:val="single"/>
        </w:rPr>
      </w:r>
      <w:r/>
    </w:p>
    <w:p>
      <w:pPr>
        <w:pStyle w:val="752"/>
        <w:ind w:firstLine="6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分期付款：本合同总金额为人民币大写金额</w:t>
      </w:r>
      <w:r>
        <w:rPr>
          <w:rFonts w:hint="eastAsia" w:ascii="仿宋" w:hAnsi="仿宋" w:eastAsia="仿宋" w:cs="仿宋"/>
          <w:color w:val="000000"/>
          <w:sz w:val="24"/>
          <w:szCs w:val="24"/>
          <w:highlight w:val="none"/>
          <w:u w:val="single"/>
        </w:rPr>
        <w:t xml:space="preserve">        元（小写金额：         元）</w:t>
      </w:r>
      <w:r>
        <w:rPr>
          <w:rFonts w:hint="eastAsia" w:ascii="仿宋" w:hAnsi="仿宋" w:eastAsia="仿宋" w:cs="仿宋"/>
          <w:color w:val="000000"/>
          <w:sz w:val="24"/>
          <w:szCs w:val="24"/>
          <w:highlight w:val="none"/>
        </w:rPr>
        <w:t xml:space="preserve">，经双方协商一致，选择以下第</w:t>
      </w:r>
      <w:r>
        <w:rPr>
          <w:rFonts w:hint="eastAsia" w:ascii="仿宋" w:hAnsi="仿宋" w:eastAsia="仿宋" w:cs="仿宋"/>
          <w:color w:val="000000"/>
          <w:sz w:val="24"/>
          <w:szCs w:val="24"/>
          <w:highlight w:val="none"/>
          <w:u w:val="single"/>
          <w:lang w:val="en-US" w:eastAsia="zh-CN"/>
        </w:rPr>
        <w:t xml:space="preserve">一 </w:t>
      </w:r>
      <w:r>
        <w:rPr>
          <w:rFonts w:hint="eastAsia" w:ascii="仿宋" w:hAnsi="仿宋" w:eastAsia="仿宋" w:cs="仿宋"/>
          <w:color w:val="000000"/>
          <w:sz w:val="24"/>
          <w:szCs w:val="24"/>
          <w:highlight w:val="none"/>
        </w:rPr>
        <w:t xml:space="preserve">种付款方式：</w:t>
      </w:r>
      <w:r>
        <w:rPr>
          <w:rFonts w:hint="eastAsia" w:ascii="仿宋" w:hAnsi="仿宋" w:eastAsia="仿宋" w:cs="仿宋"/>
          <w:color w:val="000000"/>
          <w:sz w:val="24"/>
          <w:szCs w:val="24"/>
          <w:highlight w:val="none"/>
        </w:rPr>
      </w:r>
      <w:r/>
    </w:p>
    <w:p>
      <w:pPr>
        <w:pStyle w:val="979"/>
        <w:ind w:firstLine="608"/>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（一）付款方式一：提交预付款保函的</w:t>
      </w:r>
      <w:r>
        <w:rPr>
          <w:rFonts w:hint="eastAsia" w:ascii="仿宋" w:hAnsi="仿宋" w:eastAsia="仿宋" w:cs="仿宋"/>
          <w:b/>
          <w:bCs/>
          <w:color w:val="000000"/>
          <w:sz w:val="24"/>
          <w:szCs w:val="24"/>
          <w:highlight w:val="none"/>
        </w:rPr>
      </w:r>
      <w:r/>
    </w:p>
    <w:p>
      <w:pPr>
        <w:pStyle w:val="979"/>
        <w:ind w:firstLine="606"/>
        <w:spacing w:line="48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合同总价的百分之四十(40%)即￥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作为预付款，在合同签订生效且卖方向买方出具合同总价的百分之四十（40%)即￥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的预付款保函，买方自收到收据（收据金额为合同总价的40%）后10个工作日内，将资金支付到合同约定的卖方账户。</w:t>
      </w:r>
      <w:r>
        <w:rPr>
          <w:rFonts w:hint="eastAsia" w:ascii="仿宋" w:hAnsi="仿宋" w:eastAsia="仿宋" w:cs="仿宋"/>
          <w:color w:val="000000"/>
          <w:sz w:val="24"/>
          <w:szCs w:val="24"/>
          <w:highlight w:val="none"/>
        </w:rPr>
      </w:r>
      <w:r/>
    </w:p>
    <w:p>
      <w:pPr>
        <w:pStyle w:val="979"/>
        <w:ind w:firstLine="606"/>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结算款:经甲方最终验收合格，乙方提交结算资料，经甲方审核确认后，甲方收到发票(发票金额为扣除预付款、考核扣款后的最终结算价款数额)后</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提交财政资金申请程序后20个工作日内</w:t>
      </w:r>
      <w:r>
        <w:rPr>
          <w:rFonts w:hint="eastAsia" w:ascii="仿宋" w:hAnsi="仿宋" w:eastAsia="仿宋" w:cs="仿宋"/>
          <w:bCs/>
          <w:color w:val="000000"/>
          <w:sz w:val="24"/>
          <w:szCs w:val="24"/>
          <w:highlight w:val="none"/>
        </w:rPr>
        <w:t xml:space="preserve">将资金支付到合同约定的乙方账户。</w:t>
      </w:r>
      <w:r>
        <w:rPr>
          <w:rFonts w:hint="eastAsia" w:ascii="仿宋" w:hAnsi="仿宋" w:eastAsia="仿宋" w:cs="仿宋"/>
          <w:bCs/>
          <w:color w:val="000000"/>
          <w:sz w:val="24"/>
          <w:szCs w:val="24"/>
          <w:highlight w:val="none"/>
        </w:rPr>
      </w:r>
      <w:r/>
    </w:p>
    <w:p>
      <w:pPr>
        <w:pStyle w:val="752"/>
        <w:ind w:firstLine="605"/>
        <w:spacing w:line="480" w:lineRule="exact"/>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（二）</w:t>
      </w:r>
      <w:r>
        <w:rPr>
          <w:rFonts w:hint="eastAsia" w:ascii="仿宋" w:hAnsi="仿宋" w:eastAsia="仿宋" w:cs="仿宋"/>
          <w:b/>
          <w:color w:val="000000"/>
          <w:sz w:val="24"/>
          <w:szCs w:val="24"/>
          <w:highlight w:val="none"/>
        </w:rPr>
        <w:t xml:space="preserve">付款方式二：不提交预付款保函的</w:t>
      </w:r>
      <w:r>
        <w:rPr>
          <w:rFonts w:hint="eastAsia" w:ascii="仿宋" w:hAnsi="仿宋" w:eastAsia="仿宋" w:cs="仿宋"/>
          <w:b/>
          <w:color w:val="000000"/>
          <w:sz w:val="24"/>
          <w:szCs w:val="24"/>
          <w:highlight w:val="none"/>
        </w:rPr>
      </w:r>
      <w:r/>
    </w:p>
    <w:p>
      <w:pPr>
        <w:pStyle w:val="979"/>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rPr>
        <w:t xml:space="preserve">合同总价的百分之三十(30%)即￥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作为预付款，在合同签订生效</w:t>
      </w:r>
      <w:r>
        <w:rPr>
          <w:rFonts w:hint="eastAsia" w:ascii="仿宋" w:hAnsi="仿宋" w:eastAsia="仿宋" w:cs="仿宋"/>
          <w:bCs/>
          <w:color w:val="000000"/>
          <w:sz w:val="24"/>
          <w:szCs w:val="24"/>
          <w:highlight w:val="none"/>
          <w:lang w:val="en-US" w:eastAsia="zh-CN"/>
        </w:rPr>
        <w:t xml:space="preserve">后10个工作日内</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甲方办理财政资金结算手续，将资金支付到合同约定的乙方账户。</w:t>
      </w:r>
      <w:r>
        <w:rPr>
          <w:rFonts w:hint="eastAsia" w:ascii="仿宋" w:hAnsi="仿宋" w:eastAsia="仿宋" w:cs="仿宋"/>
          <w:bCs/>
          <w:color w:val="000000"/>
          <w:sz w:val="24"/>
          <w:szCs w:val="24"/>
          <w:highlight w:val="none"/>
          <w:lang w:val="en-US" w:eastAsia="zh-CN"/>
        </w:rPr>
      </w:r>
      <w:r/>
    </w:p>
    <w:p>
      <w:pPr>
        <w:pStyle w:val="979"/>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乙方需提交的支付文件包括：</w:t>
      </w:r>
      <w:r>
        <w:rPr>
          <w:rFonts w:hint="eastAsia" w:ascii="仿宋" w:hAnsi="仿宋" w:eastAsia="仿宋" w:cs="仿宋"/>
          <w:bCs/>
          <w:color w:val="000000"/>
          <w:sz w:val="24"/>
          <w:szCs w:val="24"/>
          <w:highlight w:val="none"/>
          <w:lang w:val="en-US" w:eastAsia="zh-CN"/>
        </w:rPr>
      </w:r>
      <w:r/>
    </w:p>
    <w:p>
      <w:pPr>
        <w:pStyle w:val="979"/>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乙方出具的合同价款的百分之三十（30%）增值税专用发票。</w:t>
      </w:r>
      <w:r>
        <w:rPr>
          <w:rFonts w:hint="eastAsia" w:ascii="仿宋" w:hAnsi="仿宋" w:eastAsia="仿宋" w:cs="仿宋"/>
          <w:bCs/>
          <w:color w:val="000000"/>
          <w:sz w:val="24"/>
          <w:szCs w:val="24"/>
          <w:highlight w:val="none"/>
          <w:lang w:val="en-US" w:eastAsia="zh-CN"/>
        </w:rPr>
      </w:r>
      <w:r/>
    </w:p>
    <w:p>
      <w:pPr>
        <w:pStyle w:val="979"/>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lang w:val="en-US" w:eastAsia="zh-CN"/>
        </w:rPr>
        <w:t xml:space="preserve">合同总价的百分之三十（30%）</w:t>
      </w:r>
      <w:r>
        <w:rPr>
          <w:rFonts w:hint="eastAsia" w:ascii="仿宋" w:hAnsi="仿宋" w:eastAsia="仿宋" w:cs="仿宋"/>
          <w:bCs/>
          <w:color w:val="000000"/>
          <w:sz w:val="24"/>
          <w:szCs w:val="24"/>
          <w:highlight w:val="none"/>
        </w:rPr>
        <w:t xml:space="preserve">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none"/>
          <w:lang w:val="en-US" w:eastAsia="zh-CN"/>
        </w:rPr>
        <w:t xml:space="preserve">经甲方预验收合格，乙方设备及系统已调试完成，相关技术人员以及备用物料已准备妥当，满足设备进场条件，经甲方审核确认后10个工作日内，甲方办理财政资金结算手续，将资金支付到合同约定的乙方账户。</w:t>
      </w:r>
      <w:r>
        <w:rPr>
          <w:rFonts w:hint="eastAsia" w:ascii="仿宋" w:hAnsi="仿宋" w:eastAsia="仿宋" w:cs="仿宋"/>
          <w:bCs/>
          <w:color w:val="000000"/>
          <w:sz w:val="24"/>
          <w:szCs w:val="24"/>
          <w:highlight w:val="none"/>
          <w:u w:val="none"/>
          <w:lang w:val="en-US" w:eastAsia="zh-CN"/>
        </w:rPr>
      </w:r>
      <w:r/>
    </w:p>
    <w:p>
      <w:pPr>
        <w:pStyle w:val="979"/>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乙方需提交的支付文件包括：</w:t>
      </w:r>
      <w:r>
        <w:rPr>
          <w:rFonts w:hint="eastAsia" w:ascii="仿宋" w:hAnsi="仿宋" w:eastAsia="仿宋" w:cs="仿宋"/>
          <w:bCs/>
          <w:color w:val="000000"/>
          <w:sz w:val="24"/>
          <w:szCs w:val="24"/>
          <w:highlight w:val="none"/>
          <w:u w:val="none"/>
          <w:lang w:val="en-US" w:eastAsia="zh-CN"/>
        </w:rPr>
      </w:r>
      <w:r/>
    </w:p>
    <w:p>
      <w:pPr>
        <w:pStyle w:val="979"/>
        <w:numPr>
          <w:ilvl w:val="0"/>
          <w:numId w:val="4"/>
        </w:numPr>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项目预验收意见书；</w:t>
      </w:r>
      <w:r>
        <w:rPr>
          <w:rFonts w:hint="eastAsia" w:ascii="仿宋" w:hAnsi="仿宋" w:eastAsia="仿宋" w:cs="仿宋"/>
          <w:bCs/>
          <w:color w:val="000000"/>
          <w:sz w:val="24"/>
          <w:szCs w:val="24"/>
          <w:highlight w:val="none"/>
          <w:u w:val="none"/>
          <w:lang w:val="en-US" w:eastAsia="zh-CN"/>
        </w:rPr>
      </w:r>
      <w:r/>
    </w:p>
    <w:p>
      <w:pPr>
        <w:pStyle w:val="979"/>
        <w:numPr>
          <w:ilvl w:val="0"/>
          <w:numId w:val="4"/>
        </w:numPr>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乙方出具的合同价款的百分之三十（30%）增值税专用发票。</w:t>
      </w:r>
      <w:r>
        <w:rPr>
          <w:rFonts w:hint="eastAsia" w:ascii="仿宋" w:hAnsi="仿宋" w:eastAsia="仿宋" w:cs="仿宋"/>
          <w:bCs/>
          <w:color w:val="000000"/>
          <w:sz w:val="24"/>
          <w:szCs w:val="24"/>
          <w:highlight w:val="none"/>
          <w:u w:val="none"/>
          <w:lang w:val="en-US" w:eastAsia="zh-CN"/>
        </w:rPr>
      </w:r>
      <w:r/>
    </w:p>
    <w:p>
      <w:pPr>
        <w:pStyle w:val="979"/>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rPr>
        <w:t xml:space="preserve">合同总价的百分之</w:t>
      </w:r>
      <w:r>
        <w:rPr>
          <w:rFonts w:hint="eastAsia" w:ascii="仿宋" w:hAnsi="仿宋" w:eastAsia="仿宋" w:cs="仿宋"/>
          <w:bCs/>
          <w:color w:val="000000"/>
          <w:sz w:val="24"/>
          <w:szCs w:val="24"/>
          <w:highlight w:val="none"/>
          <w:lang w:val="en-US" w:eastAsia="zh-CN"/>
        </w:rPr>
        <w:t xml:space="preserve">四十</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40</w:t>
      </w:r>
      <w:r>
        <w:rPr>
          <w:rFonts w:hint="eastAsia" w:ascii="仿宋" w:hAnsi="仿宋" w:eastAsia="仿宋" w:cs="仿宋"/>
          <w:bCs/>
          <w:color w:val="000000"/>
          <w:sz w:val="24"/>
          <w:szCs w:val="24"/>
          <w:highlight w:val="none"/>
        </w:rPr>
        <w:t xml:space="preserve">%)即￥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none"/>
          <w:lang w:eastAsia="zh-CN"/>
        </w:rPr>
        <w:t xml:space="preserve">，</w:t>
      </w:r>
      <w:r>
        <w:rPr>
          <w:rFonts w:hint="eastAsia" w:ascii="仿宋" w:hAnsi="仿宋" w:eastAsia="仿宋" w:cs="仿宋"/>
          <w:bCs/>
          <w:color w:val="000000"/>
          <w:sz w:val="24"/>
          <w:szCs w:val="24"/>
          <w:highlight w:val="none"/>
          <w:u w:val="none"/>
          <w:lang w:val="en-US" w:eastAsia="zh-CN"/>
        </w:rPr>
        <w:t xml:space="preserve">合同标的全部交付并安装完毕</w:t>
      </w:r>
      <w:r>
        <w:rPr>
          <w:rFonts w:hint="eastAsia" w:ascii="仿宋" w:hAnsi="仿宋" w:eastAsia="仿宋" w:cs="仿宋"/>
          <w:bCs/>
          <w:color w:val="000000"/>
          <w:sz w:val="24"/>
          <w:szCs w:val="24"/>
          <w:highlight w:val="none"/>
        </w:rPr>
        <w:t xml:space="preserve">经甲方最终验收合格</w:t>
      </w:r>
      <w:r>
        <w:rPr>
          <w:rFonts w:hint="eastAsia" w:ascii="仿宋" w:hAnsi="仿宋" w:eastAsia="仿宋" w:cs="仿宋"/>
          <w:bCs/>
          <w:color w:val="000000"/>
          <w:sz w:val="24"/>
          <w:szCs w:val="24"/>
          <w:highlight w:val="none"/>
          <w:lang w:val="en-US" w:eastAsia="zh-CN"/>
        </w:rPr>
        <w:t xml:space="preserve">后10个工作日内</w:t>
      </w:r>
      <w:r>
        <w:rPr>
          <w:rFonts w:hint="eastAsia" w:ascii="仿宋" w:hAnsi="仿宋" w:eastAsia="仿宋" w:cs="仿宋"/>
          <w:bCs/>
          <w:color w:val="000000"/>
          <w:sz w:val="24"/>
          <w:szCs w:val="24"/>
          <w:highlight w:val="none"/>
        </w:rPr>
        <w:t xml:space="preserve">，甲方办理财政资金结算手续，将资金支付到合同约定的乙方账户。</w:t>
      </w:r>
      <w:r>
        <w:rPr>
          <w:rFonts w:hint="eastAsia" w:ascii="仿宋" w:hAnsi="仿宋" w:eastAsia="仿宋" w:cs="仿宋"/>
          <w:bCs/>
          <w:color w:val="000000"/>
          <w:sz w:val="24"/>
          <w:szCs w:val="24"/>
          <w:highlight w:val="none"/>
          <w:lang w:val="en-US" w:eastAsia="zh-CN"/>
        </w:rPr>
      </w:r>
      <w:r/>
    </w:p>
    <w:p>
      <w:pPr>
        <w:pStyle w:val="979"/>
        <w:ind w:firstLine="606"/>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已</w:t>
      </w:r>
      <w:r>
        <w:rPr>
          <w:rFonts w:hint="eastAsia" w:ascii="仿宋" w:hAnsi="仿宋" w:eastAsia="仿宋" w:cs="仿宋"/>
          <w:bCs/>
          <w:color w:val="000000"/>
          <w:sz w:val="24"/>
          <w:szCs w:val="24"/>
          <w:highlight w:val="none"/>
        </w:rPr>
        <w:t xml:space="preserve">方需提交的支付文件包括：</w:t>
      </w:r>
      <w:r>
        <w:rPr>
          <w:rFonts w:hint="eastAsia" w:ascii="仿宋" w:hAnsi="仿宋" w:eastAsia="仿宋" w:cs="仿宋"/>
          <w:bCs/>
          <w:color w:val="000000"/>
          <w:sz w:val="24"/>
          <w:szCs w:val="24"/>
          <w:highlight w:val="none"/>
        </w:rPr>
      </w:r>
      <w:r/>
    </w:p>
    <w:p>
      <w:pPr>
        <w:pStyle w:val="979"/>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项目移交确认单</w:t>
      </w:r>
      <w:r>
        <w:rPr>
          <w:rFonts w:hint="eastAsia" w:ascii="仿宋" w:hAnsi="仿宋" w:eastAsia="仿宋" w:cs="仿宋"/>
          <w:color w:val="000000"/>
          <w:sz w:val="24"/>
          <w:szCs w:val="24"/>
          <w:highlight w:val="none"/>
        </w:rPr>
      </w:r>
      <w:r/>
    </w:p>
    <w:p>
      <w:pPr>
        <w:pStyle w:val="979"/>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项目终验收报告</w:t>
      </w:r>
      <w:r>
        <w:rPr>
          <w:rFonts w:hint="eastAsia" w:ascii="仿宋" w:hAnsi="仿宋" w:eastAsia="仿宋" w:cs="仿宋"/>
          <w:color w:val="000000"/>
          <w:sz w:val="24"/>
          <w:szCs w:val="24"/>
          <w:highlight w:val="none"/>
        </w:rPr>
      </w:r>
      <w:r/>
    </w:p>
    <w:p>
      <w:pPr>
        <w:pStyle w:val="979"/>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bCs w:val="0"/>
          <w:color w:val="000000"/>
          <w:sz w:val="24"/>
          <w:szCs w:val="24"/>
          <w:highlight w:val="none"/>
          <w:u w:val="none"/>
          <w:lang w:val="en-US" w:eastAsia="zh-CN"/>
        </w:rPr>
        <w:t xml:space="preserve">乙方出具的合同价款的百分之四十（40%）增值税专用发票。</w:t>
      </w:r>
      <w:r>
        <w:rPr>
          <w:rFonts w:hint="eastAsia" w:ascii="仿宋" w:hAnsi="仿宋" w:eastAsia="仿宋" w:cs="仿宋"/>
          <w:color w:val="000000"/>
          <w:sz w:val="24"/>
          <w:szCs w:val="24"/>
          <w:highlight w:val="none"/>
        </w:rPr>
      </w:r>
      <w:r/>
    </w:p>
    <w:p>
      <w:pPr>
        <w:pStyle w:val="752"/>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rPr>
        <w:t xml:space="preserve">合同履行</w:t>
      </w:r>
      <w:r>
        <w:rPr>
          <w:rFonts w:hint="eastAsia" w:ascii="仿宋" w:hAnsi="仿宋" w:eastAsia="仿宋" w:cs="仿宋"/>
          <w:b/>
          <w:color w:val="000000"/>
          <w:sz w:val="24"/>
          <w:szCs w:val="24"/>
          <w:highlight w:val="none"/>
          <w:u w:val="singl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（1）合同生效日后，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30日内</w:t>
      </w:r>
      <w:r>
        <w:rPr>
          <w:rFonts w:hint="eastAsia" w:ascii="仿宋" w:hAnsi="仿宋" w:eastAsia="仿宋" w:cs="仿宋"/>
          <w:color w:val="000000"/>
          <w:sz w:val="24"/>
          <w:szCs w:val="24"/>
          <w:highlight w:val="none"/>
        </w:rPr>
        <w:t xml:space="preserve">将合同标的全部交付完毕。</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）合同生效日后， </w:t>
      </w:r>
      <w:r>
        <w:rPr>
          <w:rFonts w:hint="eastAsia" w:ascii="仿宋" w:hAnsi="仿宋" w:eastAsia="仿宋" w:cs="仿宋"/>
          <w:color w:val="000000"/>
          <w:sz w:val="24"/>
          <w:szCs w:val="24"/>
          <w:highlight w:val="none"/>
          <w:u w:val="single"/>
          <w:lang w:val="en-US" w:eastAsia="zh-CN"/>
        </w:rPr>
        <w:t xml:space="preserve">50日内</w:t>
      </w:r>
      <w:r>
        <w:rPr>
          <w:rFonts w:hint="eastAsia" w:ascii="仿宋" w:hAnsi="仿宋" w:eastAsia="仿宋" w:cs="仿宋"/>
          <w:color w:val="000000"/>
          <w:sz w:val="24"/>
          <w:szCs w:val="24"/>
          <w:highlight w:val="none"/>
          <w:lang w:eastAsia="zh-CN"/>
        </w:rPr>
        <w:t xml:space="preserve">将合同标的全部</w:t>
      </w:r>
      <w:r>
        <w:rPr>
          <w:rFonts w:hint="eastAsia" w:ascii="仿宋" w:hAnsi="仿宋" w:eastAsia="仿宋" w:cs="仿宋"/>
          <w:color w:val="000000"/>
          <w:sz w:val="24"/>
          <w:szCs w:val="24"/>
          <w:highlight w:val="none"/>
          <w:lang w:val="en-US" w:eastAsia="zh-CN"/>
        </w:rPr>
        <w:t xml:space="preserve">安装</w:t>
      </w:r>
      <w:r>
        <w:rPr>
          <w:rFonts w:hint="eastAsia" w:ascii="仿宋" w:hAnsi="仿宋" w:eastAsia="仿宋" w:cs="仿宋"/>
          <w:color w:val="000000"/>
          <w:sz w:val="24"/>
          <w:szCs w:val="24"/>
          <w:highlight w:val="none"/>
          <w:lang w:eastAsia="zh-CN"/>
        </w:rPr>
        <w:t xml:space="preserve">完毕</w:t>
      </w:r>
      <w:r>
        <w:rPr>
          <w:rFonts w:hint="eastAsia" w:ascii="仿宋" w:hAnsi="仿宋" w:eastAsia="仿宋" w:cs="仿宋"/>
          <w:color w:val="000000"/>
          <w:sz w:val="24"/>
          <w:szCs w:val="24"/>
          <w:highlight w:val="none"/>
          <w:lang w:eastAsia="zh-CN"/>
        </w:rPr>
      </w:r>
      <w:r/>
    </w:p>
    <w:p>
      <w:pPr>
        <w:pStyle w:val="752"/>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）履约地点</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）履约担保：</w:t>
      </w:r>
      <w:r>
        <w:rPr>
          <w:rFonts w:hint="eastAsia" w:ascii="仿宋" w:hAnsi="仿宋" w:eastAsia="仿宋" w:cs="仿宋"/>
          <w:color w:val="000000"/>
          <w:sz w:val="24"/>
          <w:szCs w:val="24"/>
          <w:highlight w:val="none"/>
        </w:rPr>
        <w:t xml:space="preserve">是否收取履约保证金：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是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979"/>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 </w:t>
      </w:r>
      <w:r>
        <w:rPr>
          <w:rFonts w:hint="eastAsia" w:ascii="仿宋" w:hAnsi="仿宋" w:eastAsia="仿宋" w:cs="仿宋"/>
          <w:b/>
          <w:bCs w:val="0"/>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收取履约保证金形式：</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10"/>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收取履约保证金金额：</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    履约担保期限：</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（4）分期履行要求：</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bCs/>
          <w:color w:val="000000"/>
          <w:sz w:val="24"/>
          <w:szCs w:val="24"/>
          <w:highlight w:val="none"/>
        </w:rPr>
        <w:t xml:space="preserve">（5）风险处置措施和替代方案：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2"/>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合同验收</w:t>
      </w:r>
      <w:r>
        <w:rPr>
          <w:rFonts w:hint="eastAsia" w:ascii="仿宋" w:hAnsi="仿宋" w:eastAsia="仿宋" w:cs="仿宋"/>
          <w:b/>
          <w:color w:val="000000"/>
          <w:sz w:val="24"/>
          <w:szCs w:val="24"/>
          <w:highlight w:val="none"/>
        </w:rPr>
      </w:r>
      <w:r/>
    </w:p>
    <w:p>
      <w:pPr>
        <w:pStyle w:val="752"/>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（1）验收组织方式：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自行组织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委托第三方组织</w:t>
      </w:r>
      <w:r>
        <w:rPr>
          <w:rFonts w:hint="eastAsia" w:ascii="仿宋" w:hAnsi="仿宋" w:eastAsia="仿宋" w:cs="仿宋"/>
          <w:bCs/>
          <w:color w:val="000000"/>
          <w:sz w:val="24"/>
          <w:szCs w:val="24"/>
          <w:highlight w:val="none"/>
        </w:rPr>
      </w:r>
      <w:r/>
    </w:p>
    <w:p>
      <w:pPr>
        <w:pStyle w:val="752"/>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验收主体：</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徐州生物工程职业技术学院</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752"/>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是否邀请本项目的其他供应商参加验收：</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2"/>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是否邀请专家参加验收：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2"/>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是否邀请服务对象参加验收：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2"/>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是否邀请第三方检测机构参加验收：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2"/>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是否进行抽查检测：</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是，抽查比例：</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2"/>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是否存在破坏性检测：</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w:t>
      </w:r>
      <w:r>
        <w:rPr>
          <w:rFonts w:hint="eastAsia" w:ascii="仿宋" w:hAnsi="仿宋" w:eastAsia="仿宋" w:cs="仿宋"/>
          <w:bCs/>
          <w:color w:val="000000"/>
          <w:sz w:val="24"/>
          <w:szCs w:val="24"/>
          <w:highlight w:val="none"/>
          <w:u w:val="single"/>
        </w:rPr>
        <w:t xml:space="preserve">（应明确对被破坏的检测产品的处理方式）</w:t>
      </w: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2"/>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验收组织的其他事项：</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rPr>
      </w:r>
      <w:r/>
    </w:p>
    <w:p>
      <w:pPr>
        <w:pStyle w:val="752"/>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（2）履约验收时间：</w:t>
      </w:r>
      <w:r>
        <w:rPr>
          <w:rFonts w:hint="eastAsia" w:ascii="仿宋" w:hAnsi="仿宋" w:eastAsia="仿宋" w:cs="仿宋"/>
          <w:bCs/>
          <w:color w:val="000000"/>
          <w:sz w:val="24"/>
          <w:szCs w:val="24"/>
          <w:highlight w:val="none"/>
          <w:u w:val="single"/>
        </w:rPr>
        <w:t xml:space="preserve">（供应商提出验收申请之日起</w:t>
      </w:r>
      <w:r>
        <w:rPr>
          <w:rFonts w:hint="eastAsia" w:ascii="仿宋" w:hAnsi="仿宋" w:eastAsia="仿宋" w:cs="仿宋"/>
          <w:bCs/>
          <w:color w:val="000000"/>
          <w:sz w:val="24"/>
          <w:szCs w:val="24"/>
          <w:highlight w:val="none"/>
          <w:u w:val="single"/>
          <w:lang w:val="en-US" w:eastAsia="zh-CN"/>
        </w:rPr>
        <w:t xml:space="preserve">7</w:t>
      </w:r>
      <w:r>
        <w:rPr>
          <w:rFonts w:hint="eastAsia" w:ascii="仿宋" w:hAnsi="仿宋" w:eastAsia="仿宋" w:cs="仿宋"/>
          <w:bCs/>
          <w:color w:val="000000"/>
          <w:sz w:val="24"/>
          <w:szCs w:val="24"/>
          <w:highlight w:val="none"/>
          <w:u w:val="single"/>
        </w:rPr>
        <w:t xml:space="preserve">日内组织验收） </w:t>
      </w:r>
      <w:r>
        <w:rPr>
          <w:rFonts w:hint="eastAsia" w:ascii="仿宋" w:hAnsi="仿宋" w:eastAsia="仿宋" w:cs="仿宋"/>
          <w:bCs/>
          <w:color w:val="000000"/>
          <w:sz w:val="24"/>
          <w:szCs w:val="24"/>
          <w:highlight w:val="none"/>
          <w:u w:val="single"/>
        </w:rPr>
      </w:r>
      <w:r/>
    </w:p>
    <w:p>
      <w:pPr>
        <w:pStyle w:val="752"/>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（3）履约验收方式：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一次性验收         </w:t>
      </w:r>
      <w:r>
        <w:rPr>
          <w:rFonts w:hint="eastAsia" w:ascii="仿宋" w:hAnsi="仿宋" w:eastAsia="仿宋" w:cs="仿宋"/>
          <w:bCs/>
          <w:color w:val="000000"/>
          <w:sz w:val="24"/>
          <w:szCs w:val="24"/>
          <w:highlight w:val="none"/>
        </w:rPr>
      </w:r>
      <w:r/>
    </w:p>
    <w:p>
      <w:pPr>
        <w:pStyle w:val="752"/>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分期/分项验收：</w:t>
      </w:r>
      <w:r>
        <w:rPr>
          <w:rFonts w:hint="eastAsia" w:ascii="仿宋" w:hAnsi="仿宋" w:eastAsia="仿宋" w:cs="仿宋"/>
          <w:bCs/>
          <w:color w:val="000000"/>
          <w:sz w:val="24"/>
          <w:szCs w:val="24"/>
          <w:highlight w:val="none"/>
          <w:u w:val="single"/>
        </w:rPr>
        <w:t xml:space="preserve">（应明确分期</w:t>
      </w:r>
      <w:r>
        <w:rPr>
          <w:rFonts w:hint="eastAsia" w:ascii="仿宋" w:hAnsi="仿宋" w:eastAsia="仿宋" w:cs="仿宋"/>
          <w:bCs/>
          <w:color w:val="000000"/>
          <w:sz w:val="24"/>
          <w:szCs w:val="24"/>
          <w:highlight w:val="none"/>
          <w:u w:val="single"/>
          <w:lang w:val="en"/>
        </w:rPr>
        <w:t xml:space="preserve">/分项验收的工作安排</w:t>
      </w: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rPr>
      </w:r>
      <w:r/>
    </w:p>
    <w:p>
      <w:pPr>
        <w:pStyle w:val="752"/>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（4）履约验收程序：</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752"/>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（5）履约验收的内容：</w:t>
      </w:r>
      <w:r>
        <w:rPr>
          <w:rFonts w:hint="eastAsia" w:ascii="仿宋" w:hAnsi="仿宋" w:eastAsia="仿宋" w:cs="仿宋"/>
          <w:bCs/>
          <w:color w:val="000000"/>
          <w:sz w:val="24"/>
          <w:szCs w:val="24"/>
          <w:highlight w:val="none"/>
          <w:u w:val="single"/>
        </w:rPr>
        <w:t xml:space="preserve"> （应当包括每一项技术和商务要求的履约情况，特别是落实政府采购扶持中小企业，支持绿色发展和乡村振兴等政策情况）                                      </w:t>
      </w:r>
      <w:r>
        <w:rPr>
          <w:rFonts w:hint="eastAsia" w:ascii="仿宋" w:hAnsi="仿宋" w:eastAsia="仿宋" w:cs="仿宋"/>
          <w:bCs/>
          <w:color w:val="000000"/>
          <w:sz w:val="24"/>
          <w:szCs w:val="24"/>
          <w:highlight w:val="none"/>
          <w:u w:val="single"/>
        </w:rPr>
      </w:r>
      <w:r/>
    </w:p>
    <w:p>
      <w:pPr>
        <w:pStyle w:val="752"/>
        <w:ind w:firstLine="560"/>
        <w:spacing w:line="520" w:lineRule="exact"/>
        <w:rPr>
          <w:rFonts w:hint="eastAsia" w:ascii="仿宋" w:hAnsi="仿宋" w:eastAsia="仿宋" w:cs="仿宋"/>
          <w:bCs/>
          <w:color w:val="000000"/>
          <w:sz w:val="24"/>
          <w:szCs w:val="24"/>
          <w:highlight w:val="none"/>
          <w:u w:val="single"/>
          <w:lang w:eastAsia="zh-CN"/>
        </w:rPr>
      </w:pPr>
      <w:r>
        <w:rPr>
          <w:rFonts w:hint="eastAsia" w:ascii="仿宋" w:hAnsi="仿宋" w:eastAsia="仿宋" w:cs="仿宋"/>
          <w:bCs/>
          <w:color w:val="000000"/>
          <w:sz w:val="24"/>
          <w:szCs w:val="24"/>
          <w:highlight w:val="none"/>
        </w:rPr>
        <w:t xml:space="preserve">（6）履约验收标准：</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1.场馆的声场、灯光效果要达到音乐2级及以上。2.舞台机械符合国家标准</w:t>
      </w:r>
      <w:r>
        <w:rPr>
          <w:rFonts w:hint="eastAsia" w:ascii="仿宋" w:hAnsi="仿宋" w:eastAsia="仿宋" w:cs="仿宋"/>
          <w:bCs/>
          <w:color w:val="000000"/>
          <w:sz w:val="24"/>
          <w:szCs w:val="24"/>
          <w:highlight w:val="none"/>
          <w:u w:val="single"/>
          <w:lang w:eastAsia="zh-CN"/>
        </w:rPr>
        <w:t xml:space="preserve">。</w:t>
      </w:r>
      <w:r>
        <w:rPr>
          <w:rFonts w:hint="eastAsia" w:ascii="仿宋" w:hAnsi="仿宋" w:eastAsia="仿宋" w:cs="仿宋"/>
          <w:bCs/>
          <w:color w:val="000000"/>
          <w:sz w:val="24"/>
          <w:szCs w:val="24"/>
          <w:highlight w:val="none"/>
          <w:u w:val="single"/>
          <w:lang w:eastAsia="zh-CN"/>
        </w:rPr>
      </w:r>
      <w:r/>
    </w:p>
    <w:p>
      <w:pPr>
        <w:pStyle w:val="1010"/>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（7）是否以采购活动中供应商提供的样品作为参考：</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（8）履约验收其他事项：</w:t>
      </w:r>
      <w:r>
        <w:rPr>
          <w:rFonts w:hint="eastAsia" w:ascii="仿宋" w:hAnsi="仿宋" w:eastAsia="仿宋" w:cs="仿宋"/>
          <w:bCs/>
          <w:color w:val="000000"/>
          <w:sz w:val="24"/>
          <w:szCs w:val="24"/>
          <w:highlight w:val="none"/>
          <w:u w:val="single"/>
        </w:rPr>
        <w:t xml:space="preserve">      （产权过户登记等）          </w:t>
      </w:r>
      <w:r>
        <w:rPr>
          <w:rFonts w:hint="eastAsia" w:ascii="仿宋" w:hAnsi="仿宋" w:eastAsia="仿宋" w:cs="仿宋"/>
          <w:bCs/>
          <w:color w:val="000000"/>
          <w:sz w:val="24"/>
          <w:szCs w:val="24"/>
          <w:highlight w:val="none"/>
          <w:u w:val="single"/>
        </w:rPr>
      </w:r>
      <w:r/>
    </w:p>
    <w:p>
      <w:pPr>
        <w:pStyle w:val="752"/>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组成合同的文件</w:t>
      </w:r>
      <w:r>
        <w:rPr>
          <w:rFonts w:hint="eastAsia" w:ascii="仿宋" w:hAnsi="仿宋" w:eastAsia="仿宋" w:cs="仿宋"/>
          <w:b/>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本协议书与下列文件一起构成合同文件，如下述文件之间有任何抵触、矛盾或歧义，应按以下顺序解释：</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（1）政府采购合同协议书及其变更、补充协议</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（2）政府采购合同专用条款</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（3）政府采购合同通用条款</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（4）中标（成交）通知书</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（5）投标（响应）文件</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（6）采购文件</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（7）有关技术文件，图纸</w:t>
      </w:r>
      <w:r>
        <w:rPr>
          <w:rFonts w:hint="eastAsia" w:ascii="仿宋" w:hAnsi="仿宋" w:eastAsia="仿宋" w:cs="仿宋"/>
          <w:color w:val="000000"/>
          <w:sz w:val="24"/>
          <w:szCs w:val="24"/>
          <w:highlight w:val="none"/>
        </w:rPr>
      </w:r>
      <w:r/>
    </w:p>
    <w:p>
      <w:pPr>
        <w:pStyle w:val="1010"/>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（8）国家法律、行政法规和规章制度规定或合同约定的作为合同组成部分的其他文件</w:t>
      </w:r>
      <w:r>
        <w:rPr>
          <w:rFonts w:hint="eastAsia" w:ascii="仿宋" w:hAnsi="仿宋" w:eastAsia="仿宋" w:cs="仿宋"/>
          <w:color w:val="000000"/>
          <w:sz w:val="24"/>
          <w:szCs w:val="24"/>
          <w:highlight w:val="none"/>
        </w:rPr>
      </w:r>
      <w:r/>
    </w:p>
    <w:p>
      <w:pPr>
        <w:pStyle w:val="752"/>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合同生效</w:t>
      </w:r>
      <w:r>
        <w:rPr>
          <w:rFonts w:hint="eastAsia" w:ascii="仿宋" w:hAnsi="仿宋" w:eastAsia="仿宋" w:cs="仿宋"/>
          <w:b/>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本合同自</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生效。</w:t>
      </w:r>
      <w:r>
        <w:rPr>
          <w:rFonts w:hint="eastAsia" w:ascii="仿宋" w:hAnsi="仿宋" w:eastAsia="仿宋" w:cs="仿宋"/>
          <w:color w:val="000000"/>
          <w:sz w:val="24"/>
          <w:szCs w:val="24"/>
          <w:highlight w:val="none"/>
        </w:rPr>
      </w:r>
      <w:r/>
    </w:p>
    <w:p>
      <w:pPr>
        <w:pStyle w:val="752"/>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合同份数</w:t>
      </w:r>
      <w:r>
        <w:rPr>
          <w:rFonts w:hint="eastAsia" w:ascii="仿宋" w:hAnsi="仿宋" w:eastAsia="仿宋" w:cs="仿宋"/>
          <w:b/>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本合同一式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份，甲方执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份，乙方执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份，均具有同等法律效力。</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合同订立时间：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合同订立地点：</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附件：具体标的及其技术要求和商务要求、联合协议、分包意向协议等。</w:t>
      </w:r>
      <w:r>
        <w:rPr>
          <w:rFonts w:hint="eastAsia" w:ascii="仿宋" w:hAnsi="仿宋" w:eastAsia="仿宋" w:cs="仿宋"/>
          <w:color w:val="000000"/>
          <w:sz w:val="24"/>
          <w:szCs w:val="24"/>
          <w:highlight w:val="none"/>
        </w:rPr>
      </w:r>
      <w:r/>
    </w:p>
    <w:tbl>
      <w:tblPr>
        <w:tblpPr w:horzAnchor="page" w:tblpXSpec="center" w:vertAnchor="text" w:tblpY="565"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1229"/>
        </w:trPr>
        <w:tc>
          <w:tcPr>
            <w:gridSpan w:val="2"/>
            <w:tcW w:w="4303" w:type="dxa"/>
            <w:vAlign w:val="center"/>
            <w:textDirection w:val="lrTb"/>
            <w:noWrap w:val="false"/>
          </w:tcPr>
          <w:p>
            <w:pPr>
              <w:pStyle w:val="752"/>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甲方（采购人、受采购人委托签订合同的单位或采购文件约定的合同甲方）</w:t>
            </w:r>
            <w:r>
              <w:rPr>
                <w:rFonts w:hint="eastAsia" w:ascii="仿宋" w:hAnsi="仿宋" w:eastAsia="仿宋" w:cs="仿宋"/>
                <w:color w:val="000000"/>
                <w:sz w:val="24"/>
                <w:szCs w:val="24"/>
                <w:highlight w:val="none"/>
              </w:rPr>
            </w:r>
            <w:r/>
          </w:p>
        </w:tc>
        <w:tc>
          <w:tcPr>
            <w:gridSpan w:val="2"/>
            <w:tcW w:w="4095"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乙方（供应商）</w:t>
            </w:r>
            <w:r>
              <w:rPr>
                <w:rFonts w:hint="eastAsia" w:ascii="仿宋" w:hAnsi="仿宋" w:eastAsia="仿宋" w:cs="仿宋"/>
                <w:color w:val="000000"/>
                <w:sz w:val="24"/>
                <w:szCs w:val="24"/>
                <w:highlight w:val="none"/>
              </w:rPr>
            </w:r>
            <w:r/>
          </w:p>
        </w:tc>
      </w:tr>
      <w:tr>
        <w:trPr>
          <w:trHeight w:val="917"/>
        </w:trPr>
        <w:tc>
          <w:tcPr>
            <w:tcW w:w="1891"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单位名称（公章或合同章）</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t xml:space="preserve">徐州生物工程职业技术学院</w:t>
            </w: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单位名称（公章或合同章）</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2"/>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1171"/>
        </w:trPr>
        <w:tc>
          <w:tcPr>
            <w:tcW w:w="1891" w:type="dxa"/>
            <w:vAlign w:val="center"/>
            <w:vMerge w:val="restart"/>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p>
            <w:pPr>
              <w:pStyle w:val="752"/>
              <w:ind w:firstLine="13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或其委托代理人（签章）</w:t>
            </w:r>
            <w:r>
              <w:rPr>
                <w:rFonts w:hint="eastAsia" w:ascii="仿宋" w:hAnsi="仿宋" w:eastAsia="仿宋" w:cs="仿宋"/>
                <w:color w:val="000000"/>
                <w:sz w:val="24"/>
                <w:szCs w:val="24"/>
                <w:highlight w:val="none"/>
              </w:rPr>
            </w:r>
            <w:r/>
          </w:p>
        </w:tc>
        <w:tc>
          <w:tcPr>
            <w:tcW w:w="2412" w:type="dxa"/>
            <w:vAlign w:val="center"/>
            <w:vMerge w:val="restart"/>
            <w:textDirection w:val="lrTb"/>
            <w:noWrap w:val="false"/>
          </w:tcPr>
          <w:p>
            <w:pPr>
              <w:pStyle w:val="752"/>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或其委托代理人（签章）</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r>
      <w:tr>
        <w:trPr>
          <w:trHeight w:val="483"/>
        </w:trPr>
        <w:tc>
          <w:tcPr>
            <w:tcW w:w="1891" w:type="dxa"/>
            <w:vAlign w:val="center"/>
            <w:vMerge w:val="continue"/>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2412" w:type="dxa"/>
            <w:vAlign w:val="center"/>
            <w:vMerge w:val="continue"/>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拥有者性别</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2"/>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住  所</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住  所</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2"/>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540"/>
        </w:trPr>
        <w:tc>
          <w:tcPr>
            <w:tcW w:w="1891"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2"/>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2"/>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2"/>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2"/>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电子邮箱</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2"/>
              <w:jc w:val="both"/>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电子邮箱</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2"/>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878"/>
        </w:trPr>
        <w:tc>
          <w:tcPr>
            <w:tcW w:w="1891"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统一社会信用代码</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统一社会信用代码</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2"/>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开户名称</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2"/>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2"/>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2"/>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银行账号</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2"/>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586"/>
        </w:trPr>
        <w:tc>
          <w:tcPr>
            <w:gridSpan w:val="4"/>
            <w:tcW w:w="8398" w:type="dxa"/>
            <w:vAlign w:val="center"/>
            <w:textDirection w:val="lrTb"/>
            <w:noWrap w:val="false"/>
          </w:tcPr>
          <w:p>
            <w:pPr>
              <w:pStyle w:val="1009"/>
              <w:ind w:left="0"/>
              <w:jc w:val="left"/>
              <w:spacing w:before="156" w:after="0" w:line="360" w:lineRule="auto"/>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注：涉及联合体或其他合同主体的信息应按上表格式加列。</w:t>
            </w:r>
            <w:r>
              <w:rPr>
                <w:rFonts w:hint="eastAsia" w:ascii="仿宋" w:hAnsi="仿宋" w:eastAsia="仿宋" w:cs="仿宋"/>
                <w:color w:val="000000"/>
                <w:spacing w:val="20"/>
                <w:sz w:val="24"/>
                <w:szCs w:val="24"/>
                <w:highlight w:val="none"/>
              </w:rPr>
            </w:r>
            <w:r/>
          </w:p>
        </w:tc>
      </w:tr>
    </w:tbl>
    <w:p>
      <w:pPr>
        <w:pStyle w:val="834"/>
        <w:jc w:val="both"/>
        <w:spacing w:before="156"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br w:type="page" w:clear="all"/>
      </w:r>
      <w:bookmarkStart w:id="12" w:name="_Toc27624"/>
      <w:r>
        <w:rPr>
          <w:rFonts w:hint="eastAsia" w:ascii="仿宋" w:hAnsi="仿宋" w:eastAsia="仿宋" w:cs="仿宋"/>
          <w:color w:val="000000"/>
          <w:sz w:val="28"/>
          <w:szCs w:val="28"/>
          <w:highlight w:val="none"/>
        </w:rPr>
        <w:t xml:space="preserve">第二节 政府采购合同通用条款</w:t>
      </w:r>
      <w:bookmarkEnd w:id="12"/>
      <w:r>
        <w:rPr>
          <w:rFonts w:hint="eastAsia" w:ascii="仿宋" w:hAnsi="仿宋" w:eastAsia="仿宋" w:cs="仿宋"/>
          <w:color w:val="000000"/>
          <w:sz w:val="24"/>
          <w:szCs w:val="24"/>
          <w:highlight w:val="none"/>
        </w:rPr>
      </w:r>
      <w:r/>
    </w:p>
    <w:p>
      <w:pPr>
        <w:pStyle w:val="752"/>
        <w:ind w:firstLine="562"/>
        <w:jc w:val="left"/>
        <w:spacing w:line="520" w:lineRule="exact"/>
        <w:tabs>
          <w:tab w:val="left" w:pos="8820" w:leader="none"/>
          <w:tab w:val="left" w:pos="9345" w:leader="none"/>
          <w:tab w:val="left" w:pos="9765" w:leader="none"/>
        </w:tabs>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1. </w:t>
      </w:r>
      <w:r>
        <w:rPr>
          <w:rFonts w:hint="eastAsia" w:ascii="仿宋" w:hAnsi="仿宋" w:eastAsia="仿宋" w:cs="仿宋"/>
          <w:b/>
          <w:bCs/>
          <w:color w:val="000000"/>
          <w:sz w:val="24"/>
          <w:szCs w:val="24"/>
          <w:highlight w:val="none"/>
        </w:rPr>
        <w:t xml:space="preserve">定义</w:t>
      </w:r>
      <w:r>
        <w:rPr>
          <w:rFonts w:hint="eastAsia" w:ascii="仿宋" w:hAnsi="仿宋" w:eastAsia="仿宋" w:cs="仿宋"/>
          <w:b/>
          <w:bCs/>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1.1合同当事人</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（1）采购人（以下称甲方）是指使用财政性资金，通过政府采购方式向供应商购买货物及其相关服务的国家机关、事业单位、团体组织。</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（2）供应商（以下称乙方）是指参加政府采购活动并且中标（成交），向采购人提供合同约定的货物及其相关服务的法人、非法人组织或者自然人。</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（3）其他合同主体是指除采购人和供应商以外，</w:t>
      </w:r>
      <w:r>
        <w:rPr>
          <w:rFonts w:hint="eastAsia" w:ascii="仿宋" w:hAnsi="仿宋" w:eastAsia="仿宋" w:cs="仿宋"/>
          <w:bCs/>
          <w:color w:val="000000"/>
          <w:sz w:val="24"/>
          <w:szCs w:val="24"/>
          <w:highlight w:val="none"/>
        </w:rPr>
        <w:t xml:space="preserve">依法参与合同缔结或履行，享有权利、承担义务的合同当事人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2"/>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1.2本合同下列术语应解释为：</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（1）“合同”系指</w:t>
      </w:r>
      <w:r>
        <w:rPr>
          <w:rFonts w:hint="eastAsia" w:ascii="仿宋" w:hAnsi="仿宋" w:eastAsia="仿宋" w:cs="仿宋"/>
          <w:bCs/>
          <w:color w:val="000000"/>
          <w:sz w:val="24"/>
          <w:szCs w:val="24"/>
          <w:highlight w:val="none"/>
        </w:rPr>
        <w:t xml:space="preserve">合同当事人意思表示达成一致的任何协议，包括签署的</w:t>
      </w:r>
      <w:r>
        <w:rPr>
          <w:rFonts w:hint="eastAsia" w:ascii="仿宋" w:hAnsi="仿宋" w:eastAsia="仿宋" w:cs="仿宋"/>
          <w:color w:val="000000"/>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仿宋" w:hAnsi="仿宋" w:eastAsia="仿宋" w:cs="仿宋"/>
          <w:color w:val="000000"/>
          <w:sz w:val="24"/>
          <w:szCs w:val="24"/>
          <w:highlight w:val="none"/>
        </w:rPr>
      </w:r>
      <w:r/>
    </w:p>
    <w:p>
      <w:pPr>
        <w:pStyle w:val="752"/>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（2）“合同价款”系指根据本合同规定乙方在全面履行合同义务后甲方应支付给乙方的价款。</w:t>
      </w:r>
      <w:r>
        <w:rPr>
          <w:rFonts w:hint="eastAsia" w:ascii="仿宋" w:hAnsi="仿宋" w:eastAsia="仿宋" w:cs="仿宋"/>
          <w:color w:val="000000"/>
          <w:sz w:val="24"/>
          <w:szCs w:val="24"/>
          <w:highlight w:val="none"/>
        </w:rPr>
      </w:r>
      <w:r/>
    </w:p>
    <w:p>
      <w:pPr>
        <w:pStyle w:val="752"/>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技术资料和材料等。</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（4）“相关服务”系指根据合同规定，乙方应提供的与货物有关的技术、管理和</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义务。</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仿宋" w:hAnsi="仿宋" w:eastAsia="仿宋" w:cs="仿宋"/>
          <w:color w:val="000000"/>
          <w:sz w:val="24"/>
          <w:szCs w:val="24"/>
          <w:highlight w:val="none"/>
        </w:rPr>
      </w:r>
      <w:r/>
    </w:p>
    <w:p>
      <w:pPr>
        <w:pStyle w:val="752"/>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2"/>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（7）其他术语解释，见【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2"/>
        <w:numPr>
          <w:ilvl w:val="0"/>
          <w:numId w:val="6"/>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合同标的及金额</w:t>
      </w:r>
      <w:r>
        <w:rPr>
          <w:rFonts w:hint="eastAsia" w:ascii="仿宋" w:hAnsi="仿宋" w:eastAsia="仿宋" w:cs="仿宋"/>
          <w:b/>
          <w:bCs/>
          <w:color w:val="000000"/>
          <w:sz w:val="24"/>
          <w:szCs w:val="24"/>
          <w:highlight w:val="none"/>
        </w:rPr>
      </w:r>
      <w:r/>
    </w:p>
    <w:p>
      <w:pPr>
        <w:pStyle w:val="752"/>
        <w:ind w:firstLine="560"/>
        <w:jc w:val="left"/>
        <w:spacing w:line="520" w:lineRule="exact"/>
        <w:rPr>
          <w:rFonts w:hint="eastAsia" w:ascii="仿宋" w:hAnsi="仿宋" w:eastAsia="仿宋" w:cs="仿宋"/>
          <w:b/>
          <w:bCs/>
          <w:i/>
          <w:iCs/>
          <w:color w:val="000000"/>
          <w:sz w:val="24"/>
          <w:szCs w:val="24"/>
          <w:highlight w:val="none"/>
        </w:rPr>
      </w:pPr>
      <w:r>
        <w:rPr>
          <w:rFonts w:hint="eastAsia" w:ascii="仿宋" w:hAnsi="仿宋" w:eastAsia="仿宋" w:cs="仿宋"/>
          <w:color w:val="000000"/>
          <w:sz w:val="24"/>
          <w:szCs w:val="24"/>
          <w:highlight w:val="none"/>
        </w:rPr>
        <w:t xml:space="preserve">2.1 合同标的及金额应与中标（成交）结果一致。乙方为履行本合同而发生的所有费用均应包含在合同价款中，甲方不再另行支付</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任何费用。</w:t>
      </w:r>
      <w:r>
        <w:rPr>
          <w:rFonts w:hint="eastAsia" w:ascii="仿宋" w:hAnsi="仿宋" w:eastAsia="仿宋" w:cs="仿宋"/>
          <w:b/>
          <w:bCs/>
          <w:i/>
          <w:iCs/>
          <w:color w:val="000000"/>
          <w:sz w:val="24"/>
          <w:szCs w:val="24"/>
          <w:highlight w:val="none"/>
        </w:rPr>
      </w:r>
      <w:r/>
    </w:p>
    <w:p>
      <w:pPr>
        <w:pStyle w:val="752"/>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 履行合同的时间、地点和方式</w:t>
      </w:r>
      <w:r>
        <w:rPr>
          <w:rFonts w:hint="eastAsia" w:ascii="仿宋" w:hAnsi="仿宋" w:eastAsia="仿宋" w:cs="仿宋"/>
          <w:b/>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乙方应当在约定的时间、地点，按照约定方式履行合同。</w:t>
      </w:r>
      <w:r>
        <w:rPr>
          <w:rFonts w:hint="eastAsia" w:ascii="仿宋" w:hAnsi="仿宋" w:eastAsia="仿宋" w:cs="仿宋"/>
          <w:color w:val="000000"/>
          <w:sz w:val="24"/>
          <w:szCs w:val="24"/>
          <w:highlight w:val="none"/>
        </w:rPr>
      </w:r>
      <w:r/>
    </w:p>
    <w:p>
      <w:pPr>
        <w:pStyle w:val="752"/>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4. 甲方的权利和义务</w:t>
      </w:r>
      <w:r>
        <w:rPr>
          <w:rFonts w:hint="eastAsia" w:ascii="仿宋" w:hAnsi="仿宋" w:eastAsia="仿宋" w:cs="仿宋"/>
          <w:b/>
          <w:bCs/>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 甲方有权要求乙方对缺陷部分予以修复，并按合同约定享有货物保修及其他合同约定的权利。</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 甲方应当按照合同约定及时对交付的货物进行验收，未在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约定的期限内对乙方履约提出任何异议或者向乙方作出任何说明的，视为验收通过。</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 甲方应当根据合同约定及时向乙方支付合同价款，不得以内部人员变更、履行内部付款流程等为由，拒绝或迟延支付。</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4.6 国家法律法规规定及</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约定应由甲方承担的其他义务和责任。</w:t>
      </w:r>
      <w:r>
        <w:rPr>
          <w:rFonts w:hint="eastAsia" w:ascii="仿宋" w:hAnsi="仿宋" w:eastAsia="仿宋" w:cs="仿宋"/>
          <w:color w:val="000000"/>
          <w:sz w:val="24"/>
          <w:szCs w:val="24"/>
          <w:highlight w:val="none"/>
        </w:rPr>
      </w:r>
      <w:r/>
    </w:p>
    <w:p>
      <w:pPr>
        <w:pStyle w:val="752"/>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5. 乙方的权利和义务</w:t>
      </w:r>
      <w:r>
        <w:rPr>
          <w:rFonts w:hint="eastAsia" w:ascii="仿宋" w:hAnsi="仿宋" w:eastAsia="仿宋" w:cs="仿宋"/>
          <w:b/>
          <w:bCs/>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 签署合同后，乙方应确定项目负责人（或项目联系人），负责与本合同有关的事务。</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仿宋" w:hAnsi="仿宋" w:eastAsia="仿宋" w:cs="仿宋"/>
          <w:color w:val="000000"/>
          <w:sz w:val="24"/>
          <w:szCs w:val="24"/>
          <w:highlight w:val="none"/>
        </w:rPr>
      </w:r>
      <w:r/>
    </w:p>
    <w:p>
      <w:pPr>
        <w:pStyle w:val="815"/>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5.3乙方有权根据合同约定向甲方收取合同价款。</w:t>
      </w:r>
      <w:r>
        <w:rPr>
          <w:rFonts w:hint="eastAsia" w:ascii="仿宋" w:hAnsi="仿宋" w:eastAsia="仿宋" w:cs="仿宋"/>
          <w:color w:val="000000"/>
          <w:sz w:val="24"/>
          <w:szCs w:val="24"/>
          <w:highlight w:val="none"/>
        </w:rPr>
      </w:r>
      <w:r/>
    </w:p>
    <w:p>
      <w:pPr>
        <w:pStyle w:val="815"/>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5.4国家法律法规规定及</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约定应由乙方承担的其他义务和责任。</w:t>
      </w:r>
      <w:r>
        <w:rPr>
          <w:rFonts w:hint="eastAsia" w:ascii="仿宋" w:hAnsi="仿宋" w:eastAsia="仿宋" w:cs="仿宋"/>
          <w:color w:val="000000"/>
          <w:sz w:val="24"/>
          <w:szCs w:val="24"/>
          <w:highlight w:val="none"/>
        </w:rPr>
      </w:r>
      <w:r/>
    </w:p>
    <w:p>
      <w:pPr>
        <w:pStyle w:val="752"/>
        <w:numPr>
          <w:ilvl w:val="0"/>
          <w:numId w:val="7"/>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合同履行</w:t>
      </w:r>
      <w:r>
        <w:rPr>
          <w:rFonts w:hint="eastAsia" w:ascii="仿宋" w:hAnsi="仿宋" w:eastAsia="仿宋" w:cs="仿宋"/>
          <w:b/>
          <w:bCs/>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 甲乙双方应当按照</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约定顺序履行合同义务；如果没有先后顺序的，应当同时履行。</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仿宋" w:hAnsi="仿宋" w:eastAsia="仿宋" w:cs="仿宋"/>
          <w:color w:val="000000"/>
          <w:sz w:val="24"/>
          <w:szCs w:val="24"/>
          <w:highlight w:val="none"/>
        </w:rPr>
      </w:r>
      <w:r/>
    </w:p>
    <w:p>
      <w:pPr>
        <w:pStyle w:val="752"/>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7. 货物包装、运输、保险和交付要求</w:t>
      </w:r>
      <w:r>
        <w:rPr>
          <w:rFonts w:hint="eastAsia" w:ascii="仿宋" w:hAnsi="仿宋" w:eastAsia="仿宋" w:cs="仿宋"/>
          <w:b/>
          <w:bCs/>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本合同</w:t>
      </w:r>
      <w:r>
        <w:rPr>
          <w:rFonts w:hint="eastAsia" w:ascii="仿宋" w:hAnsi="仿宋" w:eastAsia="仿宋" w:cs="仿宋"/>
          <w:bCs/>
          <w:color w:val="000000"/>
          <w:sz w:val="24"/>
          <w:szCs w:val="24"/>
          <w:highlight w:val="none"/>
        </w:rPr>
        <w:t xml:space="preserve">涉及商品包装、快递包装的，</w:t>
      </w:r>
      <w:r>
        <w:rPr>
          <w:rFonts w:hint="eastAsia" w:ascii="仿宋" w:hAnsi="仿宋" w:eastAsia="仿宋" w:cs="仿宋"/>
          <w:color w:val="000000"/>
          <w:sz w:val="24"/>
          <w:szCs w:val="24"/>
          <w:highlight w:val="none"/>
        </w:rPr>
        <w:t xml:space="preserve">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另有约定外，</w:t>
      </w:r>
      <w:r>
        <w:rPr>
          <w:rFonts w:hint="eastAsia" w:ascii="仿宋" w:hAnsi="仿宋" w:eastAsia="仿宋" w:cs="仿宋"/>
          <w:color w:val="000000"/>
          <w:sz w:val="24"/>
          <w:szCs w:val="24"/>
          <w:highlight w:val="none"/>
        </w:rPr>
        <w:t xml:space="preserve">包装应适应远距离运输、防潮、防震、防锈和防野蛮装卸等要求，确保货物安全无损地运抵</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约定的</w:t>
      </w:r>
      <w:r>
        <w:rPr>
          <w:rFonts w:hint="eastAsia" w:ascii="仿宋" w:hAnsi="仿宋" w:eastAsia="仿宋" w:cs="仿宋"/>
          <w:color w:val="000000"/>
          <w:sz w:val="24"/>
          <w:szCs w:val="24"/>
          <w:highlight w:val="none"/>
        </w:rPr>
        <w:t xml:space="preserve">指定现场。</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 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另有约定外，</w:t>
      </w:r>
      <w:r>
        <w:rPr>
          <w:rFonts w:hint="eastAsia" w:ascii="仿宋" w:hAnsi="仿宋" w:eastAsia="仿宋" w:cs="仿宋"/>
          <w:color w:val="000000"/>
          <w:sz w:val="24"/>
          <w:szCs w:val="24"/>
          <w:highlight w:val="none"/>
        </w:rPr>
        <w:t xml:space="preserve">乙方负责办理将货物运抵本合同规定的交货地点，并装卸、交付至甲方的一切运输事项，相关费用应包含在合同价款中。</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 货物保险要求按</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规定执行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 乙方在运输到达之前应提前通知甲方，并提示货物运输装卸的注意事项，甲方配合乙方做好货物的接收工作。</w:t>
      </w:r>
      <w:r>
        <w:rPr>
          <w:rFonts w:hint="eastAsia" w:ascii="仿宋" w:hAnsi="仿宋" w:eastAsia="仿宋" w:cs="仿宋"/>
          <w:color w:val="000000"/>
          <w:sz w:val="24"/>
          <w:szCs w:val="24"/>
          <w:highlight w:val="none"/>
        </w:rPr>
      </w:r>
      <w:r/>
    </w:p>
    <w:p>
      <w:pPr>
        <w:pStyle w:val="1010"/>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7.6 如因包装、运输问题导致货物损毁、丢失或者品质下降，甲方有权要求降价、换货、拒收部分或整批货物，由此产生的费用和损失，均由乙方承担。</w:t>
      </w:r>
      <w:r>
        <w:rPr>
          <w:rFonts w:hint="eastAsia" w:ascii="仿宋" w:hAnsi="仿宋" w:eastAsia="仿宋" w:cs="仿宋"/>
          <w:color w:val="000000"/>
          <w:sz w:val="24"/>
          <w:szCs w:val="24"/>
          <w:highlight w:val="none"/>
        </w:rPr>
      </w:r>
      <w:r/>
    </w:p>
    <w:p>
      <w:pPr>
        <w:pStyle w:val="752"/>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8. 质量标准和保证</w:t>
      </w:r>
      <w:r>
        <w:rPr>
          <w:rFonts w:hint="eastAsia" w:ascii="仿宋" w:hAnsi="仿宋" w:eastAsia="仿宋" w:cs="仿宋"/>
          <w:b/>
          <w:color w:val="000000"/>
          <w:sz w:val="24"/>
          <w:szCs w:val="24"/>
          <w:highlight w:val="none"/>
        </w:rPr>
      </w:r>
      <w:r/>
    </w:p>
    <w:p>
      <w:pPr>
        <w:pStyle w:val="1012"/>
        <w:ind w:firstLine="560"/>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8.1 质量标准</w:t>
      </w:r>
      <w:r>
        <w:rPr>
          <w:rFonts w:hint="eastAsia" w:ascii="仿宋" w:hAnsi="仿宋" w:eastAsia="仿宋" w:cs="仿宋"/>
          <w:b/>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000000"/>
          <w:sz w:val="24"/>
          <w:szCs w:val="24"/>
          <w:highlight w:val="none"/>
        </w:rPr>
      </w:r>
      <w:r/>
    </w:p>
    <w:p>
      <w:pPr>
        <w:pStyle w:val="101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（2）采用中华人民共和国法定计量单位。</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（3）乙方所提供的货物应符合国家有关安全、环保、卫生的规定。</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 保证</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规定或乙方书面承诺（两者以较长的为准）的质量保证期内，本保证保持有效。</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（2）在质量保证期内所发现的缺陷，甲方应尽快以书面形式通知乙方。</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（3）乙方收到通知后，应在</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规定的响应时间内以合理的速度免费维修或更换有缺陷的货物或部件。</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rPr>
          <w:rFonts w:hint="eastAsia" w:ascii="仿宋" w:hAnsi="仿宋" w:eastAsia="仿宋" w:cs="仿宋"/>
          <w:color w:val="000000"/>
          <w:sz w:val="24"/>
          <w:szCs w:val="24"/>
          <w:highlight w:val="none"/>
        </w:rPr>
      </w:r>
      <w:r/>
    </w:p>
    <w:p>
      <w:pPr>
        <w:pStyle w:val="752"/>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9. 权利瑕疵担保</w:t>
      </w:r>
      <w:r>
        <w:rPr>
          <w:rFonts w:hint="eastAsia" w:ascii="仿宋" w:hAnsi="仿宋" w:eastAsia="仿宋" w:cs="仿宋"/>
          <w:b/>
          <w:bCs/>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 乙方保证对其出售的货物享有合法的权利。</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乙方保证在交付的货物上不存在抵押权等担保物权。</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 如甲方使用上述货物构成对第三人侵权的，则由乙方承担全部责任。</w:t>
      </w:r>
      <w:r>
        <w:rPr>
          <w:rFonts w:hint="eastAsia" w:ascii="仿宋" w:hAnsi="仿宋" w:eastAsia="仿宋" w:cs="仿宋"/>
          <w:color w:val="000000"/>
          <w:sz w:val="24"/>
          <w:szCs w:val="24"/>
          <w:highlight w:val="none"/>
        </w:rPr>
      </w:r>
      <w:r/>
    </w:p>
    <w:p>
      <w:pPr>
        <w:pStyle w:val="752"/>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10. 知识产权保护</w:t>
      </w:r>
      <w:r>
        <w:rPr>
          <w:rFonts w:hint="eastAsia" w:ascii="仿宋" w:hAnsi="仿宋" w:eastAsia="仿宋" w:cs="仿宋"/>
          <w:b/>
          <w:bCs/>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 乙方对其所销售的货物应当享有知识产权或经权利人合法授权，保证没有侵犯任何第三人的知识产权等权利。</w:t>
      </w:r>
      <w:bookmarkStart w:id="13" w:name="_Hlk163047038"/>
      <w:r>
        <w:rPr>
          <w:rFonts w:hint="eastAsia" w:ascii="仿宋" w:hAnsi="仿宋" w:eastAsia="仿宋" w:cs="仿宋"/>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3"/>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2"/>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11. 保密义务</w:t>
      </w:r>
      <w:r>
        <w:rPr>
          <w:rFonts w:hint="eastAsia" w:ascii="仿宋" w:hAnsi="仿宋" w:eastAsia="仿宋" w:cs="仿宋"/>
          <w:b/>
          <w:bCs/>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中约定。</w:t>
      </w:r>
      <w:r>
        <w:rPr>
          <w:rFonts w:hint="eastAsia" w:ascii="仿宋" w:hAnsi="仿宋" w:eastAsia="仿宋" w:cs="仿宋"/>
          <w:color w:val="000000"/>
          <w:sz w:val="24"/>
          <w:szCs w:val="24"/>
          <w:highlight w:val="none"/>
        </w:rPr>
      </w:r>
      <w:r/>
    </w:p>
    <w:p>
      <w:pPr>
        <w:pStyle w:val="752"/>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12. 合同价款支付</w:t>
      </w:r>
      <w:r>
        <w:rPr>
          <w:rFonts w:hint="eastAsia" w:ascii="仿宋" w:hAnsi="仿宋" w:eastAsia="仿宋" w:cs="仿宋"/>
          <w:b/>
          <w:bCs/>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 合同价款支付按照国库集中支付制度及财政管理相关规定执行。</w:t>
      </w:r>
      <w:r>
        <w:rPr>
          <w:rFonts w:hint="eastAsia" w:ascii="仿宋" w:hAnsi="仿宋" w:eastAsia="仿宋" w:cs="仿宋"/>
          <w:color w:val="000000"/>
          <w:sz w:val="24"/>
          <w:szCs w:val="24"/>
          <w:highlight w:val="none"/>
        </w:rPr>
      </w:r>
      <w:r/>
    </w:p>
    <w:p>
      <w:pPr>
        <w:pStyle w:val="834"/>
        <w:ind w:firstLine="562"/>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仿宋" w:hAnsi="仿宋" w:eastAsia="仿宋" w:cs="仿宋"/>
          <w:color w:val="000000"/>
          <w:sz w:val="24"/>
          <w:szCs w:val="24"/>
          <w:highlight w:val="none"/>
        </w:rPr>
      </w:r>
      <w:r/>
    </w:p>
    <w:p>
      <w:pPr>
        <w:pStyle w:val="815"/>
        <w:ind w:firstLine="562"/>
        <w:spacing w:after="0"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13. 履约保证金</w:t>
      </w:r>
      <w:r>
        <w:rPr>
          <w:rFonts w:hint="eastAsia" w:ascii="仿宋" w:hAnsi="仿宋" w:eastAsia="仿宋" w:cs="仿宋"/>
          <w:b/>
          <w:bCs/>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 乙方应当以支票、汇票、本票或者金融机构、担保机构出具的保函等非现金形式提交。</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 如果乙方出现</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 甲方在项目通过验收后按照</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规定的时间内将履约保证金退还乙方；逾期退还的，乙方可要求甲方支付违约金，违约金按照</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规定支付。</w:t>
      </w:r>
      <w:r>
        <w:rPr>
          <w:rFonts w:hint="eastAsia" w:ascii="仿宋" w:hAnsi="仿宋" w:eastAsia="仿宋" w:cs="仿宋"/>
          <w:color w:val="000000"/>
          <w:sz w:val="24"/>
          <w:szCs w:val="24"/>
          <w:highlight w:val="none"/>
        </w:rPr>
      </w:r>
      <w:r/>
    </w:p>
    <w:p>
      <w:pPr>
        <w:pStyle w:val="752"/>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14. </w:t>
      </w:r>
      <w:r>
        <w:rPr>
          <w:rFonts w:hint="eastAsia" w:ascii="仿宋" w:hAnsi="仿宋" w:eastAsia="仿宋" w:cs="仿宋"/>
          <w:b/>
          <w:color w:val="000000"/>
          <w:sz w:val="24"/>
          <w:szCs w:val="24"/>
          <w:highlight w:val="none"/>
        </w:rPr>
        <w:t xml:space="preserve">售后服务</w:t>
      </w:r>
      <w:r>
        <w:rPr>
          <w:rFonts w:hint="eastAsia" w:ascii="仿宋" w:hAnsi="仿宋" w:eastAsia="仿宋" w:cs="仿宋"/>
          <w:b/>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除项目不涉及或采购活动中明确约定无须承担外，乙方还应提供下列服务：</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（1）货物的现场移动、安装、调试、启动监督及技术支持；</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（2）提供货物组装和维修所需的专用工具和辅助材料；</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约定的期限内对所有的货物实施运行监督、维修，但前提条件是该服务并不能免除乙方在质量保证期内所承担的义务；</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（4）在制造商所在地或指定现场就货物的安装、启动、运营、维护、废弃处置等对甲方操作人员进行培训；</w:t>
      </w:r>
      <w:r>
        <w:rPr>
          <w:rFonts w:hint="eastAsia" w:ascii="仿宋" w:hAnsi="仿宋" w:eastAsia="仿宋" w:cs="仿宋"/>
          <w:color w:val="000000"/>
          <w:sz w:val="24"/>
          <w:szCs w:val="24"/>
          <w:highlight w:val="none"/>
        </w:rPr>
      </w:r>
      <w:r/>
    </w:p>
    <w:p>
      <w:pPr>
        <w:pStyle w:val="1010"/>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（5）依照法律、行政法规的规定或者按照</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约定，货物在有效使用年限届满后应予回收的，乙方负有自行或者委托第三人对货物予以回收的义务；</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规定由乙方提供的其他服务。</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乙方提供的售后服务的费用已包含在合同价款中，甲方不再另行支付。</w:t>
      </w:r>
      <w:r>
        <w:rPr>
          <w:rFonts w:hint="eastAsia" w:ascii="仿宋" w:hAnsi="仿宋" w:eastAsia="仿宋" w:cs="仿宋"/>
          <w:color w:val="000000"/>
          <w:sz w:val="24"/>
          <w:szCs w:val="24"/>
          <w:highlight w:val="none"/>
        </w:rPr>
      </w:r>
      <w:r/>
    </w:p>
    <w:p>
      <w:pPr>
        <w:pStyle w:val="752"/>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15.违约责任</w:t>
      </w:r>
      <w:r>
        <w:rPr>
          <w:rFonts w:hint="eastAsia" w:ascii="仿宋" w:hAnsi="仿宋" w:eastAsia="仿宋" w:cs="仿宋"/>
          <w:b/>
          <w:bCs/>
          <w:color w:val="000000"/>
          <w:sz w:val="24"/>
          <w:szCs w:val="24"/>
          <w:highlight w:val="none"/>
        </w:rPr>
      </w:r>
      <w:r/>
    </w:p>
    <w:p>
      <w:pPr>
        <w:pStyle w:val="752"/>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15.1质量瑕疵的违约责任</w:t>
      </w:r>
      <w:r>
        <w:rPr>
          <w:rFonts w:hint="eastAsia" w:ascii="仿宋" w:hAnsi="仿宋" w:eastAsia="仿宋" w:cs="仿宋"/>
          <w:bCs/>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乙方提供的产品不符合合同约定的质量标准或存在产品质量缺陷，甲方有权要求乙方根据</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要求</w:t>
      </w:r>
      <w:r>
        <w:rPr>
          <w:rFonts w:hint="eastAsia" w:ascii="仿宋" w:hAnsi="仿宋" w:eastAsia="仿宋" w:cs="仿宋"/>
          <w:color w:val="000000"/>
          <w:sz w:val="24"/>
          <w:szCs w:val="24"/>
          <w:highlight w:val="none"/>
        </w:rPr>
        <w:t xml:space="preserve">及时修理、重作、更换，并承担由此给甲方造成的损失。</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15.2 迟延交货的违约责任</w:t>
      </w:r>
      <w:r>
        <w:rPr>
          <w:rFonts w:hint="eastAsia" w:ascii="仿宋" w:hAnsi="仿宋" w:eastAsia="仿宋" w:cs="仿宋"/>
          <w:bCs/>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规定执行。如果涉及公共利益，且赔偿金额无法弥补公共利益损失，甲方可要求继续履行或者采取其他补救措施。</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15.3 迟延支付的违约责任</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甲方存在迟延支付乙方合同款项的，应当承担</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规定的逾期付款利息。</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15.4其他违约责任根据项目实际需要按</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规定执行。</w:t>
      </w:r>
      <w:r>
        <w:rPr>
          <w:rFonts w:hint="eastAsia" w:ascii="仿宋" w:hAnsi="仿宋" w:eastAsia="仿宋" w:cs="仿宋"/>
          <w:color w:val="000000"/>
          <w:sz w:val="24"/>
          <w:szCs w:val="24"/>
          <w:highlight w:val="none"/>
        </w:rPr>
      </w:r>
      <w:r/>
    </w:p>
    <w:p>
      <w:pPr>
        <w:pStyle w:val="752"/>
        <w:numPr>
          <w:ilvl w:val="0"/>
          <w:numId w:val="8"/>
        </w:numPr>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合同变更、中止与终止</w:t>
      </w:r>
      <w:r>
        <w:rPr>
          <w:rFonts w:hint="eastAsia" w:ascii="仿宋" w:hAnsi="仿宋" w:eastAsia="仿宋" w:cs="仿宋"/>
          <w:b/>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16.1合同的变更</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16.2合同的中止</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（1）合同履行过程中因供应商就采购文件、采购过程或结果提起投诉的，甲方认为有必要的，可以中止合同的履行。</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仿宋" w:hAnsi="仿宋" w:eastAsia="仿宋" w:cs="仿宋"/>
          <w:color w:val="000000"/>
          <w:sz w:val="24"/>
          <w:szCs w:val="24"/>
          <w:highlight w:val="none"/>
        </w:rPr>
      </w:r>
      <w:r/>
    </w:p>
    <w:p>
      <w:pPr>
        <w:pStyle w:val="1010"/>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（4）甲方不得以行政区划调整、政府换届、机构或者职能调整以及相关责任人更替为由中止合同。</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16.3合同的终止</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（1）合同因有效期限届满而终止；</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（2）乙方未按合同约定履行，构成根本性违约的，甲方有权终止合同，并追究乙方的违约责任。</w:t>
      </w:r>
      <w:r>
        <w:rPr>
          <w:rFonts w:hint="eastAsia" w:ascii="仿宋" w:hAnsi="仿宋" w:eastAsia="仿宋" w:cs="仿宋"/>
          <w:color w:val="000000"/>
          <w:sz w:val="24"/>
          <w:szCs w:val="24"/>
          <w:highlight w:val="none"/>
        </w:rPr>
      </w:r>
      <w:r/>
    </w:p>
    <w:p>
      <w:pPr>
        <w:pStyle w:val="1010"/>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16.4 涉及国家利益、社会公共利益的情形</w:t>
      </w:r>
      <w:r>
        <w:rPr>
          <w:rFonts w:hint="eastAsia" w:ascii="仿宋" w:hAnsi="仿宋" w:eastAsia="仿宋" w:cs="仿宋"/>
          <w:color w:val="000000"/>
          <w:sz w:val="24"/>
          <w:szCs w:val="24"/>
          <w:highlight w:val="none"/>
        </w:rPr>
      </w:r>
      <w:r/>
    </w:p>
    <w:p>
      <w:pPr>
        <w:pStyle w:val="1010"/>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仿宋" w:hAnsi="仿宋" w:eastAsia="仿宋" w:cs="仿宋"/>
          <w:color w:val="000000"/>
          <w:sz w:val="24"/>
          <w:szCs w:val="24"/>
          <w:highlight w:val="none"/>
        </w:rPr>
      </w:r>
      <w:r/>
    </w:p>
    <w:p>
      <w:pPr>
        <w:pStyle w:val="752"/>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17. 合同分包</w:t>
      </w:r>
      <w:r>
        <w:rPr>
          <w:rFonts w:hint="eastAsia" w:ascii="仿宋" w:hAnsi="仿宋" w:eastAsia="仿宋" w:cs="仿宋"/>
          <w:b/>
          <w:bCs/>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 乙方不得将合同转包给其他供应商。涉及合同分包的，乙方应根据采购文件和投标（响应）文件规定进行合同分包。</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 乙方执行政府采购政策向中小企业依法分包的，乙方应当按采购文件和投标（响应）文件签订分包意向协议，分包意向协议属于本合同组成部分。</w:t>
      </w:r>
      <w:r>
        <w:rPr>
          <w:rFonts w:hint="eastAsia" w:ascii="仿宋" w:hAnsi="仿宋" w:eastAsia="仿宋" w:cs="仿宋"/>
          <w:color w:val="000000"/>
          <w:sz w:val="24"/>
          <w:szCs w:val="24"/>
          <w:highlight w:val="none"/>
        </w:rPr>
      </w:r>
      <w:r/>
    </w:p>
    <w:p>
      <w:pPr>
        <w:pStyle w:val="752"/>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18. 不可抗力</w:t>
      </w:r>
      <w:r>
        <w:rPr>
          <w:rFonts w:hint="eastAsia" w:ascii="仿宋" w:hAnsi="仿宋" w:eastAsia="仿宋" w:cs="仿宋"/>
          <w:b/>
          <w:bCs/>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 不可抗力是指合同双方不能预见、不能避免且不能克服的客观情况。</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 任何一方对由于不可抗力造成的部分或全部不能履行合同不承担违约责任。但迟延履行后发生不可抗力的，不能免除责任。</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仿宋" w:hAnsi="仿宋" w:eastAsia="仿宋" w:cs="仿宋"/>
          <w:color w:val="000000"/>
          <w:sz w:val="24"/>
          <w:szCs w:val="24"/>
          <w:highlight w:val="none"/>
        </w:rPr>
      </w:r>
      <w:r/>
    </w:p>
    <w:p>
      <w:pPr>
        <w:pStyle w:val="752"/>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19. 解决争议的方法</w:t>
      </w:r>
      <w:r>
        <w:rPr>
          <w:rFonts w:hint="eastAsia" w:ascii="仿宋" w:hAnsi="仿宋" w:eastAsia="仿宋" w:cs="仿宋"/>
          <w:b/>
          <w:bCs/>
          <w:color w:val="000000"/>
          <w:sz w:val="24"/>
          <w:szCs w:val="24"/>
          <w:highlight w:val="none"/>
        </w:rPr>
      </w:r>
      <w:r/>
    </w:p>
    <w:p>
      <w:pPr>
        <w:pStyle w:val="1010"/>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rFonts w:hint="eastAsia" w:ascii="仿宋" w:hAnsi="仿宋" w:eastAsia="仿宋" w:cs="仿宋"/>
          <w:color w:val="000000"/>
          <w:sz w:val="24"/>
          <w:szCs w:val="24"/>
          <w:highlight w:val="none"/>
        </w:rPr>
      </w:r>
      <w:r/>
    </w:p>
    <w:p>
      <w:pPr>
        <w:pStyle w:val="1010"/>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19.2选择仲裁的，应在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中明确仲裁机构及仲裁地；通过诉讼方式解决的，可以在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中进一步约定选择与争议有实际联系的地点的人民法院管辖，但管辖法院的约定不得违反级别管辖和专属管辖的规定。</w:t>
      </w:r>
      <w:r>
        <w:rPr>
          <w:rFonts w:hint="eastAsia" w:ascii="仿宋" w:hAnsi="仿宋" w:eastAsia="仿宋" w:cs="仿宋"/>
          <w:color w:val="000000"/>
          <w:sz w:val="24"/>
          <w:szCs w:val="24"/>
          <w:highlight w:val="none"/>
        </w:rPr>
      </w:r>
      <w:r/>
    </w:p>
    <w:p>
      <w:pPr>
        <w:pStyle w:val="1010"/>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19.3如甲乙双方有争议的事项不影响合同其他部分的履行，在争议解决期间，合同其他部分应当继续履行。</w:t>
      </w:r>
      <w:r>
        <w:rPr>
          <w:rFonts w:hint="eastAsia" w:ascii="仿宋" w:hAnsi="仿宋" w:eastAsia="仿宋" w:cs="仿宋"/>
          <w:color w:val="000000"/>
          <w:sz w:val="24"/>
          <w:szCs w:val="24"/>
          <w:highlight w:val="none"/>
        </w:rPr>
      </w:r>
      <w:r/>
    </w:p>
    <w:p>
      <w:pPr>
        <w:pStyle w:val="752"/>
        <w:ind w:firstLine="562"/>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20. 政府采购政策</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 </w:t>
      </w:r>
      <w:r>
        <w:rPr>
          <w:rFonts w:hint="eastAsia" w:ascii="仿宋" w:hAnsi="仿宋" w:eastAsia="仿宋" w:cs="仿宋"/>
          <w:color w:val="000000"/>
          <w:sz w:val="24"/>
          <w:szCs w:val="24"/>
          <w:highlight w:val="none"/>
          <w:lang w:val="en-GB"/>
        </w:rPr>
        <w:t xml:space="preserve">本合同应当按照规定执行政府采购政策。</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 本合同依法执行政府采购政策的方式和内容，属于合同履约验收的范围。甲乙双方</w:t>
      </w:r>
      <w:r>
        <w:rPr>
          <w:rFonts w:hint="eastAsia" w:ascii="仿宋" w:hAnsi="仿宋" w:eastAsia="仿宋" w:cs="仿宋"/>
          <w:color w:val="000000"/>
          <w:sz w:val="24"/>
          <w:szCs w:val="24"/>
          <w:highlight w:val="none"/>
          <w:lang w:val="en-GB"/>
        </w:rPr>
        <w:t xml:space="preserve">未按规定要求执行政府采购政策造成损失的</w:t>
      </w:r>
      <w:r>
        <w:rPr>
          <w:rFonts w:hint="eastAsia" w:ascii="仿宋" w:hAnsi="仿宋" w:eastAsia="仿宋" w:cs="仿宋"/>
          <w:color w:val="000000"/>
          <w:sz w:val="24"/>
          <w:szCs w:val="24"/>
          <w:highlight w:val="none"/>
        </w:rPr>
        <w:t xml:space="preserve">，有过错的一方应当承担赔偿责任，双方都有过错的，各自承担相应的责任。</w:t>
      </w:r>
      <w:r>
        <w:rPr>
          <w:rFonts w:hint="eastAsia" w:ascii="仿宋" w:hAnsi="仿宋" w:eastAsia="仿宋" w:cs="仿宋"/>
          <w:color w:val="000000"/>
          <w:sz w:val="24"/>
          <w:szCs w:val="24"/>
          <w:highlight w:val="none"/>
        </w:rPr>
      </w:r>
      <w:r/>
    </w:p>
    <w:p>
      <w:pPr>
        <w:pStyle w:val="815"/>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仿宋" w:hAnsi="仿宋" w:eastAsia="仿宋" w:cs="仿宋"/>
          <w:color w:val="000000"/>
          <w:sz w:val="24"/>
          <w:szCs w:val="24"/>
          <w:highlight w:val="none"/>
        </w:rPr>
      </w:r>
      <w:r/>
    </w:p>
    <w:p>
      <w:pPr>
        <w:pStyle w:val="752"/>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21. 法律适用</w:t>
      </w:r>
      <w:r>
        <w:rPr>
          <w:rFonts w:hint="eastAsia" w:ascii="仿宋" w:hAnsi="仿宋" w:eastAsia="仿宋" w:cs="仿宋"/>
          <w:b/>
          <w:color w:val="000000"/>
          <w:sz w:val="24"/>
          <w:szCs w:val="24"/>
          <w:highlight w:val="none"/>
        </w:rPr>
      </w:r>
      <w:r/>
    </w:p>
    <w:p>
      <w:pPr>
        <w:pStyle w:val="1010"/>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21.1本合同的订立、生效、解释、履行及与本合同有关的争议解决，均适用法律、行政法规。</w:t>
      </w:r>
      <w:r>
        <w:rPr>
          <w:rFonts w:hint="eastAsia" w:ascii="仿宋" w:hAnsi="仿宋" w:eastAsia="仿宋" w:cs="仿宋"/>
          <w:color w:val="000000"/>
          <w:sz w:val="24"/>
          <w:szCs w:val="24"/>
          <w:highlight w:val="none"/>
        </w:rPr>
      </w:r>
      <w:r/>
    </w:p>
    <w:p>
      <w:pPr>
        <w:pStyle w:val="1010"/>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21.2本合同条款与法律、行政法规的强制性规定不一致的，双方当事人应按照法律、行政法规的强制性规定修改本合同的相关条款。</w:t>
      </w:r>
      <w:r>
        <w:rPr>
          <w:rFonts w:hint="eastAsia" w:ascii="仿宋" w:hAnsi="仿宋" w:eastAsia="仿宋" w:cs="仿宋"/>
          <w:color w:val="000000"/>
          <w:sz w:val="24"/>
          <w:szCs w:val="24"/>
          <w:highlight w:val="none"/>
        </w:rPr>
      </w:r>
      <w:r/>
    </w:p>
    <w:p>
      <w:pPr>
        <w:pStyle w:val="752"/>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22. 通知</w:t>
      </w:r>
      <w:r>
        <w:rPr>
          <w:rFonts w:hint="eastAsia" w:ascii="仿宋" w:hAnsi="仿宋" w:eastAsia="仿宋" w:cs="仿宋"/>
          <w:b/>
          <w:color w:val="000000"/>
          <w:sz w:val="24"/>
          <w:szCs w:val="24"/>
          <w:highlight w:val="none"/>
        </w:rPr>
      </w:r>
      <w:r/>
    </w:p>
    <w:p>
      <w:pPr>
        <w:pStyle w:val="1010"/>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22.1本合同任何一方向对方发出的通知、信件、数据电文等，应当发送至本合同第一部分《政府采购合同协议书》所约定的通讯地址、联系人、联系电话或电子邮箱。</w:t>
      </w:r>
      <w:r>
        <w:rPr>
          <w:rFonts w:hint="eastAsia" w:ascii="仿宋" w:hAnsi="仿宋" w:eastAsia="仿宋" w:cs="仿宋"/>
          <w:color w:val="000000"/>
          <w:sz w:val="24"/>
          <w:szCs w:val="24"/>
          <w:highlight w:val="none"/>
        </w:rPr>
      </w:r>
      <w:r/>
    </w:p>
    <w:p>
      <w:pPr>
        <w:pStyle w:val="1010"/>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22.2一方当事人变更名称、住所、联系人、联系电话或电子邮箱等信息的，应当在变更后3日内及时书面通知对方，对方实际收到变更通知前的送达仍为有效送达。</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22.3本合同一方给另一方的通知均应采用书面形式，传真或快递送到本合同中规定的对方的地址和办理签收手续。</w:t>
      </w:r>
      <w:r>
        <w:rPr>
          <w:rFonts w:hint="eastAsia" w:ascii="仿宋" w:hAnsi="仿宋" w:eastAsia="仿宋" w:cs="仿宋"/>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22.4通知以送达之日或通知书中规定的生效之日起生效，两者中以较迟之日为准。</w:t>
      </w:r>
      <w:r>
        <w:rPr>
          <w:rFonts w:hint="eastAsia" w:ascii="仿宋" w:hAnsi="仿宋" w:eastAsia="仿宋" w:cs="仿宋"/>
          <w:color w:val="000000"/>
          <w:sz w:val="24"/>
          <w:szCs w:val="24"/>
          <w:highlight w:val="none"/>
        </w:rPr>
      </w:r>
      <w:r/>
    </w:p>
    <w:p>
      <w:pPr>
        <w:pStyle w:val="752"/>
        <w:numPr>
          <w:ilvl w:val="0"/>
          <w:numId w:val="9"/>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合同未尽事项</w:t>
      </w:r>
      <w:r>
        <w:rPr>
          <w:rFonts w:hint="eastAsia" w:ascii="仿宋" w:hAnsi="仿宋" w:eastAsia="仿宋" w:cs="仿宋"/>
          <w:b/>
          <w:bCs/>
          <w:color w:val="000000"/>
          <w:sz w:val="24"/>
          <w:szCs w:val="24"/>
          <w:highlight w:val="none"/>
        </w:rPr>
      </w:r>
      <w:r/>
    </w:p>
    <w:p>
      <w:pPr>
        <w:pStyle w:val="752"/>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23.1合同未尽事项见</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752"/>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23.2合同附件与合同正文具有同等的法律效力。</w:t>
      </w:r>
      <w:bookmarkStart w:id="14" w:name="_Toc20313"/>
      <w:r>
        <w:rPr>
          <w:rFonts w:hint="eastAsia" w:ascii="仿宋" w:hAnsi="仿宋" w:eastAsia="仿宋" w:cs="仿宋"/>
          <w:color w:val="000000"/>
          <w:sz w:val="24"/>
          <w:szCs w:val="24"/>
          <w:highlight w:val="none"/>
        </w:rPr>
      </w:r>
      <w:r/>
    </w:p>
    <w:p>
      <w:pPr>
        <w:pStyle w:val="752"/>
        <w:jc w:val="center"/>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rPr>
        <w:t xml:space="preserve">第三节 政府采购合同专用条款</w:t>
      </w:r>
      <w:bookmarkEnd w:id="14"/>
      <w:r>
        <w:rPr>
          <w:rFonts w:hint="eastAsia" w:ascii="仿宋" w:hAnsi="仿宋" w:eastAsia="仿宋" w:cs="仿宋"/>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72"/>
        <w:gridCol w:w="2182"/>
        <w:gridCol w:w="5259"/>
      </w:tblGrid>
      <w:tr>
        <w:trPr>
          <w:trHeight w:val="736"/>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第1.2（6）项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联合体具体要求</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04"/>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第1.2（7）项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其他术语解释</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第4.4款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履约验收中甲方提出异议或作出说明的期限</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合同标的全部交付后，乙方可向甲方书面提出验收要求，甲方在接到书面要求后7日内进行验收。</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第4.6款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约定甲方承担的其他义务和责任</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第5.4款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约定乙方承担的其他义务和责任</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第6.1款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履行合同义务的顺序</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见第一节“2.合同金额”中“（3）付款方式”双方合同义务履行顺序</w:t>
            </w:r>
            <w:r>
              <w:rPr>
                <w:rFonts w:hint="eastAsia" w:ascii="仿宋" w:hAnsi="仿宋" w:eastAsia="仿宋" w:cs="仿宋"/>
                <w:color w:val="000000"/>
                <w:sz w:val="24"/>
                <w:szCs w:val="24"/>
                <w:highlight w:val="none"/>
              </w:rPr>
            </w:r>
            <w:r/>
          </w:p>
        </w:tc>
      </w:tr>
      <w:tr>
        <w:trPr>
          <w:trHeight w:val="667"/>
        </w:trPr>
        <w:tc>
          <w:tcPr>
            <w:tcW w:w="2172" w:type="dxa"/>
            <w:vAlign w:val="center"/>
            <w:vMerge w:val="restart"/>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包装特殊要求</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7"/>
        </w:trPr>
        <w:tc>
          <w:tcPr>
            <w:tcW w:w="2172" w:type="dxa"/>
            <w:vAlign w:val="center"/>
            <w:vMerge w:val="continue"/>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指定现场</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甲方指定收货地点</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tc>
      </w:tr>
      <w:tr>
        <w:trPr>
          <w:trHeight w:val="772"/>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第7.2款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运输特殊要求</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7"/>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第7.3款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保险要求</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货物在通过甲方验收前的保险责任及费用由乙方承担。</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第8.2（1）项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质量保证期</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从甲方验收合格之日起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第8.2（3）项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货物质量缺陷响应时间</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1010"/>
              <w:ind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第11.1款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其他应当保密的信息</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97"/>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第12.2款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合同价款支付时间</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见第一节“2.合同金额”中“（3）付款方式”</w:t>
            </w:r>
            <w:r>
              <w:rPr>
                <w:rFonts w:hint="eastAsia" w:ascii="仿宋" w:hAnsi="仿宋" w:eastAsia="仿宋" w:cs="仿宋"/>
                <w:color w:val="000000"/>
                <w:sz w:val="24"/>
                <w:szCs w:val="24"/>
                <w:highlight w:val="none"/>
              </w:rPr>
            </w:r>
            <w:r/>
          </w:p>
        </w:tc>
      </w:tr>
      <w:tr>
        <w:trPr>
          <w:trHeight w:val="697"/>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第13.2款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履约保证金不予退还的情形</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第13.3款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履约保证金退还时间及逾期退还的违约金</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tc>
      </w:tr>
      <w:tr>
        <w:trPr>
          <w:trHeight w:val="784"/>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第14.1（3）项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运行监督、维修期限</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同采购标的的使用寿命期限</w:t>
            </w:r>
            <w:r>
              <w:rPr>
                <w:rFonts w:hint="eastAsia" w:ascii="仿宋" w:hAnsi="仿宋" w:eastAsia="仿宋" w:cs="仿宋"/>
                <w:color w:val="000000"/>
                <w:sz w:val="24"/>
                <w:szCs w:val="24"/>
                <w:highlight w:val="none"/>
              </w:rPr>
            </w:r>
            <w:r/>
          </w:p>
        </w:tc>
      </w:tr>
      <w:tr>
        <w:trPr>
          <w:trHeight w:val="784"/>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第14.1（5）项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货物回收的约定</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第14.1（6）项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乙方提供的其他服务</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修理、重作、更换相关具体规定</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第15.2（2）项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迟延交货赔偿费</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rPr>
                <w:rFonts w:hint="eastAsia" w:ascii="仿宋" w:hAnsi="仿宋" w:eastAsia="仿宋" w:cs="仿宋"/>
                <w:color w:val="000000"/>
                <w:sz w:val="24"/>
                <w:szCs w:val="24"/>
                <w:highlight w:val="none"/>
              </w:rPr>
            </w:r>
            <w:r/>
          </w:p>
          <w:p>
            <w:pPr>
              <w:pStyle w:val="752"/>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如果乙方在合同规定的交货期限后十日内仍未能交付全部或部分标的，在不妨碍甲方采取其他救济手段的情况下，甲方可以向乙方发出书面违约通知从而全部或部分地终止合同。</w:t>
            </w:r>
            <w:r>
              <w:rPr>
                <w:rFonts w:hint="eastAsia" w:ascii="仿宋" w:hAnsi="仿宋" w:eastAsia="仿宋" w:cs="仿宋"/>
                <w:color w:val="000000"/>
                <w:sz w:val="24"/>
                <w:szCs w:val="24"/>
                <w:highlight w:val="none"/>
                <w:u w:val="single"/>
              </w:rPr>
            </w:r>
            <w:r/>
          </w:p>
        </w:tc>
      </w:tr>
      <w:tr>
        <w:trPr>
          <w:trHeight w:val="736"/>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第15.3款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逾期付款利息</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tc>
      </w:tr>
      <w:tr>
        <w:trPr>
          <w:trHeight w:val="876"/>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第15.4款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其他违约责任</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tc>
      </w:tr>
      <w:tr>
        <w:trPr>
          <w:trHeight w:val="90"/>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第19.2款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解决争议的方法</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spacing w:line="400" w:lineRule="exact"/>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因本合同及合同有关事项发生的争议，按下列第</w:t>
            </w:r>
            <w:r>
              <w:rPr>
                <w:rFonts w:hint="eastAsia" w:ascii="仿宋" w:hAnsi="仿宋" w:eastAsia="仿宋" w:cs="仿宋"/>
                <w:iCs/>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种方式解决：</w:t>
            </w:r>
            <w:r>
              <w:rPr>
                <w:rFonts w:hint="eastAsia" w:ascii="仿宋" w:hAnsi="仿宋" w:eastAsia="仿宋" w:cs="仿宋"/>
                <w:iCs/>
                <w:color w:val="000000"/>
                <w:sz w:val="24"/>
                <w:szCs w:val="24"/>
                <w:highlight w:val="none"/>
              </w:rPr>
            </w:r>
            <w:r/>
          </w:p>
          <w:p>
            <w:pPr>
              <w:pStyle w:val="752"/>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（1）向甲方所在地仲裁委员会申请仲裁，仲裁地点为甲方所在地；</w:t>
            </w:r>
            <w:r>
              <w:rPr>
                <w:rFonts w:hint="eastAsia" w:ascii="仿宋" w:hAnsi="仿宋" w:eastAsia="仿宋" w:cs="仿宋"/>
                <w:color w:val="000000"/>
                <w:sz w:val="24"/>
                <w:szCs w:val="24"/>
                <w:highlight w:val="none"/>
                <w:u w:val="single"/>
              </w:rPr>
            </w:r>
            <w:r/>
          </w:p>
          <w:p>
            <w:pPr>
              <w:pStyle w:val="752"/>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（2）向甲方所在地人民法院起诉。</w:t>
            </w:r>
            <w:r>
              <w:rPr>
                <w:rFonts w:hint="eastAsia" w:ascii="仿宋" w:hAnsi="仿宋" w:eastAsia="仿宋" w:cs="仿宋"/>
                <w:color w:val="000000"/>
                <w:sz w:val="24"/>
                <w:szCs w:val="24"/>
                <w:highlight w:val="none"/>
                <w:u w:val="single"/>
              </w:rPr>
            </w:r>
            <w:r/>
          </w:p>
        </w:tc>
      </w:tr>
      <w:tr>
        <w:trPr>
          <w:trHeight w:val="770"/>
        </w:trPr>
        <w:tc>
          <w:tcPr>
            <w:tcW w:w="2172" w:type="dxa"/>
            <w:vAlign w:val="center"/>
            <w:textDirection w:val="lrTb"/>
            <w:noWrap w:val="false"/>
          </w:tcPr>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第23.1款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其他专用条款</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b/>
                <w:bCs/>
                <w:color w:val="000000"/>
                <w:sz w:val="24"/>
                <w:szCs w:val="24"/>
                <w:highlight w:val="non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仿宋" w:hAnsi="仿宋" w:eastAsia="仿宋" w:cs="仿宋"/>
                <w:color w:val="000000"/>
                <w:sz w:val="24"/>
                <w:szCs w:val="24"/>
                <w:highlight w:val="none"/>
              </w:rPr>
            </w:r>
            <w:r/>
          </w:p>
          <w:p>
            <w:pPr>
              <w:pStyle w:val="75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（2）合同其他未尽事宜及与招标文件有矛盾之处，以招标文件[项目编号：</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]为准。</w:t>
            </w:r>
            <w:r>
              <w:rPr>
                <w:rFonts w:hint="eastAsia" w:ascii="仿宋" w:hAnsi="仿宋" w:eastAsia="仿宋" w:cs="仿宋"/>
                <w:color w:val="000000"/>
                <w:sz w:val="24"/>
                <w:szCs w:val="24"/>
                <w:highlight w:val="none"/>
              </w:rPr>
            </w:r>
            <w:r/>
          </w:p>
        </w:tc>
      </w:tr>
    </w:tbl>
    <w:p>
      <w:pPr>
        <w:pStyle w:val="75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rPr>
        <w:t xml:space="preserve">第四节 合同附件</w:t>
      </w:r>
      <w:r>
        <w:rPr>
          <w:rFonts w:hint="eastAsia" w:ascii="仿宋" w:hAnsi="仿宋" w:eastAsia="仿宋" w:cs="仿宋"/>
          <w:color w:val="000000"/>
          <w:sz w:val="24"/>
          <w:szCs w:val="24"/>
          <w:highlight w:val="none"/>
        </w:rPr>
      </w:r>
      <w:r/>
    </w:p>
    <w:p>
      <w:pPr>
        <w:pStyle w:val="752"/>
        <w:ind w:firstLine="24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合同附件1：技术规格和技术性能</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(见乙方投标文件中《所投产品的技术规格》。)</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合同附件2：售后服务</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(见乙方投标文件中《售后服务方案》。)</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合同附件3：供货范围和价格清单</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(见乙方投标文件中《开标一览表》和《分项价格表》。)</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合同附件4：验收标准（验收要求、验收标准和程序）</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(见招标文件第六章《采购需求》。)</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合同附件5：采购需求</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(见招标文件第六章《采购需求》。)</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合同附件6：项目实施</w:t>
      </w:r>
      <w:r>
        <w:rPr>
          <w:rFonts w:hint="eastAsia" w:ascii="仿宋" w:hAnsi="仿宋" w:eastAsia="仿宋" w:cs="仿宋"/>
          <w:color w:val="000000"/>
          <w:sz w:val="24"/>
          <w:szCs w:val="24"/>
          <w:highlight w:val="none"/>
        </w:rPr>
      </w:r>
      <w:r/>
    </w:p>
    <w:p>
      <w:pPr>
        <w:pStyle w:val="752"/>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(见乙方投标文件中《项目实施方案》。)</w:t>
      </w:r>
      <w:r>
        <w:rPr>
          <w:rFonts w:hint="eastAsia" w:ascii="仿宋" w:hAnsi="仿宋" w:eastAsia="仿宋" w:cs="仿宋"/>
          <w:color w:val="000000"/>
          <w:sz w:val="24"/>
          <w:szCs w:val="24"/>
          <w:highlight w:val="none"/>
        </w:rPr>
      </w:r>
      <w:r/>
    </w:p>
    <w:p>
      <w:pPr>
        <w:pStyle w:val="752"/>
        <w:ind w:firstLine="560"/>
        <w:keepLines w:val="0"/>
        <w:keepNext w:val="0"/>
        <w:pageBreakBefore w:val="0"/>
        <w:spacing w:line="24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52"/>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11"/>
        <w:rPr>
          <w:rFonts w:hint="eastAsia" w:ascii="仿宋" w:hAnsi="仿宋" w:eastAsia="仿宋" w:cs="仿宋"/>
          <w:color w:val="000000"/>
        </w:rPr>
        <w:sectPr>
          <w:headerReference w:type="default" r:id="rId9"/>
          <w:footerReference w:type="default" r:id="rId10"/>
          <w:footerReference w:type="even" r:id="rId11"/>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cs="仿宋"/>
          <w:color w:val="000000"/>
        </w:rPr>
      </w:r>
      <w:r/>
    </w:p>
    <w:p>
      <w:pPr>
        <w:pStyle w:val="811"/>
        <w:rPr>
          <w:rFonts w:hint="eastAsia" w:ascii="仿宋" w:hAnsi="仿宋" w:eastAsia="仿宋" w:cs="仿宋"/>
          <w:color w:val="000000"/>
        </w:rPr>
      </w:pPr>
      <w:r>
        <w:rPr>
          <w:rFonts w:hint="eastAsia" w:ascii="仿宋" w:hAnsi="仿宋" w:eastAsia="仿宋" w:cs="仿宋"/>
          <w:color w:val="000000"/>
        </w:rPr>
        <w:t xml:space="preserve">第六章  采购需求</w:t>
      </w:r>
      <w:bookmarkEnd w:id="10"/>
      <w:r/>
      <w:bookmarkEnd w:id="11"/>
      <w:r>
        <w:rPr>
          <w:rFonts w:hint="eastAsia" w:ascii="仿宋" w:hAnsi="仿宋" w:eastAsia="仿宋" w:cs="仿宋"/>
          <w:color w:val="000000"/>
        </w:rPr>
      </w:r>
      <w:r/>
    </w:p>
    <w:p>
      <w:pPr>
        <w:pStyle w:val="831"/>
        <w:ind w:firstLine="602"/>
        <w:keepLines w:val="0"/>
        <w:keepNext w:val="0"/>
        <w:pageBreakBefore w:val="0"/>
        <w:spacing w:line="4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一、采购标的</w:t>
      </w:r>
      <w:r>
        <w:rPr>
          <w:rFonts w:hint="eastAsia" w:ascii="仿宋" w:hAnsi="仿宋" w:eastAsia="仿宋" w:cs="仿宋"/>
          <w:b/>
          <w:bCs/>
          <w:color w:val="000000"/>
          <w:sz w:val="30"/>
          <w:szCs w:val="30"/>
          <w:lang w:val="en-US" w:eastAsia="zh-CN" w:bidi="ar-SA"/>
        </w:rPr>
      </w:r>
      <w:r/>
    </w:p>
    <w:p>
      <w:pPr>
        <w:pStyle w:val="752"/>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1、采购人：徐州生物工程职业技术学院</w:t>
      </w:r>
      <w:r>
        <w:rPr>
          <w:rFonts w:hint="eastAsia" w:ascii="仿宋" w:hAnsi="仿宋" w:eastAsia="仿宋" w:cs="仿宋"/>
          <w:color w:val="000000"/>
          <w:sz w:val="28"/>
          <w:szCs w:val="28"/>
          <w:highlight w:val="none"/>
          <w:lang w:val="en-US" w:eastAsia="zh-CN"/>
        </w:rPr>
      </w:r>
      <w:r/>
    </w:p>
    <w:p>
      <w:pPr>
        <w:pStyle w:val="752"/>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2、项目名称：徐州生物工程职业技术学院大学生活动中心舞美设备采购与安装项目。</w:t>
      </w:r>
      <w:r>
        <w:rPr>
          <w:rFonts w:hint="eastAsia" w:ascii="仿宋" w:hAnsi="仿宋" w:eastAsia="仿宋" w:cs="仿宋"/>
          <w:color w:val="000000"/>
          <w:sz w:val="28"/>
          <w:szCs w:val="28"/>
          <w:highlight w:val="none"/>
          <w:lang w:val="en-US" w:eastAsia="zh-CN"/>
        </w:rPr>
      </w:r>
      <w:r/>
    </w:p>
    <w:p>
      <w:pPr>
        <w:pStyle w:val="752"/>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3、采购标的：具体详见本招标文件第六章《采购需求》中“主要技术参数”。</w:t>
      </w:r>
      <w:r>
        <w:rPr>
          <w:rFonts w:hint="eastAsia" w:ascii="仿宋" w:hAnsi="仿宋" w:eastAsia="仿宋" w:cs="仿宋"/>
          <w:color w:val="000000"/>
          <w:sz w:val="28"/>
          <w:szCs w:val="28"/>
          <w:highlight w:val="none"/>
          <w:lang w:val="en-US" w:eastAsia="zh-CN"/>
        </w:rPr>
      </w:r>
      <w:r/>
    </w:p>
    <w:p>
      <w:pPr>
        <w:pStyle w:val="752"/>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4、本次采购的为非进口产品。</w:t>
      </w:r>
      <w:r>
        <w:rPr>
          <w:rFonts w:hint="eastAsia" w:ascii="仿宋" w:hAnsi="仿宋" w:eastAsia="仿宋" w:cs="仿宋"/>
          <w:color w:val="000000"/>
          <w:sz w:val="28"/>
          <w:szCs w:val="28"/>
          <w:highlight w:val="none"/>
          <w:lang w:val="en-US" w:eastAsia="zh-CN"/>
        </w:rPr>
      </w:r>
      <w:r/>
    </w:p>
    <w:p>
      <w:pPr>
        <w:pStyle w:val="752"/>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、项目采购需求说明：</w:t>
      </w:r>
      <w:r>
        <w:rPr>
          <w:rFonts w:hint="eastAsia" w:ascii="仿宋" w:hAnsi="仿宋" w:eastAsia="仿宋" w:cs="仿宋"/>
          <w:color w:val="000000"/>
          <w:sz w:val="28"/>
          <w:szCs w:val="28"/>
          <w:highlight w:val="none"/>
          <w:lang w:val="en-US" w:eastAsia="zh-CN"/>
        </w:rPr>
        <w:t xml:space="preserve">徐州生物工程职业技术学院大学生活动中心舞美设备采购与安装，1批</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1002"/>
        <w:ind w:firstLine="560"/>
        <w:spacing w:line="500" w:lineRule="exact"/>
        <w:rPr>
          <w:rFonts w:hint="eastAsia" w:ascii="仿宋" w:hAnsi="仿宋" w:eastAsia="仿宋" w:cs="仿宋"/>
          <w:b/>
          <w:bCs/>
          <w:color w:val="000000"/>
          <w:sz w:val="28"/>
          <w:szCs w:val="28"/>
          <w:highlight w:val="none"/>
          <w:u w:val="single"/>
          <w:lang w:eastAsia="zh-CN" w:bidi="ar"/>
        </w:rPr>
      </w:pPr>
      <w:r>
        <w:rPr>
          <w:rFonts w:hint="eastAsia" w:ascii="仿宋" w:hAnsi="仿宋" w:eastAsia="仿宋" w:cs="仿宋"/>
          <w:b/>
          <w:bCs/>
          <w:color w:val="000000"/>
          <w:sz w:val="28"/>
          <w:szCs w:val="28"/>
          <w:highlight w:val="none"/>
          <w:lang w:val="en-US" w:eastAsia="zh-CN"/>
        </w:rPr>
        <w:t xml:space="preserve">6、</w:t>
      </w:r>
      <w:r>
        <w:rPr>
          <w:rFonts w:hint="eastAsia" w:ascii="仿宋" w:hAnsi="仿宋" w:eastAsia="仿宋" w:cs="仿宋"/>
          <w:b/>
          <w:bCs/>
          <w:color w:val="000000"/>
          <w:sz w:val="28"/>
          <w:szCs w:val="28"/>
          <w:highlight w:val="none"/>
        </w:rPr>
        <w:t xml:space="preserve">本项目</w:t>
      </w:r>
      <w:r>
        <w:rPr>
          <w:rFonts w:hint="eastAsia" w:ascii="仿宋" w:hAnsi="仿宋" w:eastAsia="仿宋" w:cs="仿宋"/>
          <w:b/>
          <w:bCs/>
          <w:color w:val="000000"/>
          <w:sz w:val="28"/>
          <w:szCs w:val="28"/>
          <w:highlight w:val="none"/>
          <w:u w:val="none"/>
        </w:rPr>
        <w:t xml:space="preserve">核心产品</w:t>
      </w:r>
      <w:r>
        <w:rPr>
          <w:rFonts w:hint="eastAsia" w:ascii="仿宋" w:hAnsi="仿宋" w:eastAsia="仿宋" w:cs="仿宋"/>
          <w:b/>
          <w:bCs/>
          <w:color w:val="000000"/>
          <w:sz w:val="28"/>
          <w:szCs w:val="28"/>
          <w:highlight w:val="none"/>
          <w:u w:val="single"/>
        </w:rPr>
        <w:t xml:space="preserve">为</w:t>
      </w:r>
      <w:r>
        <w:rPr>
          <w:rFonts w:hint="eastAsia" w:ascii="仿宋" w:hAnsi="仿宋" w:eastAsia="仿宋" w:cs="仿宋"/>
          <w:b/>
          <w:bCs/>
          <w:color w:val="000000"/>
          <w:sz w:val="28"/>
          <w:szCs w:val="28"/>
          <w:highlight w:val="none"/>
          <w:u w:val="single"/>
          <w:lang w:eastAsia="zh-CN"/>
        </w:rPr>
        <w:t xml:space="preserve">：</w:t>
      </w:r>
      <w:r>
        <w:rPr>
          <w:rFonts w:hint="eastAsia" w:ascii="仿宋" w:hAnsi="仿宋" w:eastAsia="仿宋" w:cs="仿宋"/>
          <w:b/>
          <w:bCs/>
          <w:i w:val="0"/>
          <w:iCs w:val="0"/>
          <w:color w:val="000000"/>
          <w:sz w:val="28"/>
          <w:szCs w:val="28"/>
          <w:highlight w:val="none"/>
          <w:u w:val="single"/>
          <w:lang w:val="en-US" w:eastAsia="zh-CN" w:bidi="ar"/>
        </w:rPr>
        <w:t xml:space="preserve">一、大报告厅系统</w:t>
      </w:r>
      <w:r>
        <w:rPr>
          <w:rFonts w:hint="eastAsia" w:ascii="仿宋" w:hAnsi="仿宋" w:eastAsia="仿宋" w:cs="仿宋"/>
          <w:b/>
          <w:bCs/>
          <w:color w:val="000000"/>
          <w:sz w:val="28"/>
          <w:szCs w:val="28"/>
          <w:highlight w:val="none"/>
          <w:u w:val="single"/>
          <w:lang w:eastAsia="zh-CN" w:bidi="ar"/>
        </w:rPr>
        <w:t xml:space="preserve">中的“</w:t>
      </w:r>
      <w:r>
        <w:rPr>
          <w:rFonts w:hint="eastAsia" w:ascii="仿宋" w:hAnsi="仿宋" w:eastAsia="仿宋" w:cs="仿宋"/>
          <w:b/>
          <w:bCs/>
          <w:color w:val="000000"/>
          <w:sz w:val="28"/>
          <w:szCs w:val="28"/>
          <w:highlight w:val="none"/>
          <w:u w:val="single"/>
          <w:lang w:bidi="ar"/>
        </w:rPr>
        <w:t xml:space="preserve">左右主扩声线阵列扬声器</w:t>
      </w:r>
      <w:r>
        <w:rPr>
          <w:rFonts w:hint="eastAsia" w:ascii="仿宋" w:hAnsi="仿宋" w:eastAsia="仿宋" w:cs="仿宋"/>
          <w:b/>
          <w:bCs/>
          <w:color w:val="000000"/>
          <w:sz w:val="28"/>
          <w:szCs w:val="28"/>
          <w:highlight w:val="none"/>
          <w:u w:val="single"/>
          <w:lang w:eastAsia="zh-CN" w:bidi="ar"/>
        </w:rPr>
        <w:t xml:space="preserve">”</w:t>
      </w:r>
      <w:r>
        <w:rPr>
          <w:rFonts w:hint="eastAsia" w:ascii="仿宋" w:hAnsi="仿宋" w:eastAsia="仿宋" w:cs="仿宋"/>
          <w:b/>
          <w:bCs/>
          <w:color w:val="000000"/>
          <w:sz w:val="28"/>
          <w:szCs w:val="28"/>
          <w:highlight w:val="none"/>
          <w:u w:val="single"/>
          <w:lang w:eastAsia="zh-CN" w:bidi="ar"/>
        </w:rPr>
      </w:r>
      <w:r/>
    </w:p>
    <w:p>
      <w:pPr>
        <w:pStyle w:val="752"/>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7、本项目不属于专门面向中小微企业采购的项目。</w:t>
      </w:r>
      <w:r>
        <w:rPr>
          <w:rFonts w:hint="eastAsia" w:ascii="仿宋" w:hAnsi="仿宋" w:eastAsia="仿宋" w:cs="仿宋"/>
          <w:color w:val="000000"/>
          <w:sz w:val="28"/>
          <w:szCs w:val="28"/>
          <w:highlight w:val="none"/>
          <w:lang w:val="en-US" w:eastAsia="zh-CN"/>
        </w:rPr>
      </w:r>
      <w:r/>
    </w:p>
    <w:p>
      <w:pPr>
        <w:pStyle w:val="752"/>
        <w:ind w:firstLine="560"/>
        <w:keepLines w:val="0"/>
        <w:keepNext w:val="0"/>
        <w:pageBreakBefore w:val="0"/>
        <w:spacing w:line="400" w:lineRule="exact"/>
        <w:widowControl/>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lang w:val="en-US" w:eastAsia="zh-CN"/>
        </w:rPr>
        <w:t xml:space="preserve">8、徐州生物工程职业技术学院大学生活动中心舞美设备采购与安装</w:t>
      </w:r>
      <w:r>
        <w:rPr>
          <w:rFonts w:hint="eastAsia" w:ascii="仿宋" w:hAnsi="仿宋" w:eastAsia="仿宋" w:cs="仿宋"/>
          <w:color w:val="000000"/>
          <w:sz w:val="28"/>
          <w:szCs w:val="28"/>
          <w:highlight w:val="none"/>
          <w:lang w:eastAsia="zh-CN"/>
        </w:rPr>
        <w:t xml:space="preserve">项目</w:t>
      </w:r>
      <w:r>
        <w:rPr>
          <w:rFonts w:hint="eastAsia" w:ascii="仿宋" w:hAnsi="仿宋" w:eastAsia="仿宋" w:cs="仿宋"/>
          <w:color w:val="000000"/>
          <w:sz w:val="28"/>
          <w:szCs w:val="28"/>
          <w:highlight w:val="none"/>
          <w:lang w:val="en-US" w:eastAsia="zh-CN"/>
        </w:rPr>
        <w:t xml:space="preserve">采购</w:t>
      </w:r>
      <w:r>
        <w:rPr>
          <w:rFonts w:hint="eastAsia" w:ascii="仿宋" w:hAnsi="仿宋" w:eastAsia="仿宋" w:cs="仿宋"/>
          <w:color w:val="000000"/>
          <w:sz w:val="28"/>
          <w:szCs w:val="28"/>
          <w:highlight w:val="none"/>
        </w:rPr>
        <w:t xml:space="preserve">对应的中小企业划分标准所属行业为</w:t>
      </w:r>
      <w:r>
        <w:rPr>
          <w:rFonts w:hint="eastAsia" w:ascii="仿宋" w:hAnsi="仿宋" w:eastAsia="仿宋" w:cs="仿宋"/>
          <w:color w:val="000000"/>
          <w:sz w:val="28"/>
          <w:szCs w:val="28"/>
          <w:highlight w:val="none"/>
          <w:u w:val="single"/>
        </w:rPr>
        <w:t xml:space="preserve">工业。</w:t>
      </w:r>
      <w:r>
        <w:rPr>
          <w:rFonts w:hint="eastAsia" w:ascii="仿宋" w:hAnsi="仿宋" w:eastAsia="仿宋" w:cs="仿宋"/>
          <w:color w:val="000000"/>
          <w:sz w:val="28"/>
          <w:szCs w:val="28"/>
          <w:highlight w:val="none"/>
          <w:u w:val="single"/>
        </w:rPr>
      </w:r>
      <w:r/>
    </w:p>
    <w:p>
      <w:pPr>
        <w:pStyle w:val="752"/>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注：中小企业划分标准所属行业以《工业和信息化部、国家统计局、国家发展和改革委员会、财政部关于印发中小企业划型标准规定的通知》（工信部联企业[2011]300号）的规定为准：</w:t>
      </w:r>
      <w:r>
        <w:rPr>
          <w:rFonts w:hint="eastAsia" w:ascii="仿宋" w:hAnsi="仿宋" w:eastAsia="仿宋" w:cs="仿宋"/>
          <w:color w:val="000000"/>
          <w:sz w:val="28"/>
          <w:szCs w:val="28"/>
          <w:highlight w:val="none"/>
        </w:rPr>
      </w:r>
      <w:r/>
    </w:p>
    <w:p>
      <w:pPr>
        <w:pStyle w:val="752"/>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sz w:val="28"/>
          <w:szCs w:val="28"/>
          <w:highlight w:val="none"/>
        </w:rPr>
      </w:r>
      <w:r/>
    </w:p>
    <w:p>
      <w:pPr>
        <w:pStyle w:val="1002"/>
        <w:ind w:firstLine="562"/>
        <w:spacing w:line="500" w:lineRule="exact"/>
        <w:rPr>
          <w:rFonts w:hint="eastAsia" w:ascii="仿宋" w:hAnsi="仿宋" w:eastAsia="仿宋" w:cs="仿宋"/>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二、采购项目预算金额</w:t>
      </w:r>
      <w:r>
        <w:rPr>
          <w:rFonts w:hint="eastAsia" w:ascii="仿宋" w:hAnsi="仿宋" w:eastAsia="仿宋" w:cs="仿宋"/>
          <w:color w:val="000000"/>
          <w:sz w:val="30"/>
          <w:szCs w:val="30"/>
          <w:lang w:val="en-US" w:eastAsia="zh-CN" w:bidi="ar-SA"/>
        </w:rPr>
      </w:r>
      <w:r/>
    </w:p>
    <w:p>
      <w:pPr>
        <w:pStyle w:val="752"/>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本项目不接受超过</w:t>
      </w:r>
      <w:r>
        <w:rPr>
          <w:rFonts w:hint="eastAsia" w:ascii="仿宋" w:hAnsi="仿宋" w:eastAsia="仿宋" w:cs="仿宋"/>
          <w:color w:val="000000"/>
          <w:sz w:val="28"/>
          <w:szCs w:val="28"/>
          <w:highlight w:val="none"/>
          <w:u w:val="single"/>
          <w:lang w:val="en-US" w:eastAsia="zh-CN"/>
        </w:rPr>
        <w:t xml:space="preserve">440万元</w:t>
      </w:r>
      <w:r>
        <w:rPr>
          <w:rFonts w:hint="eastAsia" w:ascii="仿宋" w:hAnsi="仿宋" w:eastAsia="仿宋" w:cs="仿宋"/>
          <w:color w:val="000000"/>
          <w:sz w:val="28"/>
          <w:szCs w:val="28"/>
          <w:highlight w:val="none"/>
        </w:rPr>
        <w:t xml:space="preserve">人民币（采购项目预算金额）的投标报价。</w:t>
      </w:r>
      <w:r>
        <w:rPr>
          <w:rFonts w:hint="eastAsia" w:ascii="仿宋" w:hAnsi="仿宋" w:eastAsia="仿宋" w:cs="仿宋"/>
          <w:color w:val="000000"/>
          <w:sz w:val="28"/>
          <w:szCs w:val="28"/>
          <w:highlight w:val="none"/>
        </w:rPr>
      </w:r>
      <w:r/>
    </w:p>
    <w:p>
      <w:pPr>
        <w:pStyle w:val="752"/>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报价应包括全部货物及伴随工程和服务的相应价格及相关税费、运输到指定地点的装运费用、安装调试、培训、售后服务等其他有关的所有费用，包括但不限于人工、材料、机械、管理、维护、保险、利润、税金、政策性文件规定及合同包含的所有风险、责任等各项应有费用</w:t>
      </w:r>
      <w:r>
        <w:rPr>
          <w:rFonts w:hint="eastAsia" w:ascii="仿宋" w:hAnsi="仿宋" w:eastAsia="仿宋" w:cs="仿宋"/>
          <w:color w:val="000000"/>
          <w:sz w:val="28"/>
          <w:szCs w:val="28"/>
          <w:highlight w:val="none"/>
          <w:lang w:val="en-US" w:eastAsia="zh-CN"/>
        </w:rPr>
        <w:t xml:space="preserve">,且合同履行期间项目实施相关费用不因市场变化因素而变动。</w:t>
      </w:r>
      <w:r>
        <w:rPr>
          <w:rFonts w:hint="eastAsia" w:ascii="仿宋" w:hAnsi="仿宋" w:eastAsia="仿宋" w:cs="仿宋"/>
          <w:color w:val="000000"/>
          <w:sz w:val="28"/>
          <w:szCs w:val="28"/>
          <w:highlight w:val="none"/>
        </w:rPr>
        <w:t xml:space="preserve">用户不再支付报价以外的任何费用。</w:t>
      </w:r>
      <w:r>
        <w:rPr>
          <w:rFonts w:hint="eastAsia" w:ascii="仿宋" w:hAnsi="仿宋" w:eastAsia="仿宋" w:cs="仿宋"/>
          <w:color w:val="000000"/>
          <w:sz w:val="28"/>
          <w:szCs w:val="28"/>
          <w:highlight w:val="none"/>
        </w:rPr>
      </w:r>
      <w:r/>
    </w:p>
    <w:p>
      <w:pPr>
        <w:pStyle w:val="1002"/>
        <w:ind w:firstLine="562"/>
        <w:spacing w:line="500" w:lineRule="exact"/>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30"/>
          <w:szCs w:val="30"/>
          <w:lang w:val="en-US" w:eastAsia="zh-CN" w:bidi="ar-SA"/>
        </w:rPr>
        <w:t xml:space="preserve">三、主要技术要求</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以下“</w:t>
      </w:r>
      <w:r>
        <w:rPr>
          <w:rFonts w:hint="eastAsia" w:ascii="仿宋" w:hAnsi="仿宋" w:eastAsia="仿宋" w:cs="仿宋"/>
          <w:sz w:val="28"/>
          <w:szCs w:val="28"/>
          <w:lang w:val="en-US" w:eastAsia="zh-CN" w:bidi="ar-SA"/>
        </w:rPr>
        <w:t xml:space="preserve">★</w:t>
      </w:r>
      <w:r>
        <w:rPr>
          <w:rFonts w:hint="eastAsia" w:ascii="仿宋" w:hAnsi="仿宋" w:eastAsia="仿宋" w:cs="仿宋"/>
          <w:b/>
          <w:bCs/>
          <w:color w:val="000000"/>
          <w:sz w:val="28"/>
          <w:szCs w:val="28"/>
          <w:highlight w:val="none"/>
          <w:lang w:val="en-US" w:eastAsia="zh-CN"/>
        </w:rPr>
        <w:t xml:space="preserve">”标为实质性响应指标，有一项不满足做无效投标处理。“</w:t>
      </w:r>
      <w:r>
        <w:rPr>
          <w:rFonts w:hint="eastAsia" w:ascii="仿宋" w:hAnsi="仿宋" w:eastAsia="仿宋" w:cs="仿宋"/>
          <w:sz w:val="28"/>
          <w:szCs w:val="28"/>
          <w:lang w:val="en-US" w:eastAsia="zh-CN" w:bidi="ar-SA"/>
        </w:rPr>
        <w:t xml:space="preserve">▲</w:t>
      </w:r>
      <w:r>
        <w:rPr>
          <w:rFonts w:hint="eastAsia" w:ascii="仿宋" w:hAnsi="仿宋" w:eastAsia="仿宋" w:cs="仿宋"/>
          <w:b/>
          <w:bCs/>
          <w:color w:val="000000"/>
          <w:sz w:val="28"/>
          <w:szCs w:val="28"/>
          <w:highlight w:val="none"/>
          <w:lang w:val="en-US" w:eastAsia="zh-CN"/>
        </w:rPr>
        <w:t xml:space="preserve">”标为重要响应指标，其他为一般响应指标。</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eastAsia="zh-CN"/>
        </w:rPr>
      </w:r>
      <w:r/>
    </w:p>
    <w:p>
      <w:pPr>
        <w:pStyle w:val="752"/>
        <w:numPr>
          <w:ilvl w:val="0"/>
          <w:numId w:val="0"/>
        </w:numPr>
        <w:keepLines w:val="0"/>
        <w:keepNext w:val="0"/>
        <w:pageBreakBefore w:val="0"/>
        <w:spacing w:line="400" w:lineRule="exact"/>
        <w:widowControl/>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lang w:eastAsia="zh-CN"/>
        </w:rPr>
      </w:r>
      <w:r/>
    </w:p>
    <w:tbl>
      <w:tblPr>
        <w:tblW w:w="898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056"/>
        <w:gridCol w:w="7056"/>
        <w:gridCol w:w="696"/>
        <w:gridCol w:w="457"/>
      </w:tblGrid>
      <w:tr>
        <w:trPr>
          <w:trHeight w:val="285"/>
        </w:trPr>
        <w:tc>
          <w:tcPr>
            <w:gridSpan w:val="5"/>
            <w:tcW w:w="972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一、大报告厅系统（场地尺寸：44米*31米*10米，舞台尺寸：18米*13米，舞台高度1米）</w:t>
            </w:r>
            <w:r>
              <w:rPr>
                <w:rFonts w:hint="eastAsia" w:ascii="仿宋" w:hAnsi="仿宋" w:eastAsia="仿宋" w:cs="仿宋"/>
                <w:b/>
                <w:bCs/>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2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1、音频系统</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2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左右主扩声线阵列扬声器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1、单元结构：三分频同轴，≥2*8寸(低音单元)+ ≥1*3寸(中音单元)+≥ 1*2寸(高音单元)；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2、系统带宽（频率响应） ：（-6dB标准时）≤70 Hz - ≥18 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3、标称覆盖角（指向性）水平H x 垂直V：≥99°×≥9°；</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4、高音号角垂直指向有≥10°、≥20°、≥40°可选；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5、灵敏度：≥102dB；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6、系统峰值声压级（1m, 自由声场）：≥133dB；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7、功率容量：连续功率 MHF：≥150W/LF：≥700W；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8、▲该参数为最低标准，投标时1-7项均需提供由第三方权威检测机构出具带有“CMA”或“CNAS”标志的检测报告复印件；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9、▲提供生产厂家加盖鲜章的宣传彩页及音箱内部实拍图。</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316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中置线阵列扬声器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1、单元结构：三分频同轴，≥2*8寸(低音单元)+ ≥1*3寸(中音单元)+≥ 1*2寸(高音单元)；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2、系统带宽（频率响应） ：（-6dB标准时）≤70 Hz - ≥18 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3、标称覆盖角（指向性）水平H x 垂直V：≥99°×≥9°；</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4、高音号角垂直指向有≥10°、≥20°、≥40°可选；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5、灵敏度：≥102dB；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6、系统峰值声压级（1m, 自由声场）：≥133dB；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7、功率容量：连续功率 MHF：≥150W/LF：≥700W；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8、▲该参数为最低标准，投标时1-7项均需提供由第三方权威检测机构出具带有“CMA”或“CNAS”标志的检测报告复印件；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9、▲提供生产厂家加盖鲜章的宣传彩页及音箱内部实拍图。</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72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线阵低频扬声器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1、单元结构：≥1*18"低音音箱；铝质盆架、防水纸盆；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2、系统带宽（频率响应）：（±3dB标准时）≤36-≥98 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3、灵敏度：≥102dB；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4、最大声压级（1m, 自由声场）：≥133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5、功率容量：持续功率≥1600W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6、符合GB4943.1-2022相关标准，通过250N恒定力试验、外壳冲击试验及自由落体试验；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8、▲该参数为最低标准，投标时1-7项均需提供由第三方权威检测机构出具带有“CMA”或“CNAS”标志的检测报告复印件。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28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拉声像扬声器</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1、系统带宽（频率响应）（±3dB标准时） ：≤45Hz -≥20kHz(±3dB)；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 ：≥99dB；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3、系统最大声压级：≥133dB；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4、标称覆盖角（指向性）水平H x 垂直V：≥90°×60°；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5、功率容量：持续功率≥700W；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6、单元结构：≥1*15 寸（低音单元）+1*3寸（高音单元）；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7、符合国家GB 4943.1-2022相关标准，接地电阻≤0.1Ω；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8、▲该参数为最低标准，投标时1-7项均需提供产品第三方CMA或CNAS检测报告复印件。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59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同轴流动返听扬声器</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1、单元结构：≥1*15寸（低音单元）+1*2.87寸（高音单元）；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2、系统带宽（频率范围）(-10dB标准时)：≤25Hz</w:t>
            </w:r>
            <w:r>
              <w:rPr>
                <w:rStyle w:val="1017"/>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≥25kHz；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3、灵敏度：≥99dB：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4、最大声压级（1m, 自由声场）：≥132dB；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5、标称覆盖角（指向性）水平H x 垂直V：≥60°圆锥；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6、功率容量 ：持续功率≥500W；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7、分频器频率：1.2kHz；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8、▲该参数为最低标准，为保证产品质量，投标时1-7项均需提供产品第三方CMA或CNAS检测报告复印件；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9、▲提供生产厂家加盖鲜章的宣传彩页及音箱内部实拍图。</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71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固定返听扬声器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1、系统带宽（频率响应）：（±3dB标准时）≤65Hz-≥18kHz；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2、灵敏度：≥97dB；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3、系统最大声压级（1m, 自由声场）：≥129dB；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4、单元结构：1*12寸（低音单元）+1*2寸（高音单元）；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5、功率容量：持续功率：≥390w；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6、分频点：1.8kHz。</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9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同轴台唇扬声器</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1、单元结构：≥1*15寸（低音单元）+1*2.87寸（高音单元）；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2、系统带宽（频率范围）(-10dB标准时)：≤25Hz</w:t>
            </w:r>
            <w:r>
              <w:rPr>
                <w:rStyle w:val="1017"/>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≥25kHz；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3、灵敏度：≥99dB：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4、最大声压级（1m, 自由声场）：≥132dB；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5、标称覆盖角（指向性）水平H x 垂直V：≥60°圆锥；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6、功率容量 ：持续功率≥500W；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7、分频器频率：1.2kHz；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8、▲该参数为最低标准，投标时1-7项均需提供产品第三方CMA或CNAS检测报告复印件；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9、▲提供生产厂家加盖鲜章的宣传彩页及音箱内部实拍图。</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474"/>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超重低音扬声器</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1、系统带宽（频率响应）：（-10dB标准）≤35Hz-≥190Hz；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2、灵敏度：≥102dB；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3、系统最大声压级（1m, 自由声场） ：≥138dB；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4、单元结构：≥2*18寸（低音单元）；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5、功率容量：连续功率≥1900W；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6、▲该参数为最低标准，投标时1-5项均需提供产品第三方CMA或CNAS检测报告复印件。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28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左右、中置主扩声同轴线阵列扬声器高频四通道数字功率放大器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1、输出功率：8Ω立体声 ≥4×340W，4Ω立体声 ≥4×580W，2Ω立体声 ≥4×1000W；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 ≥4×4 通道 Dante 字音频信号传输；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 FIR 滤波功能，高性能音频 DSP；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4、具备 ≥3.3 英寸液晶显示屏，可显示状态及参数；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5、输入接口：同时支持接收模拟音频和AES3数字音频信号；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6、控制接口：支持 RS-485 远程监控；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7、信噪比（A加权，8Ω）≥105dB；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8、保护：电源欠压、输出直流、过热、温度功率控制、过载功率控制。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左右、中置主扩声同轴线阵列扬声器低频两通道数字功率放大器</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1、8Ω/立体声：≥2×2000 W；4Ω/立体声：≥2×3400 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2、定压输出：≥2× 2400 W /70 V；定压输出：≥2 × 3400 W /100 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3、RMS输出电压（THD = 1%,1 kHz）：≥120 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 ≥2×2通道 Dante 字音频信号传输；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 FIR 滤波功能，高性能音频 DSP；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6、具备 ≥3.3 英寸液晶显示屏，可显示状态及参数；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7、输入接口：同时支持接收模拟音频和AES3数字音频信号；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8、控制接口：支持 RS-485 远程监控；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9、信噪比（A加权，8Ω）≥105dB；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10、保护：电源欠压、输出直流、过热、温度功率控制、过载功率控制。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线阵低频两通道数字功率放大器</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1、8Ω/立体声：≥2×2000 W；4Ω/立体声：≥2×3400 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2、定压输出：≥2× 2400 W /70 V；定压输出：≥2 × 3400 W /100 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3、RMS输出电压（THD = 1%,1 kHz）：≥120 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 ≥2×2通道 Dante 字音频信号传输；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 FIR 滤波功能，高性能音频 DSP；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6、具备 ≥3.3 英寸液晶显示屏，可显示状态及参数；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7、输入接口：同时支持接收模拟音频和AES3数字音频信号；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8、控制接口：支持 RS-485 远程监控；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9、信噪比（A加权，8Ω）≥105dB；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10、保护：电源欠压、输出直流、过热、温度功率控制、过载功率控制。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89"/>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拉声像扬声器功率放大器</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1、立体声功率8Ω：≥1400W，立体声功率4Ω：≥2250W，桥接模式8Ω：≥3300W；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5、阻尼系数(8Ω)，10Hz-400Hz：≥200；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流动、固定、台唇返听扬声器功率放大器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1、立体声功率8Ω：≥950W，立体声功率4Ω：≥1500W，桥接模式8Ω：≥2400W；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 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 ≤ 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 (8Ω)，10Hz-400Hz： ≥ 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超重低音扬声器功率放大器</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1、立体声功率8Ω：≥1400W，立体声功率4Ω：≥2250W，桥接模式8Ω：≥3300W；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5、阻尼系数(8Ω)，10Hz-400Hz：≥200；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388"/>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16路数字音频处理器</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1、DSP芯片：Ti 450MHz FLOPS双核；USB2.0 录制/播放：支持；中控指令集生成器：支持；核心算法：反馈消除（AFC），回声消除 (AEC)；输入处理：前级放大、信号发生器、扩展器、压缩器、≥5段参量均衡、反相、自动增益、自动混音；输出处理：≥31段图示均衡器、延时器、分频器、高低通滤波器、限幅器、反相；</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2、矩阵混音：输入和输出信号矩阵式混音，混音分量控制；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3、自动摄像跟踪功能：支持；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4、场景预设：≥100组自定义设置；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5、模拟输入通道：≥16，模拟输出通道：≥16；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6、Ethernet控制端口：≥1；RS232：≥1；RS485：≥1；GPIO：≥8；</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7、支持WIFI联机；输入增益放大：-24～27dB，3dB一级共17级；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8、其他：平衡/非平衡,输入/输出支持；MIC\LINE,输入/输出支持；每路独立48V幻象供电开关；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9、软件及操作系统：控制处理软件及APP/Windows32位/Windows64位/IOS/android/机器内置客户端，支持联机下载；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10、采样：48k@24bit；幻象供电：DC48V；频率响应：≤20Hz ～ ≥20kHz，±1dB；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11、THD+N：≤0.004% @1k，4dBu；数模动态范围（（A加权））：≥120dB；模数动态范围（（A加权））：≥120dB；输入阻抗（平衡式）：≥20kΩ；输出阻抗（平衡式）：≤100Ω；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12、EIN（（A加权））：≤-131 dBu；通道隔离度：≥107dB @1k Hz，4dBu；共模抑制：≥70dB @80 Hz；最大输入电平：≥18dBu；最大输出电平：≥18dBu；本底噪声：≤-90dBu；系统延时：≤3ms。</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60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32路数字调音台</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1、≥32路话筒输入通道，≥8个辅助输入通道，≥8个效果；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2、≥16个AUX通道，≥6个矩阵，LCR母线；</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3、内部效果器（立体声/单声道）：≥8/16；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4、场景文件(场景快照/场景快照列表)：≥100/50；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5、储存点（包括处理参数和推子）：≥100；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6、信号处理能力：≥40位的浮点处理；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7、≥7英寸彩色显示屏。</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32路舞台接口箱</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1、≥32个话放输入通道；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2、≥16个模拟平行XLR输出通道。</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08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有源同轴监听音箱</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1、系统带宽（频率响应）：≤65Hz – ≥20kHz ± 3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2、最大声压级：≥110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3、分频器类型：≥2 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4、交越频率：≥1.5kHz；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5、传感器：≥1 *6.5 英寸+低频驱动器≥ 1 x 1 英寸高频驱动器；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6、最大输出功率：≥300 瓦。</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86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频系统该系统范围内所有设备所需要的串线及配件，本项目为交钥匙工程，不允许额外增加任何费用）；包含但不限于：≥200芯音箱线、≥300芯音箱线、六类屏蔽网线、话筒线、电源线≥RVV3*2.5㎡、电源线≥RVV3*1.5㎡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42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2、音源及拾音器</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70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一拖一无线手持话筒套装</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3、微处理器控制的内部天线分集；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6、集成话筒振膜设计；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7、可调节的输出电平；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11、显示详细射频和音频计量；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13、≤-10 dB增益衰减。</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427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一拖一无线头戴话筒套装</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2、输出阻抗 / 卡侬接口及阻抗：≤200Ω；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4、可调节的输出电平，6.35 mm 接口：≥50Ω；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5、动态范围：≥100 db （A加权）；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7、≥2节AA电池（内置），≥14小时持续使用；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8、长达≥300英尺（90米）的传输半径；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10、快速轻松的接收机频率匹配，每个频带≥12个兼容系统；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11、触式开关，XLR和¼英寸输出接口；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14、≥26dB可调增益范围；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15、微处理器控制的内部天线分集。</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天线分配器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1、天线连接器类型：BNC，阻抗 ≤50Ω；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2、直流输出：≥15 V DC ，4接头；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3、绝缘输出接头：≥25 dB，典型；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4、3OIP：≥21 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5、载波频率范围：≤470 - ≥952 MHz。</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有源指向性天线</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1、接头类型：BNC, 插孔，阻抗：≤50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2、电源要求：来自同轴连接的 10 至 15 伏直流偏移, 75 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3、射频频率范围：≤470–≥900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4、接收模式：3 dB 波束宽度,≤70 角度；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5、三阶过载交截点 (OIP3)：≥30 dBm。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无源天线分配器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1、无源天线分配器/组合器套件。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28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大振膜话筒</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1、最大声压：≥150dB；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2、信噪比：≥80dB；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3、指向性：心型；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4、声道：单声道；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5、频响范围：≥20Hz-≤20kHz；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6、灵敏度：≥25mV/Pa；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8、等效噪音：≤14dB/A，25dB（CCIR 468-3）。</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71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鼓用话筒套装</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套装包括：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1、≥7条线和1个便携袋；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2、≥1只底鼓话筒；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3、≥3只鼓用话筒、≥3只鼓用话筒支架；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4、≥1只乐器话筒；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5、≥2只乐器话筒。</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隔离变压器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1、频率响应：≤20Hz--≥20kHz（±1db)；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2、最大输入：≤26dbu@1kHz,1%THD+N；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3、总谐波失真：≤0.001%@1kHz,+4d Bu output；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4、相位极性：≤0.5°@100Hz，≤3°@20Hz；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5、输入阻抗：6000，平衡输出阻抗：6000，平衡。</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无线内通系统</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1、电源：锂电池；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2、频率范围：≤403 -≥ 470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3、频道数量：≥16；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4、电池容量：≥2400mAh。</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源及拾音器系统该系统范围内所有设备所需要的串线及配件，本项目为交钥匙工程，不允许额外增加任何费用）；包含但不限于：话筒有源指向天线≥SYV50-5-1、六类屏蔽网线、电源线≥RVV3*1.5㎡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42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3、摄像跟踪会议系统</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421"/>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有线方杆电容会议话筒</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1、音头：≥20mm镀金电容音头；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2、指向性：超心型；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3、响应：≤20-≥20,000Hz；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4、灵敏度：≥-30dB，31.6mV/Pa(0dB=1V/Pa@1kHz)；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6、最大声压级：≥130dB(1%THD@1kHz)；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7、等效噪声级：≤18dB  （A计权或A加权）；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8、信噪比：≥76dB  （A计权或A加权）；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9、幻象供电：48V DC；</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10、传声器长度：≥220mm；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11、输出方式：高级三针卡侬插头点对点连接，配≥2m话筒输出线；</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12、▲该参数为最低标准，投标时1-11项均需提供由第三方权威检测机构出具带有“CMA”或“CNAS”标志的检测报告。</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85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智能混音器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1、输入通道数：（平衡）≥10；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2、输出通道数：（平衡）≥2；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3、电源供应：AC17V+AC17V 500MA/50Hz；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4、幻象电源：DC48V；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5、频率响应：≤20Hz-≥20kHz；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6、动态范围：（20Hz-20kHz ）≥ 117dB；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7、总谐波失真：@1kHz -20BFS输出0dB &lt;0.1%；</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8、输出削波电平：Line(线路) +20dBv辅助 0dBv麦克风-26dBV；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9、输出阻抗：（平衡）150kΩ；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10、输入阻抗：MIC(平衡) 4.3KΩ AUX 50KΩ。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70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演讲台有线鹅颈会议话筒</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1、频率响应：≥100-≤16,000 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2、低截：80 Hz, 18 dB/octave；</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3、阻抗：250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4、开路灵敏度：≥ -43 dB（7.0 mV）re 1 V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5、元件：固定式充电背板，永久极性电容收音头；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6、输入声压级上限：≤140 dB SPL，1 kHz @ c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7、指向性：单指向性；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8、动态范围 (典型值)：≥111 dB，1 kHz @ Max SPL；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9、信噪比：≥65 dB, 1 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10、输出阻抗：360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11、插入损耗：1 dB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12、静音衰减：≥55 dB @ 1000Hz，≥35 dB @ 100Hz， ≥30 dB @ 50Hz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13、话筒座配置：XLRF 卡农母座, XLRM 卡农公座, 开关带LED指示灯。</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矮推车式提词系统</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1、提词器：尺寸：≥1233mm*718mm,接口≥2*HDMI；</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2、矮推车：冷轧钢板材料；倾斜角度0-90度；内置束线，一体式底座。</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1、满足要求（此项包含摄像跟踪会议系统该系统范围内所有设备所需要的串线及配件，本项目为交钥匙工程，不允许额外增加任何费用）；包含但不限于：六类屏蔽网线、电源线≥RVV3*2.5㎡等。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2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4、灯光设备</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LED变焦成像灯）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3、光   源：≥350W 优质芯片COB；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   温：3200K/5600K/2in1/RGBW；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   指：≥90；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6、灯珠寿命：≥50000h；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7、调   光：0-255，0%-100%线性调光；光学材料：≥K9；光学透镜；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8、光学角度：19°、26°、36°可选；功能效果：截光、聚光、柔光；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10、控制模式：标准DMX512信号、自走、主从；通道数量：2/4/9个DMX通道。</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27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切割灯）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2、光源：LED ≥800W模组；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3、额定功率：≥1000W；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4、LED寿命：≥20000h；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5、色温：7200K；显色指数：标准模式Ra≥75,高显模式Ra≥90；光通量：五米流明55000；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6、信号接口：三芯卡侬座；控制方式：DMX512、RDM；通道模式：≥35个国际标准DMX512通道；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7、显示系统：LCD显示屏，可中英文切换；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8、固定颜色：≥5种颜色+ 白光；混色系统：独立的CMY混色系统；色温调节：独立的CTO2800-6000K线性调节；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棱镜盘：≥独立8棱镜可正反旋转；效果盘：超炫模拟动感窜动的火焰，潺潺流水等动态效果；固定图案：≥6个固定图案片+白圆；旋转玻璃图案：≥7个图案片（可插拔）+白圆；切割系统：≥4个独立切割片，每片可单独闭光，可旋转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10、雾化系统：独立0~100%线性雾化系统；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11、四合一光学镜头设计：(BEAM光束模式) ： 2°～6°；(SPOT 图案模式)：10°～48°； (WASH染色模式)：0°～52°。四种模式可任意切换，实现光束、染色、图案、切割四合一功能；调光系统：0-100%线性调节；调光频率：1200Hz到2400Hz可调，4K相机拍摄不闪烁；水平扫描：≥540° (16 bit精度扫描)；垂直扫描≥：270° (16 bit精度扫描)；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12、防护等级：≥IP20。</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63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左右耳光(LED变焦成像灯）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1、全静音：输入电压：AC100-240V，50/60Hz；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3、光   源：≥350W 优质芯片COB；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   温：3200K/5600K/2in1/RGBW；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   指：≥90；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6、灯珠寿命：≥50000h；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7、调   光：0-255，0%-100%线性调光；光学材料：≥K9；光学透镜；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8、光学角度：19°、26°、36°可选；功能效果：截光、聚光、柔光；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10、控制模式：标准DMX512信号、自走、主从；通道数量：2/4/9个DMX通道。</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 LED染色灯）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99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一道顶光（LED版平板灯）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11、防护等级：≥IP20；工作环境温度监控：-20℃—35℃，内置温度保护传感器过温保护。</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二道顶光（LED染色灯)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70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二道顶光（LED版平板灯）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10、防护等级：≥IP20；工作环境温度监控：-20℃—35℃，内置温度保护传感器过温保护。</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二道顶光（三合一电脑摇头灯）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三道顶光（LED染色灯）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70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三道顶光（LED版平板灯）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10、防护等级：≥IP20；工作环境温度监控：-20℃—35℃，内置温度保护传感器过温保护。</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三道顶光（三合一电脑摇头灯 ）</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四道顶光（ LED染色灯）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四道顶光（三合一电脑摇头灯 ）</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一道逆光（LED染色灯）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一道逆光（三合一电脑摇头灯 ）</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二道逆光（LED染色灯）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二道逆光（三合一电脑摇头灯 ）</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两道侧光（LED染色灯）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两道侧光（三合一电脑摇头灯 ）</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地面摇头灯（三合一电脑摇头灯 ）</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28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LED 追光灯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1、≥600瓦LED光源；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2、灯珠采用优质芯片寿命≥50000h；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3、色温3200K/5600K/8500K可调；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4、显色性指数CRL≥90；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5、采用≥12根8mm粗的铜管导热再通过大面积的铝片散热；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6、有红、橙、黄、绿、蓝、白光五色；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8、5—10度线性放大调焦功能。</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13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电脑灯光控制台</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1、Linux 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2、≥5 个 DMX 输出输入口, 最高扩展可支持≥ 65536 个通道参数；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3、内置 1 个≥ 12.1 英寸触摸屏+1 个≥ 9 英寸触摸屏；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4、可外接 ≥1 个触摸显示屏(DVI)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5、≥10 个高精度电动推杆（60mm）；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6、≥2 个 AB 场电动推杆(100mm)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7、≥1 个主控电动推杆；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 个耐磨编码器（带 Push 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9、≥1 个高灵敏轨迹球；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10、≥1 个千兆以太网口；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11、≥4 个 USB2.0 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12、独立橙色背光按键；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13、MIDI 输入输出接口；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14、LTC/SMPTE 时间码；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15、支持扩展推杆侧翼；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16、≥1 个 LED 鹅颈灯插口；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17、AC 电源：90-240V, 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18、支持中英文两种语言。</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71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DMX网络扩展器</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1、实时计算，自带≥ 8 个 DMX512 输出口，可同时输出 ≥4,096 控制参数；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 个内置触摸式指令屏幕(7"SVGA)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3、≥1 个千兆以太网接口；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4、≥2 个 USB 2.0 连接接口；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5、Linux 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6、中英文双语种操作界面。</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DMX信号放大器</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路输入，≥8 路输出或≥ 2 路输入，各 ≥4 路输出 每路输入输出光电隔离；</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2、输出信号 LED 指示灯 卡侬式电源输入，独立电源开关；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3、≥2 个电源接口，方便进行级联 三芯(DMX-EXP3XDS8)或五芯(DMX-EXP5XDS8)可选 标准机架式安装；</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4、输入电压：AC 100V-240V ,50Hz/60Hz 保险丝：1A/250V 。</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68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智能控制系统</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1、智能音乐解析：内置智能分析技术，实现对匹配音乐的音色音调的零延迟智能同步；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2、声光电影联动：基于OSC/UDP高级控制协议，实现灯光、音乐、视频播放器的三维一体深度同步；系统可根据PRS分析数据，实时驱动视频的播放速度与节奏变换；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3、智能编程平台：提供中/英双语可视化编程界面，支持用户自定义设置展示页面；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4、计算核心：≥Intel i5处理器、≥4GB DDR4内存及≥120GB工业级固态硬盘；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5、系统：采用Linux操作系统；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6、触摸控制：配备≥10.4英寸高清多点电容触控屏；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7、音频输出：提供≥4路音频输入与≥2路音频输出，可同时接入并智能 切换点歌机、打碟机、调音台、移动设备等多路音源，内置音乐播放功能，实现音频集中处理；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8、兼容性：多协议兼容，支持DMX512、Art-Net、sACN、UDP/TCP、RS232/485及多种智能定制协议，可无缝对接市面上绝大多数灯光、音视频及中控设备；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9、多端口连接：内置≥4路独立DMX512输出端口，≥4路独立DMX512输入端口；≥2路千兆以太网口、≥2路RS232、≥1路485接口及多路USB接口；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10：电力管理：支持通过DMX512或Art-Net信号直接控制智能配电柜，实现灯光设备的分区域、分时序电力管理；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11、照射控制：配备专用追光与面光控制推杆，可对亮度、位置等进行物理推杆式控制，并设有黑场、静音等专业快捷键；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12、内容管理：可选配视频模块，可内置高清视频素材库，支持用户通过U盘等方式自由上传、分类管理自制素材，可对节目进行分类管理与管控，节目数量与单节目时长无限制，满足海量编排需求；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13、场景搭建：支持多轨道灯光效果自由叠加、混合与实时渲染，可轻松构建富有层次感和戏剧性的复杂灯光场景；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14、快捷操作：可完全自定义的场景快捷键与节目列表；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15、场景预设：支持对音量、播放、模式切换等功能进行一键场景化预设；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16、全平台控制与灵活模式：支持主机模式与控台模式一键切换，适应不同操控习惯；也可通过墙控面板、平板电脑、智能手机等多种第三方设备进行无线扩展控制，实现移动化、分布式管理；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17、▲该参数为最低标准，投标时2、4、5、8、9项均需提供由第三方权威检测机构出具带有“CMA”或“CNAS”标志的检测报告复印件。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PDU机柜电源</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1、≥8位总控开关；≥3米 防过载。</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99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电源直通柜</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1、供电：三相五线制AC380V±10％，频率50Hz±5％；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2、输入额定电流：≥400A ,最大≥48路×4KW 可用于任何负载；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3、设有总开关，过载与短路双重保护高分断空气开关；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4、三相独立电压，电流，监测，三相A.B.C指示灯指；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5、输出：≥48路X4KW；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6、外形尺寸：≥国际标准16U；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7、输入方式：≥400A犀牛插。</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薄雾烟机</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1、功率：≥1500W；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2、加热时间：≤10秒；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3、电压：AC220V～250V 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4、控制方式：液晶控制面板、内置DMX512（2通道）；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5、连续喷烟、定时定量、油瓶密封技术；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6、5档喷烟角度：0～52°；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7、油瓶容量：≥5L；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8、烟量输出：≥50000cu/ft/min；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9、覆盖面积：≥300m³。</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薄雾烟油</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1、≥5L。</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箱</w:t>
            </w:r>
            <w:r>
              <w:rPr>
                <w:rFonts w:hint="eastAsia" w:ascii="仿宋" w:hAnsi="仿宋" w:eastAsia="仿宋" w:cs="仿宋"/>
                <w:i w:val="0"/>
                <w:iCs w:val="0"/>
                <w:color w:val="000000"/>
                <w:sz w:val="24"/>
                <w:szCs w:val="24"/>
                <w:u w:val="none"/>
              </w:rPr>
            </w:r>
            <w:r/>
          </w:p>
        </w:tc>
      </w:tr>
      <w:tr>
        <w:trPr>
          <w:trHeight w:val="171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泡泡机</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  率 ≥300W；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2、使用电压：AC220V～250V；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3、无线遥控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4、DMX512 √  吹泡高度 7～10米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5、泡泡覆盖面积 ≥600 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6、泡泡油容量： ≥2.5 L。</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泡泡油</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桶</w:t>
            </w:r>
            <w:r>
              <w:rPr>
                <w:rFonts w:hint="eastAsia" w:ascii="仿宋" w:hAnsi="仿宋" w:eastAsia="仿宋" w:cs="仿宋"/>
                <w:i w:val="0"/>
                <w:iCs w:val="0"/>
                <w:color w:val="000000"/>
                <w:sz w:val="24"/>
                <w:szCs w:val="24"/>
                <w:u w:val="none"/>
              </w:rPr>
            </w:r>
            <w:r/>
          </w:p>
        </w:tc>
      </w:tr>
      <w:tr>
        <w:trPr>
          <w:trHeight w:val="228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雪花机</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 ≥1200W；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2、使用电压 AC220V～250V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3、油瓶容量≥ 5 L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4、雪花覆盖机积≥ 60m³；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5、线控控制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6、雪花大小调节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7、无线遥控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8、内置DMX512 √ 。</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雪花油</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桶</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大灯钩</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1、材质：铝材；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2、厚度：≥3mm；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3、宽度：≥20mm；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4、可安全承重量：≥50kg。</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171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保险绳</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1、材料：不锈钢；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2、直径：≥0.3-35.0（mm）；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3、结构：双捻(多股)；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4、排列方式:西鲁式；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5、捻向:右交互(RHRL)；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6、抗拉强度:≥2500 MPa。</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225</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条</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底盒：铝材质底盒  底盒尺寸：≥175*175*65mm。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其他</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灯光设备系统该系统范围内所有设备所需要的串线及配件，本项目为交钥匙工程，不允许额外增加任何费用）；包含但不限于：国标主电缆（≥ZR-YJV4*95㎡+1及≥ZR-YJV4*25㎡+1）、VV3*2.5㎡电源线、RVV3*6㎡电源线、扁平电缆≥13*2.5㎡+2*（3*0.5P）、512信号线、六类网线、网罩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855"/>
        </w:trPr>
        <w:tc>
          <w:tcPr>
            <w:tcW w:w="42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5、舞台机械及舞台幕布系统</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99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电子会标屏吊杆</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设置于主舞台上空的电动景物吊杆，主要用于悬挂电子会标屏使用；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7、有效载荷：≥6.0kN；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99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电动会标横幅吊杆</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设置于主舞台上空的电动景物吊杆，主要用于悬挂会标横幅使用；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6、速度：≥0.3m/s；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13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对开大幕机</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具有电动开启的功能,可作为舞台幕等形式使用；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1、铝制专业轨道；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2、保证布幕启闭均匀，低噪音、对开幕导轨机构含跑车及尼龙带轴承挂钩、￠3.2航空钢丝绳、防跳槽滑轮∅100m；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3、尺寸：总长≥24.0m；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5、行程：对开单边≥12.0m；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6、对开速度：对开≥0.4m/s；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8、电机运行噪音：≤50dB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9、保护装置：行程限位装置、相序保护装置、急停装置等。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99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电动灯光吊杆</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主舞台上配置电动升降灯光吊杆，完整立体的满足了会议及演出模式中灯光布置的需求；设有电缆收线筐，便于垂直电缆的收纳；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2、杆体：防撞桁架式灯杆；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7、有效载荷：≥8.0kN；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99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电动景物吊杆</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设置于主舞台上空的电动景物吊杆，主要用于悬挂会议装饰物品使用，满足演出、会议及放映模式中对装饰物品悬挂的需求；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6、速度：≥0.3m/s；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7、有效载荷：≥6.0kN；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边沿幕吊杆</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1、固定安装于主舞台上空的景物吊杆，主要用于悬挂边沿幕使用。</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13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对开二幕</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具有电动开启的功能，可作为舞台幕等形式使用；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1、铝制专业轨道；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2、保证布幕启闭均匀，低噪音、对开幕导轨机构含跑车及尼龙带轴承挂钩、￠3.2航空钢丝绳、防跳槽滑轮∅100m；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3、尺寸：总长≥24.0m；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5、行程：对开单边≥12.0m；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6、对开速度：对开≥0.4m/s；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8、电机运行噪音：≤50dB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9、保护装置：行程限位装置、相序保护装置、急停装置等。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583"/>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电动侧光吊杆</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设置于主舞台两侧，完整立体的满足了会议及演出模式中灯光布置的需求；设有电缆收线筐，便于垂直电缆的收纳；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2、杆体：三角桁架式杆体；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3、杆体长度： ≥12.0m；（带3组目字型结构架）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4、结构架规格： ≥2.0m*1.2m；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5、尺寸：≥9.0m；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6、吊点数：≥4；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7、行程：≥9.0m；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116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耳光支架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1、固定安装在耳光室内部；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2、杆体尺寸：≥1.2m*1.8m，上下可安装2排灯具；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3、载荷：≥1.0kN/m。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7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PLC控制系统</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1、PLC控制方式，可编程控制，可进行人工干预；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2、并备有完善的安全保护及应急措施；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3、控制台可单独控制一道吊杆，也可编组同时控制4道吊杆升降；</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4、定位精度:≤士3mm,带相位检测电路；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5、控制设备采用模块化设计，维修方便。(含可编辑控制器，控制软件，弱电电气设备及组件、弱电电气柜、编码器、操作台)</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310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舞台机械栅顶及全沉浸式控制系统模块造型支架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1、舞台上空安装舞台机械吊杆，需制作基础栅顶层；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栅顶层设计承重主梁共5道，承重主梁由16#工字钢制作，通过吊筋（10#槽钢）与舞台上空结构梁连接，端部与两侧墙体固定连接；若现场无法满足承重梁悬吊，可采用在立柱及圈梁上制作牛腿支撑或悬吊承重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3、滑轮梁共6道，吊架安装梁左右各2道，滑轮梁及吊架安装梁由16#工字钢制作，安装在承重梁上；</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4、80*40方管次梁，安装在承重梁上，次梁间安装5#角钢，上铺钢板网；以便工作人员安装、调试及后期检修维护；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5、沉浸式模块造型根据现场的实际情况，净尺寸分别≥13.44米*7.2米；≥3.52*2.24米*2块；≥8米*3.68米；左右可移动模块吊装结构，可以实现完整模块的横向移动，角度旋转；净尺寸：≥7.2米*2.56米*4块。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含按用户图纸设计要求（强/弱电桥架、马道式钢结构、面光桥现场定制，设置在屋盖下弦合理的位置，它是舞台机械安装的必备的基础钢结构；定制承重梁，为保证栅顶钢构在水平方向作用力下的稳定性，承重梁应与建筑主体结构可靠连接）实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7、含提供大小报告厅的操作控制室（包含但不限于光控室、音控室）静电地板、安装及配套辅材，约30平方。</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380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平米</w:t>
            </w:r>
            <w:r>
              <w:rPr>
                <w:rFonts w:hint="eastAsia" w:ascii="仿宋" w:hAnsi="仿宋" w:eastAsia="仿宋" w:cs="仿宋"/>
                <w:i w:val="0"/>
                <w:iCs w:val="0"/>
                <w:color w:val="000000"/>
                <w:sz w:val="24"/>
                <w:szCs w:val="24"/>
                <w:u w:val="none"/>
              </w:rPr>
            </w:r>
            <w:r/>
          </w:p>
        </w:tc>
      </w:tr>
      <w:tr>
        <w:trPr>
          <w:trHeight w:val="552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全沉浸式系统模块</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1、像素点间距：≤2.0mm；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2、刷新率：≥3840Hz；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3、防护性能：具有防静电、防电磁干扰、防腐蚀、防潮等功能；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4、水平视角≥170°，垂直视角≥160°；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5、模组平整度：≤0.08mm，拼接缝：≤0.08mm；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6、单元板分辨率：≥12800 Dots；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7、色温：≤1000K—≤20000K可调;色温为6500K时，100%75%50%25%档电平白场调节色温误差≤100K；</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8、平均使用寿命≥100000h, MTBF≥100000h；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在器具输入插座端与屏正面之间施加试验电压3kv/50Hz，保持1min，不应出现飞弧和击穿现象，产品能正常工作；在高海拔环境下，产品可正常工作；输入电压：支持宽压输入在96-264VAC，支持窄压输入在200-240VAC，在该范围内能正常工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10、为了所投产品的安全性和适应性，屏体内部所用排线需符合耐高温实验、耐压测试、折弯参数测试要求，耐燃等级符合VW-1/UL94V-0；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具有SELV电路，在SELV电路中任何两个导体之间或任何一个这样的导体和地之间的电压的限值为：正常工作条件下，不超过42.4V交流峰值或60V直流值，单一故障条件下，在200ms后不超过42.4V（30V有效值）交流峰值或60V直流值，并且在200ms内其极限值不超过71V（50V有效值）交流峰值或120V直流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12、防电击等级依据GB4943.1标准，使用基本绝缘作为基本安全防护，同时使用保护连接和保护接地作为附加安全防护，达到防电击保护I类设备；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13、支持软件自定义修改分辨率，自定义分辨率，更加适合产品的使用；支持分屏操作；支持任意比例拼接素材和多图层叠加；支持无线遥控、手机遥控，一键切换视频；支持与智能播控软件一键IP连接；</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4238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块</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大幕前檐幕</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1、尺寸：≥20m*1.5m*3*1；（颜色暂定枣红，最终由业主确认）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90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大幕前沿幕衬里</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1、尺寸：≥20m*2m*1*1；</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1、尺寸：≥12m*9.5m*3*2；（颜色暂定枣红，最终由业主确认）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684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对开大幕衬里</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228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横条幕</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1、尺寸：≥22m*2.5m*3*3；（颜色暂定墨绿，最终由业主确认）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495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横条幕衬里</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1、尺寸：≥22m*2.5m*1*3；</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165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侧条幕</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1、尺寸：≥3.0m*10.5m*3*6；（颜色暂定墨绿，最终由业主确认）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567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侧条幕衬里</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1、尺寸：≥3.0m*10.5m*1*6；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189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对开二幕</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1、尺寸：≥12m*9.5m*3*2；（颜色暂定胡兰\会议黄，最终由业主确认）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684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370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拾音话筒吊装器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1、输入电压：220V 50/60Hz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2、信号输出接口：XRL（1-地，2-正，3-负）；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3、信号输出通道数 ：≥1路；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4、静止输入功率： ≤0.8watts；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5、最大输入功率 ：≤20watts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6、最大提升重量 ：≥1kg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7、最大噪音：≤40dB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8、提升速度：≤5m/min；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9、拾音行程：1-8m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10、定位精度：≤5mm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11、采用专业优质四芯星绞音频线，高保真、高降噪、抗拉抗折；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12、具有上升极限保护，让操作无失误；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13、具有重力感应，下降遇阻保护装置；具有无线遥控、手柄线控、RS232、RS485等多种控制方式；</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604"/>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手自一体PLC电源控制箱200KW</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1、通过浪涌（冲击)抗扰度试验；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2、通过电快速瞬变脉冲群抗扰度试验；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3、通过辐射骚扰抗扰度试验；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4、通过静电放电抗扰度试验；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5、手机控制：手机人机界面控制；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6、故障记录：异常报警(高温、烟雾、漏电、过载等）；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7、通讯接口：串口+网口（MODBUS-RTU+TCP）；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9、手动控制：一键启动、停止；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10、自动控制：电脑远程控制；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11、中控控制：中控协议通讯；</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伸缩合唱台</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实木伸缩移动合唱台三层，≥120-130-75cm(长宽高)，层宽≥40cm，层高25cm；材质采用优质橡胶木齿接板≥18mm厚，硬度高不开裂特性，内部使用同等厚度板做龙骨支撑具有良好的静音和支撑能力，每层平面整体可承重≥500公斤以上，三层整体承重≥1500公斤，台阶整体式不可拆装，稳定性强，台阶边为圆边防磕碰，表面采用环保无味清漆喷涂原木色，整体台阶可伸缩，一二层可收纳第三层内部，收纳后尺寸≤120-50-75cm，台阶低部每层有≥4个静音万象轮，方便轻松移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2、护栏：后护栏采用≥40mm圆管，≥1.2mm厚为主管，尺寸长≥1150mm，≥高800mm 中间护栏管采用≥20mm圆管，≥1.2mm厚；多节组合后两侧安装侧护栏。</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t xml:space="preserve">、满足要求（此项包含舞台机械及舞台幕布系统该系统范围内所有设备所需要的串线及配件，本项目为交钥匙工程，不允许额外增加任何费用）；包含但不限于：桥架、H型桥架≥100×50×0.8、国标主电缆≥ZR-YJV4*16㎡+1、≥RVV4*2.5电源线、≥RVV6*0.75限位控制线、≥RVVP4*0.75编码屏蔽线、≥RVV2*1.0抱闸线、≥RVV4*1.0操作台电源、≥RVV4*1.5电源线、六类屏蔽网线、接线端子、配电箱、导轨、地排、航空插座蓝色、航空插座、全沉浸式系统模块需要的排线、磁珠、电源线、包边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2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6、中控系统</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9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可编程中央控制主机（加触控终端）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1、主频≥2GHz的32位内嵌式CPU处理器，内存≥16G；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2、主机≥10路串口，≥8路IR，≥8路I0，≥8路弱继电器，≥4个模拟量输入接口，≥2路NET口，具有可视化HDMI高清调试监控接口；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3、≥8路红外可编程控制接口，内置红外学习器，可以支持对周边所有红外设备的控制，且单个红外接口可以同时连接控制多个不同设备；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4、具有自定义宏功能模块，可以创建自定义宏，支持编辑宏、导入宏或导出宏操作。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5、支持远程控制，控制接口可扩展，支持一键式联动控制功能，控制软件中文界面，提供开放式可编程控制平台，支持第三方设备控制；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网页版KVM，在突发事件发生时，非本地专业业务人员可通过网络远程对指挥中心相关业务电脑进行控制，实现应急处突，保障指挥调度任务顺利进行；支持通过终端web远程访问，系统数据完全本地部署，恶意扫描、账号爆破手段无法触达本地服务器，保障安全可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7、支持多种控制模式如：PC控制、IPAD、Android触摸屏、墙上面板控制等，并支持IE浏览器（无需web服务器）；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8、中控系统支持冗余热备份，支持双向反馈，可显示温度、湿度、pm2.5及周边环境状态；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多种编程语言，如图形化编程（拖拽方块）、Lua、Python脚本、类C语言化编程；支持对平台内接入的所有设备进行可视化管控，可按需记录设备的多条实时运行参数，采集频率可达10次1秒，支持自定义采集频率，记录时间高达90天（日历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10、支持大型组网集中管理；开放式类C语言编程，程序可上传云端；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11、≥8路独立可编程控制串口接口，≥8路弱电继电器接口和≥8路数字输入/输出IO 接口，可联动相关人体红外感应器状态，进行智能化场景切换，实现人来灯亮，人走灯灭的功能；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12、▲该参数为最低标准，投标时2、4、7、8、9项均需提供由第三方权威检测机构出具带有“CMA”或“CNAS”标志的检测报告复印件。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无线接收器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1、无线速率：≥3000M；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2、无线协议：Wi-Fi6。</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红外发射棒</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1、用于控制红外遥控设备，可延长至≥100米。</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285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系统软件单元</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1、平板终端可感知单元控制的设备的状态和数据；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2、平板终端可实时反馈光感检测、PM2.5检测、门磁检测、温度检测湿度检测等各种感应检测器的检测结果；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3、平板终端之间控制状态同步；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4、平板终端接入自动与系统同步；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5、软件自动与系统和平板终端同步；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6、支持iOS、Windows平台下对系统进行交互式控制；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7、集成音频系统、数字会议系统、视频显示系统、录播系统等系统，集成可视化管理和一体化控制为一体；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8、后期系统编程、界面编辑、脚本语言编程，多平台解析软件，可根据用户要求定制化管理界面，设置多级管理权限，软件运稳定界面友好、简学易用；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9、支持对第三方设备控制。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9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协同中控控制接收系统</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单个≥16 个标准接口；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1、通过对Gamma表算法的优化，使得显示屏在降低亮度时能保持灰阶的完整无损失、完美显示，呈现低亮度高灰阶的显示效果；支持亮度、色度逐点校正，提供校正低灰补偿，保障低灰显示效果；Gamma 独立调节：支持 RGB Gamma 独立调节功能，红、绿、蓝 Gamma 值可独立调节，修正颜色跳变及偏色，有效控制显示屏低灰 不均匀、白平衡漂移等问题，使画面更加真实；</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2、智能串线功能：无需了解接收卡串线顺序，用户可根据屏幕闪烁提示，在软件上完成映射设置，便于设备调试；</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3、异形处理：支持抽点显示与数据偏移，可完成异形屏带载，搭配专用异形发送设备时还可实现高保真图像变形显示，在异形屏幕上播放普通素材时有效避免内容缺失；</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4、一键回读：可一键回读所有配置文件信息从而快速恢复参数设置；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5、主从备份功能：为保障播出正常，支持主从备份功能，备份状态下，网络数据为双向传输；主从串联线路中，当其中一条线路出现故障时，另一条线路会及时工作，保证显示屏正常工作；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6、升级保护：为保证产品后续升级的安全性，程序升级支持断电保护功能，产品固件升级过程中发生意外断电时，产品仍可正常使用；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7、模组任意旋转：支持模组任意角度旋转，呈现不同形状，展现更多变的画面；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8、▲该参数为最低标准，投标时1-7项均需提供产品第三方CMA或CNAS检测报告复印件。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246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313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电源控制器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1、配备≥3.5寸彩色TFT-LCD显示屏，可实时显示当前电压，日期时间，信道开关状态；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2、≥8路开关通道输出，每路延时开启和关闭时间可自由设置（范围0~999秒）；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3、每通道可以独立设置开启/关闭，方便设备灵活使用；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4、每通道独立滤波器，提供稳定，无干忧电流；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5、内置时钟芯片，可根据日期时间定时设置自动开启/关闭每一通道；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6、欠压、过压保护，可自定义设置保护值；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7、配置RS232和RS485接口，支持级联、中央设备控制；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8、额定输出总电流：≥40A，单路输出电流：≥20A；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9、每一路功率：可承载≥2000W；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10、每一路带滤波；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11、带级联功能。</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1、满足要求（此项包含中控系统该系统范围内所有设备所需要的串线及配件，本项目为交钥匙工程，不允许额外增加任何费用）包含但不限于：≥RVV3*2.5㎡电源线、六类网线等。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855"/>
        </w:trPr>
        <w:tc>
          <w:tcPr>
            <w:tcW w:w="42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7、视频信号处理及录播系统</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146"/>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4K会议录播一体机（带显示终端）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1、通过电快速瞬变脉冲群抗扰度、浪涌（冲击）抗扰度、射频电磁场辐射抗扰度、射频场感应的传导骚扰抗扰度测试；</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2、音频接口：支持≥3路LINE IN接口；≥1路3.5mm音频输入；≥2路MIC接口；具有≥1路DMI；支持≥3路LINE OUT接口；≥1路3.5mm音频输出；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3、其他接口：要求支持≥3路RS232控制接口；具备≥3路USB3.0接口，具备≥1路USB2.0接口，支持连接鼠标、键盘进行导播控制以及主机连接U盘进行课程视频的录制、下载；要求具有≥1路TYPE-C接口；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4、要求支持≥5路RJ45网口，其中≥4路为POE网口，集供电、控制、视频传输于一体；支持摄像机智能组网，摄像机即插即用；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5、要求录播主机采用一体化嵌入式硬件设计架构；内置四核及以上处理器、Linux系统、≥8GB内存，≥1T硬盘；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6、视频编码：要求支持H.265和H.264两种视频编码协议，支持4K分辨率（3840*2160）视频的编码和录制；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7、要求支持IPV4、IPV6链路地址、IPV6外网地址三个网络地址配置，支持启用DHCP自动获取IP地址；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8、系统具有推送公网直播功能，支持通过微信扫码登录创建直播，也可以不登录直接创建直播，并可在设备上自动生成直播二维码，扫描即可观看直播，支持直播列表的查看；</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9、要求录播主机满足录制、直播、点播、互动、导播管理、存储、切换、视音频编码、语音转写、虚拟抠像、行为分析等功能，支持远程互动教学，实现远程互动网络课堂；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10、▲该参数为最低标准，投标时1-7项均需提供由第三方权威检测机构出具带有“CMA”或“CNAS”标志的检测报告复印件。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3"/>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录播系统</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1、系统支持账号密码登录，录制模式支持电影模式、资源模式两种，能同时支持≥1路电影模式加≥6路资源录制，同时录制合成画面、教师全景、教师特写、学生全景、学生特写、电脑画面等；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2、录制格式至少支持MP4/FLV/TS，录制分辨率支持3840*2160、1920*1080等，支持录制帧率设定，可选择25fps/30fps，码流支持1000-20000kbps可选；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3、支持实时显示录播主机CPU的使用率，硬盘使用情况，≥6路预监画面；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4、导播模式支持视频预览、直播输出监视、视频切换、音频调整等功能；</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支持添加字幕，支持包括系统时间在内的九种预设字幕的设置，其中系统时间支持自动校准；可直接通过拖拽实现自定义字幕显示位置；支持设置多种字体、多种颜色。系统界面自带虚拟软键盘，无需外接USB键盘，支持多种格式的字幕，可输入中文、英文、数字、特殊符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6、支持导播模式设置：支持手动、半自动、全自动模式，支持查看软件版本，设备型号，硬件版本，设备编号；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7、提供多种画面布局模式，支持视频画面叠加与组合，包括单画面、双分屏画面、三分屏画面、四分屏画面显示；</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8、支持≥4种片头和≥4种片尾的添加，可以设置插入片头片尾的时间，支持jpg、png格式；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9、台标支持≥4个固定位置，分别为左上、右上、左下、右下，支持手动拖拽移动台标，实现界面任意位置的台标设置，支持设定图片台标，支持jpg、png格式；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10、支持上滑、下滑、左滑、右滑等多种切换特效，支持自定义选择≥4种特效切换速度；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11、系统支持摄像机云台控制，可以对摄像机进行变焦、上下左右位置调整以及≥8个预置位的设置；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12、系统支持录制倒计时和循环记录功能，支持录制到U盘；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13、所录制的视频文件既可本地存储，也可网络平台存储。支持用户随时通过录播主机点播回放视频，并可下载；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14、系统支持录制单个文件和限时自动分割录制功能，可选择多种自动分割时长；</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15、系统具有推送公网直播功能，并可在设备上自动生成直播二维码，扫描即可观看直播，支持直播列表的查看；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16、要求内置微课制作功能，支持前景、人像、背景3层场景叠加，叠加的场景支持PPT、视频、图片，虚拟抠像后的人像等类型；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17、要求支持虚拟抠像后合成的画面实现和远端进行音视频互动；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18、可实现行为分析、实时字幕的语音转写和热词提取；</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19、系统内置行为分析系统，支持对教室人数、举手人数、站立人数、背身人数、趴下人数、低头人数、扭头人数的实时统计，并实时汇总学生的参与度、活跃度和抬头率；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20、内置互动系统，支持标准SIP和H.323互动协议，支持互动列表，列表中可以显示所有与会者的信息；支持互动画面布局的显示，布局支持单分屏，双分屏，四分屏显示；互动界面支持双流、一键静音、全屏、导播设置等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21、支持对录播机进行网络检测，可实时检测服务器连通性、网络稳定性、上行下行速度、网络追踪性、网卡信息、信道状态；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22、进入互动系统时可支持查看永久课历史记录，可输入房间号快速加入远程互动，并显示对应的课程信息，包括时长、主讲人、房间名称、房间号、丢包率、网络延时等；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23、创建房间时支持对主题、主讲人、开课日期、开课时间和结束时间、验证方式的设置，其中验证方式支持公开和加密的选择；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24、支持对每个互动房间自动分配短号，可以通过短号直接实现多个设备间的互动；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25、系统支持中英文版本切换；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26、▲该参数为最低标准，投标时1、2、3、8、9、10、20项均需提供由第三方权威检测机构出具带有“CMA”或“CNAS”标志的检测报告复印件。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导播控制系统</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1、要求配合录播系统使用，支持基于网络的远程导播；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2、要求支持局域网搜索功能，自动适配录播一体机，同时还支持手动添加，支持将指定的录播一体机通过IP搜索加入管理列表；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3、要求导播界面可以实时预览视频画面，包括主画面和每个通道画面；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4、要求支持远程管理录播系统，可进入后台管理界面，远程管理录播一体机的网络、视频、音频、互动、基础配置、直播、录制、文件管理等功能；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5、要求支持查看录播主机状态，支持管理多个录播主机。</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85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键鼠套装</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1、键盘接口 USB；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2、键盘按键数 ≥104键；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3、具有多媒体功能键、音频接口、符合人体工学。</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3834"/>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无线投屏器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1、为确保投屏稳定性，投屏需采用接收端与发送端双硬件设备;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2、兼容Windows 7/8/10、Windows平板、I0S平板/手机、Android平板/手机以及Mac 0SX;</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3、传屏不占用电脑wifi，电脑仍可以上网;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4、内置路由功能，网口连接互联网，手机连接盒子热点传屏时仍可上网，最大可同时连接≥8个发送端;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5、投屏分辨率≥3840*2160，帧率≥30帧每秒，且支持4:3分辨率;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6、支持传屏锁定功能，锁定模式下，新电脑无法投屏;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7、支持批注同步功能，可以对传屏画面进行实时批注;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8、批注后的画面，支持广域网/局域网二维码分享;</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9、主持人模式，主持人可以通过触摸或者鼠标选择指定电脑进行传屏或结束。</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28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视频程序设计实训处理平台</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1、高清HDMI矩阵，标准机架设计，高度为2U；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2、支持≥16路HDMI输入，≥16路HDMI输出，输入输出均支持HDMI1.4a协议，分辨率可达4K@30Hz、1080@120Hz；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3、每路输入接口均支持HDCP解析、支持EDID透传和学习；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4、采用水晶可视化按键，同时首创两键式操作，让信号切换更加简单有效，操作人员零基础就可以轻松掌握所有操作；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5、支持可视化按键、RS-232、TCP/IP以及遥控多种控制方式；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6.、前面板LCD显示屏能够实时显示矩阵信号切换状态及系统配置；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7、采用ESD静电防护设计，能承受人体放电模式：± 8kV (气隙放电)，± 4kV (接触放电)，有效地避免了静电对设备的干扰及损害；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8、采用航空式螺旋电源接口，为电源的稳定性保驾护航。</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646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视频程序设计实训并发处理单元</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1、采用金属结构机箱，插卡式设计，具有灵活多变的扩展性能；外壳防护等级符合GB/T4208-2017中IP20的要求；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2、支持≥8张输入板卡，≥12张输出板卡，支持≥48个2K图层，最大带载≥7360万像素点；</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3、支持输入板卡类型：≥ DP1.4、HDMI2.0、DP1.2、12G-SDI、HDMI1.4、HDMI1.3、DVI、3G-SDI、IP、HDBaseT、VGA；支持输出板卡类型：≥HDMI2.0、DP1.2、HDMI1.3、SDI、DVI、网口、光纤接口；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4、单板卡支持≥8路2K@60Hz输入，单张板卡与≥4路2K板卡物理尺寸相同,仅占用一个物理槽位,真正实现了物理扩容；板卡尺寸：≥192.2mm*168mm，档条尺寸：≥193mm*19.8mm；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5、支持DP1.4输入，最大分辨率8K*4K@30Hz；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6、HDMI2.0、DP1.2、HDMI1.4、HDMI1.3输入板卡支持内嵌音频；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7、4K输入（HDMI2.0、DP1.2）支持≥4096*2160@60Hz或7680*1200@60Hz、支持≥RGB444、YCbCr444、YCbCr422、YCbCr420视频格式；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8、HDMI1.3/DVI输出板卡支持自定义输出分辨率，单一输出接口宽度或高度最大支持≥4096像素；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9、网口输出板卡可直接连接LED显示屏，单板卡最大带载≥650万像素点；支持自定义带载区域，最宽≥40960像素点，最高≥40960像素点；</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10、HDMI2.0、DP1.2、HDMI1.3输出板卡同时支持随路音频输出和3.5mm音频接口输出；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11、支持分组屏管理，可同时管理≥8组屏幕，每组屏幕相应的输出口分辨率可分别设定，以应对异形屏或复杂场景下多种显示终端的混合控制；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支持测试画面图像，无需接入有效视频源，即可快速检验物理输出接口是否正常；支持对输入源画面进行任意截取，截取后可作为一个新的输入源，不影响原输入源的使用；支持多次截取输入源，可快速调用不同截取参数的输入源；内嵌B/S拼接器配置软件，无需安装应用程序，支持在Windows、Mac、麒麟（Kylin）、 iOS、 Android、 Linux等操作系统环境下进行使用，轻松实现跨平台、跨系统的交互与访问控制；可通过移动终端进行无线控制，实现图层编辑、信号切换、场景保存\调用等操作；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13、可将不同预设参数保存为场景，一键调用，最大支持≥2000个场；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14、无需外加监视卡即可回显所有输入，用户可通过PC端或移动端APP，实时查看当前设备所有输入信号画面内容；</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15、支持输入板卡、控制板卡的热插拔功能，设备无需关机重启和设置，更换板卡后快速恢复之前图层数据，保证画面正常播放；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16、▲该参数为最低标准，投标时2-11项均需提供产品第三方CMA或CNAS检测报告复印件。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561"/>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视频程序设计实训推理分析单元</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1、支持 ffmpeg 软件解码和 DXVA 8K 硬件解码技术，支持 DX9、DX11、OpenGL 渲染引擎，有效降低CPU占用率，充分利用专业图形显卡性能，实现对4K屏幕的点对点显示和4K素材的流畅无损播控，支持16K 超长字幕点对点流畅播放，支持内容打折和首尾相接功能；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视频/图片/字幕/PDF/PPT/电子相册/网页程序/舞台提词等媒体播控，支持对网页、网络流媒体的播放与控制，对打开的网页可以进行后续的访问操作比如搜索、键入、跳转等，可以控制网页的显示尺寸；播放网页流媒体时可以对显示部分进行裁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3、支持包括序列帧在内的 200+种媒体格式播放，10+种小工具灵活叠加使用；可以流畅播放视频、音频、图片，对大分辨率图片支持图片自动优化，支持添加字幕，可以改变字幕的大小、颜色、位置、静止或者滚动、滚动方向以及滚动速率；支持增加模拟/数字时钟，可以改变模拟时钟的指针颜色以及位置大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4、支持异形屏幕拆分重组，可点对点带载30720X540像素分辨率的超长条屏，支持屏幕多边切片，不需要切割视频素材即可整屏播放一个完整视频画面。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5、支持数据存储和检索技术，可把节目或者素材的播放次数、时间和时长一键导出为 Excel 表格，单次做多存储一亿条数据；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多屏统一管理、画面可分可合，取代多台电脑独立控制，一人即可播控全场，支持自定义画面的位置大小以及尺寸，支持对画面进行旋转，支持对画面的透明度、边框大小颜色进行自定义；可以自定义分屏布局、播放模式、播放顺序，可以实时的查看播放进度，并且可以拉动进度条来控制视频的播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7、支持对视频进行倍速播放，最慢0.1倍速，最快4倍速，为方便现场效果精确调整，必须支持集体 Seek 和逐帧调节视频进度。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8、支持画面透析处理技术，可将全景视频、常规视频处理之后显示到房间屏、墙角屏、U 幕、球形屏，呈现沉浸式裸 3D 效果，满足 VR、全景、U 幕、3D、墙角屏等沉浸式场景输出。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9、支持将互动程序作为素材添加到媒体库内，通过拖拽的方式快速便捷的将互动画面播放上屏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10、服务器支持根据预案中素材的播放进度，对周边设备发送控制指令，实现视频内容与外围设备的联动控制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11、EDID锁：支持通过硬件锁定 EDID 通道序列，解决电脑显卡多通道拼接时容易显示错乱的问题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12、可视化云控：服务器支持可视化平板云控，移动平板可以实时显示服务器的媒体素材、屏幕画面和场景预案，以及拼接器的信号输入、回显画面和场景模式，支持 I0S、Andr iod 和鸿蒙系统；平板端支持拖拽替换屏幕画面，一键切换场景预案和模式，控制媒体素材的播放、暂停、静音和 PPT 翻页</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支持多台设备联机播控，总控端服务器控制播放端服务器更新发布编辑素材内容，实现内容分发、节目管理和设备中控，总控端服务器支持热备份，当总端服务器故障，控备端服务器会自动接管多联机控制，可自动回读原有工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14、KPF加密技术：为避免重要素材泄露，服务器支持 KPF 技术对素材格式进行私有化转码；服务器转码时可设置私有格式的素材只允许在该类服务器上播放或只允许在指定设备上播控，转码支持对视频设置密码加密，播放视频和二次转码时必须输入对应密码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15、定时计划：服务器支持界面自定义编辑定时计划任务，可指定日期、指定星期执行场景预案或关机命令，形成任务列表自动执行，实现无人值守</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智能中控：服务器可与智能电机、智能配电箱、发送卡和多功能卡连接，通过移动平板分发提前配置好的协议指令，完成对本地服务器、外部信号音/视频、窗帘、屏幕电源和亮度的集中管理和控制；可与监控摄像头连接，实时回显摄像头画面控制摄像头左右上下移动，聚焦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17、设备通过CCC认证；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18、与播控系统/视频处理器系统/控制系统为同一厂家，消除设备兼容性隐患；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19、▲该参数为最低标准，投标时1、2、3、7、13、17项均需提供产品第三方CMA或CNAS检测报告复印件。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HDMI发送器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1、发送端：输入接口：≥1路HDMI输入，输出接口：≥1路RJ45出；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2、HDMI信号：HDMI1.3，完全兼容HDCP1.4；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3、分辨率：480i, 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4、网线：非屏蔽或屏蔽五类/六类网线（UTP/STP Cat5/5e/6）；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5、传输距离：1080p60Hz情况下Cat6：≥120米；CAT5E：≥100米；CAT5：≥80米；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6、传输速率：≥18Mbps；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7、工作温度：-15℃~ 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8、电源供电：DC5V/1A（2个）；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9、防护：防静电、防雷击、防浪涌。</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HDMI接收器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1、接收端：输入接口：≥1路RJ45，输出接口：≥1路HDMI输出；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2、HDMI信号：HDMI1.3，完全兼容HDCP1.4；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3、分辨率：480i，480p，576i，576p，720p@50/60Hz，1080i@50/60Hz，1080p@50/60Hz；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4、网线：非屏蔽或屏蔽五类/六类网线（UTP/STP Cat5/5e/6）；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5、传输距离：1080p60Hz情况下Cat6：≥120米；CAT5E：≥100米；CAT5：≥80米；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6、传输速率：≥18Mbps；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7、工作温度：-15℃~ 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8、电源供电：DC5V/1A（2个）；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9、防护：防静电、防雷击、防浪涌。</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84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两厅互通传输系统发送端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1、发送端：输入：≥1路HDMI；输出：环出≥1路HDMI，≥1路光纤模块口，≥1路红外接口；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2、电源规格：DC5V/2A；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2、整机功耗：TX≤3 W，RX≤3 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4、HDMI版本：HDMI1.3，兼容HDCP1.4；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5、支持分辨率：480i、480p、576i、576p、720p@50/60Hz、1080i@50/60Hz、1080p@50/60Hz；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6、DDC信号电压：≥5Vp-p(TTL)；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6、中心波长：1310/1550nm；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8、光纤接口类型：LC；</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9、传输速率：≥1.25Gbps；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10、光纤类型：单模光纤（SMF）；</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10、传输距离：≤40km；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12、发射光功率：±3dB；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13、接收光功率：±3dB；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14、接收灵敏度：≤-23dBm；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15、回波损耗：≥12dBm；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16、误码率：10へ(-12)；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17、红外回传：支持20~60kHz宽频红外遥控器。</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84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两厅互通传输系统接收端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1、接收端：输入：≥1路光纤模块口，≥1路红外接口；输出：≥1路HDMI；</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2、电源规格：DC5V/2A；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3、整机功耗：TX≤3 W，RX≤3 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4、HDMI版本：HDMI1.3，兼容HDCP1.4；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5、支持分辨率：480i、480p、576i、576p、720p@50/60Hz、1080i@50/60Hz、1080p@50/60Hz；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6、DDC信号电压：≥5Vp-p(TTL)；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7、中心波长：1310/1550nm；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8、光纤接口类型：LC；</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9、传输速率：≥1.25Gbps；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10、光纤类型：单模光纤（SMF）；</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11、传输距离：≤40km；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12、发射光功率：±3dB；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13、接收光功率：±3dB；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14、接收灵敏度：≤-23dBm；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15、回波损耗：≥12dBm；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16、误码率：10へ(-12)；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17、红外回传：支持20~60kHz宽频红外遥控器。</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42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4K高清室内摄像机</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1、采用≥1/1.8英寸高品质图像传感器，最大分辨率可达4K@60fps；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2、≥31X光学变焦，59°广角镜头； 焦距范围≥ f=6.91mm～214.21mm ±5%；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3、接口：HDMI、SDI、LAN(支持POE)、USB2.0、A-IN、RS232-IN；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4、音频输入接口：双声道3.5mm线性输入；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5、音频输出接口：HDMI、LAN、SDI、USB2.0；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6、控制接口支持RS485，RS422,RS232-IN，RS232-OUT；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7、控制协议支持VISCA、PELCO-D、PELCO-P协议，支持波特率115200/38400/9600/4800/2400；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8、支持≥255个预置位(遥控器设置调用≥10个)；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9、为了保证摄像机图像输出效果，亮度分解力水平电视线必须≥1800；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10、符合国家GB/T 16697-2017及GB/T 15412-2017相关标准，旋转角度范围：水平：-110~+110；垂直：-30~+30；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11、▲9、10项需提供产品第三方CMA或CNAS检测报告复印件。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42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4K高清室内摄像机</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1、采用≥1/2.5英寸高品质图像传感器，最大分辨率可达4K@60fps；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2、≥12X光学变焦,80.4°广角镜头； 焦距范围≥ f=3.85mm～46.2mm ±5%；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3、接口：HDMI、SDI、LAN(支持POE)、USB2.0、A-IN、RS232-IN；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4、音频输入接口：双声道3.5mm线性输入；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5、音频输出接口：HDMI、LAN、SDI、USB2.0；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6、控制接口支持RS485，RS422,RS232-IN，RS232-OUT；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7、控制协议支持VISCA、PELCO-D、PELCO-P协议，支持波特率115200/38400/9600/4800/2400；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8、支持≥255个预置位(遥控器设置调用≥10个)；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9、为了保证摄像机图像输出效果，亮度分解力水平电视线必须≥1800；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10、符合国家GB/T 16697-2017及GB/T 15412-2017相关标准，旋转角度范围：水平：-110~+110；垂直：-30~+30；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11、▲9、10项需提供产品第三方CMA或CNAS检测报告复印件并加盖厂家及供应商鲜章以佐证上述参数内容。</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摄像头固定支架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1、配套吸顶或者壁挂。</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摄像机移动支架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1、云台类型：液压云台；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2、材质：碳纤维；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3、脚架节数：≥3节；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4、展开高度：≥1.6-1.7M。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85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视频信号处理及录播系统该系统范围内所有设备所需要的串线及配件，本项目为交钥匙工程，不允许额外增加任何费用）；包含但不限于：六类屏蔽网线、国标主电缆≥ZR-YJV4*70㎡+1、国标主电缆≥RVV3*2.5㎡、电源线≥RVV3*2.5㎡、电源线≥RVV3*1.5㎡、电源线≥RVV3*1.5㎡、HDMI高清线、光纤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2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8、辅料</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定制操作台</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1、尺寸：≥180cm*90cm*75cm。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控制室播控</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1、产品尺寸：≥964mm*609mm及配套的可旋转伸缩支架。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立式话筒支架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1、高度 ≥1000-1760 mm；横杆长度≥ 530-910 mm。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返听防滑剧院接口盒</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线阵列扬声器吊挂支架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1、线阵音箱田字架。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PDU机柜电源</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1、≥8位总控开关 ；≥3米 防过载。</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85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跳线盘</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1、多功能设计，经济适用的1/4"模块化跳线板，带两行插口；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2、≥48个平衡通道带PCB全布线插口（≥24个垂直安装PCB板），≥24对前端通道和后部≥24对通讯通道；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3、插口PC卡包含≥4个带不变色触点的平衡1/4"插口，安全保持，无须使用螺帽。</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电动葫芦</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1、纯铜电机：220V纯紫铜电机；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2、电机外壳：合金外壳坚固高散热；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3、电机风罩风扇：合金风罩加≥8叶加大风扇；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4、电机钢丝绳：≥137股镀锌防旋转钢丝绳；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5、电机转速：每分钟≥3000转。</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56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对讲主机</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1、频率响应：≤80Hz-≥12kHz（±3dB）；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2、100V定压输出，有电源、信号、削峰指示,话筒有自动默音功能；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3、可通过红外线遥控器控制；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4、内置MP3播放器，≥1路话筒输入，≥1路线路输入，≥1路线路输出；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5、高音、低音音调控制；话筒、线路单独音量调节；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6、额定输出功率：≥60W；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7、输入灵敏度：MIC1，2：≤3.5mV；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8、AUX1，2：≤280mV；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9、信噪比：MIC1，2：≥60dB；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 10、AUX1，2：≥71dB；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12、总谐波失真：≤1%（1kHz，1/3输出电压）；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13、辅助输出电压：1000mV±≤100mV；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14、音调：低音：≥±10dB（100Hz）；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15、高音：≥±10dB（10kHz）；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16、默音功能：话筒≥1输入覆盖其它输入；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17、消耗功率：≥80W。</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71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对讲话筒</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1、类别：≥9.7背极电容式；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2、指向类型：超心型；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3、灵敏度：≥-35dB±3dB；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4、频率响应：≤100-≥12000Hz；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5、输出阻抗：200Ω平衡式；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6、电平输出量：15mV(1kHz/94dB)。</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42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壁挂音箱</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1、工作电压70/100V，功率1.5-10W（多个配接端子）；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2、最大声压级达≥100±2dB；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3、有效频率范围宽≤160Hz-≥18kHz；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4、优质工程塑料注塑成型；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5、扬声器悬边阻尼处理，寿命长，灵敏度高（≥92±2dB），声音清晰。</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音量控制开关</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1、产品类型：五档位音量控制、带强插，消防联动；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2、额定功率：≥60W；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3、强插信号：24V DC 10mA；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4、档位频响（正常工作条件(-3dB)）：STEP：0V（关）。</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协同控制终端系统</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1、单块尺寸：≥0.304米*0.152米，数量≥465块；净尺寸分别≥17.632米*0.912米及≥8.512米*0.608米；点间距：≥0.00475米。</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协同控制核心系统</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1、≥4.5V-200W。</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761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块</w:t>
            </w:r>
            <w:r>
              <w:rPr>
                <w:rFonts w:hint="eastAsia" w:ascii="仿宋" w:hAnsi="仿宋" w:eastAsia="仿宋" w:cs="仿宋"/>
                <w:i w:val="0"/>
                <w:iCs w:val="0"/>
                <w:color w:val="000000"/>
                <w:sz w:val="24"/>
                <w:szCs w:val="24"/>
                <w:u w:val="none"/>
              </w:rPr>
            </w:r>
            <w:r/>
          </w:p>
        </w:tc>
      </w:tr>
      <w:tr>
        <w:trPr>
          <w:trHeight w:val="60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协同控制孪生模块系统</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1、驱动芯片模组具有WIFI+U盘+带天线功能；数量为≥2块；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2、单色带载：≤64*512 ；≤48*672 ；≤32*1024</w:t>
            </w:r>
            <w:r>
              <w:rPr>
                <w:rStyle w:val="1017"/>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99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网络交换机</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1、交换容量≥36Gbps，包转发≥26.8Mpps；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2、千兆电口≥16个，支持POE+，输出功率≥240W，千兆光口≥2个；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3、支持基于端口的 VLAN，支持 DHCP Snooping；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4、支持广播风暴抑制、未知单播抑制、多播风暴抑制；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5、支持web 管理，手机APP管理；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6、支持端口防雷≥6KV，风扇散热；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7、提供中国质量认证中心的中国节能证书，并且提供复印件。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13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高清200万网络红外半球</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1、产品类型：网络摄像机；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2、产品外形：半球；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3、成像色彩：日间彩色，夜间黑白；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4、成像器件≥ 1/3英寸CMOS；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5、镜头焦距：2.8mm，3.6mm，6mm，8mm；镜头接口：≥M12；镜头光圈：F2.5；F2.1；F2.0；F2.0；聚焦距离：2.8mm，0.4mm，3.6mm，0.7mm，6mm，1.3mm；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6、最低照度：0.01Lux(彩色模式)；0.001Lux(黑白模式)；0Lux(红外灯开启)；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7、电子快门：1/3s-1/100000s；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8、音频/视频；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9、压缩格式：H.265；H.264；H.264H；H.264B；MJPEG；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10、视频帧率：50Hz：主码流(1280x720/960@25fps)，辅码(704×576@25fps)；60Hz：主码流(1280x720/960@30fps)，辅码(704×480@30fps)。</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507"/>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网络硬盘录像机（带显示终端）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1、支持嵌入式Linux系统，工业级嵌入式微控制器；支持WEB、本地GUI界面操作；可接驳支持ONVIF、PSIA、RTSP协议的第三方摄像机和主流品牌摄像机；支持IPv4、IPv6、s、UPnP、NTP、SNMP、PP</w:t>
            </w:r>
            <w:r>
              <w:rPr>
                <w:rFonts w:hint="eastAsia" w:ascii="仿宋" w:hAnsi="仿宋" w:eastAsia="仿宋" w:cs="仿宋"/>
                <w:i w:val="0"/>
                <w:iCs w:val="0"/>
                <w:color w:val="000000"/>
                <w:sz w:val="24"/>
                <w:szCs w:val="24"/>
                <w:u w:val="none"/>
                <w:lang w:val="en-US" w:eastAsia="zh-CN" w:bidi="ar"/>
              </w:rPr>
              <w:t xml:space="preserve">PoE、DNS、FTP、ONVIF（不支持ONVIF Server）网络协议；支持≥32路网络视频接入，网络性能接入200Mbps，储存128Mbps，转发32Mbps；支持6M/5M/4M/3M/1080P/1.3M/720P IPC分辨率接入；支持≥1×6M/1×5M/3×4M/6×1080P/12×720P/32×D1解码，支持≥16路视频回放；支持≥1路VGA，≥1路HDMI，支持VGA/HDMI视频同源输出；支持≥4个内置SATA接口，单盘容量支持6T，≥1个外置eSATA接口；支持≥IPC音频1</w:t>
            </w:r>
            <w:r>
              <w:rPr>
                <w:rFonts w:hint="eastAsia" w:ascii="仿宋" w:hAnsi="仿宋" w:eastAsia="仿宋" w:cs="仿宋"/>
                <w:i w:val="0"/>
                <w:iCs w:val="0"/>
                <w:color w:val="000000"/>
                <w:sz w:val="24"/>
                <w:szCs w:val="24"/>
                <w:u w:val="none"/>
                <w:lang w:val="en-US" w:eastAsia="zh-CN" w:bidi="ar"/>
              </w:rPr>
              <w:t xml:space="preserve">路输入，支持语音对讲≥1路输出，支持PC通过NVR与网络摄像机进行语音对讲；支持≥16路报警输入、≥4路报警输出，支持开关量输入输出模式；支持≥2个USB接口（≥1个前置USB2.0接口、≥1个后置USB3.0接口）；支持≥1个千兆以太网口；支持按时间、按事件等多种方式进行录像的检索、回放、备份，支持图片本地回放与查询；支持标签自定义功能，设备支持对指定时间的录像进行标签并归档，便于后续査看；支持本机硬盘、eSATA扩展柜、网络等存储方式，支持硬盘、外接USB存储设备、eSATA扩展柜备份方式；支持设备操作</w:t>
            </w:r>
            <w:r>
              <w:rPr>
                <w:rFonts w:hint="eastAsia" w:ascii="仿宋" w:hAnsi="仿宋" w:eastAsia="仿宋" w:cs="仿宋"/>
                <w:i w:val="0"/>
                <w:iCs w:val="0"/>
                <w:color w:val="000000"/>
                <w:sz w:val="24"/>
                <w:szCs w:val="24"/>
                <w:u w:val="none"/>
                <w:lang w:val="en-US" w:eastAsia="zh-CN" w:bidi="ar"/>
              </w:rPr>
              <w:t xml:space="preserve">日志、报警日志、系统日志的记录与查询功能；支持断网续传功能，能对前端摄像机断网这段时间内SD卡中的录像回传到NVR；支持即时回放功能，在预览画面下回放指定通道的录像；支持预览图像与回放图像的电子放大；可以通过鼠标控制云台转动、放大、定位等操作；支持远程管理IPC功能，支持对前端IPC远程升级，支持远程对IPC的编码配置修改等操作；支持一键添加摄像机显示监控画面；支持远程零通道预览功能，可将接入的多路视频图像多画面显示在一路视频图像上；支持走廊模式功能，支持IPC画面旋转90°或270°，成9：16走廊模式。</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85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辅材系统该系统范围内所有设备所需要的串线及配件，本项目为交钥匙工程，不允许额外增加任何费用）；包含但不限于：电源线≥RVV3*1.5㎡、六类屏蔽网线、话筒线、音箱线≥150芯金银线、HDMI高清线、强电主桥架≥300*100、强电支桥架≥100*50、弱电桥架≥100*50、KBG管≥φ25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1995"/>
        </w:trPr>
        <w:tc>
          <w:tcPr>
            <w:tcW w:w="422" w:type="dxa"/>
            <w:vAlign w:val="center"/>
            <w:textDirection w:val="lrTb"/>
            <w:noWrap w:val="false"/>
          </w:tcPr>
          <w:p>
            <w:pPr>
              <w:pStyle w:val="75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二、小报告厅系统（场地尺寸：24米*17米*5.5米；舞台尺寸：11米*7米）</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2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1、音频系统</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419"/>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左右主扩声线阵列扬声器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1、单元结构：二分频同轴，≥1*12寸（低音单元）+1*2.87寸（高音单元）；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2、系统带宽（频率响应）：（-10dB标准）≤35 Hz–≥25 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4、系统峰值声压级（1m, 自由声场）：≥134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5、标称覆盖角（指向性）水平H x 垂直H：≥100°x ≥20°；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6、功率容量：持续功率≥450W；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7、垂直可调角度：≥0°、≥- 5°、≥ - 10°、≥ - 15°；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8、水平张开角度：≥15°；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9、符合国家GB 4943.1-2022、GB/T 2423.2-2008相关标准，接地电阻≤0.1Ω；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10、▲该参数为最低标准，投标时1-9项均需提供产品第三方CMA或CNAS检测报告复印件并加盖生产企业鲜章以佐证上述参数内容；</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11、▲提供生产厂家加盖鲜章的宣传彩页及音箱内部实拍图。</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28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低频扬声器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1、系统带宽（频率范围）（±3dB标准时）:≤27 Hz-≥100 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2、灵敏度：≥100dB；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3、系统峰值声压级：≥134dB；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4、功率容量：持续功率≥1600W；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5、单元结构：≥1*21寸(低音单元）；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6、分频点：100Hz；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7、▲该参数为最低标准，投标时1-7项均需提供产品第三方CMA或CNAS检测报告复印件并加盖生产企业鲜章以佐证上述参数内容。</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71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流动返听扬声器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1、系统带宽（频率响应）：（±3dB标准时）≤65Hz-≥18kHz；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2、灵敏度：≥97dB；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3、系统最大声压级（1m, 自由声场）：≥124dB；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4、单元结构：1*12寸（低音单元）+1*2寸（高音单元）；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5、功率容量：持续功率：≥390w；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6、分频点：1.8kHz；</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59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同轴台唇扬声器</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1、单元结构：≥1*15寸（低音单元）+1*2.87寸（高音单元）；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2、系统带宽（频率范围）(-10dB标准时)：≤25Hz</w:t>
            </w:r>
            <w:r>
              <w:rPr>
                <w:rStyle w:val="1017"/>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≥25kHz；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3、灵敏度：≥97dB：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4、最大声压级（1m, 自由声场）：≥124dB；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5、标称覆盖角（指向性）水平H x 垂直V：≥60°圆锥；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6、功率容量 ：持续功率≥500W；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7、分频器频率：1.2kHz；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8、▲该参数为最低标准，投标时1-7项均需提供产品第三方CMA或CNAS检测报告复印件并加盖生产企业鲜章以佐证上述参数内容；</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9、▲提供生产厂家加盖鲜章的宣传彩页及音箱内部实拍图。</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85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左右主扩声线阵列扬声器功率放大器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1、立体声功率8Ω：≥950W，立体声功率4Ω：≥1500W，桥接模式8Ω：≥2400W；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 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 ≤ 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 (8Ω)，10Hz-400Hz： ≥ 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低频扬声器功率放大器</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1、立体声功率8Ω：≥1400W，立体声功率4Ω：≥2250W，桥接模式8Ω：≥3300W；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5、阻尼系数(8Ω)，10Hz-400Hz：≥200；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流动返听扬声器功率放大器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1、立体声功率8Ω：≥700W，立体声功率4Ω：≥1100W，桥接模式8Ω：≥1800W；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3、总谐波失真(THD)：≤ 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 ≤ 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 (8Ω), 10Hz - 400Hz：≥ 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同轴台唇扬声器功率放大器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1、立体声功率8Ω：≥950W，立体声功率4Ω：≥1500W，桥接模式8Ω：≥2400W；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 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 ≤ 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 (8Ω)，10Hz-400Hz： ≥ 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56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16路数字音频处理器</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1、DSP芯片：Ti 450MHz FLOPS双核；USB2.0 录制/播放：支持；中控指令集生成器：支持；核心算法：反馈消除（AFC），回声消除 (AEC)；输入处理：前级放大、信号发生器、扩展器、压缩器、≥5段参量均衡、反相、自动增益、自动混音；输出处理：≥31段图示均衡器、延时器、分频器、高低通滤波器、限幅器、反相；</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2、矩阵混音：输入和输出信号矩阵式混音，混音分量控制；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3、自动摄像跟踪功能：支持；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4、场景预设：≥100组自定义设置；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5、模拟输入通道：≥16，模拟输出通道：≥16；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6、Ethernet控制端口：≥1；RS232：≥1；RS485：≥1；GPIO：≥8；</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7、WIFI联机：√；输入增益放大：-24～27dB，3dB一级共17级；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8、其他：平衡/非平衡,输入/输出支持；MIC\LINE,输入/输出支持；每路独立48V幻象供电开关；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9、软件及操作系统：控制处理软件及APP/Windows32位/Windows64位/IOS/android/机器内置客户端，支持联机下载；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10、采样：48k@24bit；幻象供电：DC48V；频率响应：≤20Hz ～ ≥20KHz，±1dB；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11、THD+N：≤0.004% @1k，4dBu；数模动态范围（（A加权））：≥120dB；模数动态范围（（A加权））：≥120dB；输入阻抗（平衡式）：≥20kΩ；输出阻抗（平衡式）：≤100Ω；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12、EIN（（A加权））：≤-131 dBu；通道隔离度：≥107dB @1k Hz，4dBu；共模抑制：≥70dB @80 Hz；最大输入电平：≥18dBu；最大输出电平：≥18dBu；本底噪声：≤-90dBu；系统延时：≤3ms。</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71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16路数字调音台</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1、≥16个话放，≥25条混音母线，≥40位浮点数字信号处理；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2、≥8个编组和6个静音编组；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3、≥8个立体声效果器；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4、≥17个100mm电动推子；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5、≥5寸日光全彩TFT显示屏；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6、通过USB 2.0可支持≥32 x 32通道的数字音频传输。</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71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同轴有源监听音箱</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1、系统带宽（频率响应）：≤70Hz – ≥20kHz ± 3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2、最大声压级：≥110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3、分频器类型：≥2 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4、交越频率：≥1.5kHz；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5、传感器：≥1 *6.5 英寸+低频驱动器≥ 1 x 1 英寸高频驱动器；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6、最大输出功率：≥300 瓦。</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频系统该系统范围内所有设备所需要的串线及配件，本项目为交钥匙工程，不允许额外增加任何费用）；包含但不限于：≥200芯音箱线、≥300芯音箱线、六类屏蔽网线、话筒线、电源线≥RVV3*2.5㎡、电源线≥RVV3*1.5㎡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42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2、音源及拾音器</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四通道真分集接收机(Dante)</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1、具有Dante网络音频输出，连接Dante音频设备可自动识别出产品的Dante通道；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 频率稳定度： ±0.005%；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3、外置天线接口： 双BNC 支持 +12V/150mA 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4、支持BNC天线级联；</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5、外置音频接口： MIXER混合平衡音频输出、BALANCED单通道平衡音频输出；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6、接收频段：≤522MHz-≥936MHz；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7、振荡方式： PLL频率合成技术；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8、频带宽度： 单通道≥130MHz；最大偏移度： ±45kHz；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9、音频采样率：≥ 96kHz 24-bit；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供电方式：交流输入，ICE接头，100-240伏交流；          </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456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无线会议话筒（方管）</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1、载波频段：≤521.25MHz-≥936.85MHz；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2、振蕩方式：  PLL频率合成技术；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3、谐波辐射： 低于主波50dBm以上；</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4、频带宽度：≥134MHz（视地区而定）；</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5、最大偏移度：±45kHz；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6、RF功率输出：≥10mW；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7、低切开关：≤200Hz；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8、电池：AAx4；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9、电流消耗：≤180mA(典型)；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10、传声器类型：电容式超心型指向；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11、频率响应：≤100Hz-≥15kHz；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12、灵敏度：≥-38/kHz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13、最大输入声压：≥120dB SPL/1kHz @ 1%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14、输出阻抗：600Ω ± 20％ @ 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15、谐波失真：≤0.9％1kHz；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16、接口：带锁三针式平衡卡侬母。</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370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无线手持话筒套装</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3、微处理器控制的内部天线分集；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6、集成话筒振膜设计；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7、可调节的输出电平；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11、显示详细射频和音频计量；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13、≤-10 dB增益衰减。</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427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无线头戴话筒套装</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2、输出阻抗 / 卡侬接口及阻抗：≤200Ω；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4、可调节的输出电平，6.35 mm 接口：≥50Ω；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5、动态范围：≥100 db （A加权）；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7、≥2节AA电池（内置），≥14小时持续使用；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8、长达≥300英尺（90米）的传输半径；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10、快速轻松的接收机频率匹配，每个频带≥12个兼容系统；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11、触式开关，XLR和¼英寸输出接口；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14、≥26dB可调增益范围；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15、微处理器控制的内部天线分集。</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天线分配器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1、天线连接器类型：BNC，阻抗 ≤50Ω；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2、直流输出：≥15 V DC ，4接头；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3、绝缘输出接头：≥25 dB，典型；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4、3OIP：≥21 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5、载波频率范围：≤470 - ≥952 MHz。</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有源指向性天线</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1、接头类型：BNC, 插孔，阻抗：≤50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2、电源要求：来自同轴连接的 10 至 15 伏直流偏移, 75 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3、射频频率范围：≤470–≥900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4、接收模式：3 dB 波束宽度,≤70 角度；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5、三阶过载交截点 (OIP3)：≥30 dBm。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370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演讲台有线鹅颈会议话筒</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1、频率响应：≥100-≤16,000 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2、低截：80 Hz, 18 dB/octave；</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3、阻抗：250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4、开路灵敏度：≥ -43 dB（7.0 mV）re 1 V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5、元件：固定式充电背板，永久极性电容收音头；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6、输入声压级上限：≤140 dB SPL，1 kHz @ c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7、指向性：单指向性；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8、动态范围 (典型值)：≥111 dB，1 kHz @ Max SPL；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9、信噪比：≥65 dB, 1 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10、输出阻抗：360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11、插入损耗：1 dB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12、静音衰减：≥55 dB @ 1000Hz，≥35 dB @ 100Hz， ≥30 dB @ 50Hz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13、话筒座配置：XLRF 卡农母座, XLRM 卡农公座, 开关带LED指示灯。</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矮推车式提词系统</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1、提词器：尺寸：≥1233mm*718mm,接口≥2*HDMI；</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2、矮推车：冷轧钢板材料；倾斜角度0-90度；内置束线，一体式底座。</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隔离变压器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1、频率响应：≤20Hz--≥20kHz（±1db)；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2、最大输入：≤26dbu@1kHz,1%THD+N；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3、总谐波失真：≤0.001%@1kHz,+4d Bu output；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4、相位极性：≤0.5°@100Hz，≤3°@20Hz；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5、输入阻抗：6000，平衡 输出阻抗：6000，平衡。</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1、满足要求（此项包含音源及拾音器系统该系统范围内所有设备所需要的串线及配件，本项目为交钥匙工程，不允许额外增加任何费用）；包含但不限于：话筒线、六类屏蔽网线、电源线≥RVV3*1.5㎡等。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42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3、灯光及舞台机械设备</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70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LED远程聚光灯）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3、LED光源：≥4颗50W 高亮度；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4、色温：3200K-5600k；</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5、光源寿命:60000h；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6、调光：0-100%线性调节；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7、频闪： 独立电子频闪，1-20次/秒；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8、透镜角度：25o（常用）、35o、45o（可选）；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9、控制方式：标准DMX512信号，3芯接口，主从控制、自走、声控模式；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10、DMX通道： ≥8 通道（数码显示）；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11、冷却系统：自然风冷；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12、灯体部分及颜色：压铸铝，黑色 /白色；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13、防护等级：≥IP35。</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一道顶光（LED染色灯）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一道顶光（LED平板会议灯）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3、额定功率：≥200W保险丝：1.5A；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4、光源：≥432颗X0.5W高显色MD/LED 5050：暖白光≥216颗，正白光≥216颗，双色；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5、色温：3200K/5600K （± 200K）可选；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6、显色指数：≥Ram90；调光：0-100%线性调光平滑无闪烁；通道：6CH通信协议：USITTDMX-512 光学角度：120°；频闪：0~25秒；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7、环境温度：-25℃-40℃自然风冷无风机无噪音；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8、防护等级：≥IP20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9、采用无风扇一体化铝合金散热系统，通过空气对流自然散热；噪声：无噪音。</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二道顶光（LED染色灯）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二道顶光（LED平板会议灯）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3、额定功率：≥200W保险丝：1.5A；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4、光源：≥432颗X0.5W高显色MD/LED 5050：暖白光≥216颗，正白光≥216颗，双色；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5、色温：3200K/5600K （± 200K）可选；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6、显色指数：≥Ram90；调光：0-100%线性调光平滑无闪烁；通道：6CH通信协议：USITTDMX-512 光学角度：120°；频闪：0~25秒；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7、环境温度：-25℃-40℃自然风冷无风机无噪音；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8、防护等级：≥IP20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9、采用无风扇一体化铝合金散热系统，通过空气对流自然散热；噪声：无噪音。</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267"/>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二道顶光（光束摇头灯 ）</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一道逆光（LED染色灯）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一道逆光（光束摇头灯 ）</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两道侧光（LED染色灯）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13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两道侧光（光束摇头灯 ）</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10、使用寿命：≥2000h。</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28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追光灯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1、≥600W的LED光源；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2、灯珠采用优质芯片寿命≥50000小时；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3、色温3200K/5600K/8500K可调；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4、显色性指数CRL≥90；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5、采用≥12根8mm粗的铜管导热再通过大面积的铝片散热，确保LED灯珠散热达到最佳效果；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6、有红、橙、黄、绿、蓝、白光五色；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8、5—10度线性放大调焦功能。</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信号放大器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1、输入/输出：≥1路DMX512数码输入，≥1路DMX512直接输出，≥8路独立放大驱动输出；功能：输入输出光电隔离，信号放大整形功能，延长信号传输距离；显示：独立的LED信号指示。</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13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智能配电柜</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1、供电：三相AC380V±10％，频率50Hz±5％；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2、额定功率：≥12路×4KW；  可适用于任何负载；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3、过载与短路双重保护高分断空气开关；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4、≥12路40A胶木插输出；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5、内置≥12个继电器带远程控制，继电器采用高品质铜镀镍材质瞬间触发；带国际DMX512信号协议、Art-net灯光网络协议、智能控制定制协议三种控制模式；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6、可通过配套的智能控制系统，单独电控界面实时控制；主机也可通过电柜主机物理按键手动开启每一路通断或灯光控台实时操作工作指令；可独立设置每一路通电时初始的通断状态模式；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7、模式选择：A开机执行、B延时执行、C立即执行三种模式；开机执行模式下：当电柜通电后每一路电力会间隔0.6秒给设备上电，通电后电流会有一个缓冲，更好保护设备，此模式可以替代时驱器功能；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8、机身设有可操作主机界面的液晶屏。</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99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电脑灯控台</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1、独立主板，独立CPU，≥120GB固态硬盘，≥4GB内存；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2、支持中文菜单显示且内置多国语言；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3、内置一个≥15.6寸EDP高清显示液晶屏，一个≥15.6寸触摸屏并可扩展外接触摸屏；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4、内置UPS电源避免交流220V突然断电方便保存数据；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5、支持Artnet并可扩展更多通道；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6、≥10个宏按键可编辑任何程序；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7、≥20个重放推杆支持10000个虚拟重放；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8、强大的CMY调色板功能；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9、支持涂鸦式手写命名功能；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10、支持CITP协议可预览服务器或数字灯的内置素材；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11、预留外部的WI-FI接入点，可使用Ipod Touch和iphone 进行遥控；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12、内置超过≥1000个世界主流灯具灯库并内置Personality Builder 灯库编辑写入软件；内置Visualiser可视化舞台模拟软件，支持视频；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13、提供MIDI时间码控制，由MIDI遥控重放按钮和推子；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14、内置像素映射及内置图形发生器。</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963"/>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智能控制系统</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1、智能音乐解析：内置智能分析技术，实现对匹配音乐的音色音调的零延迟智能同步；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2、声光电影联动：基于OSC/UDP高级控制协议，基于OSC/UDP高级控制协议，实现灯光、音乐、视频播放器的三维一体深度同步；系统可根据PRS分析数据，实时驱动视频的播放速度与节奏变换；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3、智能编程平台：提供中/英双语可视化编程界面，支持用户自定义设置展示页面；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4、计算核心：≥Intel i5处理器、≥4GB DDR4内存及≥120GB工业级固态硬盘；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5、系统：采用Linux操作系统；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6、触摸控制：配备≥10.4英寸高清多点电容触控屏，操作流畅直观，符合专业场景高强度使用；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7、音频输出：提供≥4路音频输入与≥2路音频输出，可同时接入并智能 切换点歌机、打碟机、调音台、移动设备等多路音源，内置音乐播放功能，实现音频集中处理；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8、兼容性：多协议兼容，支持DMX512、Art-Net、sACN、UDP/TCP、RS232/485及多种智能定制协议，可无缝对接市面上绝大多数灯光、音视频及中控设备；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9、多端口连接：内置≥4路独立DMX512输出端口，≥4路独立DMX512输入端口；≥2路千兆以太网口(用于Art-Net传输及智能电箱或者智控墙板的连接)、≥2路RS232、≥1路485接口及多路USB接口；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10：电力管理：支持通过DMX512或Art-Net信号直接控制智能配电柜，实现灯光设备的分区域、分时序电力管理；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11、照射控制：配备专用追光与面光控制推杆，可对亮度、位置等进行物理推杆式控制，并设有黑场、静音等专业快捷键；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12、内容管理：可选配视频模块，可内置高清视频素材库，支持用户通 过U盘等方式自由上传、分类管理自制素材，可对节目进行分类管理与管控，节目数量与单节目时长无限制，满足海量编排需求；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13、场景搭建：支持多轨道灯光效果自由叠加、混合与实时渲染，可轻松构建富有层次感和戏剧性的复杂灯光场景；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14、快捷操作：可完全自定义的场景快捷键与节目列表；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15、场景预设：支持对音量、播放、模式切换等功能进行一键场景化预设，极大提升现场操作效率与应急响应速度；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16、全平台控制与灵活模式：支持主机模式与控台模式一键切换，适应不同操控习惯；也可通过墙控面板、平板电脑、智能手机等多种第三方设备进行无线扩展控制，实现移动化、分布式管理；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17、▲该参数为最低标准，投标时2、4、5、8、9项均需提供由第三方权威检测机构出具带有“CMA”或“CNAS”标志的检测报告。</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薄雾烟机</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1、功率：≥1500W；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2、加热时间：≤10秒；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3、电压：AC220-250V，50/60Hz；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4、控制方式：液晶控制面板、内置DMX512（2通道）；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5、具有连续喷烟、定时定量、油瓶密封技术；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6、5档喷烟角度：0～52度；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7、油瓶容量：≥5L；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8、烟量输出：≥50000cu/ft/min；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9、覆盖面积：≥300m³；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10、耗油量：≤0.25L/小时。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薄雾烟油</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1、≥5L。</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箱</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舞台机械控制终端吊杆</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1、根据图纸现场定制。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456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舞台机械全沉浸式控制系统模块</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单块≥16 路千兆网口；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1、设备配备有真彩色 LCD 面板，可生动地显示设备状态信息；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2、支持≥4 路 HDMI1.3，≥1 路 HDMI2.0，≥1 路 DP1.2；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 ≥支持2路10G光口输出，单个光口支持650w象素；设备支持光口/网口输出切换；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 8 个 2k 画面显示，画面大小位置任意，可以随意叠加；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5、支持添加≥ 1 路 OSD 文字显示，不需要输入源即可在输出显示标语等文字信息，内容可通过软件编辑；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6、支持网口任意串线，留空部分不计入网口带载点数，提高网口利用率；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7、LED发送卡与视频处理器二合一，连线少，稳定性兼容性提升；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 USB、网口及串口控制，并支持中控控制；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 EDID 的读取，修改，自定义；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10、搭配3D发射器和3D眼睛，可以实现3D显示效果；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11、可对设备的亮度和对比度进行调节，调节范围 0-255；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12、搭配多功能卡实现亮度随环境自动控制；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13、支持多台设备拼接使用；设备间保持完全同步；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14、支持网口间互相备份；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15、▲该参数为最低标准，投标时1-9项均需提供产品第三方CMA或CNAS检测报告复印件。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大灯钩</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1、材质：铝材；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2、厚度：≥3mm；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3、宽度：≥20mm；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4、可安全承重量：≥50kg。</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78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171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保险绳</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1、材料：不锈钢；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2、直径：≥0.3-35.0 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3、结构：双捻(多股)；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4、排列方式:西鲁式；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5、捻向:右交互(RHRL)；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6、抗拉强度:≥2500 MPa。</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条</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灯光及舞台机械设备系统该系统范围内所有设备所需要的串线及配件，本项目为交钥匙工程，不允许额外增加任何费用）；包含但不限于：国标主电缆≥ZR-YJV4*16㎡+1、电源线≥RVV3*2.5㎡、512信号线≥2*0.35mm²+1p、六类网线、16A胶木插头、沉浸式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2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4、中控系统</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541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可编程中央控制主机（加触控终端）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1、主频≥2GHz的32位内嵌式CPU处理器，内存≥16G；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2、主机≥10路串口，≥8路IR，≥8路I0，≥8路弱继电器，≥4个模拟量输入接口，≥2路NET口，具有可视化HDMI高清调试监控接口；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3、≥8路红外可编程控制接口，内置红外学习器，可以支持对周边所有红外设备（如：DVD/TV）的控制，且单个红外接口可以同时连接控制多个不同设备；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4、具有自定义宏功能模块，可以创建自定义宏。具有存储调用组功能模块，可以创建存储调用组，对变量数据进行保存，实现按钮状态，拖动条状态，文本状态数据掉电重启的恢复功能；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5、支持远程控制，控制接口可扩展，支持一键式联动控制功能，控制软件中文界面，提供开放式可编程控制平台，支持第三方设备控制；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网页版KVM，在突发事件发生时，非本地专业业务人员可通过网络远程对指挥中心相关业务电脑进行控制，实现应急处突，保障指挥调度任务顺利进行；支持通过终端web远程访问，系统数据完全本地部署，恶意扫描、账号爆破手段无法触达本地服务器，保障安全可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7、支持多种控制模式如：PC控制、IPAD、Android触摸屏、墙上面板控制等，并支持IE浏览器（无需web服务器）；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8、中控系统支持冗余热备份，支持双向反馈，可显示温度、湿度、pm2.5及周边环境状态；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多种编程语言，如图形化编程（拖拽方块）、Lua、Python脚本、类C语言化编程；支持对平台内接入的所有设备进行可视化管控，可按需记录设备的多条实时运行参数，采集频率可达10次1秒，支持自定义采集频率，记录时间高达90天（日历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10、支持大型组网集中管理；开放式类C语言编程，程序可上传云端；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11、≥8路独立可编程控制串口接口，≥8路弱电继电器接口和≥8路数字输入/输出IO 接口，可联动相关人体红外感应器状态，进行智能化场景切换，实现人来灯亮，人走灯灭的功能；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12、▲该参数为最低标准，投标时2、4、7、8、9项均需提供由第三方权威检测机构出具带有“CMA”或“CNAS”标志的检测报告复印件。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无线接收器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1、无线速率：≥3000m；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2、无线协议：Wi-Fi6。</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红外发射棒</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1、用于控制红外遥控设备，可延长至≥100米。</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754"/>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协同中控控制子系统</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单块 ≥12 个标准接口；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1、通过对Gamma表算法的优化，使得显示屏在降低亮度时能保持灰阶的完整无损失、完美显示， 呈现低亮度高灰阶的显示效果；亮色度校正：为保障屏幕色彩一致性，支持亮度、色度逐点校正，提供校正低灰补偿，保障低灰显示效果；Gamma 独立调节：支持 RGB Gamma 独立调节功能，红、绿、蓝 gamma 值可独立调节，修正颜色跳变及偏色，有效控制设备低灰不均匀、白平衡漂移等问题，使画面更加真实；</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2、智能串线功能：无需了解接收卡串线顺序，用户可根据屏幕闪烁提示，在软件上完成映射设置，便于屏幕调试；</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3、异形处理：支持抽点显示与数据偏移，可完成异形屏带载，搭配专用异形发送设备时还可实现高保真图像变形显示，在异形屏幕上播放普通素材时有效避免内容缺失；</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4、一键回读：可一键回读所有配置文件信息从而快速恢复参数设置；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5、主从备份功能：为保障设备播出正常，支持接收卡主从备份功能，备份状态下，接收卡网络数据为双向传输；主从串联线路中，当其中一条线路出现故障时，另一条线路会及时工作，保证显示屏正常工作；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6、升级保护：为保证产品后续升级的安全性，程序升级支持断电保护功能，产品固件升级过程中发生意外断电时，产品仍可正常使用；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7、模组任意旋转：支持模组任意角度旋转，呈现不同形状，展现更多变的画面；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8、▲该参数为最低标准，投标时1-7项均需提供由第三方权威检测机构出具带有“CMA”或“CNAS”标志的检测报告复印件。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rPr>
                <w:rFonts w:hint="eastAsia" w:ascii="仿宋" w:hAnsi="仿宋" w:eastAsia="仿宋" w:cs="仿宋"/>
                <w:i w:val="0"/>
                <w:iCs w:val="0"/>
                <w:color w:val="000000"/>
                <w:sz w:val="24"/>
                <w:szCs w:val="24"/>
                <w:u w:val="none"/>
              </w:rPr>
            </w:r>
            <w:r/>
          </w:p>
        </w:tc>
      </w:tr>
      <w:tr>
        <w:trPr>
          <w:trHeight w:val="285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系统软件单元</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1、平板终端可感知单元控制的设备的状态和数据；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2、平板终端可实时反馈光感检测、PM2.5检测、门磁检测、温度检测湿度检测等各种感应检测器的检测结果；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3、平板终端之间控制状态同步；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4、平板终端接入自动与系统同步；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5、软件自动与系统和平板终端同步；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6、支持iOS、Windows平台下对系统进行交互式控制；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7、集成音频系统、数字会议系统、视频显示系统、录播系统等系统，集成可视化管理和一体化控制为一体；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8、后期系统编程、界面编辑、脚本语言编程，多平台解析软件，可根据用户要求定制化管理界面，设置多级管理权限，软件运稳定界面友好、简学易用；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9、支持对第三方设备控制。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12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电源控制器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1、配备≥3.5寸彩色TFT-LCD显示屏，可实时显示当前电压，日期时间，信道开关状态；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2、≥8路开关通道输出，每路延时开启和关闭时间可自由设置（范围0~999秒）；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3、每通道可以独立设置开启/关闭，方便设备灵活使用；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4、每通道独立滤波器，提供稳定，无干忧电流；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5、内置时钟芯片，可根据日期时间定时设置自动开启/关闭每一通道；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6、欠压、过压保护，可自定义设置保护值；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7、配置RS232和RS485接口，支持级联、中央设备控制；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8、额定输出总电流：≥40A，单路输出电流：≥20A；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9、每一路功率：可承载≥2000W；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10、每一路带滤波；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11、带级联功能。</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42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手自一体PLC电源控制箱40KW</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1、通过浪涌（冲击)抗扰度试验；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2、通过电快速瞬变脉冲群抗扰度试验；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3、通过辐射骚扰抗扰度试验；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4、通过静电放电抗扰度试验；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5、手机控制：手机人机界面控制；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6、故障记录：异常报警(高温、烟雾、漏电、过载等）；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7、通讯接口：串口+网口（MODBUS-RTU+TCP）；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9、手动控制：一键启动、停止；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10、自动控制：电脑远程控制；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11、中控控制：中控协议通讯；</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1、满足要求（此项包含中控系统该系统范围内所有设备所需要的串线及配件，本项目为交钥匙工程，不允许额外增加任何费用）；包含但不限于：六类网线、电源线≥RVV3*2.5㎡等。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42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5、视频信号处理系统</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159"/>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4K会议录播一体机（带显示终端）</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1、通过电快速瞬变脉冲群抗扰度、浪涌（冲击）抗扰度、射频电磁场辐射抗扰度、射频场感应的传导骚扰抗扰度测试；</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2、音频接口：支持≥3路LINE IN接口；≥1路3.5mm音频输入；≥2路MIC接口；具有≥1路DMI；支持≥3路LINE OUT接口；≥1路3.5mm音频输出；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3、其他接口：要求支持≥3路RS232控制接口；具备≥3路USB3.0接口，具备≥1路USB2.0接口，支持连接鼠标、键盘进行导播控制以及主机连接U盘进行课程视频的录制、下载；要求具有≥1路TYPE-C接口；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4、要求支持≥5路RJ45网口，其中≥4路为POE网口，集供电、控制、视频传输于一体；支持摄像机智能组网，摄像机即插即用；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5、要求录播主机采用一体化嵌入式硬件设计架构；内置四核及以上处理器、Linux系统、≥8GB内存，≥1T硬盘；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6、视频编码：要求支持H.265和H.264两种视频编码协议，支持4K分辨率（3840*2160）视频的编码和录制；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7、要求支持IPV4、IPV6链路地址、IPV6外网地址三个网络地址配置，支持启用DHCP自动获取IP地址；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8、系统具有推送公网直播功能，支持通过微信扫码登录创建直播，也可以不登录直接创建直播，并可在设备上自动生成直播二维码，扫描即可观看直播，支持直播列表的查看；</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9、要求录播主机满足录制、直播、点播、互动、导播管理、存储、切换、视音频编码、语音转写、虚拟抠像、行为分析等功能，支持远程互动教学，实现远程互动网络课堂；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10、▲该参数为最低标准，投标时1-7项均需提供由第三方权威检测机构出具带有“CMA”或“CNAS”标志的检测报告复印件。。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404"/>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录播系统</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1、系统支持账号密码登录，录制模式支持电影模式、资源模式两种，能同时支持≥1路电影模式加≥6路资源录制，同时录制合成画面、教师全景、教师特写、学生全景、学生特写、电脑画面等；</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2、录制格式至少支持MP4/FLV/TS，录制分辨率支持3840*2160、1920*1080等，支持录制帧率设定，可选择25fps/30fps，码流支持1000-20000kbps可选；</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3、支持实时显示录播主机CPU的使用率，硬盘使用情况，≥6路预监画面；</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4、导播模式支持视频预览、直播输出监视、视频切换、音频调整等功能；</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支持添加字幕，支持包括系统时间在内的九种预设字幕的设置，其中系统时间支持自动校准；可直接通过拖拽实现自定义字幕显示位置；支持设置多种字体、多种颜色。系统界面自带虚拟软键盘，无需外接USB键盘，支持多种格式的字幕，可输入中文、英文、数字、特殊符号；</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6、支持导播模式设置：支持手动、半自动、全自动模式，支持查看软件版本，设备型号，硬件版本，设备编号；</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7、提供多种画面布局模式，支持视频画面叠加与组合，包括单画面、双分屏画面、三分屏画面、四分屏画面显示；</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8、支持≥4种片头和≥4种片尾的添加，可以设置插入片头片尾的时间，支持jpg、png格式；</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9、台标支持≥4个固定位置，分别为左上、右上、左下、右下，支持手动拖拽移动台标，实现界面任意位置的台标设置，支持设定图片台标，支持jpg、png格式；</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10、支持上滑、下滑、左滑、右滑等多种切换特效，支持自定义选择≥4种特效切换速度；</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11、系统支持摄像机云台控制，可以对摄像机进行变焦、上下左右位置调整以及≥8个预置位的设置；</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12、系统支持录制倒计时和循环记录功能，支持录制到U盘；</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13、所录制的视频文件既可本地存储，也可网络平台存储。支持用户随时通过录播主机点播回放视频，并可下载；</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14、系统支持录制单个文件和限时自动分割录制功能，可选择多种自动分割时长；</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15、系统具有推送公网直播功能，并可在设备上自动生成直播二维码，扫描即可观看直播，支持直播列表的查看；</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16、要求内置微课制作功能，支持前景、人像、背景3层场景叠加，叠加的场景支持PPT、视频、图片，虚拟抠像后的人像等类型；</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17、要求支持虚拟抠像后合成的画面实现和远端进行音视频互动；</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18、可实现行为分析、实时字幕的语音转写和热词提取；</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19、系统内置行为分析系统，支持对教室人数、举手人数、站立人数、背身人数、趴下人数、低头人数、扭头人数的实时统计，并实时汇总学生的参与度、活跃度和抬头率；</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20、内置互动系统，支持标准SIP和H.323互动协议，支持互动列表，列表中可以显示所有与会者的信息；支持互动画面布局的显示，布局支持单分屏，双分屏，四分屏显示；互动界面支持双流、一键静音、全屏、导播设置等功能；</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21、支持对录播机进行网络检测，可实时检测服务器连通性、网络稳定性、上行下行速度、网络追踪性、网卡信息、信道状态；</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22、进入互动系统时可支持查看永久课历史记录，可输入房间号快速加入远程互动，并显示对应的课程信息，包括时长、主讲人、房间名称、房间号、丢包率、网络延时等；</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23、创建房间时支持对主题、主讲人、开课日期、开课时间和结束时间、验证方式的设置，其中验证方式支持公开和加密的选择；</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24、支持对每个互动房间自动分配短号，可以通过短号直接实现多个设备间的互动；</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25、系统支持中英文版本切换；</w:t>
            </w:r>
            <w:r>
              <w:rPr>
                <w:rFonts w:hint="eastAsia" w:ascii="仿宋" w:hAnsi="仿宋" w:eastAsia="仿宋" w:cs="仿宋"/>
                <w:i w:val="0"/>
                <w:iCs w:val="0"/>
                <w:color w:val="000000"/>
                <w:sz w:val="24"/>
                <w:szCs w:val="24"/>
                <w:u w:val="none"/>
                <w:lang w:val="en-US" w:eastAsia="zh-CN" w:bidi="ar"/>
              </w:rPr>
            </w:r>
            <w:r/>
          </w:p>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26、▲该参数为最低标准，投标时1、2、3、8、9、10、20项均需提供由第三方权威检测机构出具带有“CMA”或“CNAS”标志的检测报告复印件。。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导播控制系统</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1、要求配合录播系统使用，支持基于网络的远程导播；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2、要求支持局域网搜索功能，自动适配录播一体机；同时还支持手动添加，支持将指定的录播一体机通过IP搜索加入管理列表；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3、要求导播界面可以实时预览视频画面，包括主画面和每个通道画面；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4、要求支持远程管理录播系统；可进入后台管理界面，远程管理录播一体机的网络、视频、音频、互动、基础配置、直播、录制、文件管理等功能；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5、要求支持查看录播主机状态，支持管理多个录播主机。</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85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键鼠套装</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1、键盘接口 USB；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2、键盘按键数 ≥104键；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3、具有多媒体功能键、音频接口、符合人体工学。</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99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实际大数据处理决策中控平台</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1、高清HDMI矩阵，标准机架设计，高度为1U；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2、支持≥8路HDMI输入，≥8路HDMI输出，输入输出均支持HDMI1.4a协议，分辨率可达4K@30Hz、1080@120Hz；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3、每路输入接口均支持HDCP解析、支持EDID透传和学习；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4、采用水晶可视化按键，同时首创两键式操作，让信号切换更加简单有效，操作人员零基础就可以轻松掌握所有操作；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5、支持可视化按键、RS-232、TCP/IP以及遥控多种控制方式；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6、前面板LCD显示屏能够实时显示矩阵信号切换状态及系统配置；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7、采用ESD静电防护设计，能承受人体放电模式：  ± 8kV (气隙放电)，± 4kV (接触放电)，有效地避免了静电对设备的干扰及损害。</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HDMI发送器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1、发送端：输入接口：≥1路HDMI输入，输出接口：≥1路RJ45出；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2、HDMI信号：HDMI1.3，完全兼容HDCP1.4；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3、分辨率：480i, 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4、网线：非屏蔽或屏蔽五类/六类网线（UTP/STP Cat5/5e/6）；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5、传输距离：1080p60Hz情况下Cat6：≥120米；CAT5E：≥100米；CAT5：≥80米；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6、传输速率：≥18Mbps；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7、工作温度：-15℃~ 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8、电源供电：DC5V/1A（2个）；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9、防护：防静电、防雷击、防浪涌。</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HDMI接收器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1、接收端：输入接口：≥1路RJ45，输出接口：≥1路HDMI输出；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2、HDMI信号：HDMI1.3，完全兼容HDCP1.4；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3、分辨率：480i，480p，576i，576p，720p@50/60Hz，1080i@50/60Hz，1080p@50/60Hz；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4、网线：非屏蔽或屏蔽五类/六类网线（UTP/STP Cat5/5e/6）；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5、传输距离：1080p60Hz情况下Cat6：≥120米；CAT5E：≥100米；CAT5：≥80米；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6、传输速率：≥18Mbps；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7、工作温度：-15℃~ 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8、电源供电：DC5V/1A（2个）；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9、防护：防静电、防雷击、防浪涌。</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84"/>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4K带云台高清室内摄像机</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1、采用≥1/2.5英寸高品质图像传感器，最大分辨率可达4K@60fps；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2、≥12X光学变焦,80.4°广角镜头； 焦距范围≥ f=3.85mm～46.2mm ±5%；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3、接口：HDMI、SDI、LAN(支持POE)、USB2.0、A-IN、RS232-IN；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4、音频输入接口：双声道3.5mm线性输入；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5、音频输出接口：HDMI、LAN、SDI、USB2.0；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6、控制接口支持RS485，RS422,RS232-IN，RS232-OUT；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7、控制协议支持VISCA、PELCO-D、PELCO-P协议，支持波特率115200/38400/9600/4800/2400；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8、支持≥255个预置位(遥控器设置调用≥10个)；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9、为了保证摄像机图像输出效果，亮度分解力水平电视线必须≥1800；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10、符合国家GB/T 16697-2017及GB/T 15412-2017相关标准，旋转角度范围：水平：-110~+110；垂直：-30~+30；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11、▲9、10项需提供产品第三方CMA或CNAS检测报告复印件并加盖厂家及供应商鲜章以佐证上述参数内容。</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摄像头固定支架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1、配套吸顶或者壁挂。</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摄像头移动支架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1、云台类型：液压云台；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2、材质：碳纤维；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3、脚架节数：≥3节；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4、展开高度：≥1.6-1.7m。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1、满足要求（此项包含视频信号处理系统该系统范围内所有设备所需要的串线及配件，本项目为交钥匙工程，不允许额外增加任何费用）；包含但不限于：HDMI高清线、六类屏蔽网线、电源线≥RVV3*1.5㎡等。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2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6、辅料</w:t>
            </w:r>
            <w:r>
              <w:rPr>
                <w:rFonts w:hint="eastAsia" w:ascii="仿宋" w:hAnsi="仿宋" w:eastAsia="仿宋" w:cs="仿宋"/>
                <w:b/>
                <w:bCs/>
                <w:i w:val="0"/>
                <w:iCs w:val="0"/>
                <w:color w:val="000000"/>
                <w:sz w:val="24"/>
                <w:szCs w:val="24"/>
                <w:u w:val="none"/>
              </w:rPr>
            </w:r>
            <w:r/>
          </w:p>
        </w:tc>
        <w:tc>
          <w:tcPr>
            <w:tcW w:w="6517" w:type="dxa"/>
            <w:vAlign w:val="center"/>
            <w:textDirection w:val="lrTb"/>
            <w:noWrap w:val="false"/>
          </w:tcPr>
          <w:p>
            <w:pPr>
              <w:pStyle w:val="752"/>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42"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24" w:type="dxa"/>
            <w:vAlign w:val="center"/>
            <w:textDirection w:val="lrTb"/>
            <w:noWrap w:val="false"/>
          </w:tcPr>
          <w:p>
            <w:pPr>
              <w:pStyle w:val="752"/>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定制操作台</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1、尺寸：≥120㎝*90㎝*75㎝。</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控制室播控</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1、产品尺寸：≥964mm*609mm及配套的可旋转伸缩支架。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立式话筒支架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1、高度 ≥1000-1760mm；横杆长度≥ 530-910mm。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返听防滑剧院接口盒</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线阵列扬声器吊挂支架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1、线阵音箱田字架。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电动葫芦</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1、纯铜电机：220V纯紫铜电机；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2、电机外壳：合金外壳坚固高散热；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3、电机风罩风扇：合金风罩加≥8叶加大风扇；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4、电机钢丝绳：≥137股镀锌防旋转钢丝绳；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5、电机转速：每分钟≥3000转。</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6517" w:type="dxa"/>
            <w:vAlign w:val="top"/>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24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无线投屏器</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1、为确保投屏稳定性，投屏需采用接收端与发送端双硬件设备;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2、兼容Windows 7/8/10、Windows平板、I0S平板/手机、Android平板/手机以及Mac 0SX;</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3、传屏不占用电脑wifi，电脑仍可以上网;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4、内置路由功能，网口连接互联网，手机连接盒子热点传屏时仍可上网，最大可同时连接≥8个发送端;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5、投屏分辨率≥3840*2160，帧率≥30帧每秒，且支持4:3分辨率;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6、支持传屏锁定功能，锁定模式下，新电脑无法投屏;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7、支持批注同步功能，可以对传屏画面进行实时批注;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8、批注后的画面，支持广域网/局域网二维码分享;</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9、主持人模式，主持人可以通过触摸或者鼠标选择指定电脑进行传屏或结束。</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70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电动会标</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1、现场定制。</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960"/>
        </w:trPr>
        <w:tc>
          <w:tcPr>
            <w:tcW w:w="42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975"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6517" w:type="dxa"/>
            <w:vAlign w:val="center"/>
            <w:textDirection w:val="lrTb"/>
            <w:noWrap w:val="false"/>
          </w:tcPr>
          <w:p>
            <w:pPr>
              <w:pStyle w:val="75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辅材系统该系统范围内所有设备所需要的串线及配件，本项目为交钥匙工程，不允许额外增加任何费用）；包含但不限于：电源线≥RVV3*1.5㎡、六类屏蔽网线、话筒线、音箱线≥150芯金银线、HDMI高清线、强电主桥架≥300*100、强电支桥架≥100*50、弱电桥架≥100*50、KBG管≥φ25等。</w:t>
            </w:r>
            <w:r>
              <w:rPr>
                <w:rFonts w:hint="eastAsia" w:ascii="仿宋" w:hAnsi="仿宋" w:eastAsia="仿宋" w:cs="仿宋"/>
                <w:i w:val="0"/>
                <w:iCs w:val="0"/>
                <w:color w:val="000000"/>
                <w:sz w:val="24"/>
                <w:szCs w:val="24"/>
                <w:u w:val="none"/>
              </w:rPr>
            </w:r>
            <w:r/>
          </w:p>
        </w:tc>
        <w:tc>
          <w:tcPr>
            <w:tcW w:w="642"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24" w:type="dxa"/>
            <w:vAlign w:val="center"/>
            <w:textDirection w:val="lrTb"/>
            <w:noWrap w:val="false"/>
          </w:tcPr>
          <w:p>
            <w:pPr>
              <w:pStyle w:val="75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bl>
    <w:p>
      <w:pPr>
        <w:pStyle w:val="776"/>
        <w:jc w:val="center"/>
        <w:spacing w:line="480" w:lineRule="exact"/>
        <w:rPr>
          <w:rFonts w:hint="eastAsia" w:ascii="仿宋" w:hAnsi="仿宋" w:eastAsia="仿宋" w:cs="仿宋"/>
          <w:b/>
          <w:color w:val="000000"/>
          <w:sz w:val="30"/>
          <w:szCs w:val="30"/>
          <w:highlight w:val="none"/>
        </w:rPr>
      </w:pPr>
      <w:r>
        <w:rPr>
          <w:rFonts w:hint="eastAsia" w:ascii="仿宋" w:hAnsi="仿宋" w:eastAsia="仿宋" w:cs="仿宋"/>
          <w:b/>
          <w:bCs/>
          <w:color w:val="000000"/>
          <w:sz w:val="28"/>
          <w:szCs w:val="28"/>
          <w:highlight w:val="none"/>
          <w:lang w:val="en-US" w:eastAsia="zh-CN"/>
        </w:rPr>
        <w:t xml:space="preserve">★注：1.音频系统为同一品牌，且线阵扬声器、拉声像扬声器品牌需在EASE库目录，并提供EASE官网查询截图，截图样式如图。</w:t>
      </w:r>
      <w:r>
        <w:rPr>
          <w:rFonts w:hint="eastAsia" w:ascii="仿宋" w:hAnsi="仿宋" w:eastAsia="仿宋" w:cs="仿宋"/>
          <w:b/>
          <w:color w:val="000000"/>
          <w:sz w:val="30"/>
          <w:szCs w:val="30"/>
          <w:highlight w:val="none"/>
        </w:rPr>
      </w:r>
      <w:r/>
    </w:p>
    <w:p>
      <w:pPr>
        <w:pStyle w:val="752"/>
        <w:spacing w:line="400" w:lineRule="exac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752"/>
        <w:spacing w:line="400" w:lineRule="exact"/>
        <w:rPr>
          <w:rFonts w:hint="eastAsia" w:ascii="仿宋" w:hAnsi="仿宋" w:eastAsia="仿宋" w:cs="仿宋"/>
          <w:lang w:val="en-US" w:eastAsia="zh-CN"/>
        </w:rPr>
      </w:pPr>
      <w:r>
        <w:rPr>
          <w:rFonts w:hint="eastAsia" w:ascii="仿宋" w:hAnsi="仿宋" w:eastAsia="仿宋" w:cs="仿宋"/>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97155</wp:posOffset>
                </wp:positionH>
                <wp:positionV relativeFrom="paragraph">
                  <wp:posOffset>118745</wp:posOffset>
                </wp:positionV>
                <wp:extent cx="4234180" cy="2513330"/>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234180" cy="25133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7.6pt;mso-position-horizontal:absolute;mso-position-vertical-relative:text;margin-top:9.3pt;mso-position-vertical:absolute;width:333.4pt;height:197.9pt;mso-wrap-distance-left:9.0pt;mso-wrap-distance-top:0.0pt;mso-wrap-distance-right:9.0pt;mso-wrap-distance-bottom:0.0pt;" stroked="f">
                <v:path textboxrect="0,0,0,0"/>
                <w10:wrap type="topAndBottom"/>
                <v:imagedata r:id="rId14" o:title=""/>
              </v:shape>
            </w:pict>
          </mc:Fallback>
        </mc:AlternateContent>
      </w:r>
      <w:r>
        <w:rPr>
          <w:rFonts w:hint="eastAsia" w:ascii="仿宋" w:hAnsi="仿宋" w:eastAsia="仿宋" w:cs="仿宋"/>
          <w:lang w:val="en-US" w:eastAsia="zh-CN"/>
        </w:rPr>
      </w:r>
      <w:r/>
    </w:p>
    <w:p>
      <w:pPr>
        <w:pStyle w:val="1002"/>
        <w:ind w:firstLine="562"/>
        <w:spacing w:line="5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四、基本要求</w:t>
      </w:r>
      <w:r>
        <w:rPr>
          <w:rFonts w:hint="eastAsia" w:ascii="仿宋" w:hAnsi="仿宋" w:eastAsia="仿宋" w:cs="仿宋"/>
          <w:b/>
          <w:bCs/>
          <w:color w:val="000000"/>
          <w:sz w:val="30"/>
          <w:szCs w:val="30"/>
          <w:lang w:val="en-US" w:eastAsia="zh-CN" w:bidi="ar-SA"/>
        </w:rPr>
      </w:r>
      <w:r/>
    </w:p>
    <w:p>
      <w:pPr>
        <w:pStyle w:val="1002"/>
        <w:ind w:firstLine="562"/>
        <w:spacing w:line="500" w:lineRule="exact"/>
        <w:rPr>
          <w:rFonts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场馆的声场效果要达到音乐2级及以上。</w:t>
      </w:r>
      <w:r>
        <w:rPr>
          <w:rFonts w:ascii="仿宋" w:hAnsi="仿宋" w:eastAsia="仿宋" w:cs="仿宋"/>
          <w:color w:val="000000"/>
          <w:sz w:val="30"/>
          <w:szCs w:val="30"/>
          <w:lang w:val="en-US" w:eastAsia="zh-CN" w:bidi="ar-SA"/>
        </w:rPr>
      </w:r>
      <w:r/>
    </w:p>
    <w:p>
      <w:pPr>
        <w:pStyle w:val="1002"/>
        <w:ind w:firstLine="562"/>
        <w:spacing w:line="500" w:lineRule="exact"/>
        <w:rPr>
          <w:rFonts w:hint="eastAsia" w:ascii="仿宋" w:hAnsi="仿宋" w:eastAsia="仿宋" w:cs="仿宋"/>
          <w:b/>
          <w:bCs/>
          <w:color w:val="000000"/>
          <w:sz w:val="30"/>
          <w:szCs w:val="30"/>
          <w:lang w:val="en-US" w:eastAsia="zh-CN" w:bidi="ar-SA"/>
        </w:rPr>
      </w:pPr>
      <w:r>
        <w:rPr>
          <w:rFonts w:hint="eastAsia"/>
          <w:b/>
          <w:bCs/>
          <w:lang w:val="en-US" w:eastAsia="zh-CN"/>
        </w:rPr>
        <w:t xml:space="preserve">五</w:t>
      </w:r>
      <w:r>
        <w:rPr>
          <w:rFonts w:hint="eastAsia" w:ascii="仿宋" w:hAnsi="仿宋" w:eastAsia="仿宋" w:cs="仿宋"/>
          <w:b/>
          <w:bCs/>
          <w:color w:val="000000"/>
          <w:sz w:val="30"/>
          <w:szCs w:val="30"/>
          <w:lang w:val="en-US" w:eastAsia="zh-CN" w:bidi="ar-SA"/>
        </w:rPr>
        <w:t xml:space="preserve">、商务（服务）要求</w:t>
      </w:r>
      <w:r>
        <w:rPr>
          <w:rFonts w:hint="eastAsia" w:ascii="仿宋" w:hAnsi="仿宋" w:eastAsia="仿宋" w:cs="仿宋"/>
          <w:b/>
          <w:bCs/>
          <w:color w:val="000000"/>
          <w:sz w:val="30"/>
          <w:szCs w:val="30"/>
          <w:lang w:val="en-US" w:eastAsia="zh-CN" w:bidi="ar-SA"/>
        </w:rPr>
      </w:r>
      <w:r/>
    </w:p>
    <w:p>
      <w:pPr>
        <w:pStyle w:val="100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lang w:val="en-US" w:eastAsia="zh-CN"/>
        </w:rPr>
        <w:t xml:space="preserve">工期</w:t>
      </w:r>
      <w:r>
        <w:rPr>
          <w:rFonts w:hint="eastAsia" w:ascii="仿宋" w:hAnsi="仿宋" w:eastAsia="仿宋" w:cs="仿宋"/>
          <w:color w:val="000000"/>
          <w:sz w:val="28"/>
          <w:szCs w:val="28"/>
        </w:rPr>
        <w:t xml:space="preserve">要求：</w:t>
      </w:r>
      <w:r>
        <w:rPr>
          <w:rFonts w:hint="eastAsia" w:ascii="仿宋" w:hAnsi="仿宋" w:eastAsia="仿宋" w:cs="仿宋"/>
          <w:color w:val="000000"/>
          <w:sz w:val="28"/>
          <w:szCs w:val="28"/>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供货：签订合同后30天内所有设备进场；</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安装：签订合同后50天内完成设备安装、调试及验收工作。</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(二）质保期及服务要求：</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1.质保要求</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1.1保修范围包括整机及其所有附件。保证产品为全新原厂设备，保修期内，提供免费的维修、更换损坏零部件及技术咨询服务。</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1.2中标人要根据现有图纸进行二次深化，深化后的图纸要经总设计单位认可。对由于设计、工艺或材料的缺陷等原因而发生的任何不足或故障由中标人负责。</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1.3所投产品提供5年免费原厂质保，提供售后服务承诺书。所有</w:t>
      </w:r>
      <w:r>
        <w:rPr>
          <w:rFonts w:hint="eastAsia" w:ascii="仿宋" w:hAnsi="仿宋" w:eastAsia="仿宋" w:cs="仿宋"/>
          <w:color w:val="000000"/>
          <w:sz w:val="28"/>
          <w:szCs w:val="28"/>
          <w:lang w:val="zh-CN" w:eastAsia="zh-CN"/>
        </w:rPr>
        <w:t xml:space="preserve">设备</w:t>
      </w:r>
      <w:r>
        <w:rPr>
          <w:rFonts w:hint="eastAsia" w:ascii="仿宋" w:hAnsi="仿宋" w:eastAsia="仿宋" w:cs="仿宋"/>
          <w:color w:val="000000"/>
          <w:sz w:val="28"/>
          <w:szCs w:val="28"/>
          <w:lang w:val="en-US" w:eastAsia="zh-CN"/>
        </w:rPr>
        <w:t xml:space="preserve">需</w:t>
      </w:r>
      <w:r>
        <w:rPr>
          <w:rFonts w:hint="eastAsia" w:ascii="仿宋" w:hAnsi="仿宋" w:eastAsia="仿宋" w:cs="仿宋"/>
          <w:color w:val="000000"/>
          <w:sz w:val="28"/>
          <w:szCs w:val="28"/>
          <w:lang w:val="zh-CN" w:eastAsia="zh-CN"/>
        </w:rPr>
        <w:t xml:space="preserve">提供终身维修、维护，软件终身维护</w:t>
      </w:r>
      <w:r>
        <w:rPr>
          <w:rFonts w:hint="eastAsia" w:ascii="仿宋" w:hAnsi="仿宋" w:eastAsia="仿宋" w:cs="仿宋"/>
          <w:color w:val="000000"/>
          <w:sz w:val="28"/>
          <w:szCs w:val="28"/>
          <w:lang w:val="en-US" w:eastAsia="zh-CN"/>
        </w:rPr>
        <w:t xml:space="preserve">且中标人承担软件年费、信息费等相关费用</w:t>
      </w:r>
      <w:r>
        <w:rPr>
          <w:rFonts w:hint="eastAsia" w:ascii="仿宋" w:hAnsi="仿宋" w:eastAsia="仿宋" w:cs="仿宋"/>
          <w:color w:val="000000"/>
          <w:sz w:val="28"/>
          <w:szCs w:val="28"/>
          <w:lang w:val="zh-CN" w:eastAsia="zh-CN"/>
        </w:rPr>
        <w:t xml:space="preserve">。</w:t>
      </w:r>
      <w:r>
        <w:rPr>
          <w:rFonts w:hint="eastAsia" w:ascii="仿宋" w:hAnsi="仿宋" w:eastAsia="仿宋" w:cs="仿宋"/>
          <w:color w:val="000000"/>
          <w:sz w:val="28"/>
          <w:szCs w:val="28"/>
          <w:lang w:val="en-US" w:eastAsia="zh-CN"/>
        </w:rPr>
        <w:t xml:space="preserve">中标人接到保修请求，应在4小时内响应，24小时内维修人员到达现场，必要时应向采购人提供应急备用设备。中标人应提供咨询与全面技术支持，及时将其发现并掌握的有关设备的操作、故障检测、故障排除方法及一些新的技术发展通知采购人。</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1.4 保修期内，每年提供5次大型活动保障。</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2.安装要求：中标人按照采购人的要求免费安装和调试。</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3.培训要求：</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3.1免费为使用单位操作及工程技术人员提供培训，保证操作及工程技术人员能够正常使用设备的各种功能；</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3.2培训内容：主要培训内容为仪器的基本原理、设备的硬件组成、安装，上机操作、日常保养与维护，常见故障的排除，紧急情况的处理等。</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3.3培训材料：中标人免费提供全面、完整、详细的技术手册，包括介绍、现场安装、软件操作、故障处理、维护以及使用安全。</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4.定期巡检服务：每学期开学初和学期末对软硬件巡检一次。</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5.验收方法及标准：</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5.1标的物验收包括但不限于检查项目资料的完整性、中标人对本项目中提出的采购需求的实现情况及其一致性等。</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5.2标的物符合我国最新颁布的与之相关的质量技术规范与标准，并同时满足招标文件要求、中标人所作承诺和采购人等部门的考核要求。在中标人完成全部采购内容并交付达到国家相关验收标准时，采购人应当自标的物交付验收之日起七个工作日内组织验收，采购人独立委托第三方对声学、舞台机械、灯光、中控和录播系统进行验收，验收结论如不符合招标要求，或设备安装调试后支行三个月内出现任何故障，中标人要无条件更换全新设备。中标人对货物或服务缺陷不予更正，采购人有权另请其他单位更正。验收所发生的费用由中标人承担。</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6.其他需要明确的内容：</w:t>
      </w:r>
      <w:r>
        <w:rPr>
          <w:rFonts w:hint="eastAsia" w:ascii="仿宋" w:hAnsi="仿宋" w:eastAsia="仿宋" w:cs="仿宋"/>
          <w:color w:val="000000"/>
          <w:sz w:val="28"/>
          <w:szCs w:val="28"/>
          <w:lang w:val="en-US" w:eastAsia="zh-CN"/>
        </w:rPr>
      </w:r>
      <w:r/>
    </w:p>
    <w:p>
      <w:pPr>
        <w:pStyle w:val="1002"/>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中标人交货时需提供货物所必备的各种证书及相关证明材料、技术资料；</w:t>
      </w:r>
      <w:r>
        <w:rPr>
          <w:rFonts w:hint="eastAsia" w:ascii="仿宋" w:hAnsi="仿宋" w:eastAsia="仿宋" w:cs="仿宋"/>
          <w:color w:val="000000"/>
          <w:sz w:val="28"/>
          <w:szCs w:val="28"/>
          <w:lang w:val="en-US" w:eastAsia="zh-CN"/>
        </w:rPr>
      </w:r>
      <w:r/>
    </w:p>
    <w:p>
      <w:pPr>
        <w:pStyle w:val="1002"/>
        <w:ind w:firstLine="562"/>
        <w:spacing w:line="500" w:lineRule="exact"/>
        <w:rPr>
          <w:rFonts w:hint="eastAsia" w:ascii="仿宋" w:hAnsi="仿宋" w:eastAsia="仿宋" w:cs="仿宋"/>
          <w:color w:val="000000"/>
          <w:sz w:val="30"/>
          <w:szCs w:val="30"/>
          <w:lang w:val="en-US" w:eastAsia="zh-CN" w:bidi="ar-SA"/>
        </w:rPr>
      </w:pPr>
      <w:r/>
      <w:bookmarkStart w:id="15" w:name="_Toc13543213"/>
      <w:r>
        <w:rPr>
          <w:rFonts w:hint="eastAsia" w:ascii="仿宋" w:hAnsi="仿宋" w:eastAsia="仿宋" w:cs="仿宋"/>
          <w:b/>
          <w:bCs/>
          <w:color w:val="000000"/>
          <w:sz w:val="30"/>
          <w:szCs w:val="30"/>
          <w:lang w:val="en-US" w:eastAsia="zh-CN" w:bidi="ar-SA"/>
        </w:rPr>
        <w:t xml:space="preserve">五、履约保证金收取</w:t>
      </w:r>
      <w:r>
        <w:rPr>
          <w:rFonts w:hint="eastAsia" w:ascii="仿宋" w:hAnsi="仿宋" w:eastAsia="仿宋" w:cs="仿宋"/>
          <w:color w:val="000000"/>
          <w:sz w:val="30"/>
          <w:szCs w:val="30"/>
          <w:lang w:val="en-US" w:eastAsia="zh-CN" w:bidi="ar-SA"/>
        </w:rPr>
      </w:r>
      <w:r/>
    </w:p>
    <w:p>
      <w:pPr>
        <w:pStyle w:val="100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（一）拟中标人应当在中标公告起三日内向采购人交纳招标项目履约保证金，具体金额为中标价的5%。拟中标人应当按照采购人的要求及时、足额缴纳履约保证金。</w:t>
      </w:r>
      <w:r>
        <w:rPr>
          <w:rFonts w:hint="eastAsia" w:ascii="仿宋" w:hAnsi="仿宋" w:eastAsia="仿宋" w:cs="仿宋"/>
          <w:color w:val="000000"/>
          <w:sz w:val="28"/>
          <w:szCs w:val="28"/>
        </w:rPr>
      </w:r>
      <w:r/>
    </w:p>
    <w:p>
      <w:pPr>
        <w:pStyle w:val="100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仿宋" w:hAnsi="仿宋" w:eastAsia="仿宋" w:cs="仿宋"/>
          <w:color w:val="000000"/>
          <w:sz w:val="28"/>
          <w:szCs w:val="28"/>
        </w:rPr>
      </w:r>
      <w:r/>
    </w:p>
    <w:p>
      <w:pPr>
        <w:pStyle w:val="100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单位名称：徐州生物工程职业技术学院</w:t>
      </w:r>
      <w:r>
        <w:rPr>
          <w:rFonts w:hint="eastAsia" w:ascii="仿宋" w:hAnsi="仿宋" w:eastAsia="仿宋" w:cs="仿宋"/>
          <w:color w:val="000000"/>
          <w:sz w:val="28"/>
          <w:szCs w:val="28"/>
        </w:rPr>
      </w:r>
      <w:r/>
    </w:p>
    <w:p>
      <w:pPr>
        <w:pStyle w:val="100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开户行名称：江苏银行徐州科技支行</w:t>
      </w:r>
      <w:r>
        <w:rPr>
          <w:rFonts w:hint="eastAsia" w:ascii="仿宋" w:hAnsi="仿宋" w:eastAsia="仿宋" w:cs="仿宋"/>
          <w:color w:val="000000"/>
          <w:sz w:val="28"/>
          <w:szCs w:val="28"/>
        </w:rPr>
      </w:r>
      <w:r/>
    </w:p>
    <w:p>
      <w:pPr>
        <w:pStyle w:val="100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银行帐号：60200188000406012</w:t>
      </w:r>
      <w:r>
        <w:rPr>
          <w:rFonts w:hint="eastAsia" w:ascii="仿宋" w:hAnsi="仿宋" w:eastAsia="仿宋" w:cs="仿宋"/>
          <w:color w:val="000000"/>
          <w:sz w:val="28"/>
          <w:szCs w:val="28"/>
        </w:rPr>
      </w:r>
      <w:r/>
    </w:p>
    <w:p>
      <w:pPr>
        <w:pStyle w:val="100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地址：徐州市西三环路297号</w:t>
      </w:r>
      <w:r>
        <w:rPr>
          <w:rFonts w:hint="eastAsia" w:ascii="仿宋" w:hAnsi="仿宋" w:eastAsia="仿宋" w:cs="仿宋"/>
          <w:color w:val="000000"/>
          <w:sz w:val="28"/>
          <w:szCs w:val="28"/>
        </w:rPr>
      </w:r>
      <w:r/>
    </w:p>
    <w:p>
      <w:pPr>
        <w:pStyle w:val="100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电话：0516-85753082</w:t>
      </w:r>
      <w:r>
        <w:rPr>
          <w:rFonts w:hint="eastAsia" w:ascii="仿宋" w:hAnsi="仿宋" w:eastAsia="仿宋" w:cs="仿宋"/>
          <w:color w:val="000000"/>
          <w:sz w:val="28"/>
          <w:szCs w:val="28"/>
        </w:rPr>
      </w:r>
      <w:r/>
    </w:p>
    <w:p>
      <w:pPr>
        <w:pStyle w:val="100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（三）中标公告后三日内交纳履约保证金。</w:t>
      </w:r>
      <w:r>
        <w:rPr>
          <w:rFonts w:hint="eastAsia" w:ascii="仿宋" w:hAnsi="仿宋" w:eastAsia="仿宋" w:cs="仿宋"/>
          <w:color w:val="000000"/>
          <w:sz w:val="28"/>
          <w:szCs w:val="28"/>
        </w:rPr>
      </w:r>
      <w:r/>
    </w:p>
    <w:p>
      <w:pPr>
        <w:pStyle w:val="100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如果拟中标人没有在规定的时间内交纳履约保证金，或对招标项目的质疑（投诉）成立，或拒绝遵守招标文件规定、响应承诺，或拒绝签订合同，或虽签署合同但不予履行等，则取消（拟）中标人资格，已经缴纳的履约保证金作为违约金不予退还。</w:t>
      </w:r>
      <w:r>
        <w:rPr>
          <w:rFonts w:hint="eastAsia" w:ascii="仿宋" w:hAnsi="仿宋" w:eastAsia="仿宋" w:cs="仿宋"/>
          <w:color w:val="000000"/>
          <w:sz w:val="28"/>
          <w:szCs w:val="28"/>
        </w:rPr>
      </w:r>
      <w:r/>
    </w:p>
    <w:p>
      <w:pPr>
        <w:pStyle w:val="100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履约保证金退还：中标人缴纳的履约保证金，待合同标的履约完成、验收合格、合同期限结束（或服务期结束）后30日内一次性无息退还（凭“履约保证金退付申请书”及“收款收据原件”到学校财务处办理退款手续）。如果中标人不履行合同约定的义务，未能完全履行合同规定的义务或其履行不符合合同的约定，采购人有权扣除履约保证金取得补偿。</w:t>
      </w:r>
      <w:r>
        <w:rPr>
          <w:rFonts w:hint="eastAsia" w:ascii="仿宋" w:hAnsi="仿宋" w:eastAsia="仿宋" w:cs="仿宋"/>
          <w:color w:val="000000"/>
          <w:sz w:val="28"/>
          <w:szCs w:val="28"/>
        </w:rPr>
      </w:r>
      <w:r/>
    </w:p>
    <w:p>
      <w:pPr>
        <w:pStyle w:val="100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（六）因（拟）中标人提供的基本帐户信息错误而导致保证金误退等情况由（拟）中标人承担。</w:t>
      </w:r>
      <w:r>
        <w:rPr>
          <w:rFonts w:hint="eastAsia" w:ascii="仿宋" w:hAnsi="仿宋" w:eastAsia="仿宋" w:cs="仿宋"/>
          <w:color w:val="000000"/>
          <w:sz w:val="28"/>
          <w:szCs w:val="28"/>
        </w:rPr>
      </w:r>
      <w:r/>
    </w:p>
    <w:p>
      <w:pPr>
        <w:pStyle w:val="1002"/>
        <w:ind w:firstLine="562"/>
        <w:spacing w:line="500" w:lineRule="exact"/>
        <w:rPr>
          <w:rFonts w:hint="eastAsia" w:ascii="仿宋" w:hAnsi="仿宋" w:eastAsia="仿宋" w:cs="仿宋"/>
          <w:b/>
          <w:bCs/>
          <w:color w:val="000000"/>
          <w:sz w:val="30"/>
          <w:szCs w:val="30"/>
          <w:lang w:val="en-US" w:eastAsia="zh-CN" w:bidi="ar-SA"/>
        </w:rPr>
      </w:pPr>
      <w:r/>
      <w:bookmarkStart w:id="16" w:name="_Toc13543220"/>
      <w:r>
        <w:rPr>
          <w:rFonts w:hint="eastAsia" w:ascii="仿宋" w:hAnsi="仿宋" w:eastAsia="仿宋" w:cs="仿宋"/>
          <w:b/>
          <w:bCs/>
          <w:color w:val="000000"/>
          <w:sz w:val="30"/>
          <w:szCs w:val="30"/>
          <w:lang w:val="en-US" w:eastAsia="zh-CN" w:bidi="ar-SA"/>
        </w:rPr>
        <w:t xml:space="preserve">六、</w:t>
      </w:r>
      <w:bookmarkEnd w:id="16"/>
      <w:r>
        <w:rPr>
          <w:rFonts w:hint="eastAsia" w:ascii="仿宋" w:hAnsi="仿宋" w:eastAsia="仿宋" w:cs="仿宋"/>
          <w:b/>
          <w:bCs/>
          <w:color w:val="000000"/>
          <w:sz w:val="30"/>
          <w:szCs w:val="30"/>
          <w:lang w:val="en-US" w:eastAsia="zh-CN" w:bidi="ar-SA"/>
        </w:rPr>
        <w:t xml:space="preserve">合同签订要求</w:t>
      </w:r>
      <w:r>
        <w:rPr>
          <w:rFonts w:hint="eastAsia" w:ascii="仿宋" w:hAnsi="仿宋" w:eastAsia="仿宋" w:cs="仿宋"/>
          <w:b/>
          <w:bCs/>
          <w:color w:val="000000"/>
          <w:sz w:val="30"/>
          <w:szCs w:val="30"/>
          <w:lang w:val="en-US" w:eastAsia="zh-CN" w:bidi="ar-SA"/>
        </w:rPr>
      </w:r>
      <w:r/>
    </w:p>
    <w:p>
      <w:pPr>
        <w:pStyle w:val="100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（一）投标人如对合同中的具体条款有异议，需在投标文件（偏离表）中写明相应修改意见。</w:t>
      </w:r>
      <w:r>
        <w:rPr>
          <w:rFonts w:hint="eastAsia" w:ascii="仿宋" w:hAnsi="仿宋" w:eastAsia="仿宋" w:cs="仿宋"/>
          <w:color w:val="000000"/>
          <w:sz w:val="28"/>
          <w:szCs w:val="28"/>
        </w:rPr>
      </w:r>
      <w:r/>
    </w:p>
    <w:p>
      <w:pPr>
        <w:pStyle w:val="100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（二）投标人如对合同中的具体条款有异议，但是没有在投标文件（偏离表）中写明相应修改意见的，在中标后不得再以对合同具体条款有异议为由拒绝签订合同。</w:t>
      </w:r>
      <w:r>
        <w:rPr>
          <w:rFonts w:hint="eastAsia" w:ascii="仿宋" w:hAnsi="仿宋" w:eastAsia="仿宋" w:cs="仿宋"/>
          <w:color w:val="000000"/>
          <w:sz w:val="28"/>
          <w:szCs w:val="28"/>
        </w:rPr>
      </w:r>
      <w:r/>
    </w:p>
    <w:p>
      <w:pPr>
        <w:pStyle w:val="100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（三）投标人如对合同中的具体条款没有异议，请在中标后根据招投标文件实质性条款补充、完善合同相应条款内容。</w:t>
      </w:r>
      <w:r>
        <w:rPr>
          <w:rFonts w:hint="eastAsia" w:ascii="仿宋" w:hAnsi="仿宋" w:eastAsia="仿宋" w:cs="仿宋"/>
          <w:color w:val="000000"/>
          <w:sz w:val="28"/>
          <w:szCs w:val="28"/>
        </w:rPr>
      </w:r>
      <w:r/>
    </w:p>
    <w:p>
      <w:pPr>
        <w:pStyle w:val="100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中标人应当自中标通知书发出之日起十五日内按照采购文件确定的事项签订采购合同，最迟不得超过三十日。如因中标人原因导致双方无法签订书面合同的，采购人有权取消中标人中标资格，并要求中标人依法承担法律责任。</w:t>
      </w:r>
      <w:r>
        <w:rPr>
          <w:rFonts w:hint="eastAsia" w:ascii="仿宋" w:hAnsi="仿宋" w:eastAsia="仿宋" w:cs="仿宋"/>
          <w:color w:val="000000"/>
          <w:sz w:val="28"/>
          <w:szCs w:val="28"/>
        </w:rPr>
      </w:r>
      <w:r/>
    </w:p>
    <w:p>
      <w:pPr>
        <w:pStyle w:val="1002"/>
        <w:ind w:firstLine="562"/>
        <w:spacing w:line="5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七、</w:t>
      </w:r>
      <w:bookmarkEnd w:id="15"/>
      <w:r>
        <w:rPr>
          <w:rFonts w:hint="eastAsia" w:ascii="仿宋" w:hAnsi="仿宋" w:eastAsia="仿宋" w:cs="仿宋"/>
          <w:b/>
          <w:bCs/>
          <w:color w:val="000000"/>
          <w:sz w:val="30"/>
          <w:szCs w:val="30"/>
          <w:lang w:val="en-US" w:eastAsia="zh-CN" w:bidi="ar-SA"/>
        </w:rPr>
        <w:t xml:space="preserve">项目实施要求</w:t>
      </w:r>
      <w:r>
        <w:rPr>
          <w:rFonts w:hint="eastAsia" w:ascii="仿宋" w:hAnsi="仿宋" w:eastAsia="仿宋" w:cs="仿宋"/>
          <w:b/>
          <w:bCs/>
          <w:color w:val="000000"/>
          <w:sz w:val="30"/>
          <w:szCs w:val="30"/>
          <w:lang w:val="en-US" w:eastAsia="zh-CN" w:bidi="ar-SA"/>
        </w:rPr>
      </w:r>
      <w:r/>
    </w:p>
    <w:p>
      <w:pPr>
        <w:pStyle w:val="1002"/>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项目实施质量必须严格按照国家规范及江苏省、徐州市相应地方规范、采购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rPr>
          <w:rFonts w:hint="eastAsia" w:ascii="仿宋" w:hAnsi="仿宋" w:eastAsia="仿宋" w:cs="仿宋"/>
          <w:color w:val="000000"/>
          <w:sz w:val="28"/>
          <w:szCs w:val="28"/>
        </w:rPr>
      </w:r>
      <w:r/>
    </w:p>
    <w:p>
      <w:pPr>
        <w:pStyle w:val="1002"/>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2.中标人须在项目实施前把详细的实施方案报送采购人审批，经批准同意后方可以组织实施。在项目实施期间中标人应遵守项目现场及采购人的各项规章制度。</w:t>
      </w:r>
      <w:r>
        <w:rPr>
          <w:rFonts w:hint="eastAsia" w:ascii="仿宋" w:hAnsi="仿宋" w:eastAsia="仿宋" w:cs="仿宋"/>
          <w:color w:val="000000"/>
          <w:sz w:val="28"/>
          <w:szCs w:val="28"/>
        </w:rPr>
      </w:r>
      <w:r/>
    </w:p>
    <w:p>
      <w:pPr>
        <w:pStyle w:val="1002"/>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3.中标人在项目实施期间应无条件的接受采购人的监督管理，提出的质量问题要及时整改，整改完毕后通知采购人检查验收，合格后书面报送采购人备案。</w:t>
      </w:r>
      <w:r>
        <w:rPr>
          <w:rFonts w:hint="eastAsia" w:ascii="仿宋" w:hAnsi="仿宋" w:eastAsia="仿宋" w:cs="仿宋"/>
          <w:color w:val="000000"/>
          <w:sz w:val="28"/>
          <w:szCs w:val="28"/>
        </w:rPr>
      </w:r>
      <w:r/>
    </w:p>
    <w:p>
      <w:pPr>
        <w:pStyle w:val="1002"/>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采购人使用中标人的货物、技术、资料、服务或其他任何一部分时，享有无偿使用权，并免受第三方提出的侵犯其专利权、著作权、商标权或其他知识产权的起诉。如果第三方提出侵权指控，中标人应承担由此而引起的一切法律责任和费用。</w:t>
      </w:r>
      <w:r>
        <w:rPr>
          <w:rFonts w:hint="eastAsia" w:ascii="仿宋" w:hAnsi="仿宋" w:eastAsia="仿宋" w:cs="仿宋"/>
          <w:color w:val="000000"/>
          <w:sz w:val="28"/>
          <w:szCs w:val="28"/>
        </w:rPr>
      </w:r>
      <w:r/>
    </w:p>
    <w:p>
      <w:pPr>
        <w:pStyle w:val="1002"/>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5.与本次采购项目有关的质量、安全问题均由中标人负责，相关的人员、财产责任风险均由中标人承担。</w:t>
      </w:r>
      <w:r>
        <w:rPr>
          <w:rFonts w:hint="eastAsia" w:ascii="仿宋" w:hAnsi="仿宋" w:eastAsia="仿宋" w:cs="仿宋"/>
          <w:color w:val="000000"/>
          <w:sz w:val="28"/>
          <w:szCs w:val="28"/>
        </w:rPr>
      </w:r>
      <w:r/>
    </w:p>
    <w:p>
      <w:pPr>
        <w:pStyle w:val="752"/>
        <w:ind w:firstLine="56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6.为保证本项目的顺利实施，投标人应结合各自产品特点，自行设计实施方案。</w:t>
      </w:r>
      <w:r>
        <w:rPr>
          <w:rFonts w:hint="eastAsia" w:ascii="仿宋" w:hAnsi="仿宋" w:eastAsia="仿宋" w:cs="仿宋"/>
          <w:sz w:val="28"/>
          <w:szCs w:val="28"/>
        </w:rPr>
      </w:r>
      <w:r/>
    </w:p>
    <w:p>
      <w:pPr>
        <w:pStyle w:val="1002"/>
        <w:ind w:firstLine="562"/>
        <w:spacing w:line="5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八、其他要求</w:t>
      </w:r>
      <w:r>
        <w:rPr>
          <w:rFonts w:hint="eastAsia" w:ascii="仿宋" w:hAnsi="仿宋" w:eastAsia="仿宋" w:cs="仿宋"/>
          <w:b/>
          <w:bCs/>
          <w:color w:val="000000"/>
          <w:sz w:val="30"/>
          <w:szCs w:val="30"/>
          <w:lang w:val="en-US" w:eastAsia="zh-CN" w:bidi="ar-SA"/>
        </w:rPr>
      </w:r>
      <w:r/>
    </w:p>
    <w:p>
      <w:pPr>
        <w:pStyle w:val="1002"/>
        <w:ind w:firstLine="562"/>
        <w:spacing w:line="500" w:lineRule="exact"/>
        <w:rPr>
          <w:rFonts w:hint="eastAsia" w:ascii="仿宋" w:hAnsi="仿宋" w:eastAsia="仿宋" w:cs="仿宋"/>
          <w:color w:val="000000"/>
          <w:sz w:val="28"/>
          <w:szCs w:val="28"/>
          <w:highlight w:val="cyan"/>
          <w:lang w:val="en-US" w:eastAsia="zh-CN"/>
        </w:rPr>
      </w:pPr>
      <w:r>
        <w:rPr>
          <w:rFonts w:hint="eastAsia" w:ascii="仿宋" w:hAnsi="仿宋" w:eastAsia="仿宋" w:cs="仿宋"/>
          <w:color w:val="000000"/>
          <w:sz w:val="28"/>
          <w:szCs w:val="28"/>
          <w:highlight w:val="cyan"/>
          <w:lang w:val="en-US" w:eastAsia="zh-CN"/>
        </w:rPr>
        <w:t xml:space="preserve">1.图纸获取方式</w:t>
      </w:r>
      <w:r>
        <w:rPr>
          <w:rFonts w:hint="eastAsia" w:ascii="仿宋" w:hAnsi="仿宋" w:eastAsia="仿宋" w:cs="仿宋"/>
          <w:color w:val="000000"/>
          <w:sz w:val="28"/>
          <w:szCs w:val="28"/>
          <w:highlight w:val="cyan"/>
          <w:lang w:val="en-US" w:eastAsia="zh-CN"/>
        </w:rPr>
      </w:r>
      <w:r/>
    </w:p>
    <w:p>
      <w:pPr>
        <w:pStyle w:val="1002"/>
        <w:ind w:firstLine="562"/>
        <w:spacing w:line="500" w:lineRule="exact"/>
        <w:rPr>
          <w:rFonts w:ascii="仿宋" w:hAnsi="仿宋" w:eastAsia="仿宋" w:cs="仿宋"/>
          <w:color w:val="000000"/>
          <w:sz w:val="28"/>
          <w:szCs w:val="28"/>
          <w:highlight w:val="cyan"/>
          <w:lang w:val="en-US" w:eastAsia="zh-CN"/>
        </w:rPr>
      </w:pPr>
      <w:r>
        <w:rPr>
          <w:rFonts w:hint="eastAsia" w:ascii="仿宋" w:hAnsi="仿宋" w:eastAsia="仿宋" w:cs="仿宋"/>
          <w:color w:val="000000"/>
          <w:sz w:val="28"/>
          <w:szCs w:val="28"/>
          <w:highlight w:val="cyan"/>
          <w:lang w:val="en-US" w:eastAsia="zh-CN"/>
        </w:rPr>
        <w:t xml:space="preserve">注：因苏采云系统原因，电子版图纸无法上传到“徐州政府采购网”。电子版图纸获取方法：发送获取申请至邮箱jszjlihaimo@163.com领取；联系人：李海沫、柴鑫；联系电话：0516-83205176。</w:t>
      </w:r>
      <w:r>
        <w:rPr>
          <w:rFonts w:ascii="仿宋" w:hAnsi="仿宋" w:eastAsia="仿宋" w:cs="仿宋"/>
          <w:color w:val="000000"/>
          <w:sz w:val="28"/>
          <w:szCs w:val="28"/>
          <w:highlight w:val="cyan"/>
          <w:lang w:val="en-US" w:eastAsia="zh-CN"/>
        </w:rPr>
      </w:r>
      <w:r/>
    </w:p>
    <w:p>
      <w:pPr>
        <w:pStyle w:val="1002"/>
        <w:ind w:firstLine="562"/>
        <w:spacing w:line="500" w:lineRule="exact"/>
        <w:rPr>
          <w:rStyle w:val="810"/>
          <w:rFonts w:hint="eastAsia" w:ascii="仿宋" w:hAnsi="仿宋" w:eastAsia="仿宋" w:cs="仿宋"/>
          <w:color w:val="000000"/>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见招标文件第五章《拟签订的合同文本》。</w:t>
      </w:r>
      <w:bookmarkStart w:id="17" w:name="_Toc522790136"/>
      <w:r/>
      <w:bookmarkStart w:id="18" w:name="_Toc17335"/>
      <w:r>
        <w:rPr>
          <w:rStyle w:val="810"/>
          <w:rFonts w:hint="eastAsia" w:ascii="仿宋" w:hAnsi="仿宋" w:eastAsia="仿宋" w:cs="仿宋"/>
          <w:color w:val="000000"/>
        </w:rPr>
        <w:br w:type="page" w:clear="all"/>
      </w:r>
      <w:r>
        <w:rPr>
          <w:rStyle w:val="810"/>
          <w:rFonts w:hint="eastAsia" w:ascii="仿宋" w:hAnsi="仿宋" w:eastAsia="仿宋" w:cs="仿宋"/>
          <w:color w:val="000000"/>
        </w:rPr>
        <w:t xml:space="preserve">第七章  投标文件相关格式</w:t>
      </w:r>
      <w:bookmarkEnd w:id="17"/>
      <w:r/>
      <w:bookmarkEnd w:id="18"/>
      <w:r>
        <w:rPr>
          <w:rStyle w:val="810"/>
          <w:rFonts w:hint="eastAsia" w:ascii="仿宋" w:hAnsi="仿宋" w:eastAsia="仿宋" w:cs="仿宋"/>
          <w:color w:val="000000"/>
        </w:rPr>
      </w:r>
      <w:r/>
    </w:p>
    <w:p>
      <w:pPr>
        <w:pStyle w:val="752"/>
        <w:jc w:val="center"/>
        <w:rPr>
          <w:rFonts w:hint="eastAsia" w:ascii="仿宋" w:hAnsi="仿宋" w:eastAsia="仿宋" w:cs="仿宋"/>
          <w:color w:val="000000"/>
          <w:sz w:val="24"/>
        </w:rPr>
      </w:pPr>
      <w:r>
        <w:rPr>
          <w:rFonts w:hint="eastAsia" w:ascii="仿宋" w:hAnsi="仿宋" w:eastAsia="仿宋" w:cs="仿宋"/>
          <w:color w:val="000000"/>
          <w:sz w:val="24"/>
        </w:rPr>
      </w:r>
      <w:r/>
    </w:p>
    <w:p>
      <w:pPr>
        <w:pStyle w:val="752"/>
        <w:spacing w:line="520" w:lineRule="exact"/>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一、投标函格式</w:t>
      </w:r>
      <w:r>
        <w:rPr>
          <w:rFonts w:hint="eastAsia" w:ascii="仿宋" w:hAnsi="仿宋" w:eastAsia="仿宋" w:cs="仿宋"/>
          <w:color w:val="000000"/>
          <w:sz w:val="32"/>
          <w:szCs w:val="32"/>
        </w:rPr>
      </w:r>
      <w:r/>
    </w:p>
    <w:p>
      <w:pPr>
        <w:pStyle w:val="752"/>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致：</w:t>
      </w:r>
      <w:r>
        <w:rPr>
          <w:rFonts w:hint="eastAsia" w:ascii="仿宋" w:hAnsi="仿宋" w:eastAsia="仿宋" w:cs="仿宋"/>
          <w:color w:val="000000"/>
          <w:sz w:val="30"/>
          <w:szCs w:val="30"/>
          <w:u w:val="single"/>
        </w:rPr>
        <w:t xml:space="preserve">江苏中际招标代理有限公司</w:t>
      </w:r>
      <w:r>
        <w:rPr>
          <w:rFonts w:hint="eastAsia" w:ascii="仿宋" w:hAnsi="仿宋" w:eastAsia="仿宋" w:cs="仿宋"/>
          <w:color w:val="000000"/>
          <w:sz w:val="30"/>
          <w:szCs w:val="30"/>
        </w:rPr>
      </w:r>
      <w:r/>
    </w:p>
    <w:p>
      <w:pPr>
        <w:pStyle w:val="752"/>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根据</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rPr>
        <w:t xml:space="preserve">]招标文件， </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(姓名)代表我方</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（投标人的名称）全权处理本次投标的有关事宜。</w:t>
      </w:r>
      <w:r>
        <w:rPr>
          <w:rFonts w:hint="eastAsia" w:ascii="仿宋" w:hAnsi="仿宋" w:eastAsia="仿宋" w:cs="仿宋"/>
          <w:color w:val="000000"/>
          <w:sz w:val="30"/>
          <w:szCs w:val="30"/>
        </w:rPr>
      </w:r>
      <w:r/>
    </w:p>
    <w:p>
      <w:pPr>
        <w:pStyle w:val="752"/>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据此函，投标人承诺并同意如下： </w:t>
      </w:r>
      <w:r>
        <w:rPr>
          <w:rFonts w:hint="eastAsia" w:ascii="仿宋" w:hAnsi="仿宋" w:eastAsia="仿宋" w:cs="仿宋"/>
          <w:color w:val="000000"/>
          <w:sz w:val="30"/>
          <w:szCs w:val="30"/>
        </w:rPr>
      </w:r>
      <w:r/>
    </w:p>
    <w:p>
      <w:pPr>
        <w:pStyle w:val="752"/>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1. 投标人唯一投标报价见《开标一览表》。</w:t>
      </w:r>
      <w:r>
        <w:rPr>
          <w:rFonts w:hint="eastAsia" w:ascii="仿宋" w:hAnsi="仿宋" w:eastAsia="仿宋" w:cs="仿宋"/>
          <w:color w:val="000000"/>
          <w:sz w:val="30"/>
          <w:szCs w:val="30"/>
        </w:rPr>
      </w:r>
      <w:r/>
    </w:p>
    <w:p>
      <w:pPr>
        <w:pStyle w:val="752"/>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2. 投标人将按招标文件的规定履行合同责任和义务。</w:t>
      </w:r>
      <w:r>
        <w:rPr>
          <w:rFonts w:hint="eastAsia" w:ascii="仿宋" w:hAnsi="仿宋" w:eastAsia="仿宋" w:cs="仿宋"/>
          <w:color w:val="000000"/>
          <w:sz w:val="30"/>
          <w:szCs w:val="30"/>
        </w:rPr>
      </w:r>
      <w:r/>
    </w:p>
    <w:p>
      <w:pPr>
        <w:pStyle w:val="752"/>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3. 投标人已详细审查全部招标文件，包括第[插入编号] [补遗书][如果有的话]。投标人完全理解并同意放弃对这方面有不明及误解的权力。</w:t>
      </w:r>
      <w:r>
        <w:rPr>
          <w:rFonts w:hint="eastAsia" w:ascii="仿宋" w:hAnsi="仿宋" w:eastAsia="仿宋" w:cs="仿宋"/>
          <w:color w:val="000000"/>
          <w:sz w:val="30"/>
          <w:szCs w:val="30"/>
        </w:rPr>
      </w:r>
      <w:r/>
    </w:p>
    <w:p>
      <w:pPr>
        <w:pStyle w:val="752"/>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4. 投标有效期为开标之日后90天。</w:t>
      </w:r>
      <w:r>
        <w:rPr>
          <w:rFonts w:hint="eastAsia" w:ascii="仿宋" w:hAnsi="仿宋" w:eastAsia="仿宋" w:cs="仿宋"/>
          <w:color w:val="000000"/>
          <w:sz w:val="30"/>
          <w:szCs w:val="30"/>
        </w:rPr>
      </w:r>
      <w:r/>
    </w:p>
    <w:p>
      <w:pPr>
        <w:pStyle w:val="752"/>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5. 投标人同意提供按照贵方可能要求的与其投标有关的一切数据或资料，完全理解贵方不一定接受最低价的投标或收到的任何投标。</w:t>
      </w:r>
      <w:r>
        <w:rPr>
          <w:rFonts w:hint="eastAsia" w:ascii="仿宋" w:hAnsi="仿宋" w:eastAsia="仿宋" w:cs="仿宋"/>
          <w:color w:val="000000"/>
          <w:sz w:val="30"/>
          <w:szCs w:val="30"/>
        </w:rPr>
      </w:r>
      <w:r/>
    </w:p>
    <w:p>
      <w:pPr>
        <w:pStyle w:val="752"/>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6. 投标人同意在授予合同后，按照有关规定支付公证费(如有)。</w:t>
      </w:r>
      <w:r>
        <w:rPr>
          <w:rFonts w:hint="eastAsia" w:ascii="仿宋" w:hAnsi="仿宋" w:eastAsia="仿宋" w:cs="仿宋"/>
          <w:color w:val="000000"/>
          <w:sz w:val="30"/>
          <w:szCs w:val="30"/>
        </w:rPr>
      </w:r>
      <w:r/>
    </w:p>
    <w:p>
      <w:pPr>
        <w:pStyle w:val="752"/>
        <w:ind w:right="29"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7. 江苏中际招标代理有限公司有权将我单位本项目的《开标一览表》和《分项价格表》予以公示，公示的方式由江苏中际招标代理有限公司确定。</w:t>
      </w:r>
      <w:r>
        <w:rPr>
          <w:rFonts w:hint="eastAsia" w:ascii="仿宋" w:hAnsi="仿宋" w:eastAsia="仿宋" w:cs="仿宋"/>
          <w:color w:val="000000"/>
          <w:sz w:val="30"/>
          <w:szCs w:val="30"/>
        </w:rPr>
      </w:r>
      <w:r/>
    </w:p>
    <w:p>
      <w:pPr>
        <w:pStyle w:val="752"/>
        <w:ind w:right="29"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30"/>
          <w:szCs w:val="30"/>
        </w:rPr>
      </w:r>
      <w:r/>
    </w:p>
    <w:p>
      <w:pPr>
        <w:pStyle w:val="752"/>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9. 与本投标有关的一切正式往来信函请寄：</w:t>
      </w:r>
      <w:r>
        <w:rPr>
          <w:rFonts w:hint="eastAsia" w:ascii="仿宋" w:hAnsi="仿宋" w:eastAsia="仿宋" w:cs="仿宋"/>
          <w:color w:val="000000"/>
          <w:sz w:val="30"/>
          <w:szCs w:val="30"/>
        </w:rPr>
      </w:r>
      <w:r/>
    </w:p>
    <w:p>
      <w:pPr>
        <w:pStyle w:val="752"/>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地址： </w:t>
      </w:r>
      <w:r>
        <w:rPr>
          <w:rFonts w:hint="eastAsia" w:ascii="仿宋" w:hAnsi="仿宋" w:eastAsia="仿宋" w:cs="仿宋"/>
          <w:color w:val="000000"/>
          <w:sz w:val="30"/>
          <w:szCs w:val="30"/>
        </w:rPr>
      </w:r>
      <w:r/>
    </w:p>
    <w:p>
      <w:pPr>
        <w:pStyle w:val="752"/>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电话： </w:t>
      </w:r>
      <w:r>
        <w:rPr>
          <w:rFonts w:hint="eastAsia" w:ascii="仿宋" w:hAnsi="仿宋" w:eastAsia="仿宋" w:cs="仿宋"/>
          <w:color w:val="000000"/>
          <w:sz w:val="30"/>
          <w:szCs w:val="30"/>
        </w:rPr>
      </w:r>
      <w:r/>
    </w:p>
    <w:p>
      <w:pPr>
        <w:pStyle w:val="752"/>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传真： </w:t>
      </w:r>
      <w:r>
        <w:rPr>
          <w:rFonts w:hint="eastAsia" w:ascii="仿宋" w:hAnsi="仿宋" w:eastAsia="仿宋" w:cs="仿宋"/>
          <w:color w:val="000000"/>
          <w:sz w:val="30"/>
          <w:szCs w:val="30"/>
        </w:rPr>
      </w:r>
      <w:r/>
    </w:p>
    <w:p>
      <w:pPr>
        <w:pStyle w:val="752"/>
        <w:ind w:firstLine="27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2"/>
        <w:ind w:firstLine="2700"/>
        <w:keepLines w:val="0"/>
        <w:keepNext w:val="0"/>
        <w:pageBreakBefore w:val="0"/>
        <w:spacing w:line="240" w:lineRule="auto"/>
        <w:widowControl w:val="off"/>
        <w:rPr>
          <w:rFonts w:hint="eastAsia" w:ascii="仿宋" w:hAnsi="仿宋" w:eastAsia="仿宋" w:cs="仿宋"/>
          <w:color w:val="000000"/>
          <w:sz w:val="32"/>
          <w:szCs w:val="32"/>
        </w:rPr>
        <w:outlineLvl w:val="9"/>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2"/>
          <w:szCs w:val="32"/>
        </w:rPr>
      </w:r>
      <w:r/>
    </w:p>
    <w:p>
      <w:pPr>
        <w:pStyle w:val="752"/>
        <w:ind w:firstLine="640"/>
        <w:spacing w:line="480" w:lineRule="exact"/>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rPr>
          <w:rFonts w:hint="eastAsia" w:ascii="仿宋" w:hAnsi="仿宋" w:eastAsia="仿宋" w:cs="仿宋"/>
          <w:color w:val="000000"/>
          <w:sz w:val="32"/>
          <w:szCs w:val="32"/>
        </w:rPr>
        <w:t xml:space="preserve">二、开标一览表格式</w:t>
      </w:r>
      <w:r>
        <w:rPr>
          <w:rFonts w:hint="eastAsia" w:ascii="仿宋" w:hAnsi="仿宋" w:eastAsia="仿宋" w:cs="仿宋"/>
          <w:color w:val="000000"/>
          <w:sz w:val="32"/>
          <w:szCs w:val="32"/>
        </w:rPr>
      </w:r>
      <w:r/>
    </w:p>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u w:val="single"/>
        </w:rPr>
      </w:r>
      <w:r/>
    </w:p>
    <w:p>
      <w:pPr>
        <w:pStyle w:val="752"/>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lang w:eastAsia="zh-CN"/>
        </w:rPr>
      </w:r>
      <w:r/>
    </w:p>
    <w:p>
      <w:pPr>
        <w:pStyle w:val="752"/>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货币单位：人民币元</w:t>
      </w:r>
      <w:r>
        <w:rPr>
          <w:rFonts w:hint="eastAsia" w:ascii="仿宋" w:hAnsi="仿宋" w:eastAsia="仿宋" w:cs="仿宋"/>
          <w:color w:val="000000"/>
          <w:sz w:val="30"/>
          <w:szCs w:val="30"/>
        </w:rPr>
      </w:r>
      <w:r/>
    </w:p>
    <w:p>
      <w:pPr>
        <w:pStyle w:val="752"/>
        <w:ind w:firstLine="600"/>
        <w:spacing w:line="52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xml:space="preserve">格式见苏采云系统。</w:t>
      </w:r>
      <w:r>
        <w:rPr>
          <w:rFonts w:hint="eastAsia" w:ascii="仿宋" w:hAnsi="仿宋" w:eastAsia="仿宋" w:cs="仿宋"/>
          <w:color w:val="000000"/>
          <w:sz w:val="30"/>
          <w:szCs w:val="30"/>
          <w:lang w:val="en-US" w:eastAsia="zh-CN"/>
        </w:rPr>
      </w:r>
      <w:r/>
    </w:p>
    <w:p>
      <w:pPr>
        <w:pStyle w:val="752"/>
        <w:rPr>
          <w:rFonts w:hint="eastAsia" w:ascii="仿宋" w:hAnsi="仿宋" w:eastAsia="仿宋" w:cs="仿宋"/>
          <w:color w:val="000000"/>
          <w:sz w:val="24"/>
        </w:rPr>
      </w:pPr>
      <w:r>
        <w:rPr>
          <w:rFonts w:hint="eastAsia" w:ascii="仿宋" w:hAnsi="仿宋" w:eastAsia="仿宋" w:cs="仿宋"/>
          <w:color w:val="000000"/>
          <w:sz w:val="24"/>
        </w:rPr>
      </w:r>
      <w:r/>
    </w:p>
    <w:p>
      <w:pPr>
        <w:pStyle w:val="752"/>
        <w:ind w:firstLine="276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52"/>
        <w:ind w:firstLine="276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52"/>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2"/>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2"/>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24"/>
        </w:rPr>
      </w:r>
      <w:r/>
    </w:p>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三、分项价格表格式</w:t>
      </w:r>
      <w:r>
        <w:rPr>
          <w:rFonts w:hint="eastAsia" w:ascii="仿宋" w:hAnsi="仿宋" w:eastAsia="仿宋" w:cs="仿宋"/>
          <w:color w:val="000000"/>
          <w:sz w:val="30"/>
          <w:szCs w:val="30"/>
        </w:rPr>
      </w:r>
      <w:r/>
    </w:p>
    <w:p>
      <w:pPr>
        <w:pStyle w:val="752"/>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2"/>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2"/>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货币单位：人民币元</w:t>
      </w:r>
      <w:r>
        <w:rPr>
          <w:rFonts w:hint="eastAsia" w:ascii="仿宋" w:hAnsi="仿宋" w:eastAsia="仿宋" w:cs="仿宋"/>
          <w:color w:val="000000"/>
          <w:sz w:val="30"/>
          <w:szCs w:val="30"/>
        </w:rPr>
      </w:r>
      <w:r/>
    </w:p>
    <w:p>
      <w:pPr>
        <w:pStyle w:val="819"/>
        <w:ind w:firstLine="600"/>
        <w:rPr>
          <w:rFonts w:hint="eastAsia" w:ascii="仿宋" w:hAnsi="仿宋" w:eastAsia="仿宋" w:cs="仿宋"/>
          <w:color w:val="000000"/>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rPr>
          <w:rFonts w:hint="eastAsia" w:ascii="仿宋" w:hAnsi="仿宋" w:eastAsia="仿宋" w:cs="仿宋"/>
          <w:color w:val="000000"/>
        </w:rPr>
      </w:r>
      <w:r/>
    </w:p>
    <w:tbl>
      <w:tblPr>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1232"/>
        <w:gridCol w:w="2510"/>
        <w:gridCol w:w="1025"/>
        <w:gridCol w:w="837"/>
        <w:gridCol w:w="875"/>
        <w:gridCol w:w="705"/>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1195" w:type="dxa"/>
            <w:vAlign w:val="center"/>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名称</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1232" w:type="dxa"/>
            <w:vAlign w:val="center"/>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品牌</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如有</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tc>
        <w:tc>
          <w:tcPr>
            <w:shd w:val="clear" w:color="auto" w:fill="c0c0c0"/>
            <w:tcMar>
              <w:left w:w="15" w:type="dxa"/>
              <w:top w:w="15" w:type="dxa"/>
              <w:right w:w="15" w:type="dxa"/>
              <w:bottom w:w="0" w:type="dxa"/>
            </w:tcMar>
            <w:tcW w:w="1232" w:type="dxa"/>
            <w:vAlign w:val="center"/>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规格型号</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2510" w:type="dxa"/>
            <w:vAlign w:val="center"/>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产品制造企业名称</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1025" w:type="dxa"/>
            <w:vAlign w:val="center"/>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837" w:type="dxa"/>
            <w:vAlign w:val="center"/>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数量</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875" w:type="dxa"/>
            <w:vAlign w:val="center"/>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单价</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705" w:type="dxa"/>
            <w:vAlign w:val="center"/>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w:t>
            </w: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87"/>
              <w:rPr>
                <w:rFonts w:hint="eastAsia" w:ascii="仿宋" w:hAnsi="仿宋" w:eastAsia="仿宋" w:cs="仿宋"/>
                <w:lang w:val="en-US" w:eastAsia="zh-CN"/>
              </w:rPr>
            </w:pPr>
            <w:r>
              <w:rPr>
                <w:rFonts w:hint="eastAsia" w:ascii="仿宋" w:hAnsi="仿宋" w:eastAsia="仿宋" w:cs="仿宋"/>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2"/>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2"/>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88"/>
        </w:trPr>
        <w:tc>
          <w:tcPr>
            <w:gridSpan w:val="5"/>
            <w:tcMar>
              <w:left w:w="15" w:type="dxa"/>
              <w:top w:w="15" w:type="dxa"/>
              <w:right w:w="15" w:type="dxa"/>
              <w:bottom w:w="0" w:type="dxa"/>
            </w:tcMar>
            <w:tcW w:w="6798"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总价合计（即《开标一览表》中的“总价”）</w:t>
            </w:r>
            <w:r>
              <w:rPr>
                <w:rFonts w:hint="eastAsia" w:ascii="仿宋" w:hAnsi="仿宋" w:eastAsia="仿宋" w:cs="仿宋"/>
                <w:color w:val="000000"/>
                <w:sz w:val="24"/>
                <w:highlight w:val="none"/>
              </w:rPr>
            </w:r>
            <w:r/>
          </w:p>
        </w:tc>
        <w:tc>
          <w:tcPr>
            <w:gridSpan w:val="4"/>
            <w:tcMar>
              <w:left w:w="15" w:type="dxa"/>
              <w:top w:w="15" w:type="dxa"/>
              <w:right w:w="15" w:type="dxa"/>
              <w:bottom w:w="0" w:type="dxa"/>
            </w:tcMar>
            <w:tcW w:w="3442" w:type="dxa"/>
            <w:vAlign w:val="bottom"/>
            <w:textDirection w:val="lrTb"/>
            <w:noWrap w:val="false"/>
          </w:tcPr>
          <w:p>
            <w:pPr>
              <w:pStyle w:val="75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ind w:firstLine="285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2"/>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2"/>
        <w:ind w:firstLine="39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752"/>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ind w:firstLine="560"/>
        <w:spacing w:line="480" w:lineRule="exact"/>
        <w:rPr>
          <w:rFonts w:hint="eastAsia" w:ascii="仿宋" w:hAnsi="仿宋" w:eastAsia="仿宋" w:cs="仿宋"/>
          <w:color w:val="000000"/>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四、偏离表格式</w:t>
      </w:r>
      <w:r>
        <w:rPr>
          <w:rFonts w:hint="eastAsia" w:ascii="仿宋" w:hAnsi="仿宋" w:eastAsia="仿宋" w:cs="仿宋"/>
          <w:color w:val="000000"/>
          <w:sz w:val="30"/>
          <w:szCs w:val="30"/>
        </w:rPr>
      </w:r>
      <w:r/>
    </w:p>
    <w:p>
      <w:pPr>
        <w:pStyle w:val="752"/>
        <w:ind w:firstLine="600"/>
        <w:spacing w:line="480" w:lineRule="exact"/>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u w:val="single"/>
          <w:lang w:eastAsia="zh-CN"/>
        </w:rPr>
      </w:r>
      <w:r/>
    </w:p>
    <w:p>
      <w:pPr>
        <w:pStyle w:val="752"/>
        <w:ind w:firstLine="600"/>
        <w:spacing w:line="48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lang w:eastAsia="zh-CN"/>
        </w:rPr>
      </w:r>
      <w:r/>
    </w:p>
    <w:p>
      <w:pPr>
        <w:pStyle w:val="819"/>
        <w:ind w:firstLine="600"/>
        <w:rPr>
          <w:rFonts w:hint="eastAsia" w:ascii="仿宋" w:hAnsi="仿宋" w:eastAsia="仿宋" w:cs="仿宋"/>
          <w:color w:val="000000"/>
          <w:sz w:val="24"/>
          <w:u w:val="single"/>
          <w:lang w:val="en-US" w:eastAsia="zh-CN"/>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rPr>
          <w:rFonts w:hint="eastAsia" w:ascii="仿宋" w:hAnsi="仿宋" w:eastAsia="仿宋" w:cs="仿宋"/>
          <w:color w:val="000000"/>
          <w:sz w:val="24"/>
          <w:u w:val="single"/>
          <w:lang w:val="en-US" w:eastAsia="zh-CN"/>
        </w:rPr>
      </w:r>
      <w:r/>
    </w:p>
    <w:tbl>
      <w:tblPr>
        <w:tblW w:w="90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52"/>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序号</w:t>
            </w:r>
            <w:r>
              <w:rPr>
                <w:rFonts w:hint="eastAsia" w:ascii="仿宋" w:hAnsi="仿宋" w:eastAsia="仿宋" w:cs="仿宋"/>
                <w:caps/>
                <w:color w:val="000000"/>
                <w:sz w:val="24"/>
              </w:rPr>
            </w:r>
            <w:r/>
          </w:p>
        </w:tc>
        <w:tc>
          <w:tcPr>
            <w:tcW w:w="1404" w:type="dxa"/>
            <w:vAlign w:val="center"/>
            <w:textDirection w:val="lrTb"/>
            <w:noWrap w:val="false"/>
          </w:tcPr>
          <w:p>
            <w:pPr>
              <w:pStyle w:val="752"/>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偏离内容</w:t>
            </w:r>
            <w:r>
              <w:rPr>
                <w:rFonts w:hint="eastAsia" w:ascii="仿宋" w:hAnsi="仿宋" w:eastAsia="仿宋" w:cs="仿宋"/>
                <w:caps/>
                <w:color w:val="000000"/>
                <w:sz w:val="24"/>
              </w:rPr>
            </w:r>
            <w:r/>
          </w:p>
        </w:tc>
        <w:tc>
          <w:tcPr>
            <w:tcW w:w="1476" w:type="dxa"/>
            <w:vAlign w:val="center"/>
            <w:textDirection w:val="lrTb"/>
            <w:noWrap w:val="false"/>
          </w:tcPr>
          <w:p>
            <w:pPr>
              <w:pStyle w:val="752"/>
              <w:jc w:val="center"/>
              <w:rPr>
                <w:rFonts w:hint="eastAsia" w:ascii="仿宋" w:hAnsi="仿宋" w:eastAsia="仿宋" w:cs="仿宋"/>
                <w:caps/>
                <w:color w:val="000000"/>
                <w:sz w:val="24"/>
              </w:rPr>
            </w:pPr>
            <w:r>
              <w:rPr>
                <w:rFonts w:hint="eastAsia" w:ascii="仿宋" w:hAnsi="仿宋" w:eastAsia="仿宋" w:cs="仿宋"/>
                <w:color w:val="000000"/>
                <w:sz w:val="24"/>
              </w:rPr>
              <w:t xml:space="preserve">招标文件的要求</w:t>
            </w:r>
            <w:r>
              <w:rPr>
                <w:rFonts w:hint="eastAsia" w:ascii="仿宋" w:hAnsi="仿宋" w:eastAsia="仿宋" w:cs="仿宋"/>
                <w:caps/>
                <w:color w:val="000000"/>
                <w:sz w:val="24"/>
              </w:rPr>
            </w:r>
            <w:r/>
          </w:p>
        </w:tc>
        <w:tc>
          <w:tcPr>
            <w:tcW w:w="1620" w:type="dxa"/>
            <w:vAlign w:val="center"/>
            <w:textDirection w:val="lrTb"/>
            <w:noWrap w:val="false"/>
          </w:tcPr>
          <w:p>
            <w:pPr>
              <w:pStyle w:val="752"/>
              <w:jc w:val="center"/>
              <w:rPr>
                <w:rFonts w:hint="eastAsia" w:ascii="仿宋" w:hAnsi="仿宋" w:eastAsia="仿宋" w:cs="仿宋"/>
                <w:caps/>
                <w:color w:val="000000"/>
                <w:sz w:val="24"/>
              </w:rPr>
            </w:pPr>
            <w:r>
              <w:rPr>
                <w:rFonts w:hint="eastAsia" w:ascii="仿宋" w:hAnsi="仿宋" w:eastAsia="仿宋" w:cs="仿宋"/>
                <w:color w:val="000000"/>
                <w:sz w:val="24"/>
              </w:rPr>
              <w:t xml:space="preserve">投标文件中的内容</w:t>
            </w:r>
            <w:r>
              <w:rPr>
                <w:rFonts w:hint="eastAsia" w:ascii="仿宋" w:hAnsi="仿宋" w:eastAsia="仿宋" w:cs="仿宋"/>
                <w:caps/>
                <w:color w:val="000000"/>
                <w:sz w:val="24"/>
              </w:rPr>
            </w:r>
            <w:r/>
          </w:p>
        </w:tc>
        <w:tc>
          <w:tcPr>
            <w:tcW w:w="1260" w:type="dxa"/>
            <w:vAlign w:val="center"/>
            <w:textDirection w:val="lrTb"/>
            <w:noWrap w:val="false"/>
          </w:tcPr>
          <w:p>
            <w:pPr>
              <w:pStyle w:val="752"/>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（正/负/无）偏离</w:t>
            </w:r>
            <w:r>
              <w:rPr>
                <w:rFonts w:hint="eastAsia" w:ascii="仿宋" w:hAnsi="仿宋" w:eastAsia="仿宋" w:cs="仿宋"/>
                <w:caps/>
                <w:color w:val="000000"/>
                <w:sz w:val="24"/>
              </w:rPr>
            </w:r>
            <w:r/>
          </w:p>
        </w:tc>
        <w:tc>
          <w:tcPr>
            <w:tcW w:w="2520" w:type="dxa"/>
            <w:vAlign w:val="center"/>
            <w:textDirection w:val="lrTb"/>
            <w:noWrap w:val="false"/>
          </w:tcPr>
          <w:p>
            <w:pPr>
              <w:pStyle w:val="752"/>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说明</w:t>
            </w:r>
            <w:r>
              <w:rPr>
                <w:rFonts w:hint="eastAsia" w:ascii="仿宋" w:hAnsi="仿宋" w:eastAsia="仿宋" w:cs="仿宋"/>
                <w:caps/>
                <w:color w:val="000000"/>
                <w:sz w:val="24"/>
              </w:rPr>
            </w:r>
            <w:r/>
          </w:p>
        </w:tc>
      </w:tr>
      <w:tr>
        <w:trPr>
          <w:trHeight w:val="794"/>
        </w:trPr>
        <w:tc>
          <w:tcPr>
            <w:tcW w:w="7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2"/>
              <w:rPr>
                <w:rFonts w:hint="eastAsia" w:ascii="仿宋" w:hAnsi="仿宋" w:eastAsia="仿宋" w:cs="仿宋"/>
                <w:color w:val="000000"/>
                <w:sz w:val="24"/>
              </w:rPr>
            </w:pPr>
            <w:r>
              <w:rPr>
                <w:rFonts w:hint="eastAsia" w:ascii="仿宋" w:hAnsi="仿宋" w:eastAsia="仿宋" w:cs="仿宋"/>
                <w:color w:val="000000"/>
                <w:sz w:val="24"/>
              </w:rPr>
            </w:r>
            <w:r/>
          </w:p>
        </w:tc>
      </w:tr>
    </w:tbl>
    <w:p>
      <w:pPr>
        <w:pStyle w:val="752"/>
        <w:rPr>
          <w:rFonts w:hint="eastAsia" w:ascii="仿宋" w:hAnsi="仿宋" w:eastAsia="仿宋" w:cs="仿宋"/>
          <w:color w:val="000000"/>
          <w:sz w:val="24"/>
          <w:u w:val="single"/>
        </w:rPr>
      </w:pPr>
      <w:r>
        <w:rPr>
          <w:rFonts w:hint="eastAsia" w:ascii="仿宋" w:hAnsi="仿宋" w:eastAsia="仿宋" w:cs="仿宋"/>
          <w:color w:val="000000"/>
          <w:sz w:val="24"/>
          <w:u w:val="single"/>
        </w:rPr>
      </w:r>
      <w:r/>
    </w:p>
    <w:p>
      <w:pPr>
        <w:pStyle w:val="752"/>
        <w:ind w:firstLine="562"/>
        <w:spacing w:line="440" w:lineRule="exact"/>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注</w:t>
      </w:r>
      <w:r>
        <w:rPr>
          <w:rFonts w:hint="eastAsia" w:ascii="仿宋" w:hAnsi="仿宋" w:eastAsia="仿宋" w:cs="仿宋"/>
          <w:color w:val="000000"/>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color w:val="000000"/>
          <w:sz w:val="28"/>
          <w:szCs w:val="28"/>
        </w:rPr>
      </w:r>
      <w:r/>
    </w:p>
    <w:p>
      <w:pPr>
        <w:pStyle w:val="987"/>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52"/>
        <w:rPr>
          <w:rFonts w:hint="eastAsia" w:ascii="仿宋" w:hAnsi="仿宋" w:eastAsia="仿宋" w:cs="仿宋"/>
          <w:color w:val="000000"/>
        </w:rPr>
      </w:pPr>
      <w:r>
        <w:rPr>
          <w:rFonts w:hint="eastAsia" w:ascii="仿宋" w:hAnsi="仿宋" w:eastAsia="仿宋" w:cs="仿宋"/>
          <w:color w:val="000000"/>
        </w:rPr>
      </w:r>
      <w:r/>
    </w:p>
    <w:p>
      <w:pPr>
        <w:pStyle w:val="752"/>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2"/>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2"/>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24"/>
        </w:rPr>
      </w:r>
      <w:r/>
    </w:p>
    <w:p>
      <w:pPr>
        <w:pStyle w:val="752"/>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752"/>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752"/>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752"/>
        <w:jc w:val="left"/>
        <w:widowControl/>
        <w:rPr>
          <w:rFonts w:hint="eastAsia" w:ascii="仿宋" w:hAnsi="仿宋" w:eastAsia="仿宋" w:cs="仿宋"/>
          <w:color w:val="000000"/>
          <w:sz w:val="30"/>
          <w:szCs w:val="30"/>
        </w:rPr>
      </w:pPr>
      <w:r>
        <w:rPr>
          <w:rFonts w:hint="eastAsia" w:ascii="仿宋" w:hAnsi="仿宋" w:eastAsia="仿宋" w:cs="仿宋"/>
          <w:bCs/>
          <w:color w:val="000000"/>
          <w:sz w:val="30"/>
          <w:szCs w:val="30"/>
        </w:rPr>
        <w:br w:type="page" w:clear="all"/>
      </w:r>
      <w:r>
        <w:rPr>
          <w:rFonts w:hint="eastAsia" w:ascii="仿宋" w:hAnsi="仿宋" w:eastAsia="仿宋" w:cs="仿宋"/>
          <w:bCs/>
          <w:color w:val="000000"/>
          <w:sz w:val="30"/>
          <w:szCs w:val="30"/>
        </w:rPr>
        <w:t xml:space="preserve">五、法定代表人授权书格式</w:t>
      </w:r>
      <w:r>
        <w:rPr>
          <w:rFonts w:hint="eastAsia" w:ascii="仿宋" w:hAnsi="仿宋" w:eastAsia="仿宋" w:cs="仿宋"/>
          <w:color w:val="000000"/>
          <w:sz w:val="30"/>
          <w:szCs w:val="30"/>
        </w:rPr>
      </w:r>
      <w:r/>
    </w:p>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委托人：</w:t>
      </w:r>
      <w:r>
        <w:rPr>
          <w:rFonts w:hint="eastAsia" w:ascii="仿宋" w:hAnsi="仿宋" w:eastAsia="仿宋" w:cs="仿宋"/>
          <w:color w:val="000000"/>
          <w:sz w:val="30"/>
          <w:szCs w:val="30"/>
        </w:rPr>
      </w:r>
      <w:r/>
    </w:p>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地  址：</w:t>
      </w:r>
      <w:r>
        <w:rPr>
          <w:rFonts w:hint="eastAsia" w:ascii="仿宋" w:hAnsi="仿宋" w:eastAsia="仿宋" w:cs="仿宋"/>
          <w:color w:val="000000"/>
          <w:sz w:val="30"/>
          <w:szCs w:val="30"/>
        </w:rPr>
      </w:r>
      <w:r/>
    </w:p>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               职务：</w:t>
      </w:r>
      <w:r>
        <w:rPr>
          <w:rFonts w:hint="eastAsia" w:ascii="仿宋" w:hAnsi="仿宋" w:eastAsia="仿宋" w:cs="仿宋"/>
          <w:color w:val="000000"/>
          <w:sz w:val="30"/>
          <w:szCs w:val="30"/>
        </w:rPr>
      </w:r>
      <w:r/>
    </w:p>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统一社会信用代码：</w:t>
      </w:r>
      <w:r>
        <w:rPr>
          <w:rFonts w:hint="eastAsia" w:ascii="仿宋" w:hAnsi="仿宋" w:eastAsia="仿宋" w:cs="仿宋"/>
          <w:color w:val="000000"/>
          <w:sz w:val="30"/>
          <w:szCs w:val="30"/>
        </w:rPr>
      </w:r>
      <w:r/>
    </w:p>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受托人：                   性别：男（女）  </w:t>
      </w:r>
      <w:r>
        <w:rPr>
          <w:rFonts w:hint="eastAsia" w:ascii="仿宋" w:hAnsi="仿宋" w:eastAsia="仿宋" w:cs="仿宋"/>
          <w:color w:val="000000"/>
          <w:sz w:val="30"/>
          <w:szCs w:val="30"/>
        </w:rPr>
      </w:r>
      <w:r/>
    </w:p>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年龄：  岁                 民族：   族</w:t>
      </w:r>
      <w:r>
        <w:rPr>
          <w:rFonts w:hint="eastAsia" w:ascii="仿宋" w:hAnsi="仿宋" w:eastAsia="仿宋" w:cs="仿宋"/>
          <w:color w:val="000000"/>
          <w:sz w:val="30"/>
          <w:szCs w:val="30"/>
        </w:rPr>
      </w:r>
      <w:r/>
    </w:p>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职务：</w:t>
      </w:r>
      <w:r>
        <w:rPr>
          <w:rFonts w:hint="eastAsia" w:ascii="仿宋" w:hAnsi="仿宋" w:eastAsia="仿宋" w:cs="仿宋"/>
          <w:color w:val="000000"/>
          <w:sz w:val="30"/>
          <w:szCs w:val="30"/>
        </w:rPr>
      </w:r>
      <w:r/>
    </w:p>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身份证号：</w:t>
      </w:r>
      <w:r>
        <w:rPr>
          <w:rFonts w:hint="eastAsia" w:ascii="仿宋" w:hAnsi="仿宋" w:eastAsia="仿宋" w:cs="仿宋"/>
          <w:color w:val="000000"/>
          <w:sz w:val="30"/>
          <w:szCs w:val="30"/>
        </w:rPr>
      </w:r>
      <w:r/>
    </w:p>
    <w:p>
      <w:pPr>
        <w:pStyle w:val="752"/>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兹委托（       ）全权代表我企业（公司）参与（</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仿宋" w:hAnsi="仿宋" w:eastAsia="仿宋" w:cs="仿宋"/>
          <w:color w:val="000000"/>
          <w:sz w:val="30"/>
          <w:szCs w:val="30"/>
        </w:rPr>
      </w:r>
      <w:r/>
    </w:p>
    <w:p>
      <w:pPr>
        <w:pStyle w:val="752"/>
        <w:ind w:firstLine="63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特此授权委托。</w:t>
      </w:r>
      <w:r>
        <w:rPr>
          <w:rFonts w:hint="eastAsia" w:ascii="仿宋" w:hAnsi="仿宋" w:eastAsia="仿宋" w:cs="仿宋"/>
          <w:color w:val="000000"/>
          <w:sz w:val="30"/>
          <w:szCs w:val="30"/>
        </w:rPr>
      </w:r>
      <w:r/>
    </w:p>
    <w:p>
      <w:pPr>
        <w:pStyle w:val="752"/>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委托人（公章）：               受托人（签字或盖章）：</w:t>
      </w:r>
      <w:r>
        <w:rPr>
          <w:rFonts w:hint="eastAsia" w:ascii="仿宋" w:hAnsi="仿宋" w:eastAsia="仿宋" w:cs="仿宋"/>
          <w:color w:val="000000"/>
          <w:sz w:val="30"/>
          <w:szCs w:val="30"/>
        </w:rPr>
      </w:r>
      <w:r/>
    </w:p>
    <w:p>
      <w:pPr>
        <w:pStyle w:val="752"/>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法定代表人（签字或盖章）： </w:t>
      </w:r>
      <w:r>
        <w:rPr>
          <w:rFonts w:hint="eastAsia" w:ascii="仿宋" w:hAnsi="仿宋" w:eastAsia="仿宋" w:cs="仿宋"/>
          <w:color w:val="000000"/>
          <w:sz w:val="30"/>
          <w:szCs w:val="30"/>
        </w:rPr>
      </w:r>
      <w:r/>
    </w:p>
    <w:p>
      <w:pPr>
        <w:pStyle w:val="752"/>
        <w:ind w:right="600"/>
        <w:jc w:val="right"/>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   月   日 </w:t>
      </w:r>
      <w:r>
        <w:rPr>
          <w:rFonts w:hint="eastAsia" w:ascii="仿宋" w:hAnsi="仿宋" w:eastAsia="仿宋" w:cs="仿宋"/>
          <w:color w:val="000000"/>
          <w:sz w:val="30"/>
          <w:szCs w:val="30"/>
        </w:rPr>
      </w:r>
      <w:r/>
    </w:p>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(受托人身份证复印件附后)</w:t>
      </w:r>
      <w:r>
        <w:rPr>
          <w:rFonts w:hint="eastAsia" w:ascii="仿宋" w:hAnsi="仿宋" w:eastAsia="仿宋" w:cs="仿宋"/>
          <w:color w:val="000000"/>
          <w:sz w:val="30"/>
          <w:szCs w:val="30"/>
        </w:rPr>
      </w:r>
      <w:r/>
    </w:p>
    <w:p>
      <w:pPr>
        <w:pStyle w:val="752"/>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752"/>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52"/>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52"/>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52"/>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rPr>
        <w:t xml:space="preserve">六、中小企业声明函格式</w:t>
      </w:r>
      <w:r>
        <w:rPr>
          <w:rFonts w:hint="eastAsia" w:ascii="仿宋" w:hAnsi="仿宋" w:eastAsia="仿宋" w:cs="仿宋"/>
          <w:color w:val="000000"/>
          <w:sz w:val="30"/>
          <w:szCs w:val="30"/>
        </w:rPr>
      </w:r>
      <w:r/>
    </w:p>
    <w:p>
      <w:pPr>
        <w:pStyle w:val="752"/>
        <w:spacing w:line="46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u w:val="single"/>
        </w:rPr>
      </w:r>
      <w:r/>
    </w:p>
    <w:p>
      <w:pPr>
        <w:pStyle w:val="752"/>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rPr>
      </w:r>
      <w:r/>
    </w:p>
    <w:p>
      <w:pPr>
        <w:pStyle w:val="819"/>
        <w:rPr>
          <w:rFonts w:hint="eastAsia" w:ascii="仿宋" w:hAnsi="仿宋" w:eastAsia="仿宋" w:cs="仿宋"/>
          <w:color w:val="000000"/>
          <w:sz w:val="24"/>
          <w:u w:val="single"/>
          <w:lang w:val="en-US" w:eastAsia="zh-CN"/>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rPr>
          <w:rFonts w:hint="eastAsia" w:ascii="仿宋" w:hAnsi="仿宋" w:eastAsia="仿宋" w:cs="仿宋"/>
          <w:color w:val="000000"/>
          <w:sz w:val="24"/>
          <w:u w:val="single"/>
          <w:lang w:val="en-US" w:eastAsia="zh-CN"/>
        </w:rPr>
      </w:r>
      <w:r/>
    </w:p>
    <w:p>
      <w:pPr>
        <w:pStyle w:val="819"/>
        <w:rPr>
          <w:rFonts w:hint="eastAsia" w:ascii="仿宋" w:hAnsi="仿宋" w:eastAsia="仿宋" w:cs="仿宋"/>
          <w:color w:val="000000"/>
        </w:rPr>
      </w:pPr>
      <w:r>
        <w:rPr>
          <w:rFonts w:hint="eastAsia" w:ascii="仿宋" w:hAnsi="仿宋" w:eastAsia="仿宋" w:cs="仿宋"/>
          <w:color w:val="000000"/>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1.标的名称：</w:t>
      </w:r>
      <w:r>
        <w:rPr>
          <w:rFonts w:hint="eastAsia" w:ascii="仿宋" w:hAnsi="仿宋" w:eastAsia="仿宋" w:cs="仿宋"/>
          <w:b/>
          <w:bCs/>
          <w:color w:val="000000"/>
          <w:sz w:val="28"/>
          <w:szCs w:val="28"/>
          <w:highlight w:val="none"/>
          <w:u w:val="single"/>
          <w:lang w:val="en-US" w:eastAsia="zh-CN"/>
        </w:rPr>
        <w:t xml:space="preserve">左右主扩声线阵列扬声器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2.标的名称：</w:t>
      </w:r>
      <w:r>
        <w:rPr>
          <w:rFonts w:hint="eastAsia" w:ascii="仿宋" w:hAnsi="仿宋" w:eastAsia="仿宋" w:cs="仿宋"/>
          <w:b/>
          <w:bCs/>
          <w:color w:val="000000"/>
          <w:sz w:val="28"/>
          <w:szCs w:val="28"/>
          <w:highlight w:val="none"/>
          <w:u w:val="single"/>
          <w:lang w:val="en-US" w:eastAsia="zh-CN"/>
        </w:rPr>
        <w:t xml:space="preserve">中置线阵列扬声器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3.标的名称：</w:t>
      </w:r>
      <w:r>
        <w:rPr>
          <w:rFonts w:hint="eastAsia" w:ascii="仿宋" w:hAnsi="仿宋" w:eastAsia="仿宋" w:cs="仿宋"/>
          <w:b/>
          <w:bCs/>
          <w:color w:val="000000"/>
          <w:sz w:val="28"/>
          <w:szCs w:val="28"/>
          <w:highlight w:val="none"/>
          <w:u w:val="single"/>
          <w:lang w:val="en-US" w:eastAsia="zh-CN"/>
        </w:rPr>
        <w:t xml:space="preserve">线阵低频扬声器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4.标的名称：</w:t>
      </w:r>
      <w:r>
        <w:rPr>
          <w:rFonts w:hint="eastAsia" w:ascii="仿宋" w:hAnsi="仿宋" w:eastAsia="仿宋" w:cs="仿宋"/>
          <w:b/>
          <w:bCs/>
          <w:color w:val="000000"/>
          <w:sz w:val="28"/>
          <w:szCs w:val="28"/>
          <w:highlight w:val="none"/>
          <w:u w:val="single"/>
          <w:lang w:val="en-US" w:eastAsia="zh-CN"/>
        </w:rPr>
        <w:t xml:space="preserve">拉声像扬声器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5.标的名称：</w:t>
      </w:r>
      <w:r>
        <w:rPr>
          <w:rFonts w:hint="eastAsia" w:ascii="仿宋" w:hAnsi="仿宋" w:eastAsia="仿宋" w:cs="仿宋"/>
          <w:b/>
          <w:bCs/>
          <w:color w:val="000000"/>
          <w:sz w:val="28"/>
          <w:szCs w:val="28"/>
          <w:highlight w:val="none"/>
          <w:u w:val="single"/>
          <w:lang w:val="en-US" w:eastAsia="zh-CN"/>
        </w:rPr>
        <w:t xml:space="preserve">同轴流动返听扬声器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6.标的名称：</w:t>
      </w:r>
      <w:r>
        <w:rPr>
          <w:rFonts w:hint="eastAsia" w:ascii="仿宋" w:hAnsi="仿宋" w:eastAsia="仿宋" w:cs="仿宋"/>
          <w:b/>
          <w:bCs/>
          <w:color w:val="000000"/>
          <w:sz w:val="28"/>
          <w:szCs w:val="28"/>
          <w:highlight w:val="none"/>
          <w:u w:val="single"/>
          <w:lang w:val="en-US" w:eastAsia="zh-CN"/>
        </w:rPr>
        <w:t xml:space="preserve">固定返听扬声器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7.标的名称：</w:t>
      </w:r>
      <w:r>
        <w:rPr>
          <w:rFonts w:hint="eastAsia" w:ascii="仿宋" w:hAnsi="仿宋" w:eastAsia="仿宋" w:cs="仿宋"/>
          <w:b/>
          <w:bCs/>
          <w:color w:val="000000"/>
          <w:sz w:val="28"/>
          <w:szCs w:val="28"/>
          <w:highlight w:val="none"/>
          <w:u w:val="single"/>
          <w:lang w:val="en-US" w:eastAsia="zh-CN"/>
        </w:rPr>
        <w:t xml:space="preserve">同轴台唇扬声器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8.标的名称：</w:t>
      </w:r>
      <w:r>
        <w:rPr>
          <w:rFonts w:hint="eastAsia" w:ascii="仿宋" w:hAnsi="仿宋" w:eastAsia="仿宋" w:cs="仿宋"/>
          <w:b/>
          <w:bCs/>
          <w:color w:val="000000"/>
          <w:sz w:val="28"/>
          <w:szCs w:val="28"/>
          <w:highlight w:val="none"/>
          <w:u w:val="single"/>
          <w:lang w:val="en-US" w:eastAsia="zh-CN"/>
        </w:rPr>
        <w:t xml:space="preserve">超重低音扬声器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9.标的名称：</w:t>
      </w:r>
      <w:r>
        <w:rPr>
          <w:rFonts w:hint="eastAsia" w:ascii="仿宋" w:hAnsi="仿宋" w:eastAsia="仿宋" w:cs="仿宋"/>
          <w:b/>
          <w:bCs/>
          <w:color w:val="000000"/>
          <w:sz w:val="28"/>
          <w:szCs w:val="28"/>
          <w:highlight w:val="none"/>
          <w:u w:val="single"/>
          <w:lang w:val="en-US" w:eastAsia="zh-CN"/>
        </w:rPr>
        <w:t xml:space="preserve">左右、中置主扩声同轴线阵列扬声器高频四通道数字功率放大器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10.标的名称：</w:t>
      </w:r>
      <w:r>
        <w:rPr>
          <w:rFonts w:hint="eastAsia" w:ascii="仿宋" w:hAnsi="仿宋" w:eastAsia="仿宋" w:cs="仿宋"/>
          <w:b/>
          <w:bCs/>
          <w:color w:val="000000"/>
          <w:sz w:val="28"/>
          <w:szCs w:val="28"/>
          <w:highlight w:val="none"/>
          <w:u w:val="single"/>
          <w:lang w:val="en-US" w:eastAsia="zh-CN"/>
        </w:rPr>
        <w:t xml:space="preserve">左右、中置主扩声同轴线阵列扬声器低频两通道数字功率放大器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11.标的名称：</w:t>
      </w:r>
      <w:r>
        <w:rPr>
          <w:rFonts w:hint="eastAsia" w:ascii="仿宋" w:hAnsi="仿宋" w:eastAsia="仿宋" w:cs="仿宋"/>
          <w:b/>
          <w:bCs/>
          <w:color w:val="000000"/>
          <w:sz w:val="28"/>
          <w:szCs w:val="28"/>
          <w:highlight w:val="none"/>
          <w:u w:val="single"/>
          <w:lang w:val="en-US" w:eastAsia="zh-CN"/>
        </w:rPr>
        <w:t xml:space="preserve">线阵低频两通道数字功率放大器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12.标的名称：</w:t>
      </w:r>
      <w:r>
        <w:rPr>
          <w:rFonts w:hint="eastAsia" w:ascii="仿宋" w:hAnsi="仿宋" w:eastAsia="仿宋" w:cs="仿宋"/>
          <w:b/>
          <w:bCs/>
          <w:color w:val="000000"/>
          <w:sz w:val="28"/>
          <w:szCs w:val="28"/>
          <w:highlight w:val="none"/>
          <w:u w:val="single"/>
          <w:lang w:val="en-US" w:eastAsia="zh-CN"/>
        </w:rPr>
        <w:t xml:space="preserve">拉声像扬声器功率放大器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13.标的名称：</w:t>
      </w:r>
      <w:r>
        <w:rPr>
          <w:rFonts w:hint="eastAsia" w:ascii="仿宋" w:hAnsi="仿宋" w:eastAsia="仿宋" w:cs="仿宋"/>
          <w:b/>
          <w:bCs/>
          <w:color w:val="000000"/>
          <w:sz w:val="28"/>
          <w:szCs w:val="28"/>
          <w:highlight w:val="none"/>
          <w:u w:val="single"/>
          <w:lang w:val="en-US" w:eastAsia="zh-CN"/>
        </w:rPr>
        <w:t xml:space="preserve">流动、固定、台唇返听扬声器功率放大器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14.标的名称：</w:t>
      </w:r>
      <w:r>
        <w:rPr>
          <w:rFonts w:hint="eastAsia" w:ascii="仿宋" w:hAnsi="仿宋" w:eastAsia="仿宋" w:cs="仿宋"/>
          <w:b/>
          <w:bCs/>
          <w:color w:val="000000"/>
          <w:sz w:val="28"/>
          <w:szCs w:val="28"/>
          <w:highlight w:val="none"/>
          <w:u w:val="single"/>
          <w:lang w:val="en-US" w:eastAsia="zh-CN"/>
        </w:rPr>
        <w:t xml:space="preserve">超重低音扬声器功率放大器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15.标的名称：</w:t>
      </w:r>
      <w:r>
        <w:rPr>
          <w:rFonts w:hint="eastAsia" w:ascii="仿宋" w:hAnsi="仿宋" w:eastAsia="仿宋" w:cs="仿宋"/>
          <w:b/>
          <w:bCs/>
          <w:color w:val="000000"/>
          <w:sz w:val="28"/>
          <w:szCs w:val="28"/>
          <w:highlight w:val="none"/>
          <w:u w:val="single"/>
          <w:lang w:val="en-US" w:eastAsia="zh-CN"/>
        </w:rPr>
        <w:t xml:space="preserve">16路数字音频处理器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16.标的名称：</w:t>
      </w:r>
      <w:r>
        <w:rPr>
          <w:rFonts w:hint="eastAsia" w:ascii="仿宋" w:hAnsi="仿宋" w:eastAsia="仿宋" w:cs="仿宋"/>
          <w:b/>
          <w:bCs/>
          <w:color w:val="000000"/>
          <w:sz w:val="28"/>
          <w:szCs w:val="28"/>
          <w:highlight w:val="none"/>
          <w:u w:val="single"/>
          <w:lang w:val="en-US" w:eastAsia="zh-CN"/>
        </w:rPr>
        <w:t xml:space="preserve">32路数字调音台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17.标的名称：</w:t>
      </w:r>
      <w:r>
        <w:rPr>
          <w:rFonts w:hint="eastAsia" w:ascii="仿宋" w:hAnsi="仿宋" w:eastAsia="仿宋" w:cs="仿宋"/>
          <w:b/>
          <w:bCs/>
          <w:color w:val="000000"/>
          <w:sz w:val="28"/>
          <w:szCs w:val="28"/>
          <w:highlight w:val="none"/>
          <w:u w:val="single"/>
          <w:lang w:val="en-US" w:eastAsia="zh-CN"/>
        </w:rPr>
        <w:t xml:space="preserve">32路舞台接口箱</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18.标的名称：</w:t>
      </w:r>
      <w:r>
        <w:rPr>
          <w:rFonts w:hint="eastAsia" w:ascii="仿宋" w:hAnsi="仿宋" w:eastAsia="仿宋" w:cs="仿宋"/>
          <w:b/>
          <w:bCs/>
          <w:color w:val="000000"/>
          <w:sz w:val="28"/>
          <w:szCs w:val="28"/>
          <w:highlight w:val="none"/>
          <w:u w:val="single"/>
          <w:lang w:val="en-US" w:eastAsia="zh-CN"/>
        </w:rPr>
        <w:t xml:space="preserve">有源同轴监听音箱</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20.标的名称：</w:t>
      </w:r>
      <w:r>
        <w:rPr>
          <w:rFonts w:hint="eastAsia" w:ascii="仿宋" w:hAnsi="仿宋" w:eastAsia="仿宋" w:cs="仿宋"/>
          <w:b/>
          <w:bCs/>
          <w:color w:val="000000"/>
          <w:sz w:val="28"/>
          <w:szCs w:val="28"/>
          <w:highlight w:val="none"/>
          <w:u w:val="single"/>
          <w:lang w:val="en-US" w:eastAsia="zh-CN"/>
        </w:rPr>
        <w:t xml:space="preserve">一拖一无线手持话筒套装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21.标的名称：</w:t>
      </w:r>
      <w:r>
        <w:rPr>
          <w:rFonts w:hint="eastAsia" w:ascii="仿宋" w:hAnsi="仿宋" w:eastAsia="仿宋" w:cs="仿宋"/>
          <w:b/>
          <w:bCs/>
          <w:color w:val="000000"/>
          <w:sz w:val="28"/>
          <w:szCs w:val="28"/>
          <w:highlight w:val="none"/>
          <w:u w:val="single"/>
          <w:lang w:val="en-US" w:eastAsia="zh-CN"/>
        </w:rPr>
        <w:t xml:space="preserve">一拖一无线头戴话筒套装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22.标的名称：</w:t>
      </w:r>
      <w:r>
        <w:rPr>
          <w:rFonts w:hint="eastAsia" w:ascii="仿宋" w:hAnsi="仿宋" w:eastAsia="仿宋" w:cs="仿宋"/>
          <w:b/>
          <w:bCs/>
          <w:color w:val="000000"/>
          <w:sz w:val="28"/>
          <w:szCs w:val="28"/>
          <w:highlight w:val="none"/>
          <w:u w:val="single"/>
          <w:lang w:val="en-US" w:eastAsia="zh-CN"/>
        </w:rPr>
        <w:t xml:space="preserve">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23.标的名称：</w:t>
      </w:r>
      <w:r>
        <w:rPr>
          <w:rFonts w:hint="eastAsia" w:ascii="仿宋" w:hAnsi="仿宋" w:eastAsia="仿宋" w:cs="仿宋"/>
          <w:b/>
          <w:bCs/>
          <w:color w:val="000000"/>
          <w:sz w:val="28"/>
          <w:szCs w:val="28"/>
          <w:highlight w:val="none"/>
          <w:u w:val="single"/>
          <w:lang w:val="en-US" w:eastAsia="zh-CN"/>
        </w:rPr>
        <w:t xml:space="preserve">有源指向性天线</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24.标的名称：</w:t>
      </w:r>
      <w:r>
        <w:rPr>
          <w:rFonts w:hint="eastAsia" w:ascii="仿宋" w:hAnsi="仿宋" w:eastAsia="仿宋" w:cs="仿宋"/>
          <w:b/>
          <w:bCs/>
          <w:color w:val="000000"/>
          <w:sz w:val="28"/>
          <w:szCs w:val="28"/>
          <w:highlight w:val="none"/>
          <w:u w:val="single"/>
          <w:lang w:val="en-US" w:eastAsia="zh-CN"/>
        </w:rPr>
        <w:t xml:space="preserve">无源天线分配器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25.标的名称：</w:t>
      </w:r>
      <w:r>
        <w:rPr>
          <w:rFonts w:hint="eastAsia" w:ascii="仿宋" w:hAnsi="仿宋" w:eastAsia="仿宋" w:cs="仿宋"/>
          <w:b/>
          <w:bCs/>
          <w:color w:val="000000"/>
          <w:sz w:val="28"/>
          <w:szCs w:val="28"/>
          <w:highlight w:val="none"/>
          <w:u w:val="single"/>
          <w:lang w:val="en-US" w:eastAsia="zh-CN"/>
        </w:rPr>
        <w:t xml:space="preserve">大振膜话筒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26.标的名称：</w:t>
      </w:r>
      <w:r>
        <w:rPr>
          <w:rFonts w:hint="eastAsia" w:ascii="仿宋" w:hAnsi="仿宋" w:eastAsia="仿宋" w:cs="仿宋"/>
          <w:b/>
          <w:bCs/>
          <w:color w:val="000000"/>
          <w:sz w:val="28"/>
          <w:szCs w:val="28"/>
          <w:highlight w:val="none"/>
          <w:u w:val="single"/>
          <w:lang w:val="en-US" w:eastAsia="zh-CN"/>
        </w:rPr>
        <w:t xml:space="preserve">鼓用话筒套装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27.标的名称：</w:t>
      </w:r>
      <w:r>
        <w:rPr>
          <w:rFonts w:hint="eastAsia" w:ascii="仿宋" w:hAnsi="仿宋" w:eastAsia="仿宋" w:cs="仿宋"/>
          <w:b/>
          <w:bCs/>
          <w:color w:val="000000"/>
          <w:sz w:val="28"/>
          <w:szCs w:val="28"/>
          <w:highlight w:val="none"/>
          <w:u w:val="single"/>
          <w:lang w:val="en-US" w:eastAsia="zh-CN"/>
        </w:rPr>
        <w:t xml:space="preserve">隔离变压器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28.标的名称：</w:t>
      </w:r>
      <w:r>
        <w:rPr>
          <w:rFonts w:hint="eastAsia" w:ascii="仿宋" w:hAnsi="仿宋" w:eastAsia="仿宋" w:cs="仿宋"/>
          <w:b/>
          <w:bCs/>
          <w:color w:val="000000"/>
          <w:sz w:val="28"/>
          <w:szCs w:val="28"/>
          <w:highlight w:val="none"/>
          <w:u w:val="single"/>
          <w:lang w:val="en-US" w:eastAsia="zh-CN"/>
        </w:rPr>
        <w:t xml:space="preserve">无线内通系统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29.标的名称：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30.标的名称：</w:t>
      </w:r>
      <w:r>
        <w:rPr>
          <w:rFonts w:hint="eastAsia" w:ascii="仿宋" w:hAnsi="仿宋" w:eastAsia="仿宋" w:cs="仿宋"/>
          <w:b/>
          <w:bCs/>
          <w:color w:val="000000"/>
          <w:sz w:val="28"/>
          <w:szCs w:val="28"/>
          <w:highlight w:val="none"/>
          <w:u w:val="single"/>
          <w:lang w:val="en-US" w:eastAsia="zh-CN"/>
        </w:rPr>
        <w:t xml:space="preserve">有线方杆电容会议话筒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31.标的名称：</w:t>
      </w:r>
      <w:r>
        <w:rPr>
          <w:rFonts w:hint="eastAsia" w:ascii="仿宋" w:hAnsi="仿宋" w:eastAsia="仿宋" w:cs="仿宋"/>
          <w:b/>
          <w:bCs/>
          <w:color w:val="000000"/>
          <w:sz w:val="28"/>
          <w:szCs w:val="28"/>
          <w:highlight w:val="none"/>
          <w:u w:val="single"/>
          <w:lang w:val="en-US" w:eastAsia="zh-CN"/>
        </w:rPr>
        <w:t xml:space="preserve">智能混音器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32.标的名称：</w:t>
      </w:r>
      <w:r>
        <w:rPr>
          <w:rFonts w:hint="eastAsia" w:ascii="仿宋" w:hAnsi="仿宋" w:eastAsia="仿宋" w:cs="仿宋"/>
          <w:b/>
          <w:bCs/>
          <w:color w:val="000000"/>
          <w:sz w:val="28"/>
          <w:szCs w:val="28"/>
          <w:highlight w:val="none"/>
          <w:u w:val="single"/>
          <w:lang w:val="en-US" w:eastAsia="zh-CN"/>
        </w:rPr>
        <w:t xml:space="preserve">演讲台有线鹅颈会议话筒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33.标的名称：</w:t>
      </w:r>
      <w:r>
        <w:rPr>
          <w:rFonts w:hint="eastAsia" w:ascii="仿宋" w:hAnsi="仿宋" w:eastAsia="仿宋" w:cs="仿宋"/>
          <w:b/>
          <w:bCs/>
          <w:color w:val="000000"/>
          <w:sz w:val="28"/>
          <w:szCs w:val="28"/>
          <w:highlight w:val="none"/>
          <w:u w:val="single"/>
          <w:lang w:val="en-US" w:eastAsia="zh-CN"/>
        </w:rPr>
        <w:t xml:space="preserve">矮推车式提词系统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34.标的名称：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35.标的名称：</w:t>
      </w:r>
      <w:r>
        <w:rPr>
          <w:rFonts w:hint="eastAsia" w:ascii="仿宋" w:hAnsi="仿宋" w:eastAsia="仿宋" w:cs="仿宋"/>
          <w:b/>
          <w:bCs/>
          <w:color w:val="000000"/>
          <w:sz w:val="28"/>
          <w:szCs w:val="28"/>
          <w:highlight w:val="none"/>
          <w:u w:val="single"/>
          <w:lang w:val="en-US" w:eastAsia="zh-CN"/>
        </w:rPr>
        <w:t xml:space="preserve">一道面光( LED变焦成像灯）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36.标的名称：</w:t>
      </w:r>
      <w:r>
        <w:rPr>
          <w:rFonts w:hint="eastAsia" w:ascii="仿宋" w:hAnsi="仿宋" w:eastAsia="仿宋" w:cs="仿宋"/>
          <w:b/>
          <w:bCs/>
          <w:color w:val="000000"/>
          <w:sz w:val="28"/>
          <w:szCs w:val="28"/>
          <w:highlight w:val="none"/>
          <w:u w:val="single"/>
          <w:lang w:val="en-US" w:eastAsia="zh-CN"/>
        </w:rPr>
        <w:t xml:space="preserve">一道面光( 切割灯）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37.标的名称：</w:t>
      </w:r>
      <w:r>
        <w:rPr>
          <w:rFonts w:hint="eastAsia" w:ascii="仿宋" w:hAnsi="仿宋" w:eastAsia="仿宋" w:cs="仿宋"/>
          <w:b/>
          <w:bCs/>
          <w:color w:val="000000"/>
          <w:sz w:val="28"/>
          <w:szCs w:val="28"/>
          <w:highlight w:val="none"/>
          <w:u w:val="single"/>
          <w:lang w:val="en-US" w:eastAsia="zh-CN"/>
        </w:rPr>
        <w:t xml:space="preserve">左右耳光(LED变焦成像灯）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38.标的名称：</w:t>
      </w:r>
      <w:r>
        <w:rPr>
          <w:rFonts w:hint="eastAsia" w:ascii="仿宋" w:hAnsi="仿宋" w:eastAsia="仿宋" w:cs="仿宋"/>
          <w:b/>
          <w:bCs/>
          <w:color w:val="000000"/>
          <w:sz w:val="28"/>
          <w:szCs w:val="28"/>
          <w:highlight w:val="none"/>
          <w:u w:val="single"/>
          <w:lang w:val="en-US" w:eastAsia="zh-CN"/>
        </w:rPr>
        <w:t xml:space="preserve">一道顶光（ 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39.标的名称：</w:t>
      </w:r>
      <w:r>
        <w:rPr>
          <w:rFonts w:hint="eastAsia" w:ascii="仿宋" w:hAnsi="仿宋" w:eastAsia="仿宋" w:cs="仿宋"/>
          <w:b/>
          <w:bCs/>
          <w:color w:val="000000"/>
          <w:sz w:val="28"/>
          <w:szCs w:val="28"/>
          <w:highlight w:val="none"/>
          <w:u w:val="single"/>
          <w:lang w:val="en-US" w:eastAsia="zh-CN"/>
        </w:rPr>
        <w:t xml:space="preserve">一道顶光（LED版平板灯）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40.标的名称：</w:t>
      </w:r>
      <w:r>
        <w:rPr>
          <w:rFonts w:hint="eastAsia" w:ascii="仿宋" w:hAnsi="仿宋" w:eastAsia="仿宋" w:cs="仿宋"/>
          <w:b/>
          <w:bCs/>
          <w:color w:val="000000"/>
          <w:sz w:val="28"/>
          <w:szCs w:val="28"/>
          <w:highlight w:val="none"/>
          <w:u w:val="single"/>
          <w:lang w:val="en-US" w:eastAsia="zh-CN"/>
        </w:rPr>
        <w:t xml:space="preserve">二道顶光（LED染色灯)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41.标的名称：</w:t>
      </w:r>
      <w:r>
        <w:rPr>
          <w:rFonts w:hint="eastAsia" w:ascii="仿宋" w:hAnsi="仿宋" w:eastAsia="仿宋" w:cs="仿宋"/>
          <w:b/>
          <w:bCs/>
          <w:color w:val="000000"/>
          <w:sz w:val="28"/>
          <w:szCs w:val="28"/>
          <w:highlight w:val="none"/>
          <w:u w:val="single"/>
          <w:lang w:val="en-US" w:eastAsia="zh-CN"/>
        </w:rPr>
        <w:t xml:space="preserve">二道顶光（LED版平板灯）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42.标的名称：</w:t>
      </w:r>
      <w:r>
        <w:rPr>
          <w:rFonts w:hint="eastAsia" w:ascii="仿宋" w:hAnsi="仿宋" w:eastAsia="仿宋" w:cs="仿宋"/>
          <w:b/>
          <w:bCs/>
          <w:color w:val="000000"/>
          <w:sz w:val="28"/>
          <w:szCs w:val="28"/>
          <w:highlight w:val="none"/>
          <w:u w:val="single"/>
          <w:lang w:val="en-US" w:eastAsia="zh-CN"/>
        </w:rPr>
        <w:t xml:space="preserve">二道顶光（三合一电脑摇头灯）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43.标的名称：</w:t>
      </w:r>
      <w:r>
        <w:rPr>
          <w:rFonts w:hint="eastAsia" w:ascii="仿宋" w:hAnsi="仿宋" w:eastAsia="仿宋" w:cs="仿宋"/>
          <w:b/>
          <w:bCs/>
          <w:color w:val="000000"/>
          <w:sz w:val="28"/>
          <w:szCs w:val="28"/>
          <w:highlight w:val="none"/>
          <w:u w:val="single"/>
          <w:lang w:val="en-US" w:eastAsia="zh-CN"/>
        </w:rPr>
        <w:t xml:space="preserve">三道顶光（LED染色灯）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44.标的名称：</w:t>
      </w:r>
      <w:r>
        <w:rPr>
          <w:rFonts w:hint="eastAsia" w:ascii="仿宋" w:hAnsi="仿宋" w:eastAsia="仿宋" w:cs="仿宋"/>
          <w:b/>
          <w:bCs/>
          <w:color w:val="000000"/>
          <w:sz w:val="28"/>
          <w:szCs w:val="28"/>
          <w:highlight w:val="none"/>
          <w:u w:val="single"/>
          <w:lang w:val="en-US" w:eastAsia="zh-CN"/>
        </w:rPr>
        <w:t xml:space="preserve">三道顶光（LED版平板灯）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45.标的名称：</w:t>
      </w:r>
      <w:r>
        <w:rPr>
          <w:rFonts w:hint="eastAsia" w:ascii="仿宋" w:hAnsi="仿宋" w:eastAsia="仿宋" w:cs="仿宋"/>
          <w:b/>
          <w:bCs/>
          <w:color w:val="000000"/>
          <w:sz w:val="28"/>
          <w:szCs w:val="28"/>
          <w:highlight w:val="none"/>
          <w:u w:val="single"/>
          <w:lang w:val="en-US" w:eastAsia="zh-CN"/>
        </w:rPr>
        <w:t xml:space="preserve">三道顶光（三合一电脑摇头灯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46.标的名称：</w:t>
      </w:r>
      <w:r>
        <w:rPr>
          <w:rFonts w:hint="eastAsia" w:ascii="仿宋" w:hAnsi="仿宋" w:eastAsia="仿宋" w:cs="仿宋"/>
          <w:b/>
          <w:bCs/>
          <w:color w:val="000000"/>
          <w:sz w:val="28"/>
          <w:szCs w:val="28"/>
          <w:highlight w:val="none"/>
          <w:u w:val="single"/>
          <w:lang w:val="en-US" w:eastAsia="zh-CN"/>
        </w:rPr>
        <w:t xml:space="preserve">四道顶光（ 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47.标的名称：</w:t>
      </w:r>
      <w:r>
        <w:rPr>
          <w:rFonts w:hint="eastAsia" w:ascii="仿宋" w:hAnsi="仿宋" w:eastAsia="仿宋" w:cs="仿宋"/>
          <w:b/>
          <w:bCs/>
          <w:color w:val="000000"/>
          <w:sz w:val="28"/>
          <w:szCs w:val="28"/>
          <w:highlight w:val="none"/>
          <w:u w:val="single"/>
          <w:lang w:val="en-US" w:eastAsia="zh-CN"/>
        </w:rPr>
        <w:t xml:space="preserve">四道顶光（三合一电脑摇头灯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48.标的名称：</w:t>
      </w:r>
      <w:r>
        <w:rPr>
          <w:rFonts w:hint="eastAsia" w:ascii="仿宋" w:hAnsi="仿宋" w:eastAsia="仿宋" w:cs="仿宋"/>
          <w:b/>
          <w:bCs/>
          <w:color w:val="000000"/>
          <w:sz w:val="28"/>
          <w:szCs w:val="28"/>
          <w:highlight w:val="none"/>
          <w:u w:val="single"/>
          <w:lang w:val="en-US" w:eastAsia="zh-CN"/>
        </w:rPr>
        <w:t xml:space="preserve">一道逆光（LED染色灯）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49.标的名称：</w:t>
      </w:r>
      <w:r>
        <w:rPr>
          <w:rFonts w:hint="eastAsia" w:ascii="仿宋" w:hAnsi="仿宋" w:eastAsia="仿宋" w:cs="仿宋"/>
          <w:b/>
          <w:bCs/>
          <w:color w:val="000000"/>
          <w:sz w:val="28"/>
          <w:szCs w:val="28"/>
          <w:highlight w:val="none"/>
          <w:u w:val="single"/>
          <w:lang w:val="en-US" w:eastAsia="zh-CN"/>
        </w:rPr>
        <w:t xml:space="preserve">一道逆光（三合一电脑摇头灯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50.标的名称：</w:t>
      </w:r>
      <w:r>
        <w:rPr>
          <w:rFonts w:hint="eastAsia" w:ascii="仿宋" w:hAnsi="仿宋" w:eastAsia="仿宋" w:cs="仿宋"/>
          <w:b/>
          <w:bCs/>
          <w:color w:val="000000"/>
          <w:sz w:val="28"/>
          <w:szCs w:val="28"/>
          <w:highlight w:val="none"/>
          <w:u w:val="single"/>
          <w:lang w:val="en-US" w:eastAsia="zh-CN"/>
        </w:rPr>
        <w:t xml:space="preserve">二道逆光（LED染色灯）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51.标的名称：</w:t>
      </w:r>
      <w:r>
        <w:rPr>
          <w:rFonts w:hint="eastAsia" w:ascii="仿宋" w:hAnsi="仿宋" w:eastAsia="仿宋" w:cs="仿宋"/>
          <w:b/>
          <w:bCs/>
          <w:color w:val="000000"/>
          <w:sz w:val="28"/>
          <w:szCs w:val="28"/>
          <w:highlight w:val="none"/>
          <w:u w:val="single"/>
          <w:lang w:val="en-US" w:eastAsia="zh-CN"/>
        </w:rPr>
        <w:t xml:space="preserve">二道逆光（三合一电脑摇头灯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52.标的名称：</w:t>
      </w:r>
      <w:r>
        <w:rPr>
          <w:rFonts w:hint="eastAsia" w:ascii="仿宋" w:hAnsi="仿宋" w:eastAsia="仿宋" w:cs="仿宋"/>
          <w:b/>
          <w:bCs/>
          <w:color w:val="000000"/>
          <w:sz w:val="28"/>
          <w:szCs w:val="28"/>
          <w:highlight w:val="none"/>
          <w:u w:val="single"/>
          <w:lang w:val="en-US" w:eastAsia="zh-CN"/>
        </w:rPr>
        <w:t xml:space="preserve">两道侧光（LED染色灯）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53.标的名称：</w:t>
      </w:r>
      <w:r>
        <w:rPr>
          <w:rFonts w:hint="eastAsia" w:ascii="仿宋" w:hAnsi="仿宋" w:eastAsia="仿宋" w:cs="仿宋"/>
          <w:b/>
          <w:bCs/>
          <w:color w:val="000000"/>
          <w:sz w:val="28"/>
          <w:szCs w:val="28"/>
          <w:highlight w:val="none"/>
          <w:u w:val="single"/>
          <w:lang w:val="en-US" w:eastAsia="zh-CN"/>
        </w:rPr>
        <w:t xml:space="preserve">两道侧光（三合一电脑摇头灯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54.标的名称：</w:t>
      </w:r>
      <w:r>
        <w:rPr>
          <w:rFonts w:hint="eastAsia" w:ascii="仿宋" w:hAnsi="仿宋" w:eastAsia="仿宋" w:cs="仿宋"/>
          <w:b/>
          <w:bCs/>
          <w:i w:val="0"/>
          <w:iCs w:val="0"/>
          <w:color w:val="000000"/>
          <w:sz w:val="28"/>
          <w:szCs w:val="28"/>
          <w:highlight w:val="none"/>
          <w:u w:val="single"/>
          <w:lang w:val="en-US" w:eastAsia="zh-CN" w:bidi="ar"/>
        </w:rPr>
        <w:t xml:space="preserve">地面摇头灯（三合一电脑摇头灯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55.标的名称：</w:t>
      </w:r>
      <w:r>
        <w:rPr>
          <w:rFonts w:hint="eastAsia" w:ascii="仿宋" w:hAnsi="仿宋" w:eastAsia="仿宋" w:cs="仿宋"/>
          <w:b/>
          <w:bCs/>
          <w:color w:val="000000"/>
          <w:sz w:val="28"/>
          <w:szCs w:val="28"/>
          <w:highlight w:val="none"/>
          <w:u w:val="single"/>
          <w:lang w:val="en-US" w:eastAsia="zh-CN"/>
        </w:rPr>
        <w:t xml:space="preserve">LED 追光灯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56.标的名称：</w:t>
      </w:r>
      <w:r>
        <w:rPr>
          <w:rFonts w:hint="eastAsia" w:ascii="仿宋" w:hAnsi="仿宋" w:eastAsia="仿宋" w:cs="仿宋"/>
          <w:b/>
          <w:bCs/>
          <w:color w:val="000000"/>
          <w:sz w:val="28"/>
          <w:szCs w:val="28"/>
          <w:highlight w:val="none"/>
          <w:u w:val="single"/>
          <w:lang w:val="en-US" w:eastAsia="zh-CN"/>
        </w:rPr>
        <w:t xml:space="preserve">电脑灯光控制台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57.标的名称：</w:t>
      </w:r>
      <w:r>
        <w:rPr>
          <w:rFonts w:hint="eastAsia" w:ascii="仿宋" w:hAnsi="仿宋" w:eastAsia="仿宋" w:cs="仿宋"/>
          <w:b/>
          <w:bCs/>
          <w:color w:val="000000"/>
          <w:sz w:val="28"/>
          <w:szCs w:val="28"/>
          <w:highlight w:val="none"/>
          <w:u w:val="single"/>
          <w:lang w:val="en-US" w:eastAsia="zh-CN"/>
        </w:rPr>
        <w:t xml:space="preserve">DMX网络扩展器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58.标的名称：</w:t>
      </w:r>
      <w:r>
        <w:rPr>
          <w:rFonts w:hint="eastAsia" w:ascii="仿宋" w:hAnsi="仿宋" w:eastAsia="仿宋" w:cs="仿宋"/>
          <w:b/>
          <w:bCs/>
          <w:color w:val="000000"/>
          <w:sz w:val="28"/>
          <w:szCs w:val="28"/>
          <w:highlight w:val="none"/>
          <w:u w:val="single"/>
          <w:lang w:val="en-US" w:eastAsia="zh-CN"/>
        </w:rPr>
        <w:t xml:space="preserve">DMX信号放大器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59.标的名称：</w:t>
      </w:r>
      <w:r>
        <w:rPr>
          <w:rFonts w:hint="eastAsia" w:ascii="仿宋" w:hAnsi="仿宋" w:eastAsia="仿宋" w:cs="仿宋"/>
          <w:b/>
          <w:bCs/>
          <w:color w:val="000000"/>
          <w:sz w:val="28"/>
          <w:szCs w:val="28"/>
          <w:highlight w:val="none"/>
          <w:u w:val="single"/>
          <w:lang w:val="en-US" w:eastAsia="zh-CN"/>
        </w:rPr>
        <w:t xml:space="preserve">智能控制系统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60.标的名称：</w:t>
      </w:r>
      <w:r>
        <w:rPr>
          <w:rFonts w:hint="eastAsia" w:ascii="仿宋" w:hAnsi="仿宋" w:eastAsia="仿宋" w:cs="仿宋"/>
          <w:b/>
          <w:bCs/>
          <w:color w:val="000000"/>
          <w:sz w:val="28"/>
          <w:szCs w:val="28"/>
          <w:highlight w:val="none"/>
          <w:u w:val="single"/>
          <w:lang w:val="en-US" w:eastAsia="zh-CN"/>
        </w:rPr>
        <w:t xml:space="preserve">PDU机柜电源</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61.标的名称：</w:t>
      </w:r>
      <w:r>
        <w:rPr>
          <w:rFonts w:hint="eastAsia" w:ascii="仿宋" w:hAnsi="仿宋" w:eastAsia="仿宋" w:cs="仿宋"/>
          <w:b/>
          <w:bCs/>
          <w:color w:val="000000"/>
          <w:sz w:val="28"/>
          <w:szCs w:val="28"/>
          <w:highlight w:val="none"/>
          <w:u w:val="single"/>
          <w:lang w:val="en-US" w:eastAsia="zh-CN"/>
        </w:rPr>
        <w:t xml:space="preserve">电源直通柜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62.标的名称：</w:t>
      </w:r>
      <w:r>
        <w:rPr>
          <w:rFonts w:hint="eastAsia" w:ascii="仿宋" w:hAnsi="仿宋" w:eastAsia="仿宋" w:cs="仿宋"/>
          <w:b/>
          <w:bCs/>
          <w:color w:val="000000"/>
          <w:sz w:val="28"/>
          <w:szCs w:val="28"/>
          <w:highlight w:val="none"/>
          <w:u w:val="single"/>
          <w:lang w:val="en-US" w:eastAsia="zh-CN"/>
        </w:rPr>
        <w:t xml:space="preserve">薄雾烟机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63.标的名称：</w:t>
      </w:r>
      <w:r>
        <w:rPr>
          <w:rFonts w:hint="eastAsia" w:ascii="仿宋" w:hAnsi="仿宋" w:eastAsia="仿宋" w:cs="仿宋"/>
          <w:b/>
          <w:bCs/>
          <w:color w:val="000000"/>
          <w:sz w:val="28"/>
          <w:szCs w:val="28"/>
          <w:highlight w:val="none"/>
          <w:u w:val="single"/>
          <w:lang w:val="en-US" w:eastAsia="zh-CN"/>
        </w:rPr>
        <w:t xml:space="preserve">薄雾烟油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64.标的名称：</w:t>
      </w:r>
      <w:r>
        <w:rPr>
          <w:rFonts w:hint="eastAsia" w:ascii="仿宋" w:hAnsi="仿宋" w:eastAsia="仿宋" w:cs="仿宋"/>
          <w:b/>
          <w:bCs/>
          <w:color w:val="000000"/>
          <w:sz w:val="28"/>
          <w:szCs w:val="28"/>
          <w:highlight w:val="none"/>
          <w:u w:val="single"/>
          <w:lang w:val="en-US" w:eastAsia="zh-CN"/>
        </w:rPr>
        <w:t xml:space="preserve">泡泡机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65.标的名称：</w:t>
      </w:r>
      <w:r>
        <w:rPr>
          <w:rFonts w:hint="eastAsia" w:ascii="仿宋" w:hAnsi="仿宋" w:eastAsia="仿宋" w:cs="仿宋"/>
          <w:b/>
          <w:bCs/>
          <w:color w:val="000000"/>
          <w:sz w:val="28"/>
          <w:szCs w:val="28"/>
          <w:highlight w:val="none"/>
          <w:u w:val="single"/>
          <w:lang w:val="en-US" w:eastAsia="zh-CN"/>
        </w:rPr>
        <w:t xml:space="preserve">泡泡油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66.标的名称：</w:t>
      </w:r>
      <w:r>
        <w:rPr>
          <w:rFonts w:hint="eastAsia" w:ascii="仿宋" w:hAnsi="仿宋" w:eastAsia="仿宋" w:cs="仿宋"/>
          <w:b/>
          <w:bCs/>
          <w:color w:val="000000"/>
          <w:sz w:val="28"/>
          <w:szCs w:val="28"/>
          <w:highlight w:val="none"/>
          <w:u w:val="single"/>
          <w:lang w:val="en-US" w:eastAsia="zh-CN"/>
        </w:rPr>
        <w:t xml:space="preserve">雪花机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67.标的名称：</w:t>
      </w:r>
      <w:r>
        <w:rPr>
          <w:rFonts w:hint="eastAsia" w:ascii="仿宋" w:hAnsi="仿宋" w:eastAsia="仿宋" w:cs="仿宋"/>
          <w:b/>
          <w:bCs/>
          <w:color w:val="000000"/>
          <w:sz w:val="28"/>
          <w:szCs w:val="28"/>
          <w:highlight w:val="none"/>
          <w:u w:val="single"/>
          <w:lang w:val="en-US" w:eastAsia="zh-CN"/>
        </w:rPr>
        <w:t xml:space="preserve">雪花油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68.标的名称：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69.标的名称：</w:t>
      </w:r>
      <w:r>
        <w:rPr>
          <w:rFonts w:hint="eastAsia" w:ascii="仿宋" w:hAnsi="仿宋" w:eastAsia="仿宋" w:cs="仿宋"/>
          <w:b/>
          <w:bCs/>
          <w:color w:val="000000"/>
          <w:sz w:val="28"/>
          <w:szCs w:val="28"/>
          <w:highlight w:val="none"/>
          <w:u w:val="single"/>
          <w:lang w:val="en-US" w:eastAsia="zh-CN"/>
        </w:rPr>
        <w:t xml:space="preserve">大灯钩</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70.标的名称：</w:t>
      </w:r>
      <w:r>
        <w:rPr>
          <w:rFonts w:hint="eastAsia" w:ascii="仿宋" w:hAnsi="仿宋" w:eastAsia="仿宋" w:cs="仿宋"/>
          <w:b/>
          <w:bCs/>
          <w:color w:val="000000"/>
          <w:sz w:val="28"/>
          <w:szCs w:val="28"/>
          <w:highlight w:val="none"/>
          <w:u w:val="single"/>
          <w:lang w:val="en-US" w:eastAsia="zh-CN"/>
        </w:rPr>
        <w:t xml:space="preserve">保险绳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71.标的名称：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72.标的名称：</w:t>
      </w:r>
      <w:r>
        <w:rPr>
          <w:rFonts w:hint="eastAsia" w:ascii="仿宋" w:hAnsi="仿宋" w:eastAsia="仿宋" w:cs="仿宋"/>
          <w:b/>
          <w:bCs/>
          <w:color w:val="000000"/>
          <w:sz w:val="28"/>
          <w:szCs w:val="28"/>
          <w:highlight w:val="none"/>
          <w:u w:val="single"/>
          <w:lang w:val="en-US" w:eastAsia="zh-CN"/>
        </w:rPr>
        <w:t xml:space="preserve">其他</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73.标的名称：</w:t>
      </w:r>
      <w:r>
        <w:rPr>
          <w:rFonts w:hint="eastAsia" w:ascii="仿宋" w:hAnsi="仿宋" w:eastAsia="仿宋" w:cs="仿宋"/>
          <w:b/>
          <w:bCs/>
          <w:color w:val="000000"/>
          <w:sz w:val="28"/>
          <w:szCs w:val="28"/>
          <w:highlight w:val="none"/>
          <w:u w:val="single"/>
          <w:lang w:val="en-US" w:eastAsia="zh-CN"/>
        </w:rPr>
        <w:t xml:space="preserve">电子会标屏吊杆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74.标的名称：</w:t>
      </w:r>
      <w:r>
        <w:rPr>
          <w:rFonts w:hint="eastAsia" w:ascii="仿宋" w:hAnsi="仿宋" w:eastAsia="仿宋" w:cs="仿宋"/>
          <w:b/>
          <w:bCs/>
          <w:color w:val="000000"/>
          <w:sz w:val="28"/>
          <w:szCs w:val="28"/>
          <w:highlight w:val="none"/>
          <w:u w:val="single"/>
          <w:lang w:val="en-US" w:eastAsia="zh-CN"/>
        </w:rPr>
        <w:t xml:space="preserve">电动会标横幅吊杆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75.标的名称：</w:t>
      </w:r>
      <w:r>
        <w:rPr>
          <w:rFonts w:hint="eastAsia" w:ascii="仿宋" w:hAnsi="仿宋" w:eastAsia="仿宋" w:cs="仿宋"/>
          <w:b/>
          <w:bCs/>
          <w:color w:val="000000"/>
          <w:sz w:val="28"/>
          <w:szCs w:val="28"/>
          <w:highlight w:val="none"/>
          <w:u w:val="single"/>
          <w:lang w:val="en-US" w:eastAsia="zh-CN"/>
        </w:rPr>
        <w:t xml:space="preserve">对开大幕机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76.标的名称：</w:t>
      </w:r>
      <w:r>
        <w:rPr>
          <w:rFonts w:hint="eastAsia" w:ascii="仿宋" w:hAnsi="仿宋" w:eastAsia="仿宋" w:cs="仿宋"/>
          <w:b/>
          <w:bCs/>
          <w:color w:val="000000"/>
          <w:sz w:val="28"/>
          <w:szCs w:val="28"/>
          <w:highlight w:val="none"/>
          <w:u w:val="single"/>
          <w:lang w:val="en-US" w:eastAsia="zh-CN"/>
        </w:rPr>
        <w:t xml:space="preserve">电动灯光吊杆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77.标的名称：</w:t>
      </w:r>
      <w:r>
        <w:rPr>
          <w:rFonts w:hint="eastAsia" w:ascii="仿宋" w:hAnsi="仿宋" w:eastAsia="仿宋" w:cs="仿宋"/>
          <w:b/>
          <w:bCs/>
          <w:color w:val="000000"/>
          <w:sz w:val="28"/>
          <w:szCs w:val="28"/>
          <w:highlight w:val="none"/>
          <w:u w:val="single"/>
          <w:lang w:val="en-US" w:eastAsia="zh-CN"/>
        </w:rPr>
        <w:t xml:space="preserve">电动景物吊杆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78.标的名称：</w:t>
      </w:r>
      <w:r>
        <w:rPr>
          <w:rFonts w:hint="eastAsia" w:ascii="仿宋" w:hAnsi="仿宋" w:eastAsia="仿宋" w:cs="仿宋"/>
          <w:b/>
          <w:bCs/>
          <w:color w:val="000000"/>
          <w:sz w:val="28"/>
          <w:szCs w:val="28"/>
          <w:highlight w:val="none"/>
          <w:u w:val="single"/>
          <w:lang w:val="en-US" w:eastAsia="zh-CN"/>
        </w:rPr>
        <w:t xml:space="preserve">边沿幕吊杆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79.标的名称：</w:t>
      </w:r>
      <w:r>
        <w:rPr>
          <w:rFonts w:hint="eastAsia" w:ascii="仿宋" w:hAnsi="仿宋" w:eastAsia="仿宋" w:cs="仿宋"/>
          <w:b/>
          <w:bCs/>
          <w:color w:val="000000"/>
          <w:sz w:val="28"/>
          <w:szCs w:val="28"/>
          <w:highlight w:val="none"/>
          <w:u w:val="single"/>
          <w:lang w:val="en-US" w:eastAsia="zh-CN"/>
        </w:rPr>
        <w:t xml:space="preserve">对开二幕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80.标的名称：</w:t>
      </w:r>
      <w:r>
        <w:rPr>
          <w:rFonts w:hint="eastAsia" w:ascii="仿宋" w:hAnsi="仿宋" w:eastAsia="仿宋" w:cs="仿宋"/>
          <w:b/>
          <w:bCs/>
          <w:color w:val="000000"/>
          <w:sz w:val="28"/>
          <w:szCs w:val="28"/>
          <w:highlight w:val="none"/>
          <w:u w:val="single"/>
          <w:lang w:val="en-US" w:eastAsia="zh-CN"/>
        </w:rPr>
        <w:t xml:space="preserve">电动侧光吊杆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81.标的名称：</w:t>
      </w:r>
      <w:r>
        <w:rPr>
          <w:rFonts w:hint="eastAsia" w:ascii="仿宋" w:hAnsi="仿宋" w:eastAsia="仿宋" w:cs="仿宋"/>
          <w:b/>
          <w:bCs/>
          <w:color w:val="000000"/>
          <w:sz w:val="28"/>
          <w:szCs w:val="28"/>
          <w:highlight w:val="none"/>
          <w:u w:val="single"/>
          <w:lang w:val="en-US" w:eastAsia="zh-CN"/>
        </w:rPr>
        <w:t xml:space="preserve">耳光支架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82.标的名称：</w:t>
      </w:r>
      <w:r>
        <w:rPr>
          <w:rFonts w:hint="eastAsia" w:ascii="仿宋" w:hAnsi="仿宋" w:eastAsia="仿宋" w:cs="仿宋"/>
          <w:b/>
          <w:bCs/>
          <w:color w:val="000000"/>
          <w:sz w:val="28"/>
          <w:szCs w:val="28"/>
          <w:highlight w:val="none"/>
          <w:u w:val="single"/>
          <w:lang w:val="en-US" w:eastAsia="zh-CN"/>
        </w:rPr>
        <w:t xml:space="preserve">PLC控制系统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83标的名称：</w:t>
      </w:r>
      <w:r>
        <w:rPr>
          <w:rFonts w:hint="eastAsia" w:ascii="仿宋" w:hAnsi="仿宋" w:eastAsia="仿宋" w:cs="仿宋"/>
          <w:b/>
          <w:bCs/>
          <w:color w:val="000000"/>
          <w:sz w:val="28"/>
          <w:szCs w:val="28"/>
          <w:highlight w:val="none"/>
          <w:u w:val="single"/>
          <w:lang w:val="en-US" w:eastAsia="zh-CN"/>
        </w:rPr>
        <w:t xml:space="preserve">舞台机械栅顶及全沉浸式控制系统模块造型支架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84.标的名称：</w:t>
      </w:r>
      <w:r>
        <w:rPr>
          <w:rFonts w:hint="eastAsia" w:ascii="仿宋" w:hAnsi="仿宋" w:eastAsia="仿宋" w:cs="仿宋"/>
          <w:b/>
          <w:bCs/>
          <w:color w:val="000000"/>
          <w:sz w:val="28"/>
          <w:szCs w:val="28"/>
          <w:highlight w:val="none"/>
          <w:u w:val="single"/>
          <w:lang w:val="en-US" w:eastAsia="zh-CN"/>
        </w:rPr>
        <w:t xml:space="preserve">全沉浸式系统模块</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85.标的名称：</w:t>
      </w:r>
      <w:r>
        <w:rPr>
          <w:rFonts w:hint="eastAsia" w:ascii="仿宋" w:hAnsi="仿宋" w:eastAsia="仿宋" w:cs="仿宋"/>
          <w:b/>
          <w:bCs/>
          <w:color w:val="000000"/>
          <w:sz w:val="28"/>
          <w:szCs w:val="28"/>
          <w:highlight w:val="none"/>
          <w:u w:val="single"/>
          <w:lang w:val="en-US" w:eastAsia="zh-CN"/>
        </w:rPr>
        <w:t xml:space="preserve">大幕前檐幕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86.标的名称：</w:t>
      </w:r>
      <w:r>
        <w:rPr>
          <w:rFonts w:hint="eastAsia" w:ascii="仿宋" w:hAnsi="仿宋" w:eastAsia="仿宋" w:cs="仿宋"/>
          <w:b/>
          <w:bCs/>
          <w:color w:val="000000"/>
          <w:sz w:val="28"/>
          <w:szCs w:val="28"/>
          <w:highlight w:val="none"/>
          <w:u w:val="single"/>
          <w:lang w:val="en-US" w:eastAsia="zh-CN"/>
        </w:rPr>
        <w:t xml:space="preserve">大幕前沿幕衬里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87.标的名称：</w:t>
      </w:r>
      <w:r>
        <w:rPr>
          <w:rFonts w:hint="eastAsia" w:ascii="仿宋" w:hAnsi="仿宋" w:eastAsia="仿宋" w:cs="仿宋"/>
          <w:b/>
          <w:bCs/>
          <w:color w:val="000000"/>
          <w:sz w:val="28"/>
          <w:szCs w:val="28"/>
          <w:highlight w:val="none"/>
          <w:u w:val="single"/>
          <w:lang w:val="en-US" w:eastAsia="zh-CN"/>
        </w:rPr>
        <w:t xml:space="preserve">对开大幕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88.标的名称：</w:t>
      </w:r>
      <w:r>
        <w:rPr>
          <w:rFonts w:hint="eastAsia" w:ascii="仿宋" w:hAnsi="仿宋" w:eastAsia="仿宋" w:cs="仿宋"/>
          <w:b/>
          <w:bCs/>
          <w:color w:val="000000"/>
          <w:sz w:val="28"/>
          <w:szCs w:val="28"/>
          <w:highlight w:val="none"/>
          <w:u w:val="single"/>
          <w:lang w:val="en-US" w:eastAsia="zh-CN"/>
        </w:rPr>
        <w:t xml:space="preserve">对开大幕衬里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89.标的名称：</w:t>
      </w:r>
      <w:r>
        <w:rPr>
          <w:rFonts w:hint="eastAsia" w:ascii="仿宋" w:hAnsi="仿宋" w:eastAsia="仿宋" w:cs="仿宋"/>
          <w:b/>
          <w:bCs/>
          <w:color w:val="000000"/>
          <w:sz w:val="28"/>
          <w:szCs w:val="28"/>
          <w:highlight w:val="none"/>
          <w:u w:val="single"/>
          <w:lang w:val="en-US" w:eastAsia="zh-CN"/>
        </w:rPr>
        <w:t xml:space="preserve">横条幕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90.标的名称：</w:t>
      </w:r>
      <w:r>
        <w:rPr>
          <w:rFonts w:hint="eastAsia" w:ascii="仿宋" w:hAnsi="仿宋" w:eastAsia="仿宋" w:cs="仿宋"/>
          <w:b/>
          <w:bCs/>
          <w:color w:val="000000"/>
          <w:sz w:val="28"/>
          <w:szCs w:val="28"/>
          <w:highlight w:val="none"/>
          <w:u w:val="single"/>
          <w:lang w:val="en-US" w:eastAsia="zh-CN"/>
        </w:rPr>
        <w:t xml:space="preserve">横条幕衬里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91.标的名称：</w:t>
      </w:r>
      <w:r>
        <w:rPr>
          <w:rFonts w:hint="eastAsia" w:ascii="仿宋" w:hAnsi="仿宋" w:eastAsia="仿宋" w:cs="仿宋"/>
          <w:b/>
          <w:bCs/>
          <w:color w:val="000000"/>
          <w:sz w:val="28"/>
          <w:szCs w:val="28"/>
          <w:highlight w:val="none"/>
          <w:u w:val="single"/>
          <w:lang w:val="en-US" w:eastAsia="zh-CN"/>
        </w:rPr>
        <w:t xml:space="preserve">侧条幕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92.标的名称：</w:t>
      </w:r>
      <w:r>
        <w:rPr>
          <w:rFonts w:hint="eastAsia" w:ascii="仿宋" w:hAnsi="仿宋" w:eastAsia="仿宋" w:cs="仿宋"/>
          <w:b/>
          <w:bCs/>
          <w:color w:val="000000"/>
          <w:sz w:val="28"/>
          <w:szCs w:val="28"/>
          <w:highlight w:val="none"/>
          <w:u w:val="single"/>
          <w:lang w:val="en-US" w:eastAsia="zh-CN"/>
        </w:rPr>
        <w:t xml:space="preserve">侧条幕衬里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93.标的名称：</w:t>
      </w:r>
      <w:r>
        <w:rPr>
          <w:rFonts w:hint="eastAsia" w:ascii="仿宋" w:hAnsi="仿宋" w:eastAsia="仿宋" w:cs="仿宋"/>
          <w:b/>
          <w:bCs/>
          <w:color w:val="000000"/>
          <w:sz w:val="28"/>
          <w:szCs w:val="28"/>
          <w:highlight w:val="none"/>
          <w:u w:val="single"/>
          <w:lang w:val="en-US" w:eastAsia="zh-CN"/>
        </w:rPr>
        <w:t xml:space="preserve">对开二幕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94.标的名称：</w:t>
      </w:r>
      <w:r>
        <w:rPr>
          <w:rFonts w:hint="eastAsia" w:ascii="仿宋" w:hAnsi="仿宋" w:eastAsia="仿宋" w:cs="仿宋"/>
          <w:b/>
          <w:bCs/>
          <w:color w:val="000000"/>
          <w:sz w:val="28"/>
          <w:szCs w:val="28"/>
          <w:highlight w:val="none"/>
          <w:u w:val="single"/>
          <w:lang w:val="en-US" w:eastAsia="zh-CN"/>
        </w:rPr>
        <w:t xml:space="preserve">拾音话筒吊装器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95.标的名称：</w:t>
      </w:r>
      <w:r>
        <w:rPr>
          <w:rFonts w:hint="eastAsia" w:ascii="仿宋" w:hAnsi="仿宋" w:eastAsia="仿宋" w:cs="仿宋"/>
          <w:b/>
          <w:bCs/>
          <w:color w:val="000000"/>
          <w:sz w:val="28"/>
          <w:szCs w:val="28"/>
          <w:highlight w:val="none"/>
          <w:u w:val="single"/>
          <w:lang w:val="en-US" w:eastAsia="zh-CN"/>
        </w:rPr>
        <w:t xml:space="preserve">手自一体PLC电源控制箱200KW</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96.标的名称：</w:t>
      </w:r>
      <w:r>
        <w:rPr>
          <w:rFonts w:hint="eastAsia" w:ascii="仿宋" w:hAnsi="仿宋" w:eastAsia="仿宋" w:cs="仿宋"/>
          <w:b/>
          <w:bCs/>
          <w:color w:val="000000"/>
          <w:sz w:val="28"/>
          <w:szCs w:val="28"/>
          <w:highlight w:val="none"/>
          <w:u w:val="single"/>
          <w:lang w:val="en-US" w:eastAsia="zh-CN"/>
        </w:rPr>
        <w:t xml:space="preserve">伸缩合唱台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97.标的名称：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98.标的名称：</w:t>
      </w:r>
      <w:r>
        <w:rPr>
          <w:rFonts w:hint="eastAsia" w:ascii="仿宋" w:hAnsi="仿宋" w:eastAsia="仿宋" w:cs="仿宋"/>
          <w:b/>
          <w:bCs/>
          <w:color w:val="000000"/>
          <w:sz w:val="28"/>
          <w:szCs w:val="28"/>
          <w:highlight w:val="none"/>
          <w:u w:val="single"/>
          <w:lang w:val="en-US" w:eastAsia="zh-CN"/>
        </w:rPr>
        <w:t xml:space="preserve">可编程中央控制主机（加触控终端）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99.标的名称：</w:t>
      </w:r>
      <w:r>
        <w:rPr>
          <w:rFonts w:hint="eastAsia" w:ascii="仿宋" w:hAnsi="仿宋" w:eastAsia="仿宋" w:cs="仿宋"/>
          <w:b/>
          <w:bCs/>
          <w:color w:val="000000"/>
          <w:sz w:val="28"/>
          <w:szCs w:val="28"/>
          <w:highlight w:val="none"/>
          <w:u w:val="single"/>
          <w:lang w:val="en-US" w:eastAsia="zh-CN"/>
        </w:rPr>
        <w:t xml:space="preserve">无线接收器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100.标的名称：</w:t>
      </w:r>
      <w:r>
        <w:rPr>
          <w:rFonts w:hint="eastAsia" w:ascii="仿宋" w:hAnsi="仿宋" w:eastAsia="仿宋" w:cs="仿宋"/>
          <w:b/>
          <w:bCs/>
          <w:color w:val="000000"/>
          <w:sz w:val="28"/>
          <w:szCs w:val="28"/>
          <w:highlight w:val="none"/>
          <w:u w:val="single"/>
          <w:lang w:val="en-US" w:eastAsia="zh-CN"/>
        </w:rPr>
        <w:t xml:space="preserve">红外发射棒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101.标的名称：</w:t>
      </w:r>
      <w:r>
        <w:rPr>
          <w:rFonts w:hint="eastAsia" w:ascii="仿宋" w:hAnsi="仿宋" w:eastAsia="仿宋" w:cs="仿宋"/>
          <w:b/>
          <w:bCs/>
          <w:color w:val="000000"/>
          <w:sz w:val="28"/>
          <w:szCs w:val="28"/>
          <w:highlight w:val="none"/>
          <w:u w:val="single"/>
          <w:lang w:val="en-US" w:eastAsia="zh-CN"/>
        </w:rPr>
        <w:t xml:space="preserve">系统软件单元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102.标的名称：</w:t>
      </w:r>
      <w:r>
        <w:rPr>
          <w:rFonts w:hint="eastAsia" w:ascii="仿宋" w:hAnsi="仿宋" w:eastAsia="仿宋" w:cs="仿宋"/>
          <w:b/>
          <w:bCs/>
          <w:color w:val="000000"/>
          <w:sz w:val="28"/>
          <w:szCs w:val="28"/>
          <w:highlight w:val="none"/>
          <w:u w:val="single"/>
          <w:lang w:val="en-US" w:eastAsia="zh-CN"/>
        </w:rPr>
        <w:t xml:space="preserve">协同中控控制接收系统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103.标的名称：</w:t>
      </w:r>
      <w:r>
        <w:rPr>
          <w:rFonts w:hint="eastAsia" w:ascii="仿宋" w:hAnsi="仿宋" w:eastAsia="仿宋" w:cs="仿宋"/>
          <w:b/>
          <w:bCs/>
          <w:color w:val="000000"/>
          <w:sz w:val="28"/>
          <w:szCs w:val="28"/>
          <w:highlight w:val="none"/>
          <w:u w:val="single"/>
          <w:lang w:val="en-US" w:eastAsia="zh-CN"/>
        </w:rPr>
        <w:t xml:space="preserve">电源控制器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104.标的名称：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105.标的名称：</w:t>
      </w:r>
      <w:r>
        <w:rPr>
          <w:rFonts w:hint="eastAsia" w:ascii="仿宋" w:hAnsi="仿宋" w:eastAsia="仿宋" w:cs="仿宋"/>
          <w:b/>
          <w:bCs/>
          <w:color w:val="000000"/>
          <w:sz w:val="28"/>
          <w:szCs w:val="28"/>
          <w:highlight w:val="none"/>
          <w:u w:val="single"/>
          <w:lang w:val="en-US" w:eastAsia="zh-CN"/>
        </w:rPr>
        <w:t xml:space="preserve">4K会议录播一体机（带显示终端）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106.标的名称：</w:t>
      </w:r>
      <w:r>
        <w:rPr>
          <w:rFonts w:hint="eastAsia" w:ascii="仿宋" w:hAnsi="仿宋" w:eastAsia="仿宋" w:cs="仿宋"/>
          <w:b/>
          <w:bCs/>
          <w:color w:val="000000"/>
          <w:sz w:val="28"/>
          <w:szCs w:val="28"/>
          <w:highlight w:val="none"/>
          <w:u w:val="single"/>
          <w:lang w:val="en-US" w:eastAsia="zh-CN"/>
        </w:rPr>
        <w:t xml:space="preserve">录播系统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107.标的名称：</w:t>
      </w:r>
      <w:r>
        <w:rPr>
          <w:rFonts w:hint="eastAsia" w:ascii="仿宋" w:hAnsi="仿宋" w:eastAsia="仿宋" w:cs="仿宋"/>
          <w:b/>
          <w:bCs/>
          <w:color w:val="000000"/>
          <w:sz w:val="28"/>
          <w:szCs w:val="28"/>
          <w:highlight w:val="none"/>
          <w:u w:val="single"/>
          <w:lang w:val="en-US" w:eastAsia="zh-CN"/>
        </w:rPr>
        <w:t xml:space="preserve">导播控制系统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108.标的名称：</w:t>
      </w:r>
      <w:r>
        <w:rPr>
          <w:rFonts w:hint="eastAsia" w:ascii="仿宋" w:hAnsi="仿宋" w:eastAsia="仿宋" w:cs="仿宋"/>
          <w:b/>
          <w:bCs/>
          <w:color w:val="000000"/>
          <w:sz w:val="28"/>
          <w:szCs w:val="28"/>
          <w:highlight w:val="none"/>
          <w:u w:val="single"/>
          <w:lang w:val="en-US" w:eastAsia="zh-CN"/>
        </w:rPr>
        <w:t xml:space="preserve">键鼠套装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109.标的名称：</w:t>
      </w:r>
      <w:r>
        <w:rPr>
          <w:rFonts w:hint="eastAsia" w:ascii="仿宋" w:hAnsi="仿宋" w:eastAsia="仿宋" w:cs="仿宋"/>
          <w:b/>
          <w:bCs/>
          <w:color w:val="000000"/>
          <w:sz w:val="28"/>
          <w:szCs w:val="28"/>
          <w:highlight w:val="none"/>
          <w:u w:val="single"/>
          <w:lang w:val="en-US" w:eastAsia="zh-CN"/>
        </w:rPr>
        <w:t xml:space="preserve">无线投屏器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110.标的名称：</w:t>
      </w:r>
      <w:r>
        <w:rPr>
          <w:rFonts w:hint="eastAsia" w:ascii="仿宋" w:hAnsi="仿宋" w:eastAsia="仿宋" w:cs="仿宋"/>
          <w:b/>
          <w:bCs/>
          <w:color w:val="000000"/>
          <w:sz w:val="28"/>
          <w:szCs w:val="28"/>
          <w:highlight w:val="none"/>
          <w:u w:val="single"/>
          <w:lang w:val="en-US" w:eastAsia="zh-CN"/>
        </w:rPr>
        <w:t xml:space="preserve">视频程序设计实训处理平台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111.标的名称：</w:t>
      </w:r>
      <w:r>
        <w:rPr>
          <w:rFonts w:hint="eastAsia" w:ascii="仿宋" w:hAnsi="仿宋" w:eastAsia="仿宋" w:cs="仿宋"/>
          <w:b/>
          <w:bCs/>
          <w:color w:val="000000"/>
          <w:sz w:val="28"/>
          <w:szCs w:val="28"/>
          <w:highlight w:val="none"/>
          <w:u w:val="single"/>
          <w:lang w:val="en-US" w:eastAsia="zh-CN"/>
        </w:rPr>
        <w:t xml:space="preserve">视频程序设计实训并发处理单元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112.标的名称：</w:t>
      </w:r>
      <w:r>
        <w:rPr>
          <w:rFonts w:hint="eastAsia" w:ascii="仿宋" w:hAnsi="仿宋" w:eastAsia="仿宋" w:cs="仿宋"/>
          <w:b/>
          <w:bCs/>
          <w:color w:val="000000"/>
          <w:sz w:val="28"/>
          <w:szCs w:val="28"/>
          <w:highlight w:val="none"/>
          <w:u w:val="single"/>
          <w:lang w:val="en-US" w:eastAsia="zh-CN"/>
        </w:rPr>
        <w:t xml:space="preserve">视频程序设计实训推理分析单元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113.标的名称：</w:t>
      </w:r>
      <w:r>
        <w:rPr>
          <w:rFonts w:hint="eastAsia" w:ascii="仿宋" w:hAnsi="仿宋" w:eastAsia="仿宋" w:cs="仿宋"/>
          <w:b/>
          <w:bCs/>
          <w:color w:val="000000"/>
          <w:sz w:val="28"/>
          <w:szCs w:val="28"/>
          <w:highlight w:val="none"/>
          <w:u w:val="single"/>
          <w:lang w:val="en-US" w:eastAsia="zh-CN"/>
        </w:rPr>
        <w:t xml:space="preserve">HDMI发送器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114.标的名称：</w:t>
      </w:r>
      <w:r>
        <w:rPr>
          <w:rFonts w:hint="eastAsia" w:ascii="仿宋" w:hAnsi="仿宋" w:eastAsia="仿宋" w:cs="仿宋"/>
          <w:b/>
          <w:bCs/>
          <w:color w:val="000000"/>
          <w:sz w:val="28"/>
          <w:szCs w:val="28"/>
          <w:highlight w:val="none"/>
          <w:u w:val="single"/>
          <w:lang w:val="en-US" w:eastAsia="zh-CN"/>
        </w:rPr>
        <w:t xml:space="preserve">HDMI接收器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115.标的名称：</w:t>
      </w:r>
      <w:r>
        <w:rPr>
          <w:rFonts w:hint="eastAsia" w:ascii="仿宋" w:hAnsi="仿宋" w:eastAsia="仿宋" w:cs="仿宋"/>
          <w:b/>
          <w:bCs/>
          <w:color w:val="000000"/>
          <w:sz w:val="28"/>
          <w:szCs w:val="28"/>
          <w:highlight w:val="none"/>
          <w:u w:val="single"/>
          <w:lang w:val="en-US" w:eastAsia="zh-CN"/>
        </w:rPr>
        <w:t xml:space="preserve">两厅互通传输系统发送端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116.标的名称：</w:t>
      </w:r>
      <w:r>
        <w:rPr>
          <w:rFonts w:hint="eastAsia" w:ascii="仿宋" w:hAnsi="仿宋" w:eastAsia="仿宋" w:cs="仿宋"/>
          <w:b/>
          <w:bCs/>
          <w:color w:val="000000"/>
          <w:sz w:val="28"/>
          <w:szCs w:val="28"/>
          <w:highlight w:val="none"/>
          <w:u w:val="single"/>
          <w:lang w:val="en-US" w:eastAsia="zh-CN"/>
        </w:rPr>
        <w:t xml:space="preserve">两厅互通传输系统接收端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117.标的名称：</w:t>
      </w:r>
      <w:r>
        <w:rPr>
          <w:rFonts w:hint="eastAsia" w:ascii="仿宋" w:hAnsi="仿宋" w:eastAsia="仿宋" w:cs="仿宋"/>
          <w:b/>
          <w:bCs/>
          <w:color w:val="000000"/>
          <w:sz w:val="28"/>
          <w:szCs w:val="28"/>
          <w:highlight w:val="none"/>
          <w:u w:val="single"/>
          <w:lang w:val="en-US" w:eastAsia="zh-CN"/>
        </w:rPr>
        <w:t xml:space="preserve">4K高清室内摄像机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118.标的名称：</w:t>
      </w:r>
      <w:r>
        <w:rPr>
          <w:rFonts w:hint="eastAsia" w:ascii="仿宋" w:hAnsi="仿宋" w:eastAsia="仿宋" w:cs="仿宋"/>
          <w:b/>
          <w:bCs/>
          <w:color w:val="000000"/>
          <w:sz w:val="28"/>
          <w:szCs w:val="28"/>
          <w:highlight w:val="none"/>
          <w:u w:val="single"/>
          <w:lang w:val="en-US" w:eastAsia="zh-CN"/>
        </w:rPr>
        <w:t xml:space="preserve">4K高清室内摄像机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119.标的名称：</w:t>
      </w:r>
      <w:r>
        <w:rPr>
          <w:rFonts w:hint="eastAsia" w:ascii="仿宋" w:hAnsi="仿宋" w:eastAsia="仿宋" w:cs="仿宋"/>
          <w:b/>
          <w:bCs/>
          <w:color w:val="000000"/>
          <w:sz w:val="28"/>
          <w:szCs w:val="28"/>
          <w:highlight w:val="none"/>
          <w:u w:val="single"/>
          <w:lang w:val="en-US" w:eastAsia="zh-CN"/>
        </w:rPr>
        <w:t xml:space="preserve">摄像头固定支架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120.标的名称：</w:t>
      </w:r>
      <w:r>
        <w:rPr>
          <w:rFonts w:hint="eastAsia" w:ascii="仿宋" w:hAnsi="仿宋" w:eastAsia="仿宋" w:cs="仿宋"/>
          <w:b/>
          <w:bCs/>
          <w:color w:val="000000"/>
          <w:sz w:val="28"/>
          <w:szCs w:val="28"/>
          <w:highlight w:val="none"/>
          <w:u w:val="single"/>
          <w:lang w:val="en-US" w:eastAsia="zh-CN"/>
        </w:rPr>
        <w:t xml:space="preserve">摄像机移动支架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121.标的名称：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122.标的名称：</w:t>
      </w:r>
      <w:r>
        <w:rPr>
          <w:rFonts w:hint="eastAsia" w:ascii="仿宋" w:hAnsi="仿宋" w:eastAsia="仿宋" w:cs="仿宋"/>
          <w:b/>
          <w:bCs/>
          <w:color w:val="000000"/>
          <w:sz w:val="28"/>
          <w:szCs w:val="28"/>
          <w:highlight w:val="none"/>
          <w:u w:val="single"/>
          <w:lang w:val="en-US" w:eastAsia="zh-CN"/>
        </w:rPr>
        <w:t xml:space="preserve">定制操作台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123.标的名称：</w:t>
      </w:r>
      <w:r>
        <w:rPr>
          <w:rFonts w:hint="eastAsia" w:ascii="仿宋" w:hAnsi="仿宋" w:eastAsia="仿宋" w:cs="仿宋"/>
          <w:b/>
          <w:bCs/>
          <w:color w:val="000000"/>
          <w:sz w:val="28"/>
          <w:szCs w:val="28"/>
          <w:highlight w:val="none"/>
          <w:u w:val="single"/>
          <w:lang w:val="en-US" w:eastAsia="zh-CN"/>
        </w:rPr>
        <w:t xml:space="preserve">控制室播控</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124.标的名称：</w:t>
      </w:r>
      <w:r>
        <w:rPr>
          <w:rFonts w:hint="eastAsia" w:ascii="仿宋" w:hAnsi="仿宋" w:eastAsia="仿宋" w:cs="仿宋"/>
          <w:b/>
          <w:bCs/>
          <w:color w:val="000000"/>
          <w:sz w:val="28"/>
          <w:szCs w:val="28"/>
          <w:highlight w:val="none"/>
          <w:u w:val="single"/>
          <w:lang w:val="en-US" w:eastAsia="zh-CN"/>
        </w:rPr>
        <w:t xml:space="preserve">立式话筒支架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125.标的名称：</w:t>
      </w:r>
      <w:r>
        <w:rPr>
          <w:rFonts w:hint="eastAsia" w:ascii="仿宋" w:hAnsi="仿宋" w:eastAsia="仿宋" w:cs="仿宋"/>
          <w:b/>
          <w:bCs/>
          <w:color w:val="000000"/>
          <w:sz w:val="28"/>
          <w:szCs w:val="28"/>
          <w:highlight w:val="none"/>
          <w:u w:val="single"/>
          <w:lang w:val="en-US" w:eastAsia="zh-CN"/>
        </w:rPr>
        <w:t xml:space="preserve">返听防滑剧院接口盒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126.标的名称：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127.标的名称：</w:t>
      </w:r>
      <w:r>
        <w:rPr>
          <w:rFonts w:hint="eastAsia" w:ascii="仿宋" w:hAnsi="仿宋" w:eastAsia="仿宋" w:cs="仿宋"/>
          <w:b/>
          <w:bCs/>
          <w:color w:val="000000"/>
          <w:sz w:val="28"/>
          <w:szCs w:val="28"/>
          <w:highlight w:val="none"/>
          <w:u w:val="single"/>
          <w:lang w:val="en-US" w:eastAsia="zh-CN"/>
        </w:rPr>
        <w:t xml:space="preserve">线阵列扬声器吊挂支架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128.标的名称：</w:t>
      </w:r>
      <w:r>
        <w:rPr>
          <w:rFonts w:hint="eastAsia" w:ascii="仿宋" w:hAnsi="仿宋" w:eastAsia="仿宋" w:cs="仿宋"/>
          <w:b/>
          <w:bCs/>
          <w:color w:val="000000"/>
          <w:sz w:val="28"/>
          <w:szCs w:val="28"/>
          <w:highlight w:val="none"/>
          <w:u w:val="single"/>
          <w:lang w:val="en-US" w:eastAsia="zh-CN"/>
        </w:rPr>
        <w:t xml:space="preserve">PDU机柜电源</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129.标的名称：</w:t>
      </w:r>
      <w:r>
        <w:rPr>
          <w:rFonts w:hint="eastAsia" w:ascii="仿宋" w:hAnsi="仿宋" w:eastAsia="仿宋" w:cs="仿宋"/>
          <w:b/>
          <w:bCs/>
          <w:color w:val="000000"/>
          <w:sz w:val="28"/>
          <w:szCs w:val="28"/>
          <w:highlight w:val="none"/>
          <w:u w:val="single"/>
          <w:lang w:val="en-US" w:eastAsia="zh-CN"/>
        </w:rPr>
        <w:t xml:space="preserve">跳线盘</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130.标的名称：</w:t>
      </w:r>
      <w:r>
        <w:rPr>
          <w:rFonts w:hint="eastAsia" w:ascii="仿宋" w:hAnsi="仿宋" w:eastAsia="仿宋" w:cs="仿宋"/>
          <w:b/>
          <w:bCs/>
          <w:color w:val="000000"/>
          <w:sz w:val="28"/>
          <w:szCs w:val="28"/>
          <w:highlight w:val="none"/>
          <w:u w:val="single"/>
          <w:lang w:val="en-US" w:eastAsia="zh-CN"/>
        </w:rPr>
        <w:t xml:space="preserve">电动葫芦</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131.标的名称：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132.标的名称：</w:t>
      </w:r>
      <w:r>
        <w:rPr>
          <w:rFonts w:hint="eastAsia" w:ascii="仿宋" w:hAnsi="仿宋" w:eastAsia="仿宋" w:cs="仿宋"/>
          <w:b/>
          <w:bCs/>
          <w:color w:val="000000"/>
          <w:sz w:val="28"/>
          <w:szCs w:val="28"/>
          <w:highlight w:val="none"/>
          <w:u w:val="single"/>
          <w:lang w:val="en-US" w:eastAsia="zh-CN"/>
        </w:rPr>
        <w:t xml:space="preserve">对讲主机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133.标的名称：</w:t>
      </w:r>
      <w:r>
        <w:rPr>
          <w:rFonts w:hint="eastAsia" w:ascii="仿宋" w:hAnsi="仿宋" w:eastAsia="仿宋" w:cs="仿宋"/>
          <w:b/>
          <w:bCs/>
          <w:color w:val="000000"/>
          <w:sz w:val="28"/>
          <w:szCs w:val="28"/>
          <w:highlight w:val="none"/>
          <w:u w:val="single"/>
          <w:lang w:val="en-US" w:eastAsia="zh-CN"/>
        </w:rPr>
        <w:t xml:space="preserve">对讲话筒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134.标的名称：</w:t>
      </w:r>
      <w:r>
        <w:rPr>
          <w:rFonts w:hint="eastAsia" w:ascii="仿宋" w:hAnsi="仿宋" w:eastAsia="仿宋" w:cs="仿宋"/>
          <w:b/>
          <w:bCs/>
          <w:color w:val="000000"/>
          <w:sz w:val="28"/>
          <w:szCs w:val="28"/>
          <w:highlight w:val="none"/>
          <w:u w:val="single"/>
          <w:lang w:val="en-US" w:eastAsia="zh-CN"/>
        </w:rPr>
        <w:t xml:space="preserve">壁挂音箱</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135.标的名称：</w:t>
      </w:r>
      <w:r>
        <w:rPr>
          <w:rFonts w:hint="eastAsia" w:ascii="仿宋" w:hAnsi="仿宋" w:eastAsia="仿宋" w:cs="仿宋"/>
          <w:b/>
          <w:bCs/>
          <w:color w:val="000000"/>
          <w:sz w:val="28"/>
          <w:szCs w:val="28"/>
          <w:highlight w:val="none"/>
          <w:u w:val="single"/>
          <w:lang w:val="en-US" w:eastAsia="zh-CN"/>
        </w:rPr>
        <w:t xml:space="preserve">音量控制开关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136.标的名称：</w:t>
      </w:r>
      <w:r>
        <w:rPr>
          <w:rFonts w:hint="eastAsia" w:ascii="仿宋" w:hAnsi="仿宋" w:eastAsia="仿宋" w:cs="仿宋"/>
          <w:b/>
          <w:bCs/>
          <w:color w:val="000000"/>
          <w:sz w:val="28"/>
          <w:szCs w:val="28"/>
          <w:highlight w:val="none"/>
          <w:u w:val="single"/>
          <w:lang w:val="en-US" w:eastAsia="zh-CN"/>
        </w:rPr>
        <w:t xml:space="preserve">协同控制终端系统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137.标的名称：</w:t>
      </w:r>
      <w:r>
        <w:rPr>
          <w:rFonts w:hint="eastAsia" w:ascii="仿宋" w:hAnsi="仿宋" w:eastAsia="仿宋" w:cs="仿宋"/>
          <w:b/>
          <w:bCs/>
          <w:color w:val="000000"/>
          <w:sz w:val="28"/>
          <w:szCs w:val="28"/>
          <w:highlight w:val="none"/>
          <w:u w:val="single"/>
          <w:lang w:val="en-US" w:eastAsia="zh-CN"/>
        </w:rPr>
        <w:t xml:space="preserve">协同控制核心系统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138.标的名称：</w:t>
      </w:r>
      <w:r>
        <w:rPr>
          <w:rFonts w:hint="eastAsia" w:ascii="仿宋" w:hAnsi="仿宋" w:eastAsia="仿宋" w:cs="仿宋"/>
          <w:b/>
          <w:bCs/>
          <w:color w:val="000000"/>
          <w:sz w:val="28"/>
          <w:szCs w:val="28"/>
          <w:highlight w:val="none"/>
          <w:u w:val="single"/>
          <w:lang w:val="en-US" w:eastAsia="zh-CN"/>
        </w:rPr>
        <w:t xml:space="preserve">协同控制孪生模块系统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139.标的名称：</w:t>
      </w:r>
      <w:r>
        <w:rPr>
          <w:rFonts w:hint="eastAsia" w:ascii="仿宋" w:hAnsi="仿宋" w:eastAsia="仿宋" w:cs="仿宋"/>
          <w:b/>
          <w:bCs/>
          <w:color w:val="000000"/>
          <w:sz w:val="28"/>
          <w:szCs w:val="28"/>
          <w:highlight w:val="none"/>
          <w:u w:val="single"/>
          <w:lang w:val="en-US" w:eastAsia="zh-CN"/>
        </w:rPr>
        <w:t xml:space="preserve">网络交换机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140.标的名称：</w:t>
      </w:r>
      <w:r>
        <w:rPr>
          <w:rFonts w:hint="eastAsia" w:ascii="仿宋" w:hAnsi="仿宋" w:eastAsia="仿宋" w:cs="仿宋"/>
          <w:b/>
          <w:bCs/>
          <w:color w:val="000000"/>
          <w:sz w:val="28"/>
          <w:szCs w:val="28"/>
          <w:highlight w:val="none"/>
          <w:u w:val="single"/>
          <w:lang w:val="en-US" w:eastAsia="zh-CN"/>
        </w:rPr>
        <w:t xml:space="preserve">高清200万网络红外半球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141.标的名称：</w:t>
      </w:r>
      <w:r>
        <w:rPr>
          <w:rFonts w:hint="eastAsia" w:ascii="仿宋" w:hAnsi="仿宋" w:eastAsia="仿宋" w:cs="仿宋"/>
          <w:b/>
          <w:bCs/>
          <w:color w:val="000000"/>
          <w:sz w:val="28"/>
          <w:szCs w:val="28"/>
          <w:highlight w:val="none"/>
          <w:u w:val="single"/>
          <w:lang w:val="en-US" w:eastAsia="zh-CN"/>
        </w:rPr>
        <w:t xml:space="preserve">网络硬盘录像机（带显示终端）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142.标的名称：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143.标的名称：</w:t>
      </w:r>
      <w:r>
        <w:rPr>
          <w:rFonts w:hint="eastAsia" w:ascii="仿宋" w:hAnsi="仿宋" w:eastAsia="仿宋" w:cs="仿宋"/>
          <w:b/>
          <w:bCs/>
          <w:color w:val="000000"/>
          <w:sz w:val="28"/>
          <w:szCs w:val="28"/>
          <w:highlight w:val="none"/>
          <w:u w:val="single"/>
          <w:lang w:val="en-US" w:eastAsia="zh-CN"/>
        </w:rPr>
        <w:t xml:space="preserve">左右主扩声线阵列扬声器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144.标的名称：</w:t>
      </w:r>
      <w:r>
        <w:rPr>
          <w:rFonts w:hint="eastAsia" w:ascii="仿宋" w:hAnsi="仿宋" w:eastAsia="仿宋" w:cs="仿宋"/>
          <w:b/>
          <w:bCs/>
          <w:color w:val="000000"/>
          <w:sz w:val="28"/>
          <w:szCs w:val="28"/>
          <w:highlight w:val="none"/>
          <w:u w:val="single"/>
          <w:lang w:val="en-US" w:eastAsia="zh-CN"/>
        </w:rPr>
        <w:t xml:space="preserve">低频扬声器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145.标的名称：</w:t>
      </w:r>
      <w:r>
        <w:rPr>
          <w:rFonts w:hint="eastAsia" w:ascii="仿宋" w:hAnsi="仿宋" w:eastAsia="仿宋" w:cs="仿宋"/>
          <w:b/>
          <w:bCs/>
          <w:color w:val="000000"/>
          <w:sz w:val="28"/>
          <w:szCs w:val="28"/>
          <w:highlight w:val="none"/>
          <w:u w:val="single"/>
          <w:lang w:val="en-US" w:eastAsia="zh-CN"/>
        </w:rPr>
        <w:t xml:space="preserve">流动返听扬声器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146.标的名称：</w:t>
      </w:r>
      <w:r>
        <w:rPr>
          <w:rFonts w:hint="eastAsia" w:ascii="仿宋" w:hAnsi="仿宋" w:eastAsia="仿宋" w:cs="仿宋"/>
          <w:b/>
          <w:bCs/>
          <w:color w:val="000000"/>
          <w:sz w:val="28"/>
          <w:szCs w:val="28"/>
          <w:highlight w:val="none"/>
          <w:u w:val="single"/>
          <w:lang w:val="en-US" w:eastAsia="zh-CN"/>
        </w:rPr>
        <w:t xml:space="preserve">同轴台唇扬声器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147.标的名称：</w:t>
      </w:r>
      <w:r>
        <w:rPr>
          <w:rFonts w:hint="eastAsia" w:ascii="仿宋" w:hAnsi="仿宋" w:eastAsia="仿宋" w:cs="仿宋"/>
          <w:b/>
          <w:bCs/>
          <w:color w:val="000000"/>
          <w:sz w:val="28"/>
          <w:szCs w:val="28"/>
          <w:highlight w:val="none"/>
          <w:u w:val="single"/>
          <w:lang w:val="en-US" w:eastAsia="zh-CN"/>
        </w:rPr>
        <w:t xml:space="preserve">左右主扩声线阵列扬声器功率放大器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148.标的名称：</w:t>
      </w:r>
      <w:r>
        <w:rPr>
          <w:rFonts w:hint="eastAsia" w:ascii="仿宋" w:hAnsi="仿宋" w:eastAsia="仿宋" w:cs="仿宋"/>
          <w:b/>
          <w:bCs/>
          <w:color w:val="000000"/>
          <w:sz w:val="28"/>
          <w:szCs w:val="28"/>
          <w:highlight w:val="none"/>
          <w:u w:val="single"/>
          <w:lang w:val="en-US" w:eastAsia="zh-CN"/>
        </w:rPr>
        <w:t xml:space="preserve">低频扬声器功率放大器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149.标的名称：</w:t>
      </w:r>
      <w:r>
        <w:rPr>
          <w:rFonts w:hint="eastAsia" w:ascii="仿宋" w:hAnsi="仿宋" w:eastAsia="仿宋" w:cs="仿宋"/>
          <w:b/>
          <w:bCs/>
          <w:color w:val="000000"/>
          <w:sz w:val="28"/>
          <w:szCs w:val="28"/>
          <w:highlight w:val="none"/>
          <w:u w:val="single"/>
          <w:lang w:val="en-US" w:eastAsia="zh-CN"/>
        </w:rPr>
        <w:t xml:space="preserve">流动返听扬声器功率放大器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150.标的名称：</w:t>
      </w:r>
      <w:r>
        <w:rPr>
          <w:rFonts w:hint="eastAsia" w:ascii="仿宋" w:hAnsi="仿宋" w:eastAsia="仿宋" w:cs="仿宋"/>
          <w:b/>
          <w:bCs/>
          <w:color w:val="000000"/>
          <w:sz w:val="28"/>
          <w:szCs w:val="28"/>
          <w:highlight w:val="none"/>
          <w:u w:val="single"/>
          <w:lang w:val="en-US" w:eastAsia="zh-CN"/>
        </w:rPr>
        <w:t xml:space="preserve">同轴台唇扬声器功率放大器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151.标的名称：</w:t>
      </w:r>
      <w:r>
        <w:rPr>
          <w:rFonts w:hint="eastAsia" w:ascii="仿宋" w:hAnsi="仿宋" w:eastAsia="仿宋" w:cs="仿宋"/>
          <w:b/>
          <w:bCs/>
          <w:color w:val="000000"/>
          <w:sz w:val="28"/>
          <w:szCs w:val="28"/>
          <w:highlight w:val="none"/>
          <w:u w:val="single"/>
          <w:lang w:val="en-US" w:eastAsia="zh-CN"/>
        </w:rPr>
        <w:t xml:space="preserve">16路数字音频处理器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152.标的名称：</w:t>
      </w:r>
      <w:r>
        <w:rPr>
          <w:rFonts w:hint="eastAsia" w:ascii="仿宋" w:hAnsi="仿宋" w:eastAsia="仿宋" w:cs="仿宋"/>
          <w:b/>
          <w:bCs/>
          <w:color w:val="000000"/>
          <w:sz w:val="28"/>
          <w:szCs w:val="28"/>
          <w:highlight w:val="none"/>
          <w:u w:val="single"/>
          <w:lang w:val="en-US" w:eastAsia="zh-CN"/>
        </w:rPr>
        <w:t xml:space="preserve">16路数字调音台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153.标的名称：</w:t>
      </w:r>
      <w:r>
        <w:rPr>
          <w:rFonts w:hint="eastAsia" w:ascii="仿宋" w:hAnsi="仿宋" w:eastAsia="仿宋" w:cs="仿宋"/>
          <w:b/>
          <w:bCs/>
          <w:color w:val="000000"/>
          <w:sz w:val="28"/>
          <w:szCs w:val="28"/>
          <w:highlight w:val="none"/>
          <w:u w:val="single"/>
          <w:lang w:val="en-US" w:eastAsia="zh-CN"/>
        </w:rPr>
        <w:t xml:space="preserve">同轴有源监听音箱</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154.标的名称：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155.标的名称：</w:t>
      </w:r>
      <w:r>
        <w:rPr>
          <w:rFonts w:hint="eastAsia" w:ascii="仿宋" w:hAnsi="仿宋" w:eastAsia="仿宋" w:cs="仿宋"/>
          <w:b/>
          <w:bCs/>
          <w:color w:val="000000"/>
          <w:sz w:val="28"/>
          <w:szCs w:val="28"/>
          <w:highlight w:val="none"/>
          <w:u w:val="single"/>
          <w:lang w:val="en-US" w:eastAsia="zh-CN"/>
        </w:rPr>
        <w:t xml:space="preserve">四通道真分集接收机(Dante)</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156.标的名称：</w:t>
      </w:r>
      <w:r>
        <w:rPr>
          <w:rFonts w:hint="eastAsia" w:ascii="仿宋" w:hAnsi="仿宋" w:eastAsia="仿宋" w:cs="仿宋"/>
          <w:b/>
          <w:bCs/>
          <w:color w:val="000000"/>
          <w:sz w:val="28"/>
          <w:szCs w:val="28"/>
          <w:highlight w:val="none"/>
          <w:u w:val="single"/>
          <w:lang w:val="en-US" w:eastAsia="zh-CN"/>
        </w:rPr>
        <w:t xml:space="preserve">无线会议话筒（方管）</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157.标的名称：</w:t>
      </w:r>
      <w:r>
        <w:rPr>
          <w:rFonts w:hint="eastAsia" w:ascii="仿宋" w:hAnsi="仿宋" w:eastAsia="仿宋" w:cs="仿宋"/>
          <w:b/>
          <w:bCs/>
          <w:color w:val="000000"/>
          <w:sz w:val="28"/>
          <w:szCs w:val="28"/>
          <w:highlight w:val="none"/>
          <w:u w:val="single"/>
          <w:lang w:val="en-US" w:eastAsia="zh-CN"/>
        </w:rPr>
        <w:t xml:space="preserve">无线手持话筒套装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158.标的名称：</w:t>
      </w:r>
      <w:r>
        <w:rPr>
          <w:rFonts w:hint="eastAsia" w:ascii="仿宋" w:hAnsi="仿宋" w:eastAsia="仿宋" w:cs="仿宋"/>
          <w:b/>
          <w:bCs/>
          <w:color w:val="000000"/>
          <w:sz w:val="28"/>
          <w:szCs w:val="28"/>
          <w:highlight w:val="none"/>
          <w:u w:val="single"/>
          <w:lang w:val="en-US" w:eastAsia="zh-CN"/>
        </w:rPr>
        <w:t xml:space="preserve">无线头戴话筒套装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159.标的名称：</w:t>
      </w:r>
      <w:r>
        <w:rPr>
          <w:rFonts w:hint="eastAsia" w:ascii="仿宋" w:hAnsi="仿宋" w:eastAsia="仿宋" w:cs="仿宋"/>
          <w:b/>
          <w:bCs/>
          <w:color w:val="000000"/>
          <w:sz w:val="28"/>
          <w:szCs w:val="28"/>
          <w:highlight w:val="none"/>
          <w:u w:val="single"/>
          <w:lang w:val="en-US" w:eastAsia="zh-CN"/>
        </w:rPr>
        <w:t xml:space="preserve">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160.标的名称：</w:t>
      </w:r>
      <w:r>
        <w:rPr>
          <w:rFonts w:hint="eastAsia" w:ascii="仿宋" w:hAnsi="仿宋" w:eastAsia="仿宋" w:cs="仿宋"/>
          <w:b/>
          <w:bCs/>
          <w:color w:val="000000"/>
          <w:sz w:val="28"/>
          <w:szCs w:val="28"/>
          <w:highlight w:val="none"/>
          <w:u w:val="single"/>
          <w:lang w:val="en-US" w:eastAsia="zh-CN"/>
        </w:rPr>
        <w:t xml:space="preserve">有源指向性天线</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161.标的名称：</w:t>
      </w:r>
      <w:r>
        <w:rPr>
          <w:rFonts w:hint="eastAsia" w:ascii="仿宋" w:hAnsi="仿宋" w:eastAsia="仿宋" w:cs="仿宋"/>
          <w:b/>
          <w:bCs/>
          <w:color w:val="000000"/>
          <w:sz w:val="28"/>
          <w:szCs w:val="28"/>
          <w:highlight w:val="none"/>
          <w:u w:val="single"/>
          <w:lang w:val="en-US" w:eastAsia="zh-CN"/>
        </w:rPr>
        <w:t xml:space="preserve">演讲台有线鹅颈会议话筒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162.标的名称：</w:t>
      </w:r>
      <w:r>
        <w:rPr>
          <w:rFonts w:hint="eastAsia" w:ascii="仿宋" w:hAnsi="仿宋" w:eastAsia="仿宋" w:cs="仿宋"/>
          <w:b/>
          <w:bCs/>
          <w:color w:val="000000"/>
          <w:sz w:val="28"/>
          <w:szCs w:val="28"/>
          <w:highlight w:val="none"/>
          <w:u w:val="single"/>
          <w:lang w:val="en-US" w:eastAsia="zh-CN"/>
        </w:rPr>
        <w:t xml:space="preserve">矮推车式提词系统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163.标的名称：</w:t>
      </w:r>
      <w:r>
        <w:rPr>
          <w:rFonts w:hint="eastAsia" w:ascii="仿宋" w:hAnsi="仿宋" w:eastAsia="仿宋" w:cs="仿宋"/>
          <w:b/>
          <w:bCs/>
          <w:color w:val="000000"/>
          <w:sz w:val="28"/>
          <w:szCs w:val="28"/>
          <w:highlight w:val="none"/>
          <w:u w:val="single"/>
          <w:lang w:val="en-US" w:eastAsia="zh-CN"/>
        </w:rPr>
        <w:t xml:space="preserve">隔离变压器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164.标的名称：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165.标的名称：</w:t>
      </w:r>
      <w:r>
        <w:rPr>
          <w:rFonts w:hint="eastAsia" w:ascii="仿宋" w:hAnsi="仿宋" w:eastAsia="仿宋" w:cs="仿宋"/>
          <w:b/>
          <w:bCs/>
          <w:color w:val="000000"/>
          <w:sz w:val="28"/>
          <w:szCs w:val="28"/>
          <w:highlight w:val="none"/>
          <w:u w:val="single"/>
          <w:lang w:val="en-US" w:eastAsia="zh-CN"/>
        </w:rPr>
        <w:t xml:space="preserve">一道面光( LED远程聚光灯）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166.标的名称：</w:t>
      </w:r>
      <w:r>
        <w:rPr>
          <w:rFonts w:hint="eastAsia" w:ascii="仿宋" w:hAnsi="仿宋" w:eastAsia="仿宋" w:cs="仿宋"/>
          <w:b/>
          <w:bCs/>
          <w:color w:val="000000"/>
          <w:sz w:val="28"/>
          <w:szCs w:val="28"/>
          <w:highlight w:val="none"/>
          <w:u w:val="single"/>
          <w:lang w:val="en-US" w:eastAsia="zh-CN"/>
        </w:rPr>
        <w:t xml:space="preserve">一道顶光（LED染色灯）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167.标的名称：</w:t>
      </w:r>
      <w:r>
        <w:rPr>
          <w:rFonts w:hint="eastAsia" w:ascii="仿宋" w:hAnsi="仿宋" w:eastAsia="仿宋" w:cs="仿宋"/>
          <w:b/>
          <w:bCs/>
          <w:color w:val="000000"/>
          <w:sz w:val="28"/>
          <w:szCs w:val="28"/>
          <w:highlight w:val="none"/>
          <w:u w:val="single"/>
          <w:lang w:val="en-US" w:eastAsia="zh-CN"/>
        </w:rPr>
        <w:t xml:space="preserve">一道顶光（LED平板会议灯）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168.标的名称：</w:t>
      </w:r>
      <w:r>
        <w:rPr>
          <w:rFonts w:hint="eastAsia" w:ascii="仿宋" w:hAnsi="仿宋" w:eastAsia="仿宋" w:cs="仿宋"/>
          <w:b/>
          <w:bCs/>
          <w:color w:val="000000"/>
          <w:sz w:val="28"/>
          <w:szCs w:val="28"/>
          <w:highlight w:val="none"/>
          <w:u w:val="single"/>
          <w:lang w:val="en-US" w:eastAsia="zh-CN"/>
        </w:rPr>
        <w:t xml:space="preserve">二道顶光（LED染色灯）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169.标的名称：</w:t>
      </w:r>
      <w:r>
        <w:rPr>
          <w:rFonts w:hint="eastAsia" w:ascii="仿宋" w:hAnsi="仿宋" w:eastAsia="仿宋" w:cs="仿宋"/>
          <w:b/>
          <w:bCs/>
          <w:color w:val="000000"/>
          <w:sz w:val="28"/>
          <w:szCs w:val="28"/>
          <w:highlight w:val="none"/>
          <w:u w:val="single"/>
          <w:lang w:val="en-US" w:eastAsia="zh-CN"/>
        </w:rPr>
        <w:t xml:space="preserve">二道顶光（LED平板会议灯）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170.标的名称：</w:t>
      </w:r>
      <w:r>
        <w:rPr>
          <w:rFonts w:hint="eastAsia" w:ascii="仿宋" w:hAnsi="仿宋" w:eastAsia="仿宋" w:cs="仿宋"/>
          <w:b/>
          <w:bCs/>
          <w:color w:val="000000"/>
          <w:sz w:val="28"/>
          <w:szCs w:val="28"/>
          <w:highlight w:val="none"/>
          <w:u w:val="single"/>
          <w:lang w:val="en-US" w:eastAsia="zh-CN"/>
        </w:rPr>
        <w:t xml:space="preserve">二道顶光（光束摇头灯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171.标的名称：</w:t>
      </w:r>
      <w:r>
        <w:rPr>
          <w:rFonts w:hint="eastAsia" w:ascii="仿宋" w:hAnsi="仿宋" w:eastAsia="仿宋" w:cs="仿宋"/>
          <w:b/>
          <w:bCs/>
          <w:color w:val="000000"/>
          <w:sz w:val="28"/>
          <w:szCs w:val="28"/>
          <w:highlight w:val="none"/>
          <w:u w:val="single"/>
          <w:lang w:val="en-US" w:eastAsia="zh-CN"/>
        </w:rPr>
        <w:t xml:space="preserve">一道逆光（LED染色灯）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172.标的名称：</w:t>
      </w:r>
      <w:r>
        <w:rPr>
          <w:rFonts w:hint="eastAsia" w:ascii="仿宋" w:hAnsi="仿宋" w:eastAsia="仿宋" w:cs="仿宋"/>
          <w:b/>
          <w:bCs/>
          <w:color w:val="000000"/>
          <w:sz w:val="28"/>
          <w:szCs w:val="28"/>
          <w:highlight w:val="none"/>
          <w:u w:val="single"/>
          <w:lang w:val="en-US" w:eastAsia="zh-CN"/>
        </w:rPr>
        <w:t xml:space="preserve">一道逆光（光束摇头灯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173.标的名称：</w:t>
      </w:r>
      <w:r>
        <w:rPr>
          <w:rFonts w:hint="eastAsia" w:ascii="仿宋" w:hAnsi="仿宋" w:eastAsia="仿宋" w:cs="仿宋"/>
          <w:b/>
          <w:bCs/>
          <w:color w:val="000000"/>
          <w:sz w:val="28"/>
          <w:szCs w:val="28"/>
          <w:highlight w:val="none"/>
          <w:u w:val="single"/>
          <w:lang w:val="en-US" w:eastAsia="zh-CN"/>
        </w:rPr>
        <w:t xml:space="preserve">两道侧光（LED染色灯）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174.标的名称：</w:t>
      </w:r>
      <w:r>
        <w:rPr>
          <w:rFonts w:hint="eastAsia" w:ascii="仿宋" w:hAnsi="仿宋" w:eastAsia="仿宋" w:cs="仿宋"/>
          <w:b/>
          <w:bCs/>
          <w:color w:val="000000"/>
          <w:sz w:val="28"/>
          <w:szCs w:val="28"/>
          <w:highlight w:val="none"/>
          <w:u w:val="single"/>
          <w:lang w:val="en-US" w:eastAsia="zh-CN"/>
        </w:rPr>
        <w:t xml:space="preserve">两道侧光（光束摇头灯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175.标的名称：</w:t>
      </w:r>
      <w:r>
        <w:rPr>
          <w:rFonts w:hint="eastAsia" w:ascii="仿宋" w:hAnsi="仿宋" w:eastAsia="仿宋" w:cs="仿宋"/>
          <w:b/>
          <w:bCs/>
          <w:color w:val="000000"/>
          <w:sz w:val="28"/>
          <w:szCs w:val="28"/>
          <w:highlight w:val="none"/>
          <w:u w:val="single"/>
          <w:lang w:val="en-US" w:eastAsia="zh-CN"/>
        </w:rPr>
        <w:t xml:space="preserve">追光灯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176.标的名称：</w:t>
      </w:r>
      <w:r>
        <w:rPr>
          <w:rFonts w:hint="eastAsia" w:ascii="仿宋" w:hAnsi="仿宋" w:eastAsia="仿宋" w:cs="仿宋"/>
          <w:b/>
          <w:bCs/>
          <w:color w:val="000000"/>
          <w:sz w:val="28"/>
          <w:szCs w:val="28"/>
          <w:highlight w:val="none"/>
          <w:u w:val="single"/>
          <w:lang w:val="en-US" w:eastAsia="zh-CN"/>
        </w:rPr>
        <w:t xml:space="preserve">信号放大器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177.标的名称：</w:t>
      </w:r>
      <w:r>
        <w:rPr>
          <w:rFonts w:hint="eastAsia" w:ascii="仿宋" w:hAnsi="仿宋" w:eastAsia="仿宋" w:cs="仿宋"/>
          <w:b/>
          <w:bCs/>
          <w:color w:val="000000"/>
          <w:sz w:val="28"/>
          <w:szCs w:val="28"/>
          <w:highlight w:val="none"/>
          <w:u w:val="single"/>
          <w:lang w:val="en-US" w:eastAsia="zh-CN"/>
        </w:rPr>
        <w:t xml:space="preserve">智能配电柜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178.标的名称：</w:t>
      </w:r>
      <w:r>
        <w:rPr>
          <w:rFonts w:hint="eastAsia" w:ascii="仿宋" w:hAnsi="仿宋" w:eastAsia="仿宋" w:cs="仿宋"/>
          <w:b/>
          <w:bCs/>
          <w:color w:val="000000"/>
          <w:sz w:val="28"/>
          <w:szCs w:val="28"/>
          <w:highlight w:val="none"/>
          <w:u w:val="single"/>
          <w:lang w:val="en-US" w:eastAsia="zh-CN"/>
        </w:rPr>
        <w:t xml:space="preserve">电脑灯控台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179.标的名称：</w:t>
      </w:r>
      <w:r>
        <w:rPr>
          <w:rFonts w:hint="eastAsia" w:ascii="仿宋" w:hAnsi="仿宋" w:eastAsia="仿宋" w:cs="仿宋"/>
          <w:b/>
          <w:bCs/>
          <w:color w:val="000000"/>
          <w:sz w:val="28"/>
          <w:szCs w:val="28"/>
          <w:highlight w:val="none"/>
          <w:u w:val="single"/>
          <w:lang w:val="en-US" w:eastAsia="zh-CN"/>
        </w:rPr>
        <w:t xml:space="preserve">智能控制系统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180.标的名称：</w:t>
      </w:r>
      <w:r>
        <w:rPr>
          <w:rFonts w:hint="eastAsia" w:ascii="仿宋" w:hAnsi="仿宋" w:eastAsia="仿宋" w:cs="仿宋"/>
          <w:b/>
          <w:bCs/>
          <w:color w:val="000000"/>
          <w:sz w:val="28"/>
          <w:szCs w:val="28"/>
          <w:highlight w:val="none"/>
          <w:u w:val="single"/>
          <w:lang w:val="en-US" w:eastAsia="zh-CN"/>
        </w:rPr>
        <w:t xml:space="preserve">薄雾烟机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181.标的名称：</w:t>
      </w:r>
      <w:r>
        <w:rPr>
          <w:rFonts w:hint="eastAsia" w:ascii="仿宋" w:hAnsi="仿宋" w:eastAsia="仿宋" w:cs="仿宋"/>
          <w:b/>
          <w:bCs/>
          <w:color w:val="000000"/>
          <w:sz w:val="28"/>
          <w:szCs w:val="28"/>
          <w:highlight w:val="none"/>
          <w:u w:val="single"/>
          <w:lang w:val="en-US" w:eastAsia="zh-CN"/>
        </w:rPr>
        <w:t xml:space="preserve">薄雾烟油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182.标的名称：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183.标的名称：</w:t>
      </w:r>
      <w:r>
        <w:rPr>
          <w:rFonts w:hint="eastAsia" w:ascii="仿宋" w:hAnsi="仿宋" w:eastAsia="仿宋" w:cs="仿宋"/>
          <w:b/>
          <w:bCs/>
          <w:color w:val="000000"/>
          <w:sz w:val="28"/>
          <w:szCs w:val="28"/>
          <w:highlight w:val="none"/>
          <w:u w:val="single"/>
          <w:lang w:val="en-US" w:eastAsia="zh-CN"/>
        </w:rPr>
        <w:t xml:space="preserve">舞台机械控制终端吊杆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184.标的名称：</w:t>
      </w:r>
      <w:r>
        <w:rPr>
          <w:rFonts w:hint="eastAsia" w:ascii="仿宋" w:hAnsi="仿宋" w:eastAsia="仿宋" w:cs="仿宋"/>
          <w:b/>
          <w:bCs/>
          <w:color w:val="000000"/>
          <w:sz w:val="28"/>
          <w:szCs w:val="28"/>
          <w:highlight w:val="none"/>
          <w:u w:val="single"/>
          <w:lang w:val="en-US" w:eastAsia="zh-CN"/>
        </w:rPr>
        <w:t xml:space="preserve">舞台机械全沉浸式控制系统模块</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185.标的名称：</w:t>
      </w:r>
      <w:r>
        <w:rPr>
          <w:rFonts w:hint="eastAsia" w:ascii="仿宋" w:hAnsi="仿宋" w:eastAsia="仿宋" w:cs="仿宋"/>
          <w:b/>
          <w:bCs/>
          <w:color w:val="000000"/>
          <w:sz w:val="28"/>
          <w:szCs w:val="28"/>
          <w:highlight w:val="none"/>
          <w:u w:val="single"/>
          <w:lang w:val="en-US" w:eastAsia="zh-CN"/>
        </w:rPr>
        <w:t xml:space="preserve">大灯钩</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186.标的名称：</w:t>
      </w:r>
      <w:r>
        <w:rPr>
          <w:rFonts w:hint="eastAsia" w:ascii="仿宋" w:hAnsi="仿宋" w:eastAsia="仿宋" w:cs="仿宋"/>
          <w:b/>
          <w:bCs/>
          <w:color w:val="000000"/>
          <w:sz w:val="28"/>
          <w:szCs w:val="28"/>
          <w:highlight w:val="none"/>
          <w:u w:val="single"/>
          <w:lang w:val="en-US" w:eastAsia="zh-CN"/>
        </w:rPr>
        <w:t xml:space="preserve">保险绳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187.标的名称：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188.标的名称：</w:t>
      </w:r>
      <w:r>
        <w:rPr>
          <w:rFonts w:hint="eastAsia" w:ascii="仿宋" w:hAnsi="仿宋" w:eastAsia="仿宋" w:cs="仿宋"/>
          <w:b/>
          <w:bCs/>
          <w:color w:val="000000"/>
          <w:sz w:val="28"/>
          <w:szCs w:val="28"/>
          <w:highlight w:val="none"/>
          <w:u w:val="single"/>
          <w:lang w:val="en-US" w:eastAsia="zh-CN"/>
        </w:rPr>
        <w:t xml:space="preserve">可编程中央控制主机（加触控终端）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189.标的名称：</w:t>
      </w:r>
      <w:r>
        <w:rPr>
          <w:rFonts w:hint="eastAsia" w:ascii="仿宋" w:hAnsi="仿宋" w:eastAsia="仿宋" w:cs="仿宋"/>
          <w:b/>
          <w:bCs/>
          <w:color w:val="000000"/>
          <w:sz w:val="28"/>
          <w:szCs w:val="28"/>
          <w:highlight w:val="none"/>
          <w:u w:val="single"/>
          <w:lang w:val="en-US" w:eastAsia="zh-CN"/>
        </w:rPr>
        <w:t xml:space="preserve">无线接收器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190.标的名称：</w:t>
      </w:r>
      <w:r>
        <w:rPr>
          <w:rFonts w:hint="eastAsia" w:ascii="仿宋" w:hAnsi="仿宋" w:eastAsia="仿宋" w:cs="仿宋"/>
          <w:b/>
          <w:bCs/>
          <w:color w:val="000000"/>
          <w:sz w:val="28"/>
          <w:szCs w:val="28"/>
          <w:highlight w:val="none"/>
          <w:u w:val="single"/>
          <w:lang w:val="en-US" w:eastAsia="zh-CN"/>
        </w:rPr>
        <w:t xml:space="preserve">红外发射棒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191.标的名称：</w:t>
      </w:r>
      <w:r>
        <w:rPr>
          <w:rFonts w:hint="eastAsia" w:ascii="仿宋" w:hAnsi="仿宋" w:eastAsia="仿宋" w:cs="仿宋"/>
          <w:b/>
          <w:bCs/>
          <w:color w:val="000000"/>
          <w:sz w:val="28"/>
          <w:szCs w:val="28"/>
          <w:highlight w:val="none"/>
          <w:u w:val="single"/>
          <w:lang w:val="en-US" w:eastAsia="zh-CN"/>
        </w:rPr>
        <w:t xml:space="preserve">协同中控控制子系统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192.标的名称：</w:t>
      </w:r>
      <w:r>
        <w:rPr>
          <w:rFonts w:hint="eastAsia" w:ascii="仿宋" w:hAnsi="仿宋" w:eastAsia="仿宋" w:cs="仿宋"/>
          <w:b/>
          <w:bCs/>
          <w:color w:val="000000"/>
          <w:sz w:val="28"/>
          <w:szCs w:val="28"/>
          <w:highlight w:val="none"/>
          <w:u w:val="single"/>
          <w:lang w:val="en-US" w:eastAsia="zh-CN"/>
        </w:rPr>
        <w:t xml:space="preserve">系统软件单元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193.标的名称：</w:t>
      </w:r>
      <w:r>
        <w:rPr>
          <w:rFonts w:hint="eastAsia" w:ascii="仿宋" w:hAnsi="仿宋" w:eastAsia="仿宋" w:cs="仿宋"/>
          <w:b/>
          <w:bCs/>
          <w:color w:val="000000"/>
          <w:sz w:val="28"/>
          <w:szCs w:val="28"/>
          <w:highlight w:val="none"/>
          <w:u w:val="single"/>
          <w:lang w:val="en-US" w:eastAsia="zh-CN"/>
        </w:rPr>
        <w:t xml:space="preserve">电源控制器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194.标的名称：</w:t>
      </w:r>
      <w:r>
        <w:rPr>
          <w:rFonts w:hint="eastAsia" w:ascii="仿宋" w:hAnsi="仿宋" w:eastAsia="仿宋" w:cs="仿宋"/>
          <w:b/>
          <w:bCs/>
          <w:color w:val="000000"/>
          <w:sz w:val="28"/>
          <w:szCs w:val="28"/>
          <w:highlight w:val="none"/>
          <w:u w:val="single"/>
          <w:lang w:val="en-US" w:eastAsia="zh-CN"/>
        </w:rPr>
        <w:t xml:space="preserve">手自一体PLC电源控制箱40KW</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195.标的名称：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196.标的名称：</w:t>
      </w:r>
      <w:r>
        <w:rPr>
          <w:rFonts w:hint="eastAsia" w:ascii="仿宋" w:hAnsi="仿宋" w:eastAsia="仿宋" w:cs="仿宋"/>
          <w:b/>
          <w:bCs/>
          <w:color w:val="000000"/>
          <w:sz w:val="28"/>
          <w:szCs w:val="28"/>
          <w:highlight w:val="none"/>
          <w:u w:val="single"/>
          <w:lang w:val="en-US" w:eastAsia="zh-CN"/>
        </w:rPr>
        <w:t xml:space="preserve">4K会议录播一体机（带显示终端）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197.标的名称：</w:t>
      </w:r>
      <w:r>
        <w:rPr>
          <w:rFonts w:hint="eastAsia" w:ascii="仿宋" w:hAnsi="仿宋" w:eastAsia="仿宋" w:cs="仿宋"/>
          <w:b/>
          <w:bCs/>
          <w:color w:val="000000"/>
          <w:sz w:val="28"/>
          <w:szCs w:val="28"/>
          <w:highlight w:val="none"/>
          <w:u w:val="single"/>
          <w:lang w:val="en-US" w:eastAsia="zh-CN"/>
        </w:rPr>
        <w:t xml:space="preserve">录播系统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198.标的名称：</w:t>
      </w:r>
      <w:r>
        <w:rPr>
          <w:rFonts w:hint="eastAsia" w:ascii="仿宋" w:hAnsi="仿宋" w:eastAsia="仿宋" w:cs="仿宋"/>
          <w:b/>
          <w:bCs/>
          <w:color w:val="000000"/>
          <w:sz w:val="28"/>
          <w:szCs w:val="28"/>
          <w:highlight w:val="none"/>
          <w:u w:val="single"/>
          <w:lang w:val="en-US" w:eastAsia="zh-CN"/>
        </w:rPr>
        <w:t xml:space="preserve">导播控制系统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199.标的名称：</w:t>
      </w:r>
      <w:r>
        <w:rPr>
          <w:rFonts w:hint="eastAsia" w:ascii="仿宋" w:hAnsi="仿宋" w:eastAsia="仿宋" w:cs="仿宋"/>
          <w:b/>
          <w:bCs/>
          <w:color w:val="000000"/>
          <w:sz w:val="28"/>
          <w:szCs w:val="28"/>
          <w:highlight w:val="none"/>
          <w:u w:val="single"/>
          <w:lang w:val="en-US" w:eastAsia="zh-CN"/>
        </w:rPr>
        <w:t xml:space="preserve">键鼠套装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200.标的名称：</w:t>
      </w:r>
      <w:r>
        <w:rPr>
          <w:rFonts w:hint="eastAsia" w:ascii="仿宋" w:hAnsi="仿宋" w:eastAsia="仿宋" w:cs="仿宋"/>
          <w:b/>
          <w:bCs/>
          <w:color w:val="000000"/>
          <w:sz w:val="28"/>
          <w:szCs w:val="28"/>
          <w:highlight w:val="none"/>
          <w:u w:val="single"/>
          <w:lang w:val="en-US" w:eastAsia="zh-CN"/>
        </w:rPr>
        <w:t xml:space="preserve">实际大数据处理决策中控平台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201.标的名称：</w:t>
      </w:r>
      <w:r>
        <w:rPr>
          <w:rFonts w:hint="eastAsia" w:ascii="仿宋" w:hAnsi="仿宋" w:eastAsia="仿宋" w:cs="仿宋"/>
          <w:b/>
          <w:bCs/>
          <w:color w:val="000000"/>
          <w:sz w:val="28"/>
          <w:szCs w:val="28"/>
          <w:highlight w:val="none"/>
          <w:u w:val="single"/>
          <w:lang w:val="en-US" w:eastAsia="zh-CN"/>
        </w:rPr>
        <w:t xml:space="preserve">HDMI发送器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202.标的名称：</w:t>
      </w:r>
      <w:r>
        <w:rPr>
          <w:rFonts w:hint="eastAsia" w:ascii="仿宋" w:hAnsi="仿宋" w:eastAsia="仿宋" w:cs="仿宋"/>
          <w:b/>
          <w:bCs/>
          <w:color w:val="000000"/>
          <w:sz w:val="28"/>
          <w:szCs w:val="28"/>
          <w:highlight w:val="none"/>
          <w:u w:val="single"/>
          <w:lang w:val="en-US" w:eastAsia="zh-CN"/>
        </w:rPr>
        <w:t xml:space="preserve">HDMI接收器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203.标的名称：</w:t>
      </w:r>
      <w:r>
        <w:rPr>
          <w:rFonts w:hint="eastAsia" w:ascii="仿宋" w:hAnsi="仿宋" w:eastAsia="仿宋" w:cs="仿宋"/>
          <w:b/>
          <w:bCs/>
          <w:color w:val="000000"/>
          <w:sz w:val="28"/>
          <w:szCs w:val="28"/>
          <w:highlight w:val="none"/>
          <w:u w:val="single"/>
          <w:lang w:val="en-US" w:eastAsia="zh-CN"/>
        </w:rPr>
        <w:t xml:space="preserve">4K带云台高清室内摄像机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204.标的名称：</w:t>
      </w:r>
      <w:r>
        <w:rPr>
          <w:rFonts w:hint="eastAsia" w:ascii="仿宋" w:hAnsi="仿宋" w:eastAsia="仿宋" w:cs="仿宋"/>
          <w:b/>
          <w:bCs/>
          <w:color w:val="000000"/>
          <w:sz w:val="28"/>
          <w:szCs w:val="28"/>
          <w:highlight w:val="none"/>
          <w:u w:val="single"/>
          <w:lang w:val="en-US" w:eastAsia="zh-CN"/>
        </w:rPr>
        <w:t xml:space="preserve">摄像头固定支架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205.标的名称：</w:t>
      </w:r>
      <w:r>
        <w:rPr>
          <w:rFonts w:hint="eastAsia" w:ascii="仿宋" w:hAnsi="仿宋" w:eastAsia="仿宋" w:cs="仿宋"/>
          <w:b/>
          <w:bCs/>
          <w:color w:val="000000"/>
          <w:sz w:val="28"/>
          <w:szCs w:val="28"/>
          <w:highlight w:val="none"/>
          <w:u w:val="single"/>
          <w:lang w:val="en-US" w:eastAsia="zh-CN"/>
        </w:rPr>
        <w:t xml:space="preserve">摄像头移动支架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206.标的名称：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207.标的名称：</w:t>
      </w:r>
      <w:r>
        <w:rPr>
          <w:rFonts w:hint="eastAsia" w:ascii="仿宋" w:hAnsi="仿宋" w:eastAsia="仿宋" w:cs="仿宋"/>
          <w:b/>
          <w:bCs/>
          <w:color w:val="000000"/>
          <w:sz w:val="28"/>
          <w:szCs w:val="28"/>
          <w:highlight w:val="none"/>
          <w:u w:val="single"/>
          <w:lang w:val="en-US" w:eastAsia="zh-CN"/>
        </w:rPr>
        <w:t xml:space="preserve">定制操作台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208.标的名称：</w:t>
      </w:r>
      <w:r>
        <w:rPr>
          <w:rFonts w:hint="eastAsia" w:ascii="仿宋" w:hAnsi="仿宋" w:eastAsia="仿宋" w:cs="仿宋"/>
          <w:b/>
          <w:bCs/>
          <w:color w:val="000000"/>
          <w:sz w:val="28"/>
          <w:szCs w:val="28"/>
          <w:highlight w:val="none"/>
          <w:u w:val="single"/>
          <w:lang w:val="en-US" w:eastAsia="zh-CN"/>
        </w:rPr>
        <w:t xml:space="preserve">控制室播控</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209.标的名称：</w:t>
      </w:r>
      <w:r>
        <w:rPr>
          <w:rFonts w:hint="eastAsia" w:ascii="仿宋" w:hAnsi="仿宋" w:eastAsia="仿宋" w:cs="仿宋"/>
          <w:b/>
          <w:bCs/>
          <w:color w:val="000000"/>
          <w:sz w:val="28"/>
          <w:szCs w:val="28"/>
          <w:highlight w:val="none"/>
          <w:u w:val="single"/>
          <w:lang w:val="en-US" w:eastAsia="zh-CN"/>
        </w:rPr>
        <w:t xml:space="preserve">立式话筒支架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210.标的名称：</w:t>
      </w:r>
      <w:r>
        <w:rPr>
          <w:rFonts w:hint="eastAsia" w:ascii="仿宋" w:hAnsi="仿宋" w:eastAsia="仿宋" w:cs="仿宋"/>
          <w:b/>
          <w:bCs/>
          <w:color w:val="000000"/>
          <w:sz w:val="28"/>
          <w:szCs w:val="28"/>
          <w:highlight w:val="none"/>
          <w:u w:val="single"/>
          <w:lang w:val="en-US" w:eastAsia="zh-CN"/>
        </w:rPr>
        <w:t xml:space="preserve">返听防滑剧院接口盒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211.标的名称：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212.标的名称：</w:t>
      </w:r>
      <w:r>
        <w:rPr>
          <w:rFonts w:hint="eastAsia" w:ascii="仿宋" w:hAnsi="仿宋" w:eastAsia="仿宋" w:cs="仿宋"/>
          <w:b/>
          <w:bCs/>
          <w:color w:val="000000"/>
          <w:sz w:val="28"/>
          <w:szCs w:val="28"/>
          <w:highlight w:val="none"/>
          <w:u w:val="single"/>
          <w:lang w:val="en-US" w:eastAsia="zh-CN"/>
        </w:rPr>
        <w:t xml:space="preserve">线阵列扬声器吊挂支架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213.标的名称：</w:t>
      </w:r>
      <w:r>
        <w:rPr>
          <w:rFonts w:hint="eastAsia" w:ascii="仿宋" w:hAnsi="仿宋" w:eastAsia="仿宋" w:cs="仿宋"/>
          <w:b/>
          <w:bCs/>
          <w:color w:val="000000"/>
          <w:sz w:val="28"/>
          <w:szCs w:val="28"/>
          <w:highlight w:val="none"/>
          <w:u w:val="single"/>
          <w:lang w:val="en-US" w:eastAsia="zh-CN"/>
        </w:rPr>
        <w:t xml:space="preserve">电动葫芦</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214.标的名称：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215.标的名称：</w:t>
      </w:r>
      <w:r>
        <w:rPr>
          <w:rFonts w:hint="eastAsia" w:ascii="仿宋" w:hAnsi="仿宋" w:eastAsia="仿宋" w:cs="仿宋"/>
          <w:b/>
          <w:bCs/>
          <w:i w:val="0"/>
          <w:iCs w:val="0"/>
          <w:color w:val="000000"/>
          <w:sz w:val="28"/>
          <w:szCs w:val="28"/>
          <w:highlight w:val="none"/>
          <w:u w:val="single"/>
          <w:lang w:val="en-US" w:eastAsia="zh-CN" w:bidi="ar"/>
        </w:rPr>
        <w:t xml:space="preserve">无线投屏器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216.标的名称：</w:t>
      </w:r>
      <w:r>
        <w:rPr>
          <w:rFonts w:hint="eastAsia" w:ascii="仿宋" w:hAnsi="仿宋" w:eastAsia="仿宋" w:cs="仿宋"/>
          <w:b/>
          <w:bCs/>
          <w:color w:val="000000"/>
          <w:sz w:val="28"/>
          <w:szCs w:val="28"/>
          <w:highlight w:val="none"/>
          <w:u w:val="single"/>
          <w:lang w:val="en-US" w:eastAsia="zh-CN"/>
        </w:rPr>
        <w:t xml:space="preserve">电动会标</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31"/>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217.标的名称：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1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r>
      <w:r/>
    </w:p>
    <w:p>
      <w:pPr>
        <w:pStyle w:val="831"/>
        <w:ind w:firstLine="560"/>
        <w:keepLines w:val="0"/>
        <w:keepNext w:val="0"/>
        <w:pageBreakBefore w:val="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8"/>
          <w:szCs w:val="28"/>
          <w:highlight w:val="none"/>
        </w:rPr>
      </w:r>
      <w:r/>
    </w:p>
    <w:p>
      <w:pPr>
        <w:pStyle w:val="831"/>
        <w:keepLines w:val="0"/>
        <w:keepNext w:val="0"/>
        <w:pageBreakBefore w:val="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本企业对上述声明内容的真实性负责。如有虚假，将依法承担相应责任。</w:t>
      </w:r>
      <w:r>
        <w:rPr>
          <w:rFonts w:hint="eastAsia" w:ascii="仿宋" w:hAnsi="仿宋" w:eastAsia="仿宋" w:cs="仿宋"/>
          <w:color w:val="000000"/>
          <w:sz w:val="28"/>
          <w:szCs w:val="28"/>
          <w:highlight w:val="none"/>
        </w:rPr>
      </w:r>
      <w:r/>
    </w:p>
    <w:p>
      <w:pPr>
        <w:pStyle w:val="831"/>
        <w:ind w:right="48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752"/>
        <w:ind w:firstLine="600"/>
        <w:jc w:val="center"/>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企业名称（供应商名称）（盖章）：</w:t>
      </w:r>
      <w:r>
        <w:rPr>
          <w:rFonts w:hint="eastAsia" w:ascii="仿宋" w:hAnsi="仿宋" w:eastAsia="仿宋" w:cs="仿宋"/>
          <w:color w:val="000000"/>
          <w:sz w:val="30"/>
          <w:szCs w:val="30"/>
        </w:rPr>
      </w:r>
      <w:r/>
    </w:p>
    <w:p>
      <w:pPr>
        <w:pStyle w:val="752"/>
        <w:ind w:firstLine="600"/>
        <w:jc w:val="center"/>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    期：</w:t>
      </w:r>
      <w:r>
        <w:rPr>
          <w:rFonts w:hint="eastAsia" w:ascii="仿宋" w:hAnsi="仿宋" w:eastAsia="仿宋" w:cs="仿宋"/>
          <w:color w:val="000000"/>
          <w:sz w:val="30"/>
          <w:szCs w:val="30"/>
        </w:rPr>
      </w:r>
      <w:r/>
    </w:p>
    <w:p>
      <w:pPr>
        <w:pStyle w:val="752"/>
        <w:ind w:firstLine="600"/>
        <w:jc w:val="left"/>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注：本项目采购的货物属于</w:t>
      </w:r>
      <w:r>
        <w:rPr>
          <w:rFonts w:hint="eastAsia" w:ascii="仿宋" w:hAnsi="仿宋" w:eastAsia="仿宋" w:cs="仿宋"/>
          <w:color w:val="000000"/>
          <w:sz w:val="30"/>
          <w:szCs w:val="30"/>
          <w:u w:val="single"/>
        </w:rPr>
        <w:t xml:space="preserve">工业</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29"/>
        <w:ind w:firstLine="602"/>
        <w:jc w:val="lef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说明：</w:t>
      </w:r>
      <w:r>
        <w:rPr>
          <w:rFonts w:hint="eastAsia" w:ascii="仿宋" w:hAnsi="仿宋" w:eastAsia="仿宋" w:cs="仿宋"/>
          <w:b/>
          <w:bCs/>
          <w:color w:val="000000"/>
          <w:sz w:val="30"/>
          <w:szCs w:val="30"/>
        </w:rPr>
      </w:r>
      <w:r/>
    </w:p>
    <w:p>
      <w:pPr>
        <w:pStyle w:val="752"/>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b/>
          <w:bCs/>
          <w:color w:val="000000"/>
          <w:sz w:val="30"/>
          <w:szCs w:val="30"/>
        </w:rPr>
      </w:r>
      <w:r/>
    </w:p>
    <w:p>
      <w:pPr>
        <w:pStyle w:val="752"/>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2.从业人员、营业收入、资产总额填报供应商上一年度数据，无上一年度数据的新成立企业可不填报。</w:t>
      </w:r>
      <w:r>
        <w:rPr>
          <w:rFonts w:hint="eastAsia" w:ascii="仿宋" w:hAnsi="仿宋" w:eastAsia="仿宋" w:cs="仿宋"/>
          <w:b/>
          <w:bCs/>
          <w:color w:val="000000"/>
          <w:sz w:val="30"/>
          <w:szCs w:val="30"/>
        </w:rPr>
      </w:r>
      <w:r/>
    </w:p>
    <w:p>
      <w:pPr>
        <w:pStyle w:val="752"/>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3.成交供应商为小型、微型企业的，采购人或者其委托的采购代理机构有权随中标、成交结果同时公告其《中小企业声明函》，接受社会监督。</w:t>
      </w:r>
      <w:r>
        <w:rPr>
          <w:rFonts w:hint="eastAsia" w:ascii="仿宋" w:hAnsi="仿宋" w:eastAsia="仿宋" w:cs="仿宋"/>
          <w:b/>
          <w:bCs/>
          <w:color w:val="000000"/>
          <w:sz w:val="30"/>
          <w:szCs w:val="30"/>
        </w:rPr>
      </w:r>
      <w:r/>
    </w:p>
    <w:p>
      <w:pPr>
        <w:pStyle w:val="752"/>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4.执行江苏省财政厅关于进一步加大政府采购支持中小企业力度的通知（苏财购〔2022〕45号）的规定。</w:t>
      </w:r>
      <w:r>
        <w:rPr>
          <w:rFonts w:hint="eastAsia" w:ascii="仿宋" w:hAnsi="仿宋" w:eastAsia="仿宋" w:cs="仿宋"/>
          <w:b/>
          <w:bCs/>
          <w:color w:val="000000"/>
          <w:sz w:val="30"/>
          <w:szCs w:val="30"/>
        </w:rPr>
      </w:r>
      <w:r/>
    </w:p>
    <w:p>
      <w:pPr>
        <w:pStyle w:val="752"/>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5.供应商提供的《中小企业声明函》与事实不符的，依照《政府采购法》第七十七条第一款的规定追究法律责任。</w:t>
      </w:r>
      <w:r>
        <w:rPr>
          <w:rFonts w:hint="eastAsia" w:ascii="仿宋" w:hAnsi="仿宋" w:eastAsia="仿宋" w:cs="仿宋"/>
          <w:b/>
          <w:bCs/>
          <w:color w:val="000000"/>
          <w:sz w:val="30"/>
          <w:szCs w:val="30"/>
        </w:rPr>
      </w:r>
      <w:r/>
    </w:p>
    <w:p>
      <w:pPr>
        <w:pStyle w:val="752"/>
        <w:ind w:firstLine="602"/>
        <w:spacing w:line="480" w:lineRule="exact"/>
        <w:rPr>
          <w:rFonts w:hint="eastAsia" w:ascii="仿宋" w:hAnsi="仿宋" w:eastAsia="仿宋" w:cs="仿宋"/>
          <w:b/>
          <w:bCs/>
          <w:color w:val="000000"/>
          <w:sz w:val="30"/>
          <w:szCs w:val="3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5" o:title=""/>
              </v:shape>
            </w:pict>
          </mc:Fallback>
        </mc:AlternateContent>
      </w:r>
      <w:r>
        <w:rPr>
          <w:rFonts w:hint="eastAsia" w:ascii="仿宋" w:hAnsi="仿宋" w:eastAsia="仿宋" w:cs="仿宋"/>
          <w:b/>
          <w:bCs/>
          <w:color w:val="000000"/>
          <w:sz w:val="30"/>
          <w:szCs w:val="30"/>
        </w:rPr>
        <w:t xml:space="preserve">6.《中小企业声明函》查询渠道用微信搜索“中小企业规模类型自测小程序”。</w:t>
      </w:r>
      <w:r>
        <w:rPr>
          <w:rFonts w:hint="eastAsia" w:ascii="仿宋" w:hAnsi="仿宋" w:eastAsia="仿宋" w:cs="仿宋"/>
          <w:b/>
          <w:bCs/>
          <w:color w:val="000000"/>
          <w:sz w:val="30"/>
          <w:szCs w:val="30"/>
        </w:rPr>
      </w:r>
      <w:r/>
    </w:p>
    <w:p>
      <w:pPr>
        <w:pStyle w:val="752"/>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spacing w:line="480" w:lineRule="exact"/>
        <w:rPr>
          <w:rFonts w:hint="eastAsia" w:ascii="仿宋" w:hAnsi="仿宋" w:eastAsia="仿宋" w:cs="仿宋"/>
          <w:b/>
          <w:color w:val="000000"/>
          <w:spacing w:val="6"/>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rPr>
        <w:t xml:space="preserve">七、残疾人福利性单位声明函格式</w:t>
      </w:r>
      <w:r>
        <w:rPr>
          <w:rFonts w:hint="eastAsia" w:ascii="仿宋" w:hAnsi="仿宋" w:eastAsia="仿宋" w:cs="仿宋"/>
          <w:b/>
          <w:color w:val="000000"/>
          <w:spacing w:val="6"/>
          <w:sz w:val="30"/>
          <w:szCs w:val="30"/>
        </w:rPr>
      </w:r>
      <w:r/>
    </w:p>
    <w:p>
      <w:pPr>
        <w:pStyle w:val="752"/>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2"/>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徐州生物工程职业技术学院大学生活动中心舞美设备采购与安装</w:t>
      </w:r>
      <w:r>
        <w:rPr>
          <w:rFonts w:hint="eastAsia" w:ascii="仿宋" w:hAnsi="仿宋" w:eastAsia="仿宋" w:cs="仿宋"/>
          <w:color w:val="000000"/>
          <w:spacing w:val="6"/>
          <w:sz w:val="30"/>
          <w:szCs w:val="30"/>
        </w:rPr>
        <w:t xml:space="preserve"> </w:t>
      </w:r>
      <w:r>
        <w:rPr>
          <w:rFonts w:hint="eastAsia" w:ascii="仿宋" w:hAnsi="仿宋" w:eastAsia="仿宋" w:cs="仿宋"/>
          <w:color w:val="000000"/>
          <w:spacing w:val="6"/>
          <w:sz w:val="30"/>
          <w:szCs w:val="30"/>
        </w:rPr>
      </w:r>
      <w:r/>
    </w:p>
    <w:p>
      <w:pPr>
        <w:pStyle w:val="752"/>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JSZC-320300-ZJZB-G2026-0042</w:t>
      </w:r>
      <w:r>
        <w:rPr>
          <w:rFonts w:hint="eastAsia" w:ascii="仿宋" w:hAnsi="仿宋" w:eastAsia="仿宋" w:cs="仿宋"/>
          <w:color w:val="000000"/>
          <w:spacing w:val="6"/>
          <w:sz w:val="30"/>
          <w:szCs w:val="30"/>
          <w:lang w:eastAsia="zh-CN"/>
        </w:rPr>
      </w:r>
      <w:r/>
    </w:p>
    <w:p>
      <w:pPr>
        <w:pStyle w:val="752"/>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本单位郑重声明，根据《财政部 民政部 中国残疾人联合会关于促进残疾人就业政府采购政策的通知》（财库</w:t>
      </w:r>
      <w:r>
        <w:rPr>
          <w:rFonts w:hint="eastAsia" w:ascii="仿宋" w:hAnsi="仿宋" w:eastAsia="仿宋" w:cs="仿宋"/>
          <w:color w:val="000000"/>
          <w:sz w:val="30"/>
          <w:szCs w:val="30"/>
        </w:rPr>
        <w:t xml:space="preserve">〔2017〕 141</w:t>
      </w:r>
      <w:r>
        <w:rPr>
          <w:rFonts w:hint="eastAsia" w:ascii="仿宋" w:hAnsi="仿宋" w:eastAsia="仿宋" w:cs="仿宋"/>
          <w:color w:val="000000"/>
          <w:spacing w:val="6"/>
          <w:sz w:val="30"/>
          <w:szCs w:val="30"/>
        </w:rPr>
        <w:t xml:space="preserve">号）的规定，本单位为符合条件的残疾人福利性单位，且本单位参加</w:t>
      </w:r>
      <w:r>
        <w:rPr>
          <w:rFonts w:hint="eastAsia" w:ascii="仿宋" w:hAnsi="仿宋" w:eastAsia="仿宋" w:cs="仿宋"/>
          <w:color w:val="000000"/>
          <w:sz w:val="30"/>
          <w:szCs w:val="30"/>
        </w:rPr>
        <w:t xml:space="preserve">______</w:t>
      </w:r>
      <w:r>
        <w:rPr>
          <w:rFonts w:hint="eastAsia" w:ascii="仿宋" w:hAnsi="仿宋" w:eastAsia="仿宋" w:cs="仿宋"/>
          <w:color w:val="000000"/>
          <w:spacing w:val="6"/>
          <w:sz w:val="30"/>
          <w:szCs w:val="30"/>
        </w:rPr>
        <w:t xml:space="preserve">单位的</w:t>
      </w:r>
      <w:r>
        <w:rPr>
          <w:rFonts w:hint="eastAsia" w:ascii="仿宋" w:hAnsi="仿宋" w:eastAsia="仿宋" w:cs="仿宋"/>
          <w:color w:val="000000"/>
          <w:sz w:val="30"/>
          <w:szCs w:val="30"/>
        </w:rPr>
        <w:t xml:space="preserve">______</w:t>
      </w:r>
      <w:r>
        <w:rPr>
          <w:rFonts w:hint="eastAsia" w:ascii="仿宋" w:hAnsi="仿宋" w:eastAsia="仿宋" w:cs="仿宋"/>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30"/>
          <w:szCs w:val="30"/>
        </w:rPr>
      </w:r>
      <w:r/>
    </w:p>
    <w:p>
      <w:pPr>
        <w:pStyle w:val="752"/>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本单位对上述声明的真实性负责。如有虚假，将依法承担相应责任。</w:t>
      </w:r>
      <w:r>
        <w:rPr>
          <w:rFonts w:hint="eastAsia" w:ascii="仿宋" w:hAnsi="仿宋" w:eastAsia="仿宋" w:cs="仿宋"/>
          <w:color w:val="000000"/>
          <w:spacing w:val="6"/>
          <w:sz w:val="30"/>
          <w:szCs w:val="30"/>
        </w:rPr>
      </w:r>
      <w:r/>
    </w:p>
    <w:p>
      <w:pPr>
        <w:pStyle w:val="752"/>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2"/>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2"/>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2"/>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24"/>
        </w:rPr>
      </w:r>
      <w:r/>
    </w:p>
    <w:p>
      <w:pPr>
        <w:pStyle w:val="752"/>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2"/>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说明：</w:t>
      </w:r>
      <w:r>
        <w:rPr>
          <w:rFonts w:hint="eastAsia" w:ascii="仿宋" w:hAnsi="仿宋" w:eastAsia="仿宋" w:cs="仿宋"/>
          <w:color w:val="000000"/>
          <w:spacing w:val="6"/>
          <w:sz w:val="30"/>
          <w:szCs w:val="30"/>
        </w:rPr>
      </w:r>
      <w:r/>
    </w:p>
    <w:p>
      <w:pPr>
        <w:pStyle w:val="752"/>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中标、成交供应商为残疾人福利性单位的，采购人或者其委托的采购代理机构应当随中标、成交结果同时公告其《残疾人福利性单位声明函》，接受社会监督。</w:t>
      </w:r>
      <w:r>
        <w:rPr>
          <w:rFonts w:hint="eastAsia" w:ascii="仿宋" w:hAnsi="仿宋" w:eastAsia="仿宋" w:cs="仿宋"/>
          <w:color w:val="000000"/>
          <w:spacing w:val="6"/>
          <w:sz w:val="30"/>
          <w:szCs w:val="30"/>
        </w:rPr>
      </w:r>
      <w:r/>
    </w:p>
    <w:p>
      <w:pPr>
        <w:pStyle w:val="752"/>
        <w:ind w:firstLine="624"/>
        <w:spacing w:line="480" w:lineRule="exact"/>
        <w:rPr>
          <w:rFonts w:hint="eastAsia" w:ascii="仿宋" w:hAnsi="仿宋" w:eastAsia="仿宋" w:cs="仿宋"/>
          <w:color w:val="000000"/>
          <w:sz w:val="30"/>
          <w:szCs w:val="30"/>
        </w:rPr>
      </w:pPr>
      <w:r>
        <w:rPr>
          <w:rFonts w:hint="eastAsia" w:ascii="仿宋" w:hAnsi="仿宋" w:eastAsia="仿宋" w:cs="仿宋"/>
          <w:color w:val="000000"/>
          <w:spacing w:val="6"/>
          <w:sz w:val="30"/>
          <w:szCs w:val="30"/>
        </w:rPr>
        <w:t xml:space="preserve">供应商提供的《残疾人福利性单位声明函》与事实不符的，依照《政府采购法》第七十七条第一款的规定追究法律责任。</w:t>
      </w:r>
      <w:r>
        <w:rPr>
          <w:rFonts w:hint="eastAsia" w:ascii="仿宋" w:hAnsi="仿宋" w:eastAsia="仿宋" w:cs="仿宋"/>
          <w:color w:val="000000"/>
          <w:sz w:val="30"/>
          <w:szCs w:val="30"/>
        </w:rPr>
      </w:r>
      <w:r/>
    </w:p>
    <w:p>
      <w:pPr>
        <w:pStyle w:val="752"/>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八、投标人参加政府采购活动前3年内在经营活动中没有重大违法记录的书面声明格式</w:t>
      </w:r>
      <w:r>
        <w:rPr>
          <w:rFonts w:hint="eastAsia" w:ascii="仿宋" w:hAnsi="仿宋" w:eastAsia="仿宋" w:cs="仿宋"/>
          <w:color w:val="000000"/>
          <w:sz w:val="30"/>
          <w:szCs w:val="30"/>
        </w:rPr>
      </w:r>
      <w:r/>
    </w:p>
    <w:p>
      <w:pPr>
        <w:pStyle w:val="752"/>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我单位在参加</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color w:val="000000"/>
          <w:sz w:val="30"/>
          <w:szCs w:val="30"/>
        </w:rPr>
      </w:r>
      <w:r/>
    </w:p>
    <w:p>
      <w:pPr>
        <w:pStyle w:val="989"/>
        <w:ind w:firstLine="600"/>
        <w:spacing w:before="0" w:beforeAutospacing="0" w:after="0" w:afterAutospacing="0"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我单位对上述声明的真实性负责。如有虚假，将依法承担相应责任。</w:t>
      </w:r>
      <w:r>
        <w:rPr>
          <w:rFonts w:hint="eastAsia" w:ascii="仿宋" w:hAnsi="仿宋" w:eastAsia="仿宋" w:cs="仿宋"/>
          <w:color w:val="000000"/>
          <w:sz w:val="30"/>
          <w:szCs w:val="30"/>
        </w:rPr>
      </w:r>
      <w:r/>
    </w:p>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2"/>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24"/>
        </w:rPr>
      </w:r>
      <w:r/>
    </w:p>
    <w:p>
      <w:pPr>
        <w:pStyle w:val="971"/>
        <w:rPr>
          <w:rFonts w:hint="eastAsia" w:ascii="仿宋" w:hAnsi="仿宋" w:eastAsia="仿宋" w:cs="仿宋"/>
          <w:color w:val="000000"/>
        </w:rPr>
      </w:pPr>
      <w:r>
        <w:rPr>
          <w:rFonts w:hint="eastAsia" w:ascii="仿宋" w:hAnsi="仿宋" w:eastAsia="仿宋" w:cs="仿宋"/>
          <w:color w:val="000000"/>
        </w:rPr>
      </w:r>
      <w:r/>
    </w:p>
    <w:p>
      <w:pPr>
        <w:pStyle w:val="973"/>
        <w:rPr>
          <w:rFonts w:hint="eastAsia" w:ascii="仿宋" w:hAnsi="仿宋" w:eastAsia="仿宋" w:cs="仿宋"/>
          <w:color w:val="000000"/>
        </w:rPr>
      </w:pPr>
      <w:r>
        <w:rPr>
          <w:rFonts w:hint="eastAsia" w:ascii="仿宋" w:hAnsi="仿宋" w:eastAsia="仿宋" w:cs="仿宋"/>
          <w:color w:val="000000"/>
        </w:rPr>
      </w:r>
      <w:r/>
    </w:p>
    <w:p>
      <w:pPr>
        <w:pStyle w:val="752"/>
        <w:rPr>
          <w:rFonts w:hint="eastAsia" w:ascii="仿宋" w:hAnsi="仿宋" w:eastAsia="仿宋" w:cs="仿宋"/>
          <w:color w:val="000000"/>
        </w:rPr>
      </w:pPr>
      <w:r>
        <w:rPr>
          <w:rFonts w:hint="eastAsia" w:ascii="仿宋" w:hAnsi="仿宋" w:eastAsia="仿宋" w:cs="仿宋"/>
          <w:color w:val="000000"/>
        </w:rPr>
      </w:r>
      <w:r/>
    </w:p>
    <w:p>
      <w:pPr>
        <w:pStyle w:val="971"/>
        <w:rPr>
          <w:rFonts w:hint="eastAsia" w:ascii="仿宋" w:hAnsi="仿宋" w:eastAsia="仿宋" w:cs="仿宋"/>
          <w:color w:val="000000"/>
        </w:rPr>
      </w:pPr>
      <w:r>
        <w:rPr>
          <w:rFonts w:hint="eastAsia" w:ascii="仿宋" w:hAnsi="仿宋" w:eastAsia="仿宋" w:cs="仿宋"/>
          <w:color w:val="000000"/>
        </w:rPr>
      </w:r>
      <w:r/>
    </w:p>
    <w:p>
      <w:pPr>
        <w:pStyle w:val="973"/>
        <w:rPr>
          <w:rFonts w:hint="eastAsia" w:ascii="仿宋" w:hAnsi="仿宋" w:eastAsia="仿宋" w:cs="仿宋"/>
          <w:color w:val="000000"/>
        </w:rPr>
      </w:pPr>
      <w:r>
        <w:rPr>
          <w:rFonts w:hint="eastAsia" w:ascii="仿宋" w:hAnsi="仿宋" w:eastAsia="仿宋" w:cs="仿宋"/>
          <w:color w:val="000000"/>
        </w:rPr>
      </w:r>
      <w:r/>
    </w:p>
    <w:p>
      <w:pPr>
        <w:pStyle w:val="752"/>
        <w:rPr>
          <w:rFonts w:hint="eastAsia" w:ascii="仿宋" w:hAnsi="仿宋" w:eastAsia="仿宋" w:cs="仿宋"/>
          <w:color w:val="000000"/>
        </w:rPr>
      </w:pPr>
      <w:r>
        <w:rPr>
          <w:rFonts w:hint="eastAsia" w:ascii="仿宋" w:hAnsi="仿宋" w:eastAsia="仿宋" w:cs="仿宋"/>
          <w:color w:val="000000"/>
        </w:rPr>
      </w:r>
      <w:r/>
    </w:p>
    <w:p>
      <w:pPr>
        <w:pStyle w:val="971"/>
        <w:rPr>
          <w:rFonts w:hint="eastAsia" w:ascii="仿宋" w:hAnsi="仿宋" w:eastAsia="仿宋" w:cs="仿宋"/>
          <w:color w:val="000000"/>
        </w:rPr>
      </w:pPr>
      <w:r>
        <w:rPr>
          <w:rFonts w:hint="eastAsia" w:ascii="仿宋" w:hAnsi="仿宋" w:eastAsia="仿宋" w:cs="仿宋"/>
          <w:color w:val="000000"/>
        </w:rPr>
      </w:r>
      <w:r/>
    </w:p>
    <w:p>
      <w:pPr>
        <w:pStyle w:val="973"/>
        <w:rPr>
          <w:rFonts w:hint="eastAsia" w:ascii="仿宋" w:hAnsi="仿宋" w:eastAsia="仿宋" w:cs="仿宋"/>
          <w:color w:val="000000"/>
        </w:rPr>
      </w:pPr>
      <w:r>
        <w:rPr>
          <w:rFonts w:hint="eastAsia" w:ascii="仿宋" w:hAnsi="仿宋" w:eastAsia="仿宋" w:cs="仿宋"/>
          <w:color w:val="000000"/>
        </w:rPr>
      </w:r>
      <w:r/>
    </w:p>
    <w:p>
      <w:pPr>
        <w:pStyle w:val="752"/>
        <w:rPr>
          <w:rFonts w:hint="eastAsia" w:ascii="仿宋" w:hAnsi="仿宋" w:eastAsia="仿宋" w:cs="仿宋"/>
          <w:color w:val="000000"/>
        </w:rPr>
      </w:pPr>
      <w:r>
        <w:rPr>
          <w:rFonts w:hint="eastAsia" w:ascii="仿宋" w:hAnsi="仿宋" w:eastAsia="仿宋" w:cs="仿宋"/>
          <w:color w:val="000000"/>
        </w:rPr>
      </w:r>
      <w:r/>
    </w:p>
    <w:p>
      <w:pPr>
        <w:pStyle w:val="971"/>
        <w:rPr>
          <w:rFonts w:hint="eastAsia" w:ascii="仿宋" w:hAnsi="仿宋" w:eastAsia="仿宋" w:cs="仿宋"/>
          <w:color w:val="000000"/>
        </w:rPr>
      </w:pPr>
      <w:r>
        <w:rPr>
          <w:rFonts w:hint="eastAsia" w:ascii="仿宋" w:hAnsi="仿宋" w:eastAsia="仿宋" w:cs="仿宋"/>
          <w:color w:val="000000"/>
        </w:rPr>
      </w:r>
      <w:r/>
    </w:p>
    <w:p>
      <w:pPr>
        <w:pStyle w:val="973"/>
        <w:rPr>
          <w:rFonts w:hint="eastAsia" w:ascii="仿宋" w:hAnsi="仿宋" w:eastAsia="仿宋" w:cs="仿宋"/>
          <w:color w:val="000000"/>
        </w:rPr>
      </w:pPr>
      <w:r>
        <w:rPr>
          <w:rFonts w:hint="eastAsia" w:ascii="仿宋" w:hAnsi="仿宋" w:eastAsia="仿宋" w:cs="仿宋"/>
          <w:color w:val="000000"/>
        </w:rPr>
      </w:r>
      <w:r/>
    </w:p>
    <w:p>
      <w:pPr>
        <w:pStyle w:val="752"/>
        <w:rPr>
          <w:rFonts w:hint="eastAsia" w:ascii="仿宋" w:hAnsi="仿宋" w:eastAsia="仿宋" w:cs="仿宋"/>
          <w:color w:val="000000"/>
        </w:rPr>
      </w:pPr>
      <w:r>
        <w:rPr>
          <w:rFonts w:hint="eastAsia" w:ascii="仿宋" w:hAnsi="仿宋" w:eastAsia="仿宋" w:cs="仿宋"/>
          <w:color w:val="000000"/>
        </w:rPr>
      </w:r>
      <w:r/>
    </w:p>
    <w:p>
      <w:pPr>
        <w:pStyle w:val="971"/>
        <w:rPr>
          <w:rFonts w:hint="eastAsia" w:ascii="仿宋" w:hAnsi="仿宋" w:eastAsia="仿宋" w:cs="仿宋"/>
          <w:color w:val="000000"/>
        </w:rPr>
      </w:pPr>
      <w:r>
        <w:rPr>
          <w:rFonts w:hint="eastAsia" w:ascii="仿宋" w:hAnsi="仿宋" w:eastAsia="仿宋" w:cs="仿宋"/>
          <w:color w:val="000000"/>
        </w:rPr>
      </w:r>
      <w:r/>
    </w:p>
    <w:p>
      <w:pPr>
        <w:pStyle w:val="973"/>
        <w:rPr>
          <w:rFonts w:hint="eastAsia" w:ascii="仿宋" w:hAnsi="仿宋" w:eastAsia="仿宋" w:cs="仿宋"/>
          <w:color w:val="000000"/>
        </w:rPr>
      </w:pPr>
      <w:r>
        <w:rPr>
          <w:rFonts w:hint="eastAsia" w:ascii="仿宋" w:hAnsi="仿宋" w:eastAsia="仿宋" w:cs="仿宋"/>
          <w:color w:val="000000"/>
        </w:rPr>
      </w:r>
      <w:r/>
    </w:p>
    <w:p>
      <w:pPr>
        <w:pStyle w:val="752"/>
        <w:rPr>
          <w:rFonts w:hint="eastAsia" w:ascii="仿宋" w:hAnsi="仿宋" w:eastAsia="仿宋" w:cs="仿宋"/>
          <w:color w:val="000000"/>
        </w:rPr>
      </w:pPr>
      <w:r>
        <w:rPr>
          <w:rFonts w:hint="eastAsia" w:ascii="仿宋" w:hAnsi="仿宋" w:eastAsia="仿宋" w:cs="仿宋"/>
          <w:color w:val="000000"/>
        </w:rPr>
      </w:r>
      <w:r/>
    </w:p>
    <w:p>
      <w:pPr>
        <w:pStyle w:val="971"/>
        <w:rPr>
          <w:rFonts w:hint="eastAsia" w:ascii="仿宋" w:hAnsi="仿宋" w:eastAsia="仿宋" w:cs="仿宋"/>
          <w:color w:val="000000"/>
        </w:rPr>
      </w:pPr>
      <w:r>
        <w:rPr>
          <w:rFonts w:hint="eastAsia" w:ascii="仿宋" w:hAnsi="仿宋" w:eastAsia="仿宋" w:cs="仿宋"/>
          <w:color w:val="000000"/>
        </w:rPr>
      </w:r>
      <w:r/>
    </w:p>
    <w:p>
      <w:pPr>
        <w:pStyle w:val="973"/>
        <w:rPr>
          <w:rFonts w:hint="eastAsia" w:ascii="仿宋" w:hAnsi="仿宋" w:eastAsia="仿宋" w:cs="仿宋"/>
          <w:color w:val="000000"/>
        </w:rPr>
      </w:pPr>
      <w:r>
        <w:rPr>
          <w:rFonts w:hint="eastAsia" w:ascii="仿宋" w:hAnsi="仿宋" w:eastAsia="仿宋" w:cs="仿宋"/>
          <w:color w:val="000000"/>
        </w:rPr>
      </w:r>
      <w:r/>
    </w:p>
    <w:p>
      <w:pPr>
        <w:pStyle w:val="752"/>
        <w:rPr>
          <w:rFonts w:hint="eastAsia" w:ascii="仿宋" w:hAnsi="仿宋" w:eastAsia="仿宋" w:cs="仿宋"/>
          <w:color w:val="000000"/>
        </w:rPr>
      </w:pPr>
      <w:r>
        <w:rPr>
          <w:rFonts w:hint="eastAsia" w:ascii="仿宋" w:hAnsi="仿宋" w:eastAsia="仿宋" w:cs="仿宋"/>
          <w:color w:val="000000"/>
        </w:rPr>
      </w:r>
      <w:r/>
    </w:p>
    <w:p>
      <w:pPr>
        <w:pStyle w:val="971"/>
        <w:rPr>
          <w:rFonts w:hint="eastAsia" w:ascii="仿宋" w:hAnsi="仿宋" w:eastAsia="仿宋" w:cs="仿宋"/>
          <w:color w:val="000000"/>
        </w:rPr>
      </w:pPr>
      <w:r>
        <w:rPr>
          <w:rFonts w:hint="eastAsia" w:ascii="仿宋" w:hAnsi="仿宋" w:eastAsia="仿宋" w:cs="仿宋"/>
          <w:color w:val="000000"/>
        </w:rPr>
      </w:r>
      <w:r/>
    </w:p>
    <w:p>
      <w:pPr>
        <w:pStyle w:val="973"/>
        <w:rPr>
          <w:rFonts w:hint="eastAsia" w:ascii="仿宋" w:hAnsi="仿宋" w:eastAsia="仿宋" w:cs="仿宋"/>
          <w:color w:val="000000"/>
        </w:rPr>
      </w:pPr>
      <w:r>
        <w:rPr>
          <w:rFonts w:hint="eastAsia" w:ascii="仿宋" w:hAnsi="仿宋" w:eastAsia="仿宋" w:cs="仿宋"/>
          <w:color w:val="000000"/>
        </w:rPr>
      </w:r>
      <w:r/>
    </w:p>
    <w:p>
      <w:pPr>
        <w:pStyle w:val="752"/>
        <w:rPr>
          <w:rFonts w:hint="eastAsia" w:ascii="仿宋" w:hAnsi="仿宋" w:eastAsia="仿宋" w:cs="仿宋"/>
          <w:color w:val="000000"/>
        </w:rPr>
      </w:pPr>
      <w:r>
        <w:rPr>
          <w:rFonts w:hint="eastAsia" w:ascii="仿宋" w:hAnsi="仿宋" w:eastAsia="仿宋" w:cs="仿宋"/>
          <w:color w:val="000000"/>
        </w:rPr>
      </w:r>
      <w:r/>
    </w:p>
    <w:p>
      <w:pPr>
        <w:pStyle w:val="752"/>
        <w:rPr>
          <w:rFonts w:hint="eastAsia" w:ascii="仿宋" w:hAnsi="仿宋" w:eastAsia="仿宋" w:cs="仿宋"/>
          <w:color w:val="000000"/>
        </w:rPr>
      </w:pPr>
      <w:r>
        <w:rPr>
          <w:rFonts w:hint="eastAsia" w:ascii="仿宋" w:hAnsi="仿宋" w:eastAsia="仿宋" w:cs="仿宋"/>
          <w:color w:val="000000"/>
        </w:rPr>
      </w:r>
      <w:r/>
    </w:p>
    <w:p>
      <w:pPr>
        <w:pStyle w:val="752"/>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752"/>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752"/>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752"/>
        <w:ind w:firstLine="56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2"/>
        <w:ind w:firstLine="600"/>
        <w:spacing w:line="480" w:lineRule="exact"/>
        <w:rPr>
          <w:rFonts w:hint="eastAsia" w:ascii="仿宋" w:hAnsi="仿宋" w:eastAsia="仿宋" w:cs="仿宋"/>
          <w:bCs/>
          <w:color w:val="000000"/>
          <w:sz w:val="30"/>
          <w:szCs w:val="30"/>
        </w:rPr>
      </w:pPr>
      <w:r>
        <w:rPr>
          <w:rFonts w:hint="eastAsia" w:ascii="仿宋" w:hAnsi="仿宋" w:eastAsia="仿宋" w:cs="仿宋"/>
          <w:color w:val="000000"/>
          <w:sz w:val="30"/>
          <w:szCs w:val="30"/>
        </w:rPr>
        <w:t xml:space="preserve">九、投标人相关承诺</w:t>
      </w:r>
      <w:r>
        <w:rPr>
          <w:rFonts w:hint="eastAsia" w:ascii="仿宋" w:hAnsi="仿宋" w:eastAsia="仿宋" w:cs="仿宋"/>
          <w:bCs/>
          <w:color w:val="000000"/>
          <w:sz w:val="30"/>
          <w:szCs w:val="30"/>
        </w:rPr>
      </w:r>
      <w:r/>
    </w:p>
    <w:p>
      <w:pPr>
        <w:pStyle w:val="752"/>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2"/>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徐州生物工程职业技术学院大学生活动中心舞美设备采购与安装</w:t>
      </w:r>
      <w:r>
        <w:rPr>
          <w:rFonts w:hint="eastAsia" w:ascii="仿宋" w:hAnsi="仿宋" w:eastAsia="仿宋" w:cs="仿宋"/>
          <w:color w:val="000000"/>
          <w:spacing w:val="6"/>
          <w:sz w:val="30"/>
          <w:szCs w:val="30"/>
        </w:rPr>
        <w:t xml:space="preserve"> </w:t>
      </w:r>
      <w:r>
        <w:rPr>
          <w:rFonts w:hint="eastAsia" w:ascii="仿宋" w:hAnsi="仿宋" w:eastAsia="仿宋" w:cs="仿宋"/>
          <w:color w:val="000000"/>
          <w:spacing w:val="6"/>
          <w:sz w:val="30"/>
          <w:szCs w:val="30"/>
        </w:rPr>
      </w:r>
      <w:r/>
    </w:p>
    <w:p>
      <w:pPr>
        <w:pStyle w:val="752"/>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JSZC-320300-ZJZB-G2026-0042</w:t>
      </w:r>
      <w:r>
        <w:rPr>
          <w:rFonts w:hint="eastAsia" w:ascii="仿宋" w:hAnsi="仿宋" w:eastAsia="仿宋" w:cs="仿宋"/>
          <w:color w:val="000000"/>
          <w:spacing w:val="6"/>
          <w:sz w:val="30"/>
          <w:szCs w:val="30"/>
          <w:lang w:eastAsia="zh-CN"/>
        </w:rPr>
      </w:r>
      <w:r/>
    </w:p>
    <w:p>
      <w:pPr>
        <w:pStyle w:val="831"/>
        <w:ind w:firstLine="58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31"/>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我单位承诺：</w:t>
      </w:r>
      <w:r>
        <w:rPr>
          <w:rFonts w:hint="eastAsia" w:ascii="仿宋" w:hAnsi="仿宋" w:eastAsia="仿宋" w:cs="仿宋"/>
          <w:color w:val="000000"/>
          <w:spacing w:val="6"/>
          <w:sz w:val="30"/>
          <w:szCs w:val="30"/>
        </w:rPr>
      </w:r>
      <w:r/>
    </w:p>
    <w:p>
      <w:pPr>
        <w:pStyle w:val="831"/>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rPr>
          <w:rFonts w:hint="eastAsia" w:ascii="仿宋" w:hAnsi="仿宋" w:eastAsia="仿宋" w:cs="仿宋"/>
          <w:color w:val="000000"/>
          <w:spacing w:val="6"/>
          <w:sz w:val="30"/>
          <w:szCs w:val="30"/>
        </w:rPr>
      </w:r>
      <w:r/>
    </w:p>
    <w:p>
      <w:pPr>
        <w:pStyle w:val="831"/>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31"/>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我单位对上述承诺负责，并依法承担相应责任。</w:t>
      </w:r>
      <w:r>
        <w:rPr>
          <w:rFonts w:hint="eastAsia" w:ascii="仿宋" w:hAnsi="仿宋" w:eastAsia="仿宋" w:cs="仿宋"/>
          <w:color w:val="000000"/>
          <w:spacing w:val="6"/>
          <w:sz w:val="30"/>
          <w:szCs w:val="30"/>
        </w:rPr>
      </w:r>
      <w:r/>
    </w:p>
    <w:p>
      <w:pPr>
        <w:pStyle w:val="822"/>
        <w:ind w:left="0" w:firstLine="0"/>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22"/>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31"/>
        <w:ind w:firstLine="3120"/>
        <w:spacing w:line="300" w:lineRule="auto"/>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投标人（电子签章）： </w:t>
      </w:r>
      <w:r>
        <w:rPr>
          <w:rFonts w:hint="eastAsia" w:ascii="仿宋" w:hAnsi="仿宋" w:eastAsia="仿宋" w:cs="仿宋"/>
          <w:color w:val="000000"/>
          <w:spacing w:val="6"/>
          <w:sz w:val="30"/>
          <w:szCs w:val="30"/>
        </w:rPr>
      </w:r>
      <w:r/>
    </w:p>
    <w:p>
      <w:pPr>
        <w:pStyle w:val="831"/>
        <w:ind w:firstLine="3120"/>
        <w:spacing w:line="360" w:lineRule="auto"/>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日期：   年  月  日</w:t>
      </w:r>
      <w:r>
        <w:rPr>
          <w:rFonts w:hint="eastAsia" w:ascii="仿宋" w:hAnsi="仿宋" w:eastAsia="仿宋" w:cs="仿宋"/>
          <w:color w:val="000000"/>
          <w:spacing w:val="6"/>
          <w:sz w:val="30"/>
          <w:szCs w:val="30"/>
        </w:rPr>
      </w:r>
      <w:r/>
    </w:p>
    <w:p>
      <w:pPr>
        <w:pStyle w:val="831"/>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31"/>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31"/>
        <w:ind w:firstLine="7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2"/>
        <w:rPr>
          <w:rFonts w:hint="eastAsia" w:ascii="仿宋" w:hAnsi="仿宋" w:eastAsia="仿宋" w:cs="仿宋"/>
          <w:color w:val="000000"/>
        </w:rPr>
      </w:pPr>
      <w:r>
        <w:rPr>
          <w:rFonts w:hint="eastAsia" w:ascii="仿宋" w:hAnsi="仿宋" w:eastAsia="仿宋" w:cs="仿宋"/>
          <w:color w:val="000000"/>
        </w:rPr>
      </w:r>
      <w:r/>
    </w:p>
    <w:p>
      <w:pPr>
        <w:pStyle w:val="752"/>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000000"/>
          <w:sz w:val="30"/>
          <w:szCs w:val="30"/>
        </w:rPr>
        <w:t xml:space="preserve">十、投标人书面声明</w:t>
      </w:r>
      <w:r>
        <w:rPr>
          <w:rFonts w:hint="eastAsia" w:ascii="仿宋" w:hAnsi="仿宋" w:eastAsia="仿宋" w:cs="仿宋"/>
          <w:color w:val="000000"/>
          <w:sz w:val="30"/>
          <w:szCs w:val="30"/>
        </w:rPr>
      </w:r>
      <w:r/>
    </w:p>
    <w:p>
      <w:pPr>
        <w:pStyle w:val="752"/>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2"/>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徐州生物工程职业技术学院大学生活动中心舞美设备采购与安装</w:t>
      </w:r>
      <w:r>
        <w:rPr>
          <w:rFonts w:hint="eastAsia" w:ascii="仿宋" w:hAnsi="仿宋" w:eastAsia="仿宋" w:cs="仿宋"/>
          <w:color w:val="000000"/>
          <w:spacing w:val="6"/>
          <w:sz w:val="30"/>
          <w:szCs w:val="30"/>
        </w:rPr>
        <w:t xml:space="preserve"> </w:t>
      </w:r>
      <w:r>
        <w:rPr>
          <w:rFonts w:hint="eastAsia" w:ascii="仿宋" w:hAnsi="仿宋" w:eastAsia="仿宋" w:cs="仿宋"/>
          <w:color w:val="000000"/>
          <w:spacing w:val="6"/>
          <w:sz w:val="30"/>
          <w:szCs w:val="30"/>
        </w:rPr>
      </w:r>
      <w:r/>
    </w:p>
    <w:p>
      <w:pPr>
        <w:pStyle w:val="752"/>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JSZC-320300-ZJZB-G2026-0042</w:t>
      </w:r>
      <w:r>
        <w:rPr>
          <w:rFonts w:hint="eastAsia" w:ascii="仿宋" w:hAnsi="仿宋" w:eastAsia="仿宋" w:cs="仿宋"/>
          <w:color w:val="000000"/>
          <w:spacing w:val="6"/>
          <w:sz w:val="30"/>
          <w:szCs w:val="30"/>
          <w:lang w:eastAsia="zh-CN"/>
        </w:rPr>
      </w:r>
      <w:r/>
    </w:p>
    <w:p>
      <w:pPr>
        <w:pStyle w:val="831"/>
        <w:ind w:firstLine="480"/>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31"/>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我单位不是为本采购项目提供整体设计、规范编制或者项目管理、监理、检测等服务的供应商。</w:t>
      </w:r>
      <w:r>
        <w:rPr>
          <w:rFonts w:hint="eastAsia" w:ascii="仿宋" w:hAnsi="仿宋" w:eastAsia="仿宋" w:cs="仿宋"/>
          <w:color w:val="000000"/>
          <w:sz w:val="30"/>
          <w:szCs w:val="30"/>
        </w:rPr>
      </w:r>
      <w:r/>
    </w:p>
    <w:p>
      <w:pPr>
        <w:pStyle w:val="831"/>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特此声明。</w:t>
      </w:r>
      <w:r>
        <w:rPr>
          <w:rFonts w:hint="eastAsia" w:ascii="仿宋" w:hAnsi="仿宋" w:eastAsia="仿宋" w:cs="仿宋"/>
          <w:color w:val="000000"/>
          <w:sz w:val="30"/>
          <w:szCs w:val="30"/>
        </w:rPr>
      </w:r>
      <w:r/>
    </w:p>
    <w:p>
      <w:pPr>
        <w:pStyle w:val="831"/>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我单位对上述声明的真实性负责。如有虚假，将依法承担相应责任。</w:t>
      </w:r>
      <w:r>
        <w:rPr>
          <w:rFonts w:hint="eastAsia" w:ascii="仿宋" w:hAnsi="仿宋" w:eastAsia="仿宋" w:cs="仿宋"/>
          <w:color w:val="000000"/>
          <w:sz w:val="30"/>
          <w:szCs w:val="30"/>
        </w:rPr>
      </w:r>
      <w:r/>
    </w:p>
    <w:p>
      <w:pPr>
        <w:pStyle w:val="822"/>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22"/>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70"/>
        <w:ind w:left="0" w:firstLine="0"/>
        <w:jc w:val="righ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投标人（电子签章）：</w:t>
      </w:r>
      <w:r>
        <w:rPr>
          <w:rFonts w:hint="eastAsia" w:ascii="仿宋" w:hAnsi="仿宋" w:eastAsia="仿宋" w:cs="仿宋"/>
          <w:color w:val="000000"/>
          <w:sz w:val="30"/>
          <w:szCs w:val="30"/>
        </w:rPr>
      </w:r>
      <w:r/>
    </w:p>
    <w:p>
      <w:pPr>
        <w:pStyle w:val="752"/>
        <w:jc w:val="right"/>
        <w:spacing w:line="480" w:lineRule="exact"/>
        <w:rPr>
          <w:rFonts w:hint="eastAsia" w:ascii="仿宋" w:hAnsi="仿宋" w:eastAsia="仿宋" w:cs="仿宋"/>
          <w:b/>
          <w:color w:val="000000"/>
          <w:sz w:val="28"/>
          <w:szCs w:val="28"/>
        </w:rPr>
      </w:pPr>
      <w:r>
        <w:rPr>
          <w:rFonts w:hint="eastAsia" w:ascii="仿宋" w:hAnsi="仿宋" w:eastAsia="仿宋" w:cs="仿宋"/>
          <w:color w:val="000000"/>
          <w:sz w:val="30"/>
          <w:szCs w:val="30"/>
        </w:rPr>
        <w:t xml:space="preserve">日期：   年  月  日</w:t>
      </w:r>
      <w:r>
        <w:rPr>
          <w:rFonts w:hint="eastAsia" w:ascii="仿宋" w:hAnsi="仿宋" w:eastAsia="仿宋" w:cs="仿宋"/>
          <w:b/>
          <w:color w:val="000000"/>
          <w:sz w:val="28"/>
          <w:szCs w:val="28"/>
        </w:rPr>
      </w:r>
      <w:r/>
    </w:p>
    <w:p>
      <w:pPr>
        <w:pStyle w:val="752"/>
        <w:rPr>
          <w:rFonts w:hint="eastAsia" w:ascii="仿宋" w:hAnsi="仿宋" w:eastAsia="仿宋" w:cs="仿宋"/>
          <w:b/>
          <w:color w:val="000000"/>
          <w:sz w:val="28"/>
          <w:szCs w:val="28"/>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r>
      <w:r/>
    </w:p>
    <w:p>
      <w:pPr>
        <w:pStyle w:val="752"/>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xml:space="preserve">十一</w:t>
      </w:r>
      <w:r>
        <w:rPr>
          <w:rFonts w:hint="eastAsia" w:ascii="仿宋" w:hAnsi="仿宋" w:eastAsia="仿宋" w:cs="仿宋"/>
          <w:color w:val="000000"/>
          <w:sz w:val="30"/>
          <w:szCs w:val="30"/>
        </w:rPr>
        <w:t xml:space="preserve">、预付款保函支付条款模板</w:t>
      </w:r>
      <w:r>
        <w:rPr>
          <w:rFonts w:hint="eastAsia" w:ascii="仿宋" w:hAnsi="仿宋" w:eastAsia="仿宋" w:cs="仿宋"/>
          <w:color w:val="000000"/>
          <w:sz w:val="30"/>
          <w:szCs w:val="30"/>
        </w:rPr>
      </w:r>
      <w:r/>
    </w:p>
    <w:p>
      <w:pPr>
        <w:pStyle w:val="971"/>
        <w:rPr>
          <w:rFonts w:hint="eastAsia" w:ascii="仿宋" w:hAnsi="仿宋" w:eastAsia="仿宋" w:cs="仿宋"/>
          <w:color w:val="000000"/>
        </w:rPr>
      </w:pPr>
      <w:r>
        <w:rPr>
          <w:rFonts w:hint="eastAsia" w:ascii="仿宋" w:hAnsi="仿宋" w:eastAsia="仿宋" w:cs="仿宋"/>
          <w:color w:val="000000"/>
        </w:rPr>
      </w:r>
      <w:r/>
    </w:p>
    <w:p>
      <w:pPr>
        <w:pStyle w:val="752"/>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符合条件一：提交预付款保函的</w:t>
      </w:r>
      <w:r>
        <w:rPr>
          <w:rFonts w:hint="eastAsia" w:ascii="仿宋" w:hAnsi="仿宋" w:eastAsia="仿宋" w:cs="仿宋"/>
          <w:b/>
          <w:color w:val="000000"/>
          <w:sz w:val="30"/>
          <w:szCs w:val="30"/>
        </w:rPr>
      </w:r>
      <w:r/>
    </w:p>
    <w:p>
      <w:pPr>
        <w:pStyle w:val="752"/>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（1）合同签订且乙方向甲方出具预付款保函后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        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u w:val="single"/>
        </w:rPr>
      </w:r>
      <w:r/>
    </w:p>
    <w:p>
      <w:pPr>
        <w:pStyle w:val="752"/>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rPr>
          <w:rFonts w:hint="eastAsia" w:ascii="仿宋" w:hAnsi="仿宋" w:eastAsia="仿宋" w:cs="仿宋"/>
          <w:color w:val="000000"/>
          <w:sz w:val="30"/>
          <w:szCs w:val="30"/>
        </w:rPr>
      </w:r>
      <w:r/>
    </w:p>
    <w:p>
      <w:pPr>
        <w:pStyle w:val="752"/>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52"/>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rPr>
          <w:rFonts w:hint="eastAsia" w:ascii="仿宋" w:hAnsi="仿宋" w:eastAsia="仿宋" w:cs="仿宋"/>
          <w:b/>
          <w:color w:val="000000"/>
          <w:sz w:val="30"/>
          <w:szCs w:val="30"/>
        </w:rPr>
      </w:r>
      <w:r/>
    </w:p>
    <w:p>
      <w:pPr>
        <w:pStyle w:val="752"/>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符合条件二：不提交预付款保函的</w:t>
      </w:r>
      <w:r>
        <w:rPr>
          <w:rFonts w:hint="eastAsia" w:ascii="仿宋" w:hAnsi="仿宋" w:eastAsia="仿宋" w:cs="仿宋"/>
          <w:b/>
          <w:color w:val="000000"/>
          <w:sz w:val="30"/>
          <w:szCs w:val="30"/>
        </w:rPr>
      </w:r>
      <w:r/>
    </w:p>
    <w:p>
      <w:pPr>
        <w:pStyle w:val="752"/>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u w:val="single"/>
        </w:rPr>
      </w:r>
      <w:r/>
    </w:p>
    <w:p>
      <w:pPr>
        <w:pStyle w:val="752"/>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rPr>
          <w:rFonts w:hint="eastAsia" w:ascii="仿宋" w:hAnsi="仿宋" w:eastAsia="仿宋" w:cs="仿宋"/>
          <w:color w:val="000000"/>
          <w:sz w:val="30"/>
          <w:szCs w:val="30"/>
        </w:rPr>
      </w:r>
      <w:r/>
    </w:p>
    <w:p>
      <w:pPr>
        <w:pStyle w:val="752"/>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52"/>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rPr>
          <w:rFonts w:hint="eastAsia" w:ascii="仿宋" w:hAnsi="仿宋" w:eastAsia="仿宋" w:cs="仿宋"/>
          <w:b/>
          <w:color w:val="000000"/>
          <w:sz w:val="30"/>
          <w:szCs w:val="30"/>
        </w:rPr>
      </w:r>
      <w:r/>
    </w:p>
    <w:p>
      <w:pPr>
        <w:pStyle w:val="752"/>
        <w:ind w:left="140"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注:</w:t>
      </w:r>
      <w:r>
        <w:rPr>
          <w:rFonts w:hint="eastAsia" w:ascii="仿宋" w:hAnsi="仿宋" w:eastAsia="仿宋" w:cs="仿宋"/>
          <w:b/>
          <w:color w:val="000000"/>
          <w:sz w:val="30"/>
          <w:szCs w:val="30"/>
        </w:rPr>
      </w:r>
      <w:r/>
    </w:p>
    <w:p>
      <w:pPr>
        <w:pStyle w:val="752"/>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1、付款条件一中，出具预付款保函后支付的合同款应当与保函金额一致。</w:t>
      </w:r>
      <w:r>
        <w:rPr>
          <w:rFonts w:hint="eastAsia" w:ascii="仿宋" w:hAnsi="仿宋" w:eastAsia="仿宋" w:cs="仿宋"/>
          <w:color w:val="000000"/>
          <w:sz w:val="30"/>
          <w:szCs w:val="30"/>
        </w:rPr>
      </w:r>
      <w:r/>
    </w:p>
    <w:p>
      <w:pPr>
        <w:pStyle w:val="752"/>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2、付款条件二中，预付款比例设定应符合《关于做好政府采购支持企业发展有关事项的通知》(苏财购〔2020〕52号)要求。</w:t>
      </w:r>
      <w:r>
        <w:rPr>
          <w:rFonts w:hint="eastAsia" w:ascii="仿宋" w:hAnsi="仿宋" w:eastAsia="仿宋" w:cs="仿宋"/>
          <w:color w:val="000000"/>
          <w:sz w:val="30"/>
          <w:szCs w:val="30"/>
        </w:rPr>
      </w:r>
      <w:r/>
    </w:p>
    <w:p>
      <w:pPr>
        <w:pStyle w:val="819"/>
        <w:rPr>
          <w:rFonts w:hint="eastAsia" w:ascii="仿宋" w:hAnsi="仿宋" w:eastAsia="仿宋" w:cs="仿宋"/>
          <w:color w:val="000000"/>
        </w:rPr>
      </w:pPr>
      <w:r>
        <w:rPr>
          <w:rFonts w:hint="eastAsia" w:ascii="仿宋" w:hAnsi="仿宋" w:eastAsia="仿宋" w:cs="仿宋"/>
          <w:color w:val="000000"/>
        </w:rPr>
      </w:r>
      <w:r/>
    </w:p>
    <w:p>
      <w:pPr>
        <w:pStyle w:val="752"/>
        <w:rPr>
          <w:rFonts w:hint="eastAsia" w:ascii="仿宋" w:hAnsi="仿宋" w:eastAsia="仿宋" w:cs="仿宋"/>
          <w:color w:val="000000"/>
        </w:rPr>
      </w:pPr>
      <w:r>
        <w:rPr>
          <w:rFonts w:hint="eastAsia" w:ascii="仿宋" w:hAnsi="仿宋" w:eastAsia="仿宋" w:cs="仿宋"/>
          <w:color w:val="000000"/>
        </w:rPr>
        <w:br w:type="page" w:clear="all"/>
      </w:r>
      <w:r>
        <w:rPr>
          <w:rFonts w:hint="eastAsia" w:ascii="仿宋" w:hAnsi="仿宋" w:eastAsia="仿宋" w:cs="仿宋"/>
          <w:color w:val="000000"/>
        </w:rPr>
      </w:r>
      <w:r/>
    </w:p>
    <w:p>
      <w:pPr>
        <w:pStyle w:val="752"/>
        <w:ind w:firstLine="600"/>
        <w:spacing w:line="48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xml:space="preserve">十二、关于符合本国产品标准的声明函</w:t>
      </w:r>
      <w:r>
        <w:rPr>
          <w:rFonts w:hint="eastAsia" w:ascii="仿宋" w:hAnsi="仿宋" w:eastAsia="仿宋" w:cs="仿宋"/>
          <w:color w:val="000000"/>
          <w:sz w:val="30"/>
          <w:szCs w:val="30"/>
          <w:lang w:val="en-US" w:eastAsia="zh-CN"/>
        </w:rPr>
      </w:r>
      <w:r/>
    </w:p>
    <w:p>
      <w:pPr>
        <w:pStyle w:val="752"/>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31"/>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30"/>
          <w:szCs w:val="30"/>
        </w:rPr>
      </w:r>
      <w:r/>
    </w:p>
    <w:p>
      <w:pPr>
        <w:pStyle w:val="831"/>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仿宋" w:hAnsi="仿宋" w:eastAsia="仿宋" w:cs="仿宋"/>
          <w:color w:val="000000"/>
          <w:sz w:val="30"/>
          <w:szCs w:val="30"/>
        </w:rPr>
      </w:r>
      <w:r/>
    </w:p>
    <w:p>
      <w:pPr>
        <w:pStyle w:val="831"/>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仿宋" w:hAnsi="仿宋" w:eastAsia="仿宋" w:cs="仿宋"/>
          <w:color w:val="000000"/>
          <w:sz w:val="30"/>
          <w:szCs w:val="30"/>
        </w:rPr>
      </w:r>
      <w:r/>
    </w:p>
    <w:p>
      <w:pPr>
        <w:pStyle w:val="831"/>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31"/>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本公司（单位）对上述声明内容的真实性负责。如有虚假，愿承担相应法律责任。</w:t>
      </w:r>
      <w:r>
        <w:rPr>
          <w:rFonts w:hint="eastAsia" w:ascii="仿宋" w:hAnsi="仿宋" w:eastAsia="仿宋" w:cs="仿宋"/>
          <w:color w:val="000000"/>
          <w:sz w:val="30"/>
          <w:szCs w:val="30"/>
        </w:rPr>
      </w:r>
      <w:r/>
    </w:p>
    <w:p>
      <w:pPr>
        <w:pStyle w:val="819"/>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31"/>
        <w:rPr>
          <w:rFonts w:hint="eastAsia" w:ascii="仿宋" w:hAnsi="仿宋" w:eastAsia="仿宋" w:cs="仿宋"/>
          <w:sz w:val="30"/>
          <w:szCs w:val="30"/>
        </w:rPr>
      </w:pPr>
      <w:r>
        <w:rPr>
          <w:rFonts w:hint="eastAsia" w:ascii="仿宋" w:hAnsi="仿宋" w:eastAsia="仿宋" w:cs="仿宋"/>
          <w:sz w:val="30"/>
          <w:szCs w:val="30"/>
        </w:rPr>
      </w:r>
      <w:r/>
    </w:p>
    <w:p>
      <w:pPr>
        <w:pStyle w:val="970"/>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投标人（电子签章）：</w:t>
      </w:r>
      <w:r>
        <w:rPr>
          <w:rFonts w:hint="eastAsia" w:ascii="仿宋" w:hAnsi="仿宋" w:eastAsia="仿宋" w:cs="仿宋"/>
          <w:color w:val="000000"/>
          <w:sz w:val="30"/>
          <w:szCs w:val="30"/>
        </w:rPr>
      </w:r>
      <w:r/>
    </w:p>
    <w:p>
      <w:pPr>
        <w:pStyle w:val="970"/>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989"/>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注：</w:t>
      </w:r>
      <w:r>
        <w:rPr>
          <w:rFonts w:hint="eastAsia" w:ascii="仿宋" w:hAnsi="仿宋" w:eastAsia="仿宋" w:cs="仿宋"/>
          <w:b/>
          <w:bCs/>
          <w:color w:val="000000"/>
          <w:sz w:val="24"/>
          <w:szCs w:val="24"/>
          <w:lang w:val="en-US" w:eastAsia="zh-CN" w:bidi="ar-SA"/>
        </w:rPr>
      </w:r>
      <w:r/>
    </w:p>
    <w:p>
      <w:pPr>
        <w:pStyle w:val="989"/>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1.产品如有型号，请在“产品名称”栏一并填写。</w:t>
      </w:r>
      <w:r>
        <w:rPr>
          <w:rFonts w:hint="eastAsia" w:ascii="仿宋" w:hAnsi="仿宋" w:eastAsia="仿宋" w:cs="仿宋"/>
          <w:b/>
          <w:bCs/>
          <w:color w:val="000000"/>
          <w:sz w:val="24"/>
          <w:szCs w:val="24"/>
          <w:lang w:val="en-US" w:eastAsia="zh-CN" w:bidi="ar-SA"/>
        </w:rPr>
      </w:r>
      <w:r/>
    </w:p>
    <w:p>
      <w:pPr>
        <w:pStyle w:val="989"/>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2.生产厂名与厂址应与生产厂营业执照载明的相关信息保持一致。</w:t>
      </w:r>
      <w:r>
        <w:rPr>
          <w:rFonts w:hint="eastAsia" w:ascii="仿宋" w:hAnsi="仿宋" w:eastAsia="仿宋" w:cs="仿宋"/>
          <w:b/>
          <w:bCs/>
          <w:color w:val="000000"/>
          <w:sz w:val="24"/>
          <w:szCs w:val="24"/>
          <w:lang w:val="en-US" w:eastAsia="zh-CN" w:bidi="ar-SA"/>
        </w:rPr>
      </w:r>
      <w:r/>
    </w:p>
    <w:p>
      <w:pPr>
        <w:pStyle w:val="989"/>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3.该产品的中国境内生产的组件成本占比相关要求实施前，“规定比例”栏可不填，下同。</w:t>
      </w:r>
      <w:r>
        <w:rPr>
          <w:rFonts w:hint="eastAsia" w:ascii="仿宋" w:hAnsi="仿宋" w:eastAsia="仿宋" w:cs="仿宋"/>
          <w:b/>
          <w:bCs/>
          <w:color w:val="000000"/>
          <w:sz w:val="24"/>
          <w:szCs w:val="24"/>
          <w:lang w:val="en-US" w:eastAsia="zh-CN" w:bidi="ar-SA"/>
        </w:rPr>
      </w:r>
      <w:r/>
    </w:p>
    <w:p>
      <w:pPr>
        <w:pStyle w:val="989"/>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4.该产品的关键组件要求实施前，“关键组件”栏可不填，下同。</w:t>
      </w:r>
      <w:r>
        <w:rPr>
          <w:rFonts w:hint="eastAsia" w:ascii="仿宋" w:hAnsi="仿宋" w:eastAsia="仿宋" w:cs="仿宋"/>
          <w:b/>
          <w:bCs/>
          <w:color w:val="000000"/>
          <w:sz w:val="24"/>
          <w:szCs w:val="24"/>
          <w:lang w:val="en-US" w:eastAsia="zh-CN" w:bidi="ar-SA"/>
        </w:rPr>
      </w:r>
      <w:r/>
    </w:p>
    <w:p>
      <w:pPr>
        <w:pStyle w:val="989"/>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5.该产品的关键工序要求实施前，“关键工序”栏可不填，下同。</w:t>
      </w:r>
      <w:r>
        <w:rPr>
          <w:rFonts w:hint="eastAsia" w:ascii="仿宋" w:hAnsi="仿宋" w:eastAsia="仿宋" w:cs="仿宋"/>
          <w:b/>
          <w:bCs/>
          <w:color w:val="000000"/>
          <w:sz w:val="24"/>
          <w:szCs w:val="24"/>
          <w:lang w:val="en-US" w:eastAsia="zh-CN" w:bidi="ar-SA"/>
        </w:rPr>
      </w:r>
      <w:r/>
    </w:p>
    <w:p>
      <w:pPr>
        <w:pStyle w:val="989"/>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r>
      <w:r/>
    </w:p>
    <w:p>
      <w:pPr>
        <w:pStyle w:val="989"/>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附件</w:t>
      </w:r>
      <w:r>
        <w:rPr>
          <w:rFonts w:hint="eastAsia" w:ascii="仿宋" w:hAnsi="仿宋" w:eastAsia="仿宋" w:cs="仿宋"/>
          <w:color w:val="000000"/>
          <w:sz w:val="30"/>
          <w:szCs w:val="30"/>
          <w:lang w:val="en-US" w:eastAsia="zh-CN" w:bidi="ar-SA"/>
        </w:rPr>
      </w:r>
      <w:r/>
    </w:p>
    <w:p>
      <w:pPr>
        <w:pStyle w:val="989"/>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989"/>
        <w:ind w:left="0" w:right="0" w:firstLine="0"/>
        <w:jc w:val="center"/>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中国境内生产的组件成本核算基本规则</w:t>
      </w:r>
      <w:r>
        <w:rPr>
          <w:rFonts w:hint="eastAsia" w:ascii="仿宋" w:hAnsi="仿宋" w:eastAsia="仿宋" w:cs="仿宋"/>
          <w:color w:val="000000"/>
          <w:sz w:val="30"/>
          <w:szCs w:val="30"/>
          <w:lang w:val="en-US" w:eastAsia="zh-CN" w:bidi="ar-SA"/>
        </w:rPr>
      </w:r>
      <w:r/>
    </w:p>
    <w:p>
      <w:pPr>
        <w:pStyle w:val="989"/>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989"/>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仿宋" w:hAnsi="仿宋" w:eastAsia="仿宋" w:cs="仿宋"/>
          <w:color w:val="000000"/>
          <w:sz w:val="30"/>
          <w:szCs w:val="30"/>
          <w:lang w:val="en-US" w:eastAsia="zh-CN" w:bidi="ar-SA"/>
        </w:rPr>
      </w:r>
      <w:r/>
    </w:p>
    <w:p>
      <w:pPr>
        <w:pStyle w:val="989"/>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一、产品的一级组件是指直接组成产品的组件。产品的二级组件是指直接组成产品一级组件的组件。一级组件不可分解的，视同二级组件。</w:t>
      </w:r>
      <w:r>
        <w:rPr>
          <w:rFonts w:hint="eastAsia" w:ascii="仿宋" w:hAnsi="仿宋" w:eastAsia="仿宋" w:cs="仿宋"/>
          <w:color w:val="000000"/>
          <w:sz w:val="30"/>
          <w:szCs w:val="30"/>
          <w:lang w:val="en-US" w:eastAsia="zh-CN" w:bidi="ar-SA"/>
        </w:rPr>
      </w:r>
      <w:r/>
    </w:p>
    <w:p>
      <w:pPr>
        <w:pStyle w:val="989"/>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rPr>
          <w:rFonts w:hint="eastAsia" w:ascii="仿宋" w:hAnsi="仿宋" w:eastAsia="仿宋" w:cs="仿宋"/>
          <w:color w:val="000000"/>
          <w:sz w:val="30"/>
          <w:szCs w:val="30"/>
          <w:lang w:val="en-US" w:eastAsia="zh-CN" w:bidi="ar-SA"/>
        </w:rPr>
      </w:r>
      <w:r/>
    </w:p>
    <w:p>
      <w:pPr>
        <w:pStyle w:val="989"/>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三、产品总成本和组件成本以相关会计核算数据、采购合同、进货记录等为基础进行计算。</w:t>
      </w:r>
      <w:r>
        <w:rPr>
          <w:rFonts w:hint="eastAsia" w:ascii="仿宋" w:hAnsi="仿宋" w:eastAsia="仿宋" w:cs="仿宋"/>
          <w:color w:val="000000"/>
          <w:sz w:val="30"/>
          <w:szCs w:val="30"/>
          <w:lang w:val="en-US" w:eastAsia="zh-CN" w:bidi="ar-SA"/>
        </w:rPr>
      </w:r>
      <w:r/>
    </w:p>
    <w:p>
      <w:pPr>
        <w:pStyle w:val="989"/>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四、需要对成本核算规则予以进一步明确的其他有关事项，由财政部会同有关部门另行规定。</w:t>
      </w:r>
      <w:r>
        <w:rPr>
          <w:rFonts w:hint="eastAsia" w:ascii="仿宋" w:hAnsi="仿宋" w:eastAsia="仿宋" w:cs="仿宋"/>
          <w:color w:val="000000"/>
          <w:sz w:val="30"/>
          <w:szCs w:val="30"/>
          <w:lang w:val="en-US" w:eastAsia="zh-CN" w:bidi="ar-SA"/>
        </w:rPr>
      </w:r>
      <w:r/>
    </w:p>
    <w:p>
      <w:pPr>
        <w:pStyle w:val="752"/>
        <w:ind w:firstLine="624"/>
        <w:spacing w:line="480" w:lineRule="exact"/>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Courier New">
    <w:panose1 w:val="02070309020205020404"/>
  </w:font>
  <w:font w:name="Calibri Light">
    <w:panose1 w:val="020F0302020204030204"/>
  </w:font>
  <w:font w:name="仿宋">
    <w:panose1 w:val="02010609060101010101"/>
  </w:font>
  <w:font w:name="仿宋_GB2312">
    <w:panose1 w:val="02010609060101010101"/>
  </w:font>
  <w:font w:name="黑体">
    <w:panose1 w:val="02010609060101010101"/>
  </w:font>
  <w:font w:name="Symbol">
    <w:panose1 w:val="05050102010706020507"/>
  </w:font>
  <w:font w:name="新宋体">
    <w:panose1 w:val="02010609030101010101"/>
  </w:font>
  <w:font w:name="Tahom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4"/>
                            <w:tabs>
                              <w:tab w:val="clear" w:pos="4153" w:leader="none"/>
                              <w:tab w:val="clear" w:pos="8306" w:leader="none"/>
                            </w:tabs>
                            <w:rPr>
                              <w:rStyle w:val="991"/>
                            </w:rPr>
                          </w:pPr>
                          <w:r>
                            <w:fldChar w:fldCharType="begin"/>
                          </w:r>
                          <w:r>
                            <w:rPr>
                              <w:rStyle w:val="991"/>
                            </w:rPr>
                            <w:instrText xml:space="preserve">PAGE  </w:instrText>
                          </w:r>
                          <w:r>
                            <w:fldChar w:fldCharType="separate"/>
                          </w:r>
                          <w:r>
                            <w:rPr>
                              <w:rStyle w:val="991"/>
                            </w:rPr>
                            <w:t xml:space="preserve">1</w:t>
                          </w:r>
                          <w:r>
                            <w:fldChar w:fldCharType="end"/>
                          </w:r>
                          <w:r>
                            <w:rPr>
                              <w:rStyle w:val="991"/>
                            </w:rPr>
                          </w:r>
                          <w:r/>
                        </w:p>
                        <w:p>
                          <w:pPr>
                            <w:pStyle w:val="752"/>
                          </w:pPr>
                          <w:r/>
                          <w:r/>
                        </w:p>
                        <w:p>
                          <w:pPr>
                            <w:pStyle w:val="75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4"/>
                      <w:tabs>
                        <w:tab w:val="clear" w:pos="4153" w:leader="none"/>
                        <w:tab w:val="clear" w:pos="8306" w:leader="none"/>
                      </w:tabs>
                      <w:rPr>
                        <w:rStyle w:val="991"/>
                      </w:rPr>
                    </w:pPr>
                    <w:r>
                      <w:fldChar w:fldCharType="begin"/>
                    </w:r>
                    <w:r>
                      <w:rPr>
                        <w:rStyle w:val="991"/>
                      </w:rPr>
                      <w:instrText xml:space="preserve">PAGE  </w:instrText>
                    </w:r>
                    <w:r>
                      <w:fldChar w:fldCharType="separate"/>
                    </w:r>
                    <w:r>
                      <w:rPr>
                        <w:rStyle w:val="991"/>
                      </w:rPr>
                      <w:t xml:space="preserve">1</w:t>
                    </w:r>
                    <w:r>
                      <w:fldChar w:fldCharType="end"/>
                    </w:r>
                    <w:r>
                      <w:rPr>
                        <w:rStyle w:val="991"/>
                      </w:rPr>
                    </w:r>
                    <w:r/>
                  </w:p>
                  <w:p>
                    <w:pPr>
                      <w:pStyle w:val="752"/>
                    </w:pPr>
                    <w:r/>
                    <w:r/>
                  </w:p>
                  <w:p>
                    <w:pPr>
                      <w:pStyle w:val="75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rPr>
        <w:rStyle w:val="991"/>
      </w:rPr>
      <w:framePr w:wrap="around" w:vAnchor="text" w:hAnchor="margin" w:xAlign="center" w:y="1"/>
    </w:pPr>
    <w:r>
      <w:fldChar w:fldCharType="begin"/>
    </w:r>
    <w:r>
      <w:rPr>
        <w:rStyle w:val="991"/>
      </w:rPr>
      <w:instrText xml:space="preserve">PAGE  </w:instrText>
    </w:r>
    <w:r>
      <w:fldChar w:fldCharType="end"/>
    </w:r>
    <w:r>
      <w:rPr>
        <w:rStyle w:val="991"/>
      </w:rPr>
    </w:r>
    <w:r/>
  </w:p>
  <w:p>
    <w:pPr>
      <w:pStyle w:val="9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752"/>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52"/>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52"/>
        <w:tabs>
          <w:tab w:val="num" w:pos="312" w:leader="none"/>
        </w:tabs>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pStyle w:val="752"/>
      </w:pPr>
      <w:rPr>
        <w:rFonts w:hint="eastAsia"/>
      </w:r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752"/>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pStyle w:val="752"/>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52"/>
        <w:ind w:left="0" w:firstLine="0"/>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8">
    <w:multiLevelType w:val="hybridMultilevel"/>
    <w:lvl w:ilvl="0">
      <w:start w:val="23"/>
      <w:numFmt w:val="decimal"/>
      <w:isLgl w:val="false"/>
      <w:suff w:val="space"/>
      <w:lvlText w:val="%1."/>
      <w:lvlJc w:val="left"/>
      <w:pPr>
        <w:pStyle w:val="752"/>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5"/>
  </w:num>
  <w:num w:numId="5">
    <w:abstractNumId w:val="1"/>
  </w:num>
  <w:num w:numId="6">
    <w:abstractNumId w:val="0"/>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752"/>
    <w:next w:val="752"/>
    <w:link w:val="764"/>
    <w:uiPriority w:val="9"/>
    <w:qFormat/>
    <w:pPr>
      <w:keepLines/>
      <w:keepNext/>
      <w:spacing w:before="480" w:after="200"/>
      <w:outlineLvl w:val="0"/>
    </w:pPr>
    <w:rPr>
      <w:rFonts w:ascii="Arial" w:hAnsi="Arial" w:eastAsia="Arial" w:cs="Arial"/>
      <w:sz w:val="40"/>
      <w:szCs w:val="40"/>
    </w:rPr>
  </w:style>
  <w:style w:type="paragraph" w:styleId="723">
    <w:name w:val="Heading 2"/>
    <w:basedOn w:val="752"/>
    <w:next w:val="752"/>
    <w:link w:val="765"/>
    <w:uiPriority w:val="9"/>
    <w:unhideWhenUsed/>
    <w:qFormat/>
    <w:pPr>
      <w:keepLines/>
      <w:keepNext/>
      <w:spacing w:before="360" w:after="200"/>
      <w:outlineLvl w:val="1"/>
    </w:pPr>
    <w:rPr>
      <w:rFonts w:ascii="Arial" w:hAnsi="Arial" w:eastAsia="Arial" w:cs="Arial"/>
      <w:sz w:val="34"/>
    </w:rPr>
  </w:style>
  <w:style w:type="paragraph" w:styleId="724">
    <w:name w:val="Heading 3"/>
    <w:basedOn w:val="752"/>
    <w:next w:val="752"/>
    <w:link w:val="766"/>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52"/>
    <w:next w:val="752"/>
    <w:link w:val="767"/>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52"/>
    <w:next w:val="752"/>
    <w:link w:val="768"/>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52"/>
    <w:next w:val="752"/>
    <w:link w:val="769"/>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52"/>
    <w:next w:val="752"/>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52"/>
    <w:next w:val="752"/>
    <w:link w:val="771"/>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52"/>
    <w:next w:val="752"/>
    <w:link w:val="772"/>
    <w:uiPriority w:val="9"/>
    <w:unhideWhenUsed/>
    <w:qFormat/>
    <w:pPr>
      <w:keepLines/>
      <w:keepNext/>
      <w:spacing w:before="320" w:after="200"/>
      <w:outlineLvl w:val="8"/>
    </w:pPr>
    <w:rPr>
      <w:rFonts w:ascii="Arial" w:hAnsi="Arial" w:eastAsia="Arial" w:cs="Arial"/>
      <w:i/>
      <w:iCs/>
      <w:sz w:val="21"/>
      <w:szCs w:val="21"/>
    </w:rPr>
  </w:style>
  <w:style w:type="paragraph" w:styleId="731">
    <w:name w:val="Title"/>
    <w:basedOn w:val="752"/>
    <w:next w:val="752"/>
    <w:link w:val="799"/>
    <w:uiPriority w:val="10"/>
    <w:qFormat/>
    <w:pPr>
      <w:contextualSpacing/>
      <w:spacing w:before="300" w:after="200"/>
    </w:pPr>
    <w:rPr>
      <w:sz w:val="48"/>
      <w:szCs w:val="48"/>
    </w:rPr>
  </w:style>
  <w:style w:type="paragraph" w:styleId="732">
    <w:name w:val="Subtitle"/>
    <w:basedOn w:val="752"/>
    <w:next w:val="752"/>
    <w:link w:val="790"/>
    <w:uiPriority w:val="11"/>
    <w:qFormat/>
    <w:pPr>
      <w:spacing w:before="200" w:after="200"/>
    </w:pPr>
    <w:rPr>
      <w:sz w:val="24"/>
      <w:szCs w:val="24"/>
    </w:rPr>
  </w:style>
  <w:style w:type="paragraph" w:styleId="733">
    <w:name w:val="Header"/>
    <w:basedOn w:val="752"/>
    <w:link w:val="786"/>
    <w:uiPriority w:val="99"/>
    <w:unhideWhenUsed/>
    <w:pPr>
      <w:spacing w:after="0" w:line="240" w:lineRule="auto"/>
      <w:tabs>
        <w:tab w:val="center" w:pos="7143" w:leader="none"/>
        <w:tab w:val="right" w:pos="14287" w:leader="none"/>
      </w:tabs>
    </w:pPr>
  </w:style>
  <w:style w:type="paragraph" w:styleId="734">
    <w:name w:val="Footer"/>
    <w:basedOn w:val="752"/>
    <w:link w:val="784"/>
    <w:uiPriority w:val="99"/>
    <w:unhideWhenUsed/>
    <w:pPr>
      <w:spacing w:after="0" w:line="240" w:lineRule="auto"/>
      <w:tabs>
        <w:tab w:val="center" w:pos="7143" w:leader="none"/>
        <w:tab w:val="right" w:pos="14287" w:leader="none"/>
      </w:tabs>
    </w:pPr>
  </w:style>
  <w:style w:type="paragraph" w:styleId="735">
    <w:name w:val="Caption"/>
    <w:basedOn w:val="752"/>
    <w:next w:val="752"/>
    <w:uiPriority w:val="35"/>
    <w:semiHidden/>
    <w:unhideWhenUsed/>
    <w:qFormat/>
    <w:pPr>
      <w:spacing w:line="276" w:lineRule="auto"/>
    </w:pPr>
    <w:rPr>
      <w:b/>
      <w:bCs/>
      <w:color w:val="4f81bd" w:themeColor="accent1"/>
      <w:sz w:val="18"/>
      <w:szCs w:val="18"/>
    </w:rPr>
  </w:style>
  <w:style w:type="table" w:styleId="7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Hyperlink"/>
    <w:uiPriority w:val="99"/>
    <w:unhideWhenUsed/>
    <w:rPr>
      <w:color w:val="0000ff" w:themeColor="hyperlink"/>
      <w:u w:val="single"/>
    </w:rPr>
  </w:style>
  <w:style w:type="paragraph" w:styleId="738">
    <w:name w:val="footnote text"/>
    <w:basedOn w:val="752"/>
    <w:link w:val="792"/>
    <w:uiPriority w:val="99"/>
    <w:semiHidden/>
    <w:unhideWhenUsed/>
    <w:pPr>
      <w:spacing w:after="40" w:line="240" w:lineRule="auto"/>
    </w:pPr>
    <w:rPr>
      <w:sz w:val="18"/>
    </w:rPr>
  </w:style>
  <w:style w:type="character" w:styleId="739">
    <w:name w:val="footnote reference"/>
    <w:uiPriority w:val="99"/>
    <w:unhideWhenUsed/>
    <w:rPr>
      <w:vertAlign w:val="superscript"/>
    </w:rPr>
  </w:style>
  <w:style w:type="paragraph" w:styleId="740">
    <w:name w:val="endnote text"/>
    <w:basedOn w:val="752"/>
    <w:link w:val="782"/>
    <w:uiPriority w:val="99"/>
    <w:semiHidden/>
    <w:unhideWhenUsed/>
    <w:pPr>
      <w:spacing w:after="0" w:line="240" w:lineRule="auto"/>
    </w:pPr>
    <w:rPr>
      <w:sz w:val="20"/>
    </w:rPr>
  </w:style>
  <w:style w:type="character" w:styleId="741">
    <w:name w:val="endnote reference"/>
    <w:uiPriority w:val="99"/>
    <w:semiHidden/>
    <w:unhideWhenUsed/>
    <w:rPr>
      <w:vertAlign w:val="superscript"/>
    </w:rPr>
  </w:style>
  <w:style w:type="paragraph" w:styleId="742">
    <w:name w:val="toc 1"/>
    <w:basedOn w:val="752"/>
    <w:next w:val="752"/>
    <w:uiPriority w:val="39"/>
    <w:unhideWhenUsed/>
    <w:pPr>
      <w:ind w:left="0" w:right="0" w:firstLine="0"/>
      <w:spacing w:after="57"/>
    </w:pPr>
  </w:style>
  <w:style w:type="paragraph" w:styleId="743">
    <w:name w:val="toc 2"/>
    <w:basedOn w:val="752"/>
    <w:next w:val="752"/>
    <w:uiPriority w:val="39"/>
    <w:unhideWhenUsed/>
    <w:pPr>
      <w:ind w:left="283" w:right="0" w:firstLine="0"/>
      <w:spacing w:after="57"/>
    </w:pPr>
  </w:style>
  <w:style w:type="paragraph" w:styleId="744">
    <w:name w:val="toc 3"/>
    <w:basedOn w:val="752"/>
    <w:next w:val="752"/>
    <w:uiPriority w:val="39"/>
    <w:unhideWhenUsed/>
    <w:pPr>
      <w:ind w:left="567" w:right="0" w:firstLine="0"/>
      <w:spacing w:after="57"/>
    </w:pPr>
  </w:style>
  <w:style w:type="paragraph" w:styleId="745">
    <w:name w:val="toc 4"/>
    <w:basedOn w:val="752"/>
    <w:next w:val="752"/>
    <w:uiPriority w:val="39"/>
    <w:unhideWhenUsed/>
    <w:pPr>
      <w:ind w:left="850" w:right="0" w:firstLine="0"/>
      <w:spacing w:after="57"/>
    </w:pPr>
  </w:style>
  <w:style w:type="paragraph" w:styleId="746">
    <w:name w:val="toc 5"/>
    <w:basedOn w:val="752"/>
    <w:next w:val="752"/>
    <w:uiPriority w:val="39"/>
    <w:unhideWhenUsed/>
    <w:pPr>
      <w:ind w:left="1134" w:right="0" w:firstLine="0"/>
      <w:spacing w:after="57"/>
    </w:pPr>
  </w:style>
  <w:style w:type="paragraph" w:styleId="747">
    <w:name w:val="toc 6"/>
    <w:basedOn w:val="752"/>
    <w:next w:val="752"/>
    <w:uiPriority w:val="39"/>
    <w:unhideWhenUsed/>
    <w:pPr>
      <w:ind w:left="1417" w:right="0" w:firstLine="0"/>
      <w:spacing w:after="57"/>
    </w:pPr>
  </w:style>
  <w:style w:type="paragraph" w:styleId="748">
    <w:name w:val="toc 7"/>
    <w:basedOn w:val="752"/>
    <w:next w:val="752"/>
    <w:uiPriority w:val="39"/>
    <w:unhideWhenUsed/>
    <w:pPr>
      <w:ind w:left="1701" w:right="0" w:firstLine="0"/>
      <w:spacing w:after="57"/>
    </w:pPr>
  </w:style>
  <w:style w:type="paragraph" w:styleId="749">
    <w:name w:val="toc 8"/>
    <w:basedOn w:val="752"/>
    <w:next w:val="752"/>
    <w:uiPriority w:val="39"/>
    <w:unhideWhenUsed/>
    <w:pPr>
      <w:ind w:left="1984" w:right="0" w:firstLine="0"/>
      <w:spacing w:after="57"/>
    </w:pPr>
  </w:style>
  <w:style w:type="paragraph" w:styleId="750">
    <w:name w:val="toc 9"/>
    <w:basedOn w:val="752"/>
    <w:next w:val="752"/>
    <w:uiPriority w:val="39"/>
    <w:unhideWhenUsed/>
    <w:pPr>
      <w:ind w:left="2268" w:right="0" w:firstLine="0"/>
      <w:spacing w:after="57"/>
    </w:pPr>
  </w:style>
  <w:style w:type="paragraph" w:styleId="751">
    <w:name w:val="table of figures"/>
    <w:basedOn w:val="752"/>
    <w:next w:val="752"/>
    <w:uiPriority w:val="99"/>
    <w:unhideWhenUsed/>
    <w:pPr>
      <w:spacing w:after="0" w:afterAutospacing="0"/>
    </w:pPr>
  </w:style>
  <w:style w:type="paragraph" w:styleId="752" w:default="1">
    <w:name w:val="Normal"/>
    <w:next w:val="752"/>
    <w:link w:val="752"/>
    <w:qFormat/>
    <w:pPr>
      <w:jc w:val="both"/>
      <w:widowControl w:val="off"/>
    </w:pPr>
    <w:rPr>
      <w:rFonts w:ascii="Times New Roman" w:hAnsi="Times New Roman" w:eastAsia="宋体" w:cs="Times New Roman"/>
      <w:sz w:val="21"/>
      <w:szCs w:val="24"/>
      <w:lang w:val="en-US" w:eastAsia="zh-CN" w:bidi="ar-SA"/>
    </w:rPr>
  </w:style>
  <w:style w:type="paragraph" w:styleId="753">
    <w:name w:val="标题 1"/>
    <w:basedOn w:val="752"/>
    <w:next w:val="752"/>
    <w:link w:val="764"/>
    <w:uiPriority w:val="9"/>
    <w:qFormat/>
    <w:pPr>
      <w:keepLines/>
      <w:keepNext/>
      <w:spacing w:before="480" w:after="200"/>
      <w:outlineLvl w:val="0"/>
    </w:pPr>
    <w:rPr>
      <w:rFonts w:ascii="Arial" w:hAnsi="Arial" w:eastAsia="Arial" w:cs="Arial"/>
      <w:sz w:val="40"/>
      <w:szCs w:val="40"/>
    </w:rPr>
  </w:style>
  <w:style w:type="paragraph" w:styleId="754">
    <w:name w:val="标题 2"/>
    <w:basedOn w:val="752"/>
    <w:next w:val="752"/>
    <w:link w:val="765"/>
    <w:uiPriority w:val="9"/>
    <w:unhideWhenUsed/>
    <w:qFormat/>
    <w:pPr>
      <w:keepLines/>
      <w:keepNext/>
      <w:spacing w:before="360" w:after="200"/>
      <w:outlineLvl w:val="1"/>
    </w:pPr>
    <w:rPr>
      <w:rFonts w:ascii="Arial" w:hAnsi="Arial" w:eastAsia="Arial" w:cs="Arial"/>
      <w:sz w:val="34"/>
    </w:rPr>
  </w:style>
  <w:style w:type="paragraph" w:styleId="755">
    <w:name w:val="标题 3"/>
    <w:basedOn w:val="752"/>
    <w:next w:val="752"/>
    <w:link w:val="766"/>
    <w:uiPriority w:val="9"/>
    <w:unhideWhenUsed/>
    <w:qFormat/>
    <w:pPr>
      <w:keepLines/>
      <w:keepNext/>
      <w:spacing w:before="320" w:after="200"/>
      <w:outlineLvl w:val="2"/>
    </w:pPr>
    <w:rPr>
      <w:rFonts w:ascii="Arial" w:hAnsi="Arial" w:eastAsia="Arial" w:cs="Arial"/>
      <w:sz w:val="30"/>
      <w:szCs w:val="30"/>
    </w:rPr>
  </w:style>
  <w:style w:type="paragraph" w:styleId="756">
    <w:name w:val="标题 4"/>
    <w:basedOn w:val="752"/>
    <w:next w:val="752"/>
    <w:link w:val="767"/>
    <w:uiPriority w:val="9"/>
    <w:unhideWhenUsed/>
    <w:qFormat/>
    <w:pPr>
      <w:keepLines/>
      <w:keepNext/>
      <w:spacing w:before="320" w:after="200"/>
      <w:outlineLvl w:val="3"/>
    </w:pPr>
    <w:rPr>
      <w:rFonts w:ascii="Arial" w:hAnsi="Arial" w:eastAsia="Arial" w:cs="Arial"/>
      <w:b/>
      <w:bCs/>
      <w:sz w:val="26"/>
      <w:szCs w:val="26"/>
    </w:rPr>
  </w:style>
  <w:style w:type="paragraph" w:styleId="757">
    <w:name w:val="标题 5"/>
    <w:basedOn w:val="752"/>
    <w:next w:val="752"/>
    <w:link w:val="768"/>
    <w:uiPriority w:val="9"/>
    <w:unhideWhenUsed/>
    <w:qFormat/>
    <w:pPr>
      <w:keepLines/>
      <w:keepNext/>
      <w:spacing w:before="320" w:after="200"/>
      <w:outlineLvl w:val="4"/>
    </w:pPr>
    <w:rPr>
      <w:rFonts w:ascii="Arial" w:hAnsi="Arial" w:eastAsia="Arial" w:cs="Arial"/>
      <w:b/>
      <w:bCs/>
      <w:sz w:val="24"/>
      <w:szCs w:val="24"/>
    </w:rPr>
  </w:style>
  <w:style w:type="paragraph" w:styleId="758">
    <w:name w:val="标题 6"/>
    <w:basedOn w:val="752"/>
    <w:next w:val="752"/>
    <w:link w:val="769"/>
    <w:uiPriority w:val="9"/>
    <w:unhideWhenUsed/>
    <w:qFormat/>
    <w:pPr>
      <w:keepLines/>
      <w:keepNext/>
      <w:spacing w:before="320" w:after="200"/>
      <w:outlineLvl w:val="5"/>
    </w:pPr>
    <w:rPr>
      <w:rFonts w:ascii="Arial" w:hAnsi="Arial" w:eastAsia="Arial" w:cs="Arial"/>
      <w:b/>
      <w:bCs/>
      <w:sz w:val="22"/>
      <w:szCs w:val="22"/>
    </w:rPr>
  </w:style>
  <w:style w:type="paragraph" w:styleId="759">
    <w:name w:val="标题 7"/>
    <w:basedOn w:val="752"/>
    <w:next w:val="752"/>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标题 8"/>
    <w:basedOn w:val="752"/>
    <w:next w:val="752"/>
    <w:link w:val="771"/>
    <w:uiPriority w:val="9"/>
    <w:unhideWhenUsed/>
    <w:qFormat/>
    <w:pPr>
      <w:keepLines/>
      <w:keepNext/>
      <w:spacing w:before="320" w:after="200"/>
      <w:outlineLvl w:val="7"/>
    </w:pPr>
    <w:rPr>
      <w:rFonts w:ascii="Arial" w:hAnsi="Arial" w:eastAsia="Arial" w:cs="Arial"/>
      <w:i/>
      <w:iCs/>
      <w:sz w:val="22"/>
      <w:szCs w:val="22"/>
    </w:rPr>
  </w:style>
  <w:style w:type="paragraph" w:styleId="761">
    <w:name w:val="标题 9"/>
    <w:basedOn w:val="752"/>
    <w:next w:val="752"/>
    <w:link w:val="772"/>
    <w:uiPriority w:val="9"/>
    <w:unhideWhenUsed/>
    <w:qFormat/>
    <w:pPr>
      <w:keepLines/>
      <w:keepNext/>
      <w:spacing w:before="320" w:after="200"/>
      <w:outlineLvl w:val="8"/>
    </w:pPr>
    <w:rPr>
      <w:rFonts w:ascii="Arial" w:hAnsi="Arial" w:eastAsia="Arial" w:cs="Arial"/>
      <w:i/>
      <w:iCs/>
      <w:sz w:val="21"/>
      <w:szCs w:val="21"/>
    </w:rPr>
  </w:style>
  <w:style w:type="character" w:styleId="762">
    <w:name w:val="默认段落字体"/>
    <w:next w:val="762"/>
    <w:link w:val="752"/>
    <w:uiPriority w:val="1"/>
    <w:unhideWhenUsed/>
    <w:qFormat/>
  </w:style>
  <w:style w:type="table" w:styleId="763">
    <w:name w:val="普通表格"/>
    <w:next w:val="763"/>
    <w:link w:val="752"/>
    <w:uiPriority w:val="99"/>
    <w:unhideWhenUsed/>
    <w:qFormat/>
    <w:tblPr/>
  </w:style>
  <w:style w:type="character" w:styleId="764">
    <w:name w:val="Heading 1 Char"/>
    <w:next w:val="764"/>
    <w:link w:val="753"/>
    <w:uiPriority w:val="9"/>
    <w:qFormat/>
    <w:rPr>
      <w:rFonts w:ascii="Arial" w:hAnsi="Arial" w:eastAsia="Arial" w:cs="Arial"/>
      <w:sz w:val="40"/>
      <w:szCs w:val="40"/>
    </w:rPr>
  </w:style>
  <w:style w:type="character" w:styleId="765">
    <w:name w:val="Heading 2 Char"/>
    <w:next w:val="765"/>
    <w:link w:val="754"/>
    <w:uiPriority w:val="9"/>
    <w:qFormat/>
    <w:rPr>
      <w:rFonts w:ascii="Arial" w:hAnsi="Arial" w:eastAsia="Arial" w:cs="Arial"/>
      <w:sz w:val="34"/>
    </w:rPr>
  </w:style>
  <w:style w:type="character" w:styleId="766">
    <w:name w:val="Heading 3 Char"/>
    <w:next w:val="766"/>
    <w:link w:val="755"/>
    <w:uiPriority w:val="9"/>
    <w:qFormat/>
    <w:rPr>
      <w:rFonts w:ascii="Arial" w:hAnsi="Arial" w:eastAsia="Arial" w:cs="Arial"/>
      <w:sz w:val="30"/>
      <w:szCs w:val="30"/>
    </w:rPr>
  </w:style>
  <w:style w:type="character" w:styleId="767">
    <w:name w:val="Heading 4 Char"/>
    <w:next w:val="767"/>
    <w:link w:val="756"/>
    <w:uiPriority w:val="9"/>
    <w:qFormat/>
    <w:rPr>
      <w:rFonts w:ascii="Arial" w:hAnsi="Arial" w:eastAsia="Arial" w:cs="Arial"/>
      <w:b/>
      <w:bCs/>
      <w:sz w:val="26"/>
      <w:szCs w:val="26"/>
    </w:rPr>
  </w:style>
  <w:style w:type="character" w:styleId="768">
    <w:name w:val="Heading 5 Char"/>
    <w:next w:val="768"/>
    <w:link w:val="757"/>
    <w:uiPriority w:val="9"/>
    <w:qFormat/>
    <w:rPr>
      <w:rFonts w:ascii="Arial" w:hAnsi="Arial" w:eastAsia="Arial" w:cs="Arial"/>
      <w:b/>
      <w:bCs/>
      <w:sz w:val="24"/>
      <w:szCs w:val="24"/>
    </w:rPr>
  </w:style>
  <w:style w:type="character" w:styleId="769">
    <w:name w:val="Heading 6 Char"/>
    <w:next w:val="769"/>
    <w:link w:val="758"/>
    <w:uiPriority w:val="9"/>
    <w:qFormat/>
    <w:rPr>
      <w:rFonts w:ascii="Arial" w:hAnsi="Arial" w:eastAsia="Arial" w:cs="Arial"/>
      <w:b/>
      <w:bCs/>
      <w:sz w:val="22"/>
      <w:szCs w:val="22"/>
    </w:rPr>
  </w:style>
  <w:style w:type="character" w:styleId="770">
    <w:name w:val="Heading 7 Char"/>
    <w:next w:val="770"/>
    <w:link w:val="759"/>
    <w:uiPriority w:val="9"/>
    <w:qFormat/>
    <w:rPr>
      <w:rFonts w:ascii="Arial" w:hAnsi="Arial" w:eastAsia="Arial" w:cs="Arial"/>
      <w:b/>
      <w:bCs/>
      <w:i/>
      <w:iCs/>
      <w:sz w:val="22"/>
      <w:szCs w:val="22"/>
    </w:rPr>
  </w:style>
  <w:style w:type="character" w:styleId="771">
    <w:name w:val="Heading 8 Char"/>
    <w:next w:val="771"/>
    <w:link w:val="760"/>
    <w:uiPriority w:val="9"/>
    <w:qFormat/>
    <w:rPr>
      <w:rFonts w:ascii="Arial" w:hAnsi="Arial" w:eastAsia="Arial" w:cs="Arial"/>
      <w:i/>
      <w:iCs/>
      <w:sz w:val="22"/>
      <w:szCs w:val="22"/>
    </w:rPr>
  </w:style>
  <w:style w:type="character" w:styleId="772">
    <w:name w:val="Heading 9 Char"/>
    <w:next w:val="772"/>
    <w:link w:val="761"/>
    <w:uiPriority w:val="9"/>
    <w:qFormat/>
    <w:rPr>
      <w:rFonts w:ascii="Arial" w:hAnsi="Arial" w:eastAsia="Arial" w:cs="Arial"/>
      <w:i/>
      <w:iCs/>
      <w:sz w:val="21"/>
      <w:szCs w:val="21"/>
    </w:rPr>
  </w:style>
  <w:style w:type="paragraph" w:styleId="773">
    <w:name w:val="目录 7"/>
    <w:basedOn w:val="752"/>
    <w:next w:val="752"/>
    <w:link w:val="752"/>
    <w:uiPriority w:val="39"/>
    <w:unhideWhenUsed/>
    <w:qFormat/>
    <w:pPr>
      <w:ind w:left="1701" w:right="0" w:firstLine="0"/>
      <w:spacing w:after="57"/>
    </w:pPr>
  </w:style>
  <w:style w:type="paragraph" w:styleId="774">
    <w:name w:val="题注"/>
    <w:basedOn w:val="752"/>
    <w:next w:val="752"/>
    <w:link w:val="752"/>
    <w:uiPriority w:val="35"/>
    <w:unhideWhenUsed/>
    <w:qFormat/>
    <w:pPr>
      <w:spacing w:line="276" w:lineRule="auto"/>
    </w:pPr>
    <w:rPr>
      <w:b/>
      <w:bCs/>
      <w:color w:val="4f81bd"/>
      <w:sz w:val="18"/>
      <w:szCs w:val="18"/>
    </w:rPr>
  </w:style>
  <w:style w:type="paragraph" w:styleId="775">
    <w:name w:val="批注文字"/>
    <w:basedOn w:val="752"/>
    <w:next w:val="775"/>
    <w:link w:val="752"/>
    <w:uiPriority w:val="99"/>
    <w:unhideWhenUsed/>
    <w:qFormat/>
    <w:pPr>
      <w:jc w:val="left"/>
    </w:pPr>
  </w:style>
  <w:style w:type="paragraph" w:styleId="776">
    <w:name w:val="正文文本"/>
    <w:basedOn w:val="752"/>
    <w:next w:val="776"/>
    <w:link w:val="752"/>
    <w:uiPriority w:val="1"/>
    <w:qFormat/>
    <w:pPr>
      <w:spacing w:after="120"/>
    </w:pPr>
    <w:rPr>
      <w:rFonts w:ascii="Calibri" w:hAnsi="Calibri"/>
    </w:rPr>
  </w:style>
  <w:style w:type="paragraph" w:styleId="777">
    <w:name w:val="文本块"/>
    <w:basedOn w:val="752"/>
    <w:next w:val="752"/>
    <w:link w:val="752"/>
    <w:uiPriority w:val="99"/>
    <w:qFormat/>
    <w:pPr>
      <w:ind w:left="420" w:right="33"/>
      <w:jc w:val="left"/>
    </w:pPr>
    <w:rPr>
      <w:sz w:val="24"/>
      <w:szCs w:val="20"/>
    </w:rPr>
  </w:style>
  <w:style w:type="paragraph" w:styleId="778">
    <w:name w:val="目录 5"/>
    <w:basedOn w:val="752"/>
    <w:next w:val="752"/>
    <w:link w:val="752"/>
    <w:uiPriority w:val="39"/>
    <w:unhideWhenUsed/>
    <w:qFormat/>
    <w:pPr>
      <w:ind w:left="1134" w:right="0" w:firstLine="0"/>
      <w:spacing w:after="57"/>
    </w:pPr>
  </w:style>
  <w:style w:type="paragraph" w:styleId="779">
    <w:name w:val="目录 3"/>
    <w:basedOn w:val="752"/>
    <w:next w:val="752"/>
    <w:link w:val="752"/>
    <w:uiPriority w:val="39"/>
    <w:unhideWhenUsed/>
    <w:qFormat/>
    <w:pPr>
      <w:ind w:left="567" w:right="0" w:firstLine="0"/>
      <w:spacing w:after="57"/>
    </w:pPr>
  </w:style>
  <w:style w:type="paragraph" w:styleId="780">
    <w:name w:val="目录 8"/>
    <w:basedOn w:val="752"/>
    <w:next w:val="752"/>
    <w:link w:val="752"/>
    <w:uiPriority w:val="39"/>
    <w:unhideWhenUsed/>
    <w:qFormat/>
    <w:pPr>
      <w:ind w:left="1984" w:right="0" w:firstLine="0"/>
      <w:spacing w:after="57"/>
    </w:pPr>
  </w:style>
  <w:style w:type="paragraph" w:styleId="781">
    <w:name w:val="尾注文本"/>
    <w:basedOn w:val="752"/>
    <w:next w:val="781"/>
    <w:link w:val="782"/>
    <w:uiPriority w:val="99"/>
    <w:unhideWhenUsed/>
    <w:qFormat/>
    <w:pPr>
      <w:spacing w:after="0" w:line="240" w:lineRule="auto"/>
    </w:pPr>
    <w:rPr>
      <w:sz w:val="20"/>
    </w:rPr>
  </w:style>
  <w:style w:type="character" w:styleId="782">
    <w:name w:val="Endnote Text Char"/>
    <w:next w:val="782"/>
    <w:link w:val="781"/>
    <w:uiPriority w:val="99"/>
    <w:qFormat/>
    <w:rPr>
      <w:sz w:val="20"/>
    </w:rPr>
  </w:style>
  <w:style w:type="paragraph" w:styleId="783">
    <w:name w:val="页脚"/>
    <w:basedOn w:val="752"/>
    <w:next w:val="783"/>
    <w:link w:val="784"/>
    <w:uiPriority w:val="99"/>
    <w:unhideWhenUsed/>
    <w:qFormat/>
    <w:pPr>
      <w:spacing w:after="0" w:line="240" w:lineRule="auto"/>
      <w:tabs>
        <w:tab w:val="center" w:pos="7143" w:leader="none"/>
        <w:tab w:val="right" w:pos="14287" w:leader="none"/>
      </w:tabs>
    </w:pPr>
  </w:style>
  <w:style w:type="character" w:styleId="784">
    <w:name w:val="Caption Char"/>
    <w:next w:val="784"/>
    <w:link w:val="783"/>
    <w:uiPriority w:val="99"/>
    <w:qFormat/>
  </w:style>
  <w:style w:type="paragraph" w:styleId="785">
    <w:name w:val="页眉"/>
    <w:basedOn w:val="752"/>
    <w:next w:val="785"/>
    <w:link w:val="786"/>
    <w:uiPriority w:val="99"/>
    <w:unhideWhenUsed/>
    <w:qFormat/>
    <w:pPr>
      <w:spacing w:after="0" w:line="240" w:lineRule="auto"/>
      <w:tabs>
        <w:tab w:val="center" w:pos="7143" w:leader="none"/>
        <w:tab w:val="right" w:pos="14287" w:leader="none"/>
      </w:tabs>
    </w:pPr>
  </w:style>
  <w:style w:type="character" w:styleId="786">
    <w:name w:val="Header Char"/>
    <w:next w:val="786"/>
    <w:link w:val="785"/>
    <w:uiPriority w:val="99"/>
    <w:qFormat/>
  </w:style>
  <w:style w:type="paragraph" w:styleId="787">
    <w:name w:val="目录 1"/>
    <w:basedOn w:val="752"/>
    <w:next w:val="752"/>
    <w:link w:val="752"/>
    <w:uiPriority w:val="39"/>
    <w:unhideWhenUsed/>
    <w:qFormat/>
    <w:pPr>
      <w:ind w:left="0" w:right="0" w:firstLine="0"/>
      <w:spacing w:after="57"/>
    </w:pPr>
  </w:style>
  <w:style w:type="paragraph" w:styleId="788">
    <w:name w:val="目录 4"/>
    <w:basedOn w:val="752"/>
    <w:next w:val="752"/>
    <w:link w:val="752"/>
    <w:uiPriority w:val="39"/>
    <w:unhideWhenUsed/>
    <w:qFormat/>
    <w:pPr>
      <w:ind w:left="850" w:right="0" w:firstLine="0"/>
      <w:spacing w:after="57"/>
    </w:pPr>
  </w:style>
  <w:style w:type="paragraph" w:styleId="789">
    <w:name w:val="副标题"/>
    <w:basedOn w:val="752"/>
    <w:next w:val="752"/>
    <w:link w:val="790"/>
    <w:uiPriority w:val="11"/>
    <w:qFormat/>
    <w:pPr>
      <w:spacing w:before="200" w:after="200"/>
    </w:pPr>
    <w:rPr>
      <w:sz w:val="24"/>
      <w:szCs w:val="24"/>
    </w:rPr>
  </w:style>
  <w:style w:type="character" w:styleId="790">
    <w:name w:val="Subtitle Char"/>
    <w:next w:val="790"/>
    <w:link w:val="789"/>
    <w:uiPriority w:val="11"/>
    <w:qFormat/>
    <w:rPr>
      <w:sz w:val="24"/>
      <w:szCs w:val="24"/>
    </w:rPr>
  </w:style>
  <w:style w:type="paragraph" w:styleId="791">
    <w:name w:val="脚注文本"/>
    <w:basedOn w:val="752"/>
    <w:next w:val="791"/>
    <w:link w:val="792"/>
    <w:uiPriority w:val="99"/>
    <w:unhideWhenUsed/>
    <w:qFormat/>
    <w:pPr>
      <w:spacing w:after="40" w:line="240" w:lineRule="auto"/>
    </w:pPr>
    <w:rPr>
      <w:sz w:val="18"/>
    </w:rPr>
  </w:style>
  <w:style w:type="character" w:styleId="792">
    <w:name w:val="Footnote Text Char"/>
    <w:next w:val="792"/>
    <w:link w:val="791"/>
    <w:uiPriority w:val="99"/>
    <w:qFormat/>
    <w:rPr>
      <w:sz w:val="18"/>
    </w:rPr>
  </w:style>
  <w:style w:type="paragraph" w:styleId="793">
    <w:name w:val="目录 6"/>
    <w:basedOn w:val="752"/>
    <w:next w:val="752"/>
    <w:link w:val="752"/>
    <w:uiPriority w:val="39"/>
    <w:unhideWhenUsed/>
    <w:qFormat/>
    <w:pPr>
      <w:ind w:left="1417" w:right="0" w:firstLine="0"/>
      <w:spacing w:after="57"/>
    </w:pPr>
  </w:style>
  <w:style w:type="paragraph" w:styleId="794">
    <w:name w:val="索引 9"/>
    <w:basedOn w:val="752"/>
    <w:next w:val="752"/>
    <w:link w:val="752"/>
    <w:qFormat/>
    <w:pPr>
      <w:ind w:left="3360"/>
    </w:pPr>
  </w:style>
  <w:style w:type="paragraph" w:styleId="795">
    <w:name w:val="图表目录"/>
    <w:basedOn w:val="752"/>
    <w:next w:val="752"/>
    <w:link w:val="752"/>
    <w:uiPriority w:val="99"/>
    <w:unhideWhenUsed/>
    <w:qFormat/>
    <w:pPr>
      <w:spacing w:after="0" w:afterAutospacing="0"/>
    </w:pPr>
  </w:style>
  <w:style w:type="paragraph" w:styleId="796">
    <w:name w:val="目录 2"/>
    <w:basedOn w:val="752"/>
    <w:next w:val="752"/>
    <w:link w:val="752"/>
    <w:uiPriority w:val="39"/>
    <w:unhideWhenUsed/>
    <w:qFormat/>
    <w:pPr>
      <w:ind w:left="283" w:right="0" w:firstLine="0"/>
      <w:spacing w:after="57"/>
    </w:pPr>
  </w:style>
  <w:style w:type="paragraph" w:styleId="797">
    <w:name w:val="目录 9"/>
    <w:basedOn w:val="752"/>
    <w:next w:val="752"/>
    <w:link w:val="752"/>
    <w:uiPriority w:val="39"/>
    <w:unhideWhenUsed/>
    <w:qFormat/>
    <w:pPr>
      <w:ind w:left="2268" w:right="0" w:firstLine="0"/>
      <w:spacing w:after="57"/>
    </w:pPr>
  </w:style>
  <w:style w:type="paragraph" w:styleId="798">
    <w:name w:val="标题"/>
    <w:basedOn w:val="752"/>
    <w:next w:val="752"/>
    <w:link w:val="799"/>
    <w:uiPriority w:val="10"/>
    <w:qFormat/>
    <w:pPr>
      <w:contextualSpacing/>
      <w:spacing w:before="300" w:after="200"/>
    </w:pPr>
    <w:rPr>
      <w:sz w:val="48"/>
      <w:szCs w:val="48"/>
    </w:rPr>
  </w:style>
  <w:style w:type="character" w:styleId="799">
    <w:name w:val="Title Char"/>
    <w:next w:val="799"/>
    <w:link w:val="798"/>
    <w:uiPriority w:val="10"/>
    <w:qFormat/>
    <w:rPr>
      <w:sz w:val="48"/>
      <w:szCs w:val="48"/>
    </w:rPr>
  </w:style>
  <w:style w:type="table" w:styleId="800">
    <w:name w:val="网格型"/>
    <w:next w:val="800"/>
    <w:link w:val="752"/>
    <w:uiPriority w:val="59"/>
    <w:qFormat/>
    <w:pPr>
      <w:spacing w:after="0" w:line="240" w:lineRule="auto"/>
    </w:pPr>
    <w:tblPr/>
  </w:style>
  <w:style w:type="character" w:styleId="801">
    <w:name w:val="要点"/>
    <w:basedOn w:val="762"/>
    <w:next w:val="801"/>
    <w:link w:val="752"/>
    <w:uiPriority w:val="22"/>
    <w:qFormat/>
    <w:rPr>
      <w:b/>
    </w:rPr>
  </w:style>
  <w:style w:type="character" w:styleId="802">
    <w:name w:val="尾注引用"/>
    <w:next w:val="802"/>
    <w:link w:val="752"/>
    <w:uiPriority w:val="99"/>
    <w:unhideWhenUsed/>
    <w:qFormat/>
    <w:rPr>
      <w:vertAlign w:val="superscript"/>
    </w:rPr>
  </w:style>
  <w:style w:type="character" w:styleId="803">
    <w:name w:val="超链接"/>
    <w:next w:val="803"/>
    <w:link w:val="752"/>
    <w:uiPriority w:val="99"/>
    <w:unhideWhenUsed/>
    <w:qFormat/>
    <w:rPr>
      <w:color w:val="0000ff"/>
      <w:u w:val="single"/>
    </w:rPr>
  </w:style>
  <w:style w:type="character" w:styleId="804">
    <w:name w:val="脚注引用"/>
    <w:next w:val="804"/>
    <w:link w:val="752"/>
    <w:uiPriority w:val="99"/>
    <w:unhideWhenUsed/>
    <w:qFormat/>
    <w:rPr>
      <w:vertAlign w:val="superscript"/>
    </w:rPr>
  </w:style>
  <w:style w:type="character" w:styleId="805">
    <w:name w:val="标题 3 Char"/>
    <w:basedOn w:val="806"/>
    <w:next w:val="805"/>
    <w:link w:val="807"/>
    <w:uiPriority w:val="9"/>
    <w:qFormat/>
    <w:rPr>
      <w:rFonts w:ascii="Tahoma" w:hAnsi="Tahoma" w:eastAsia="微软雅黑" w:cs="Times New Roman"/>
      <w:b/>
      <w:bCs/>
      <w:sz w:val="32"/>
      <w:szCs w:val="32"/>
    </w:rPr>
  </w:style>
  <w:style w:type="character" w:styleId="806">
    <w:name w:val="默认段落字体1"/>
    <w:next w:val="806"/>
    <w:link w:val="752"/>
    <w:uiPriority w:val="1"/>
    <w:unhideWhenUsed/>
    <w:qFormat/>
  </w:style>
  <w:style w:type="paragraph" w:styleId="807">
    <w:name w:val="标题 31"/>
    <w:basedOn w:val="752"/>
    <w:next w:val="752"/>
    <w:link w:val="805"/>
    <w:uiPriority w:val="9"/>
    <w:unhideWhenUsed/>
    <w:qFormat/>
    <w:pPr>
      <w:jc w:val="left"/>
      <w:keepLines/>
      <w:keepNext/>
      <w:spacing w:before="260" w:after="260" w:line="416" w:lineRule="auto"/>
      <w:widowControl/>
      <w:outlineLvl w:val="2"/>
    </w:pPr>
    <w:rPr>
      <w:rFonts w:ascii="Tahoma" w:hAnsi="Tahoma" w:eastAsia="微软雅黑" w:cs="Times New Roman"/>
      <w:b/>
      <w:bCs/>
      <w:sz w:val="32"/>
      <w:szCs w:val="32"/>
    </w:rPr>
  </w:style>
  <w:style w:type="character" w:styleId="808">
    <w:name w:val="Footer Char"/>
    <w:next w:val="808"/>
    <w:link w:val="783"/>
    <w:uiPriority w:val="99"/>
    <w:qFormat/>
  </w:style>
  <w:style w:type="character" w:styleId="809">
    <w:name w:val="ql-font-songti"/>
    <w:basedOn w:val="806"/>
    <w:next w:val="809"/>
    <w:link w:val="752"/>
    <w:qFormat/>
  </w:style>
  <w:style w:type="character" w:styleId="810">
    <w:name w:val="标题 1 Char"/>
    <w:next w:val="810"/>
    <w:link w:val="811"/>
    <w:qFormat/>
    <w:rPr>
      <w:rFonts w:eastAsia="新宋体"/>
      <w:b/>
      <w:bCs/>
      <w:sz w:val="30"/>
      <w:szCs w:val="44"/>
    </w:rPr>
  </w:style>
  <w:style w:type="paragraph" w:styleId="811">
    <w:name w:val="标题 11"/>
    <w:basedOn w:val="752"/>
    <w:next w:val="752"/>
    <w:link w:val="810"/>
    <w:qFormat/>
    <w:pPr>
      <w:jc w:val="center"/>
      <w:keepLines/>
      <w:keepNext/>
      <w:spacing w:line="578" w:lineRule="auto"/>
      <w:outlineLvl w:val="0"/>
    </w:pPr>
    <w:rPr>
      <w:rFonts w:eastAsia="新宋体"/>
      <w:b/>
      <w:bCs/>
      <w:sz w:val="30"/>
      <w:szCs w:val="44"/>
    </w:rPr>
  </w:style>
  <w:style w:type="paragraph" w:styleId="812">
    <w:name w:val="一级条标题"/>
    <w:basedOn w:val="813"/>
    <w:next w:val="752"/>
    <w:link w:val="75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3">
    <w:name w:val="章标题"/>
    <w:basedOn w:val="814"/>
    <w:next w:val="831"/>
    <w:link w:val="752"/>
    <w:qFormat/>
    <w:pPr>
      <w:jc w:val="center"/>
      <w:spacing w:before="158" w:after="153" w:line="1292" w:lineRule="atLeast"/>
      <w:widowControl/>
    </w:pPr>
    <w:rPr>
      <w:rFonts w:ascii="Arial" w:hAnsi="Calibri" w:eastAsia="黑体" w:cs="黑体"/>
      <w:sz w:val="31"/>
      <w:szCs w:val="22"/>
      <w:lang w:eastAsia="en-US" w:bidi="en-US"/>
    </w:rPr>
  </w:style>
  <w:style w:type="paragraph" w:styleId="814">
    <w:name w:val="正文112"/>
    <w:next w:val="815"/>
    <w:link w:val="752"/>
    <w:qFormat/>
    <w:pPr>
      <w:jc w:val="both"/>
      <w:widowControl w:val="off"/>
    </w:pPr>
    <w:rPr>
      <w:rFonts w:ascii="Times New Roman" w:hAnsi="Times New Roman" w:eastAsia="宋体" w:cs="Times New Roman"/>
      <w:sz w:val="21"/>
      <w:szCs w:val="24"/>
      <w:lang w:val="en-US" w:eastAsia="zh-CN" w:bidi="ar-SA"/>
    </w:rPr>
  </w:style>
  <w:style w:type="paragraph" w:styleId="815">
    <w:name w:val="正文文本11"/>
    <w:basedOn w:val="814"/>
    <w:next w:val="816"/>
    <w:link w:val="752"/>
    <w:uiPriority w:val="1"/>
    <w:qFormat/>
    <w:pPr>
      <w:spacing w:after="120"/>
    </w:pPr>
  </w:style>
  <w:style w:type="paragraph" w:styleId="816">
    <w:name w:val="正文11"/>
    <w:next w:val="818"/>
    <w:link w:val="817"/>
    <w:qFormat/>
    <w:pPr>
      <w:jc w:val="both"/>
      <w:widowControl w:val="off"/>
    </w:pPr>
    <w:rPr>
      <w:rFonts w:ascii="Times New Roman" w:hAnsi="Times New Roman" w:eastAsia="宋体" w:cs="Times New Roman"/>
      <w:sz w:val="21"/>
      <w:szCs w:val="24"/>
      <w:lang w:val="en-US" w:eastAsia="zh-CN" w:bidi="ar-SA"/>
    </w:rPr>
  </w:style>
  <w:style w:type="character" w:styleId="817">
    <w:name w:val="超链接1"/>
    <w:next w:val="817"/>
    <w:link w:val="816"/>
    <w:qFormat/>
    <w:rPr>
      <w:rFonts w:ascii="Times New Roman" w:hAnsi="Times New Roman" w:eastAsia="宋体" w:cs="Times New Roman"/>
      <w:sz w:val="21"/>
      <w:szCs w:val="24"/>
      <w:lang w:val="en-US" w:eastAsia="zh-CN" w:bidi="ar-SA"/>
    </w:rPr>
  </w:style>
  <w:style w:type="paragraph" w:styleId="818">
    <w:name w:val="正文首行缩进11"/>
    <w:basedOn w:val="819"/>
    <w:next w:val="828"/>
    <w:link w:val="752"/>
    <w:qFormat/>
    <w:pPr>
      <w:ind w:firstLine="420"/>
    </w:pPr>
    <w:rPr>
      <w:rFonts w:ascii="仿宋_GB2312" w:eastAsia="仿宋_GB2312"/>
      <w:sz w:val="30"/>
      <w:szCs w:val="30"/>
    </w:rPr>
  </w:style>
  <w:style w:type="paragraph" w:styleId="819">
    <w:name w:val="正文文本1"/>
    <w:basedOn w:val="820"/>
    <w:next w:val="812"/>
    <w:link w:val="752"/>
    <w:qFormat/>
    <w:pPr>
      <w:spacing w:after="120"/>
    </w:pPr>
    <w:rPr>
      <w:rFonts w:ascii="Calibri" w:hAnsi="Calibri"/>
    </w:rPr>
  </w:style>
  <w:style w:type="paragraph" w:styleId="820">
    <w:name w:val="正文13"/>
    <w:next w:val="821"/>
    <w:link w:val="752"/>
    <w:qFormat/>
    <w:pPr>
      <w:jc w:val="both"/>
      <w:widowControl w:val="off"/>
    </w:pPr>
    <w:rPr>
      <w:rFonts w:ascii="Times New Roman" w:hAnsi="Times New Roman" w:eastAsia="宋体" w:cs="Times New Roman"/>
      <w:sz w:val="21"/>
      <w:szCs w:val="24"/>
      <w:lang w:val="en-US" w:eastAsia="zh-CN" w:bidi="ar-SA"/>
    </w:rPr>
  </w:style>
  <w:style w:type="paragraph" w:styleId="821">
    <w:name w:val="正文首行缩进1"/>
    <w:basedOn w:val="815"/>
    <w:next w:val="822"/>
    <w:link w:val="752"/>
    <w:qFormat/>
    <w:pPr>
      <w:ind w:firstLine="420"/>
      <w:spacing w:after="120"/>
    </w:pPr>
    <w:rPr>
      <w:rFonts w:ascii="Times New Roman"/>
      <w:szCs w:val="24"/>
    </w:rPr>
  </w:style>
  <w:style w:type="paragraph" w:styleId="822">
    <w:name w:val="正文首行缩进 21"/>
    <w:basedOn w:val="823"/>
    <w:next w:val="827"/>
    <w:link w:val="752"/>
    <w:qFormat/>
    <w:pPr>
      <w:ind w:firstLine="420"/>
    </w:pPr>
  </w:style>
  <w:style w:type="paragraph" w:styleId="823">
    <w:name w:val="正文文本缩进1"/>
    <w:basedOn w:val="824"/>
    <w:next w:val="826"/>
    <w:link w:val="752"/>
    <w:qFormat/>
    <w:pPr>
      <w:ind w:left="420"/>
      <w:spacing w:after="120"/>
    </w:pPr>
    <w:rPr>
      <w:rFonts w:ascii="Calibri" w:hAnsi="Calibri"/>
    </w:rPr>
  </w:style>
  <w:style w:type="paragraph" w:styleId="824">
    <w:name w:val="正文12"/>
    <w:next w:val="825"/>
    <w:link w:val="752"/>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25">
    <w:name w:val="正文文本111"/>
    <w:basedOn w:val="824"/>
    <w:next w:val="824"/>
    <w:link w:val="752"/>
    <w:qFormat/>
  </w:style>
  <w:style w:type="paragraph" w:styleId="826">
    <w:name w:val="寄信人地址1"/>
    <w:basedOn w:val="816"/>
    <w:next w:val="826"/>
    <w:link w:val="752"/>
    <w:qFormat/>
    <w:rPr>
      <w:rFonts w:ascii="Arial" w:hAnsi="Arial"/>
    </w:rPr>
  </w:style>
  <w:style w:type="paragraph" w:styleId="827">
    <w:name w:val="正文111"/>
    <w:next w:val="821"/>
    <w:link w:val="752"/>
    <w:qFormat/>
    <w:pPr>
      <w:jc w:val="both"/>
      <w:widowControl w:val="off"/>
    </w:pPr>
    <w:rPr>
      <w:rFonts w:ascii="Times New Roman" w:hAnsi="Times New Roman" w:eastAsia="宋体" w:cs="Times New Roman"/>
      <w:sz w:val="21"/>
      <w:szCs w:val="24"/>
      <w:lang w:val="en-US" w:eastAsia="zh-CN" w:bidi="ar-SA"/>
    </w:rPr>
  </w:style>
  <w:style w:type="paragraph" w:styleId="828">
    <w:name w:val="正文首行缩进 211"/>
    <w:basedOn w:val="829"/>
    <w:next w:val="828"/>
    <w:link w:val="752"/>
    <w:qFormat/>
    <w:pPr>
      <w:ind w:firstLine="420"/>
    </w:pPr>
    <w:rPr>
      <w:sz w:val="24"/>
    </w:rPr>
  </w:style>
  <w:style w:type="paragraph" w:styleId="829">
    <w:name w:val="正文文本缩进11"/>
    <w:basedOn w:val="814"/>
    <w:next w:val="830"/>
    <w:link w:val="752"/>
    <w:qFormat/>
    <w:pPr>
      <w:ind w:firstLine="425"/>
      <w:spacing w:line="360" w:lineRule="auto"/>
    </w:pPr>
  </w:style>
  <w:style w:type="paragraph" w:styleId="830">
    <w:name w:val="寄信人地址11"/>
    <w:basedOn w:val="752"/>
    <w:next w:val="830"/>
    <w:link w:val="752"/>
    <w:qFormat/>
    <w:rPr>
      <w:rFonts w:ascii="Arial" w:hAnsi="Arial"/>
    </w:rPr>
  </w:style>
  <w:style w:type="paragraph" w:styleId="831">
    <w:name w:val="正文1"/>
    <w:basedOn w:val="827"/>
    <w:next w:val="832"/>
    <w:link w:val="752"/>
    <w:qFormat/>
    <w:pPr>
      <w:jc w:val="both"/>
      <w:widowControl w:val="off"/>
    </w:pPr>
    <w:rPr>
      <w:rFonts w:ascii="Times New Roman" w:hAnsi="Times New Roman" w:eastAsia="宋体" w:cs="Times New Roman"/>
      <w:sz w:val="21"/>
      <w:szCs w:val="24"/>
      <w:lang w:val="en-US" w:eastAsia="zh-CN" w:bidi="ar-SA"/>
    </w:rPr>
  </w:style>
  <w:style w:type="paragraph" w:styleId="832">
    <w:name w:val="目录 11"/>
    <w:basedOn w:val="824"/>
    <w:next w:val="831"/>
    <w:link w:val="752"/>
    <w:qFormat/>
    <w:pPr>
      <w:jc w:val="left"/>
      <w:spacing w:after="100" w:line="259" w:lineRule="auto"/>
      <w:widowControl/>
    </w:pPr>
    <w:rPr>
      <w:rFonts w:ascii="Calibri" w:hAnsi="Calibri"/>
      <w:sz w:val="22"/>
      <w:szCs w:val="22"/>
    </w:rPr>
  </w:style>
  <w:style w:type="character" w:styleId="833">
    <w:name w:val="NormalCharacter1"/>
    <w:next w:val="833"/>
    <w:link w:val="816"/>
    <w:semiHidden/>
    <w:qFormat/>
    <w:rPr>
      <w:sz w:val="28"/>
      <w:lang w:val="en-US" w:eastAsia="zh-CN" w:bidi="ar-SA"/>
    </w:rPr>
  </w:style>
  <w:style w:type="paragraph" w:styleId="834">
    <w:name w:val="标题 21"/>
    <w:basedOn w:val="752"/>
    <w:next w:val="752"/>
    <w:link w:val="752"/>
    <w:uiPriority w:val="99"/>
    <w:qFormat/>
    <w:pPr>
      <w:jc w:val="center"/>
      <w:keepLines/>
      <w:keepNext/>
      <w:spacing w:before="260" w:after="260" w:line="360" w:lineRule="auto"/>
      <w:outlineLvl w:val="1"/>
    </w:pPr>
    <w:rPr>
      <w:rFonts w:ascii="Arial" w:hAnsi="Arial" w:eastAsia="仿宋"/>
      <w:bCs/>
      <w:sz w:val="24"/>
      <w:szCs w:val="32"/>
    </w:rPr>
  </w:style>
  <w:style w:type="paragraph" w:styleId="835">
    <w:name w:val="正文文本12"/>
    <w:basedOn w:val="752"/>
    <w:next w:val="752"/>
    <w:link w:val="752"/>
    <w:uiPriority w:val="99"/>
    <w:unhideWhenUsed/>
    <w:qFormat/>
    <w:pPr>
      <w:spacing w:after="120"/>
    </w:pPr>
    <w:rPr>
      <w:szCs w:val="24"/>
    </w:rPr>
  </w:style>
  <w:style w:type="paragraph" w:styleId="836">
    <w:name w:val="No Spacing"/>
    <w:next w:val="836"/>
    <w:link w:val="752"/>
    <w:uiPriority w:val="1"/>
    <w:qFormat/>
    <w:pPr>
      <w:spacing w:before="0" w:after="0" w:line="240" w:lineRule="auto"/>
    </w:pPr>
    <w:rPr>
      <w:rFonts w:ascii="Times New Roman" w:hAnsi="Times New Roman" w:eastAsia="宋体" w:cs="Times New Roman"/>
    </w:rPr>
  </w:style>
  <w:style w:type="paragraph" w:styleId="837">
    <w:name w:val="Quote"/>
    <w:basedOn w:val="752"/>
    <w:next w:val="752"/>
    <w:link w:val="838"/>
    <w:uiPriority w:val="29"/>
    <w:qFormat/>
    <w:pPr>
      <w:ind w:left="720" w:right="720"/>
    </w:pPr>
    <w:rPr>
      <w:i/>
    </w:rPr>
  </w:style>
  <w:style w:type="character" w:styleId="838">
    <w:name w:val="Quote Char"/>
    <w:next w:val="838"/>
    <w:link w:val="837"/>
    <w:uiPriority w:val="29"/>
    <w:qFormat/>
    <w:rPr>
      <w:i/>
    </w:rPr>
  </w:style>
  <w:style w:type="paragraph" w:styleId="839">
    <w:name w:val="Intense Quote"/>
    <w:basedOn w:val="752"/>
    <w:next w:val="752"/>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next w:val="840"/>
    <w:link w:val="839"/>
    <w:uiPriority w:val="30"/>
    <w:qFormat/>
    <w:rPr>
      <w:i/>
    </w:rPr>
  </w:style>
  <w:style w:type="table" w:styleId="841">
    <w:name w:val="Table Grid Light"/>
    <w:next w:val="841"/>
    <w:link w:val="752"/>
    <w:uiPriority w:val="59"/>
    <w:qFormat/>
    <w:pPr>
      <w:spacing w:after="0" w:line="240" w:lineRule="auto"/>
    </w:pPr>
    <w:tblPr/>
  </w:style>
  <w:style w:type="table" w:styleId="842">
    <w:name w:val="Plain Table 1"/>
    <w:next w:val="842"/>
    <w:link w:val="752"/>
    <w:uiPriority w:val="59"/>
    <w:qFormat/>
    <w:pPr>
      <w:spacing w:after="0" w:line="240" w:lineRule="auto"/>
    </w:pPr>
    <w:tblPr/>
  </w:style>
  <w:style w:type="table" w:styleId="843">
    <w:name w:val="Plain Table 2"/>
    <w:next w:val="843"/>
    <w:link w:val="752"/>
    <w:uiPriority w:val="59"/>
    <w:qFormat/>
    <w:pPr>
      <w:spacing w:after="0" w:line="240" w:lineRule="auto"/>
    </w:pPr>
    <w:tblPr/>
  </w:style>
  <w:style w:type="table" w:styleId="844">
    <w:name w:val="Plain Table 3"/>
    <w:next w:val="844"/>
    <w:link w:val="752"/>
    <w:uiPriority w:val="99"/>
    <w:qFormat/>
    <w:pPr>
      <w:spacing w:after="0" w:line="240" w:lineRule="auto"/>
    </w:pPr>
    <w:tblPr/>
  </w:style>
  <w:style w:type="table" w:styleId="845">
    <w:name w:val="Plain Table 4"/>
    <w:next w:val="845"/>
    <w:link w:val="752"/>
    <w:uiPriority w:val="99"/>
    <w:qFormat/>
    <w:pPr>
      <w:spacing w:after="0" w:line="240" w:lineRule="auto"/>
    </w:pPr>
    <w:tblPr/>
  </w:style>
  <w:style w:type="table" w:styleId="846">
    <w:name w:val="Plain Table 5"/>
    <w:next w:val="846"/>
    <w:link w:val="752"/>
    <w:uiPriority w:val="99"/>
    <w:qFormat/>
    <w:pPr>
      <w:spacing w:after="0" w:line="240" w:lineRule="auto"/>
    </w:pPr>
    <w:tblPr/>
  </w:style>
  <w:style w:type="table" w:styleId="847">
    <w:name w:val="Grid Table 1 Light"/>
    <w:next w:val="847"/>
    <w:link w:val="752"/>
    <w:uiPriority w:val="99"/>
    <w:qFormat/>
    <w:pPr>
      <w:spacing w:after="0" w:line="240" w:lineRule="auto"/>
    </w:pPr>
    <w:tblPr/>
  </w:style>
  <w:style w:type="table" w:styleId="848">
    <w:name w:val="Grid Table 1 Light - Accent 1"/>
    <w:next w:val="848"/>
    <w:link w:val="752"/>
    <w:uiPriority w:val="99"/>
    <w:qFormat/>
    <w:pPr>
      <w:spacing w:after="0" w:line="240" w:lineRule="auto"/>
    </w:pPr>
    <w:tblPr/>
  </w:style>
  <w:style w:type="table" w:styleId="849">
    <w:name w:val="Grid Table 1 Light - Accent 2"/>
    <w:next w:val="849"/>
    <w:link w:val="752"/>
    <w:uiPriority w:val="99"/>
    <w:qFormat/>
    <w:pPr>
      <w:spacing w:after="0" w:line="240" w:lineRule="auto"/>
    </w:pPr>
    <w:tblPr/>
  </w:style>
  <w:style w:type="table" w:styleId="850">
    <w:name w:val="Grid Table 1 Light - Accent 3"/>
    <w:next w:val="850"/>
    <w:link w:val="752"/>
    <w:uiPriority w:val="99"/>
    <w:qFormat/>
    <w:pPr>
      <w:spacing w:after="0" w:line="240" w:lineRule="auto"/>
    </w:pPr>
    <w:tblPr/>
  </w:style>
  <w:style w:type="table" w:styleId="851">
    <w:name w:val="Grid Table 1 Light - Accent 4"/>
    <w:next w:val="851"/>
    <w:link w:val="752"/>
    <w:uiPriority w:val="99"/>
    <w:qFormat/>
    <w:pPr>
      <w:spacing w:after="0" w:line="240" w:lineRule="auto"/>
    </w:pPr>
    <w:tblPr/>
  </w:style>
  <w:style w:type="table" w:styleId="852">
    <w:name w:val="Grid Table 1 Light - Accent 5"/>
    <w:next w:val="852"/>
    <w:link w:val="752"/>
    <w:uiPriority w:val="99"/>
    <w:qFormat/>
    <w:pPr>
      <w:spacing w:after="0" w:line="240" w:lineRule="auto"/>
    </w:pPr>
    <w:tblPr/>
  </w:style>
  <w:style w:type="table" w:styleId="853">
    <w:name w:val="Grid Table 1 Light - Accent 6"/>
    <w:next w:val="853"/>
    <w:link w:val="752"/>
    <w:uiPriority w:val="99"/>
    <w:qFormat/>
    <w:pPr>
      <w:spacing w:after="0" w:line="240" w:lineRule="auto"/>
    </w:pPr>
    <w:tblPr/>
  </w:style>
  <w:style w:type="table" w:styleId="854">
    <w:name w:val="Grid Table 2"/>
    <w:next w:val="854"/>
    <w:link w:val="752"/>
    <w:uiPriority w:val="99"/>
    <w:qFormat/>
    <w:pPr>
      <w:spacing w:after="0" w:line="240" w:lineRule="auto"/>
    </w:pPr>
    <w:tblPr/>
  </w:style>
  <w:style w:type="table" w:styleId="855">
    <w:name w:val="Grid Table 2 - Accent 1"/>
    <w:next w:val="855"/>
    <w:link w:val="752"/>
    <w:uiPriority w:val="99"/>
    <w:qFormat/>
    <w:pPr>
      <w:spacing w:after="0" w:line="240" w:lineRule="auto"/>
    </w:pPr>
    <w:tblPr/>
  </w:style>
  <w:style w:type="table" w:styleId="856">
    <w:name w:val="Grid Table 2 - Accent 2"/>
    <w:next w:val="856"/>
    <w:link w:val="752"/>
    <w:uiPriority w:val="99"/>
    <w:qFormat/>
    <w:pPr>
      <w:spacing w:after="0" w:line="240" w:lineRule="auto"/>
    </w:pPr>
    <w:tblPr/>
  </w:style>
  <w:style w:type="table" w:styleId="857">
    <w:name w:val="Grid Table 2 - Accent 3"/>
    <w:next w:val="857"/>
    <w:link w:val="752"/>
    <w:uiPriority w:val="99"/>
    <w:qFormat/>
    <w:pPr>
      <w:spacing w:after="0" w:line="240" w:lineRule="auto"/>
    </w:pPr>
    <w:tblPr/>
  </w:style>
  <w:style w:type="table" w:styleId="858">
    <w:name w:val="Grid Table 2 - Accent 4"/>
    <w:next w:val="858"/>
    <w:link w:val="752"/>
    <w:uiPriority w:val="99"/>
    <w:qFormat/>
    <w:pPr>
      <w:spacing w:after="0" w:line="240" w:lineRule="auto"/>
    </w:pPr>
    <w:tblPr/>
  </w:style>
  <w:style w:type="table" w:styleId="859">
    <w:name w:val="Grid Table 2 - Accent 5"/>
    <w:next w:val="859"/>
    <w:link w:val="752"/>
    <w:uiPriority w:val="99"/>
    <w:qFormat/>
    <w:pPr>
      <w:spacing w:after="0" w:line="240" w:lineRule="auto"/>
    </w:pPr>
    <w:tblPr/>
  </w:style>
  <w:style w:type="table" w:styleId="860">
    <w:name w:val="Grid Table 2 - Accent 6"/>
    <w:next w:val="860"/>
    <w:link w:val="752"/>
    <w:uiPriority w:val="99"/>
    <w:qFormat/>
    <w:pPr>
      <w:spacing w:after="0" w:line="240" w:lineRule="auto"/>
    </w:pPr>
    <w:tblPr/>
  </w:style>
  <w:style w:type="table" w:styleId="861">
    <w:name w:val="Grid Table 3"/>
    <w:next w:val="861"/>
    <w:link w:val="752"/>
    <w:uiPriority w:val="99"/>
    <w:qFormat/>
    <w:pPr>
      <w:spacing w:after="0" w:line="240" w:lineRule="auto"/>
    </w:pPr>
    <w:tblPr/>
  </w:style>
  <w:style w:type="table" w:styleId="862">
    <w:name w:val="Grid Table 3 - Accent 1"/>
    <w:next w:val="862"/>
    <w:link w:val="752"/>
    <w:uiPriority w:val="99"/>
    <w:qFormat/>
    <w:pPr>
      <w:spacing w:after="0" w:line="240" w:lineRule="auto"/>
    </w:pPr>
    <w:tblPr/>
  </w:style>
  <w:style w:type="table" w:styleId="863">
    <w:name w:val="Grid Table 3 - Accent 2"/>
    <w:next w:val="863"/>
    <w:link w:val="752"/>
    <w:uiPriority w:val="99"/>
    <w:qFormat/>
    <w:pPr>
      <w:spacing w:after="0" w:line="240" w:lineRule="auto"/>
    </w:pPr>
    <w:tblPr/>
  </w:style>
  <w:style w:type="table" w:styleId="864">
    <w:name w:val="Grid Table 3 - Accent 3"/>
    <w:next w:val="864"/>
    <w:link w:val="752"/>
    <w:uiPriority w:val="99"/>
    <w:qFormat/>
    <w:pPr>
      <w:spacing w:after="0" w:line="240" w:lineRule="auto"/>
    </w:pPr>
    <w:tblPr/>
  </w:style>
  <w:style w:type="table" w:styleId="865">
    <w:name w:val="Grid Table 3 - Accent 4"/>
    <w:next w:val="865"/>
    <w:link w:val="752"/>
    <w:uiPriority w:val="99"/>
    <w:qFormat/>
    <w:pPr>
      <w:spacing w:after="0" w:line="240" w:lineRule="auto"/>
    </w:pPr>
    <w:tblPr/>
  </w:style>
  <w:style w:type="table" w:styleId="866">
    <w:name w:val="Grid Table 3 - Accent 5"/>
    <w:next w:val="866"/>
    <w:link w:val="752"/>
    <w:uiPriority w:val="99"/>
    <w:qFormat/>
    <w:pPr>
      <w:spacing w:after="0" w:line="240" w:lineRule="auto"/>
    </w:pPr>
    <w:tblPr/>
  </w:style>
  <w:style w:type="table" w:styleId="867">
    <w:name w:val="Grid Table 3 - Accent 6"/>
    <w:next w:val="867"/>
    <w:link w:val="752"/>
    <w:uiPriority w:val="99"/>
    <w:qFormat/>
    <w:pPr>
      <w:spacing w:after="0" w:line="240" w:lineRule="auto"/>
    </w:pPr>
    <w:tblPr/>
  </w:style>
  <w:style w:type="table" w:styleId="868">
    <w:name w:val="Grid Table 4"/>
    <w:next w:val="868"/>
    <w:link w:val="752"/>
    <w:uiPriority w:val="59"/>
    <w:qFormat/>
    <w:pPr>
      <w:spacing w:after="0" w:line="240" w:lineRule="auto"/>
    </w:pPr>
    <w:tblPr/>
  </w:style>
  <w:style w:type="table" w:styleId="869">
    <w:name w:val="Grid Table 4 - Accent 1"/>
    <w:next w:val="869"/>
    <w:link w:val="752"/>
    <w:uiPriority w:val="59"/>
    <w:qFormat/>
    <w:pPr>
      <w:spacing w:after="0" w:line="240" w:lineRule="auto"/>
    </w:pPr>
    <w:tblPr/>
  </w:style>
  <w:style w:type="table" w:styleId="870">
    <w:name w:val="Grid Table 4 - Accent 2"/>
    <w:next w:val="870"/>
    <w:link w:val="752"/>
    <w:uiPriority w:val="59"/>
    <w:qFormat/>
    <w:pPr>
      <w:spacing w:after="0" w:line="240" w:lineRule="auto"/>
    </w:pPr>
    <w:tblPr/>
  </w:style>
  <w:style w:type="table" w:styleId="871">
    <w:name w:val="Grid Table 4 - Accent 3"/>
    <w:next w:val="871"/>
    <w:link w:val="752"/>
    <w:uiPriority w:val="59"/>
    <w:qFormat/>
    <w:pPr>
      <w:spacing w:after="0" w:line="240" w:lineRule="auto"/>
    </w:pPr>
    <w:tblPr/>
  </w:style>
  <w:style w:type="table" w:styleId="872">
    <w:name w:val="Grid Table 4 - Accent 4"/>
    <w:next w:val="872"/>
    <w:link w:val="752"/>
    <w:uiPriority w:val="59"/>
    <w:qFormat/>
    <w:pPr>
      <w:spacing w:after="0" w:line="240" w:lineRule="auto"/>
    </w:pPr>
    <w:tblPr/>
  </w:style>
  <w:style w:type="table" w:styleId="873">
    <w:name w:val="Grid Table 4 - Accent 5"/>
    <w:next w:val="873"/>
    <w:link w:val="752"/>
    <w:uiPriority w:val="59"/>
    <w:qFormat/>
    <w:pPr>
      <w:spacing w:after="0" w:line="240" w:lineRule="auto"/>
    </w:pPr>
    <w:tblPr/>
  </w:style>
  <w:style w:type="table" w:styleId="874">
    <w:name w:val="Grid Table 4 - Accent 6"/>
    <w:next w:val="874"/>
    <w:link w:val="752"/>
    <w:uiPriority w:val="59"/>
    <w:qFormat/>
    <w:pPr>
      <w:spacing w:after="0" w:line="240" w:lineRule="auto"/>
    </w:pPr>
    <w:tblPr/>
  </w:style>
  <w:style w:type="table" w:styleId="875">
    <w:name w:val="Grid Table 5 Dark"/>
    <w:next w:val="875"/>
    <w:link w:val="752"/>
    <w:uiPriority w:val="99"/>
    <w:qFormat/>
    <w:pPr>
      <w:spacing w:after="0" w:line="240" w:lineRule="auto"/>
    </w:pPr>
    <w:tblPr/>
  </w:style>
  <w:style w:type="table" w:styleId="876">
    <w:name w:val="Grid Table 5 Dark- Accent 1"/>
    <w:next w:val="876"/>
    <w:link w:val="752"/>
    <w:uiPriority w:val="99"/>
    <w:qFormat/>
    <w:pPr>
      <w:spacing w:after="0" w:line="240" w:lineRule="auto"/>
    </w:pPr>
    <w:tblPr/>
  </w:style>
  <w:style w:type="table" w:styleId="877">
    <w:name w:val="Grid Table 5 Dark - Accent 2"/>
    <w:next w:val="877"/>
    <w:link w:val="752"/>
    <w:uiPriority w:val="99"/>
    <w:qFormat/>
    <w:pPr>
      <w:spacing w:after="0" w:line="240" w:lineRule="auto"/>
    </w:pPr>
    <w:tblPr/>
  </w:style>
  <w:style w:type="table" w:styleId="878">
    <w:name w:val="Grid Table 5 Dark - Accent 3"/>
    <w:next w:val="878"/>
    <w:link w:val="752"/>
    <w:uiPriority w:val="99"/>
    <w:qFormat/>
    <w:pPr>
      <w:spacing w:after="0" w:line="240" w:lineRule="auto"/>
    </w:pPr>
    <w:tblPr/>
  </w:style>
  <w:style w:type="table" w:styleId="879">
    <w:name w:val="Grid Table 5 Dark- Accent 4"/>
    <w:next w:val="879"/>
    <w:link w:val="752"/>
    <w:uiPriority w:val="99"/>
    <w:qFormat/>
    <w:pPr>
      <w:spacing w:after="0" w:line="240" w:lineRule="auto"/>
    </w:pPr>
    <w:tblPr/>
  </w:style>
  <w:style w:type="table" w:styleId="880">
    <w:name w:val="Grid Table 5 Dark - Accent 5"/>
    <w:next w:val="880"/>
    <w:link w:val="752"/>
    <w:uiPriority w:val="99"/>
    <w:qFormat/>
    <w:pPr>
      <w:spacing w:after="0" w:line="240" w:lineRule="auto"/>
    </w:pPr>
    <w:tblPr/>
  </w:style>
  <w:style w:type="table" w:styleId="881">
    <w:name w:val="Grid Table 5 Dark - Accent 6"/>
    <w:next w:val="881"/>
    <w:link w:val="752"/>
    <w:uiPriority w:val="99"/>
    <w:qFormat/>
    <w:pPr>
      <w:spacing w:after="0" w:line="240" w:lineRule="auto"/>
    </w:pPr>
    <w:tblPr/>
  </w:style>
  <w:style w:type="table" w:styleId="882">
    <w:name w:val="Grid Table 6 Colorful"/>
    <w:next w:val="882"/>
    <w:link w:val="752"/>
    <w:uiPriority w:val="99"/>
    <w:qFormat/>
    <w:pPr>
      <w:spacing w:after="0" w:line="240" w:lineRule="auto"/>
    </w:pPr>
    <w:tblPr/>
  </w:style>
  <w:style w:type="table" w:styleId="883">
    <w:name w:val="Grid Table 6 Colorful - Accent 1"/>
    <w:next w:val="883"/>
    <w:link w:val="752"/>
    <w:uiPriority w:val="99"/>
    <w:qFormat/>
    <w:pPr>
      <w:spacing w:after="0" w:line="240" w:lineRule="auto"/>
    </w:pPr>
    <w:tblPr/>
  </w:style>
  <w:style w:type="table" w:styleId="884">
    <w:name w:val="Grid Table 6 Colorful - Accent 2"/>
    <w:next w:val="884"/>
    <w:link w:val="752"/>
    <w:uiPriority w:val="99"/>
    <w:qFormat/>
    <w:pPr>
      <w:spacing w:after="0" w:line="240" w:lineRule="auto"/>
    </w:pPr>
    <w:tblPr/>
  </w:style>
  <w:style w:type="table" w:styleId="885">
    <w:name w:val="Grid Table 6 Colorful - Accent 3"/>
    <w:next w:val="885"/>
    <w:link w:val="752"/>
    <w:uiPriority w:val="99"/>
    <w:qFormat/>
    <w:pPr>
      <w:spacing w:after="0" w:line="240" w:lineRule="auto"/>
    </w:pPr>
    <w:tblPr/>
  </w:style>
  <w:style w:type="table" w:styleId="886">
    <w:name w:val="Grid Table 6 Colorful - Accent 4"/>
    <w:next w:val="886"/>
    <w:link w:val="752"/>
    <w:uiPriority w:val="99"/>
    <w:qFormat/>
    <w:pPr>
      <w:spacing w:after="0" w:line="240" w:lineRule="auto"/>
    </w:pPr>
    <w:tblPr/>
  </w:style>
  <w:style w:type="table" w:styleId="887">
    <w:name w:val="Grid Table 6 Colorful - Accent 5"/>
    <w:next w:val="887"/>
    <w:link w:val="752"/>
    <w:uiPriority w:val="99"/>
    <w:qFormat/>
    <w:pPr>
      <w:spacing w:after="0" w:line="240" w:lineRule="auto"/>
    </w:pPr>
    <w:tblPr/>
  </w:style>
  <w:style w:type="table" w:styleId="888">
    <w:name w:val="Grid Table 6 Colorful - Accent 6"/>
    <w:next w:val="888"/>
    <w:link w:val="752"/>
    <w:uiPriority w:val="99"/>
    <w:qFormat/>
    <w:pPr>
      <w:spacing w:after="0" w:line="240" w:lineRule="auto"/>
    </w:pPr>
    <w:tblPr/>
  </w:style>
  <w:style w:type="table" w:styleId="889">
    <w:name w:val="Grid Table 7 Colorful"/>
    <w:next w:val="889"/>
    <w:link w:val="752"/>
    <w:uiPriority w:val="99"/>
    <w:qFormat/>
    <w:pPr>
      <w:spacing w:after="0" w:line="240" w:lineRule="auto"/>
    </w:pPr>
    <w:tblPr/>
  </w:style>
  <w:style w:type="table" w:styleId="890">
    <w:name w:val="Grid Table 7 Colorful - Accent 1"/>
    <w:next w:val="890"/>
    <w:link w:val="752"/>
    <w:uiPriority w:val="99"/>
    <w:qFormat/>
    <w:pPr>
      <w:spacing w:after="0" w:line="240" w:lineRule="auto"/>
    </w:pPr>
    <w:tblPr/>
  </w:style>
  <w:style w:type="table" w:styleId="891">
    <w:name w:val="Grid Table 7 Colorful - Accent 2"/>
    <w:next w:val="891"/>
    <w:link w:val="752"/>
    <w:uiPriority w:val="99"/>
    <w:qFormat/>
    <w:pPr>
      <w:spacing w:after="0" w:line="240" w:lineRule="auto"/>
    </w:pPr>
    <w:tblPr/>
  </w:style>
  <w:style w:type="table" w:styleId="892">
    <w:name w:val="Grid Table 7 Colorful - Accent 3"/>
    <w:next w:val="892"/>
    <w:link w:val="752"/>
    <w:uiPriority w:val="99"/>
    <w:qFormat/>
    <w:pPr>
      <w:spacing w:after="0" w:line="240" w:lineRule="auto"/>
    </w:pPr>
    <w:tblPr/>
  </w:style>
  <w:style w:type="table" w:styleId="893">
    <w:name w:val="Grid Table 7 Colorful - Accent 4"/>
    <w:next w:val="893"/>
    <w:link w:val="752"/>
    <w:uiPriority w:val="99"/>
    <w:qFormat/>
    <w:pPr>
      <w:spacing w:after="0" w:line="240" w:lineRule="auto"/>
    </w:pPr>
    <w:tblPr/>
  </w:style>
  <w:style w:type="table" w:styleId="894">
    <w:name w:val="Grid Table 7 Colorful - Accent 5"/>
    <w:next w:val="894"/>
    <w:link w:val="752"/>
    <w:uiPriority w:val="99"/>
    <w:qFormat/>
    <w:pPr>
      <w:spacing w:after="0" w:line="240" w:lineRule="auto"/>
    </w:pPr>
    <w:tblPr/>
  </w:style>
  <w:style w:type="table" w:styleId="895">
    <w:name w:val="Grid Table 7 Colorful - Accent 6"/>
    <w:next w:val="895"/>
    <w:link w:val="752"/>
    <w:uiPriority w:val="99"/>
    <w:qFormat/>
    <w:pPr>
      <w:spacing w:after="0" w:line="240" w:lineRule="auto"/>
    </w:pPr>
    <w:tblPr/>
  </w:style>
  <w:style w:type="table" w:styleId="896">
    <w:name w:val="List Table 1 Light"/>
    <w:next w:val="896"/>
    <w:link w:val="752"/>
    <w:uiPriority w:val="99"/>
    <w:qFormat/>
    <w:pPr>
      <w:spacing w:after="0" w:line="240" w:lineRule="auto"/>
    </w:pPr>
    <w:tblPr/>
  </w:style>
  <w:style w:type="table" w:styleId="897">
    <w:name w:val="List Table 1 Light - Accent 1"/>
    <w:next w:val="897"/>
    <w:link w:val="752"/>
    <w:uiPriority w:val="99"/>
    <w:qFormat/>
    <w:pPr>
      <w:spacing w:after="0" w:line="240" w:lineRule="auto"/>
    </w:pPr>
    <w:tblPr/>
  </w:style>
  <w:style w:type="table" w:styleId="898">
    <w:name w:val="List Table 1 Light - Accent 2"/>
    <w:next w:val="898"/>
    <w:link w:val="752"/>
    <w:uiPriority w:val="99"/>
    <w:qFormat/>
    <w:pPr>
      <w:spacing w:after="0" w:line="240" w:lineRule="auto"/>
    </w:pPr>
    <w:tblPr/>
  </w:style>
  <w:style w:type="table" w:styleId="899">
    <w:name w:val="List Table 1 Light - Accent 3"/>
    <w:next w:val="899"/>
    <w:link w:val="752"/>
    <w:uiPriority w:val="99"/>
    <w:qFormat/>
    <w:pPr>
      <w:spacing w:after="0" w:line="240" w:lineRule="auto"/>
    </w:pPr>
    <w:tblPr/>
  </w:style>
  <w:style w:type="table" w:styleId="900">
    <w:name w:val="List Table 1 Light - Accent 4"/>
    <w:next w:val="900"/>
    <w:link w:val="752"/>
    <w:uiPriority w:val="99"/>
    <w:qFormat/>
    <w:pPr>
      <w:spacing w:after="0" w:line="240" w:lineRule="auto"/>
    </w:pPr>
    <w:tblPr/>
  </w:style>
  <w:style w:type="table" w:styleId="901">
    <w:name w:val="List Table 1 Light - Accent 5"/>
    <w:next w:val="901"/>
    <w:link w:val="752"/>
    <w:uiPriority w:val="99"/>
    <w:qFormat/>
    <w:pPr>
      <w:spacing w:after="0" w:line="240" w:lineRule="auto"/>
    </w:pPr>
    <w:tblPr/>
  </w:style>
  <w:style w:type="table" w:styleId="902">
    <w:name w:val="List Table 1 Light - Accent 6"/>
    <w:next w:val="902"/>
    <w:link w:val="752"/>
    <w:uiPriority w:val="99"/>
    <w:qFormat/>
    <w:pPr>
      <w:spacing w:after="0" w:line="240" w:lineRule="auto"/>
    </w:pPr>
    <w:tblPr/>
  </w:style>
  <w:style w:type="table" w:styleId="903">
    <w:name w:val="List Table 2"/>
    <w:next w:val="903"/>
    <w:link w:val="752"/>
    <w:uiPriority w:val="99"/>
    <w:qFormat/>
    <w:pPr>
      <w:spacing w:after="0" w:line="240" w:lineRule="auto"/>
    </w:pPr>
    <w:tblPr/>
  </w:style>
  <w:style w:type="table" w:styleId="904">
    <w:name w:val="List Table 2 - Accent 1"/>
    <w:next w:val="904"/>
    <w:link w:val="752"/>
    <w:uiPriority w:val="99"/>
    <w:qFormat/>
    <w:pPr>
      <w:spacing w:after="0" w:line="240" w:lineRule="auto"/>
    </w:pPr>
    <w:tblPr/>
  </w:style>
  <w:style w:type="table" w:styleId="905">
    <w:name w:val="List Table 2 - Accent 2"/>
    <w:next w:val="905"/>
    <w:link w:val="752"/>
    <w:uiPriority w:val="99"/>
    <w:qFormat/>
    <w:pPr>
      <w:spacing w:after="0" w:line="240" w:lineRule="auto"/>
    </w:pPr>
    <w:tblPr/>
  </w:style>
  <w:style w:type="table" w:styleId="906">
    <w:name w:val="List Table 2 - Accent 3"/>
    <w:next w:val="906"/>
    <w:link w:val="752"/>
    <w:uiPriority w:val="99"/>
    <w:qFormat/>
    <w:pPr>
      <w:spacing w:after="0" w:line="240" w:lineRule="auto"/>
    </w:pPr>
    <w:tblPr/>
  </w:style>
  <w:style w:type="table" w:styleId="907">
    <w:name w:val="List Table 2 - Accent 4"/>
    <w:next w:val="907"/>
    <w:link w:val="752"/>
    <w:uiPriority w:val="99"/>
    <w:qFormat/>
    <w:pPr>
      <w:spacing w:after="0" w:line="240" w:lineRule="auto"/>
    </w:pPr>
    <w:tblPr/>
  </w:style>
  <w:style w:type="table" w:styleId="908">
    <w:name w:val="List Table 2 - Accent 5"/>
    <w:next w:val="908"/>
    <w:link w:val="752"/>
    <w:uiPriority w:val="99"/>
    <w:qFormat/>
    <w:pPr>
      <w:spacing w:after="0" w:line="240" w:lineRule="auto"/>
    </w:pPr>
    <w:tblPr/>
  </w:style>
  <w:style w:type="table" w:styleId="909">
    <w:name w:val="List Table 2 - Accent 6"/>
    <w:next w:val="909"/>
    <w:link w:val="752"/>
    <w:uiPriority w:val="99"/>
    <w:qFormat/>
    <w:pPr>
      <w:spacing w:after="0" w:line="240" w:lineRule="auto"/>
    </w:pPr>
    <w:tblPr/>
  </w:style>
  <w:style w:type="table" w:styleId="910">
    <w:name w:val="List Table 3"/>
    <w:next w:val="910"/>
    <w:link w:val="752"/>
    <w:uiPriority w:val="99"/>
    <w:qFormat/>
    <w:pPr>
      <w:spacing w:after="0" w:line="240" w:lineRule="auto"/>
    </w:pPr>
    <w:tblPr/>
  </w:style>
  <w:style w:type="table" w:styleId="911">
    <w:name w:val="List Table 3 - Accent 1"/>
    <w:next w:val="911"/>
    <w:link w:val="752"/>
    <w:uiPriority w:val="99"/>
    <w:qFormat/>
    <w:pPr>
      <w:spacing w:after="0" w:line="240" w:lineRule="auto"/>
    </w:pPr>
    <w:tblPr/>
  </w:style>
  <w:style w:type="table" w:styleId="912">
    <w:name w:val="List Table 3 - Accent 2"/>
    <w:next w:val="912"/>
    <w:link w:val="752"/>
    <w:uiPriority w:val="99"/>
    <w:qFormat/>
    <w:pPr>
      <w:spacing w:after="0" w:line="240" w:lineRule="auto"/>
    </w:pPr>
    <w:tblPr/>
  </w:style>
  <w:style w:type="table" w:styleId="913">
    <w:name w:val="List Table 3 - Accent 3"/>
    <w:next w:val="913"/>
    <w:link w:val="752"/>
    <w:uiPriority w:val="99"/>
    <w:qFormat/>
    <w:pPr>
      <w:spacing w:after="0" w:line="240" w:lineRule="auto"/>
    </w:pPr>
    <w:tblPr/>
  </w:style>
  <w:style w:type="table" w:styleId="914">
    <w:name w:val="List Table 3 - Accent 4"/>
    <w:next w:val="914"/>
    <w:link w:val="752"/>
    <w:uiPriority w:val="99"/>
    <w:qFormat/>
    <w:pPr>
      <w:spacing w:after="0" w:line="240" w:lineRule="auto"/>
    </w:pPr>
    <w:tblPr/>
  </w:style>
  <w:style w:type="table" w:styleId="915">
    <w:name w:val="List Table 3 - Accent 5"/>
    <w:next w:val="915"/>
    <w:link w:val="752"/>
    <w:uiPriority w:val="99"/>
    <w:qFormat/>
    <w:pPr>
      <w:spacing w:after="0" w:line="240" w:lineRule="auto"/>
    </w:pPr>
    <w:tblPr/>
  </w:style>
  <w:style w:type="table" w:styleId="916">
    <w:name w:val="List Table 3 - Accent 6"/>
    <w:next w:val="916"/>
    <w:link w:val="752"/>
    <w:uiPriority w:val="99"/>
    <w:qFormat/>
    <w:pPr>
      <w:spacing w:after="0" w:line="240" w:lineRule="auto"/>
    </w:pPr>
    <w:tblPr/>
  </w:style>
  <w:style w:type="table" w:styleId="917">
    <w:name w:val="List Table 4"/>
    <w:next w:val="917"/>
    <w:link w:val="752"/>
    <w:uiPriority w:val="99"/>
    <w:qFormat/>
    <w:pPr>
      <w:spacing w:after="0" w:line="240" w:lineRule="auto"/>
    </w:pPr>
    <w:tblPr/>
  </w:style>
  <w:style w:type="table" w:styleId="918">
    <w:name w:val="List Table 4 - Accent 1"/>
    <w:next w:val="918"/>
    <w:link w:val="752"/>
    <w:uiPriority w:val="99"/>
    <w:qFormat/>
    <w:pPr>
      <w:spacing w:after="0" w:line="240" w:lineRule="auto"/>
    </w:pPr>
    <w:tblPr/>
  </w:style>
  <w:style w:type="table" w:styleId="919">
    <w:name w:val="List Table 4 - Accent 2"/>
    <w:next w:val="919"/>
    <w:link w:val="752"/>
    <w:uiPriority w:val="99"/>
    <w:qFormat/>
    <w:pPr>
      <w:spacing w:after="0" w:line="240" w:lineRule="auto"/>
    </w:pPr>
    <w:tblPr/>
  </w:style>
  <w:style w:type="table" w:styleId="920">
    <w:name w:val="List Table 4 - Accent 3"/>
    <w:next w:val="920"/>
    <w:link w:val="752"/>
    <w:uiPriority w:val="99"/>
    <w:qFormat/>
    <w:pPr>
      <w:spacing w:after="0" w:line="240" w:lineRule="auto"/>
    </w:pPr>
    <w:tblPr/>
  </w:style>
  <w:style w:type="table" w:styleId="921">
    <w:name w:val="List Table 4 - Accent 4"/>
    <w:next w:val="921"/>
    <w:link w:val="752"/>
    <w:uiPriority w:val="99"/>
    <w:qFormat/>
    <w:pPr>
      <w:spacing w:after="0" w:line="240" w:lineRule="auto"/>
    </w:pPr>
    <w:tblPr/>
  </w:style>
  <w:style w:type="table" w:styleId="922">
    <w:name w:val="List Table 4 - Accent 5"/>
    <w:next w:val="922"/>
    <w:link w:val="752"/>
    <w:uiPriority w:val="99"/>
    <w:qFormat/>
    <w:pPr>
      <w:spacing w:after="0" w:line="240" w:lineRule="auto"/>
    </w:pPr>
    <w:tblPr/>
  </w:style>
  <w:style w:type="table" w:styleId="923">
    <w:name w:val="List Table 4 - Accent 6"/>
    <w:next w:val="923"/>
    <w:link w:val="752"/>
    <w:uiPriority w:val="99"/>
    <w:qFormat/>
    <w:pPr>
      <w:spacing w:after="0" w:line="240" w:lineRule="auto"/>
    </w:pPr>
    <w:tblPr/>
  </w:style>
  <w:style w:type="table" w:styleId="924">
    <w:name w:val="List Table 5 Dark"/>
    <w:next w:val="924"/>
    <w:link w:val="752"/>
    <w:uiPriority w:val="99"/>
    <w:qFormat/>
    <w:pPr>
      <w:spacing w:after="0" w:line="240" w:lineRule="auto"/>
    </w:pPr>
    <w:tblPr/>
  </w:style>
  <w:style w:type="table" w:styleId="925">
    <w:name w:val="List Table 5 Dark - Accent 1"/>
    <w:next w:val="925"/>
    <w:link w:val="752"/>
    <w:uiPriority w:val="99"/>
    <w:qFormat/>
    <w:pPr>
      <w:spacing w:after="0" w:line="240" w:lineRule="auto"/>
    </w:pPr>
    <w:tblPr/>
  </w:style>
  <w:style w:type="table" w:styleId="926">
    <w:name w:val="List Table 5 Dark - Accent 2"/>
    <w:next w:val="926"/>
    <w:link w:val="752"/>
    <w:uiPriority w:val="99"/>
    <w:qFormat/>
    <w:pPr>
      <w:spacing w:after="0" w:line="240" w:lineRule="auto"/>
    </w:pPr>
    <w:tblPr/>
  </w:style>
  <w:style w:type="table" w:styleId="927">
    <w:name w:val="List Table 5 Dark - Accent 3"/>
    <w:next w:val="927"/>
    <w:link w:val="752"/>
    <w:uiPriority w:val="99"/>
    <w:qFormat/>
    <w:pPr>
      <w:spacing w:after="0" w:line="240" w:lineRule="auto"/>
    </w:pPr>
    <w:tblPr/>
  </w:style>
  <w:style w:type="table" w:styleId="928">
    <w:name w:val="List Table 5 Dark - Accent 4"/>
    <w:next w:val="928"/>
    <w:link w:val="752"/>
    <w:uiPriority w:val="99"/>
    <w:qFormat/>
    <w:pPr>
      <w:spacing w:after="0" w:line="240" w:lineRule="auto"/>
    </w:pPr>
    <w:tblPr/>
  </w:style>
  <w:style w:type="table" w:styleId="929">
    <w:name w:val="List Table 5 Dark - Accent 5"/>
    <w:next w:val="929"/>
    <w:link w:val="752"/>
    <w:uiPriority w:val="99"/>
    <w:qFormat/>
    <w:pPr>
      <w:spacing w:after="0" w:line="240" w:lineRule="auto"/>
    </w:pPr>
    <w:tblPr/>
  </w:style>
  <w:style w:type="table" w:styleId="930">
    <w:name w:val="List Table 5 Dark - Accent 6"/>
    <w:next w:val="930"/>
    <w:link w:val="752"/>
    <w:uiPriority w:val="99"/>
    <w:qFormat/>
    <w:pPr>
      <w:spacing w:after="0" w:line="240" w:lineRule="auto"/>
    </w:pPr>
    <w:tblPr/>
  </w:style>
  <w:style w:type="table" w:styleId="931">
    <w:name w:val="List Table 6 Colorful"/>
    <w:next w:val="931"/>
    <w:link w:val="752"/>
    <w:uiPriority w:val="99"/>
    <w:qFormat/>
    <w:pPr>
      <w:spacing w:after="0" w:line="240" w:lineRule="auto"/>
    </w:pPr>
    <w:tblPr/>
  </w:style>
  <w:style w:type="table" w:styleId="932">
    <w:name w:val="List Table 6 Colorful - Accent 1"/>
    <w:next w:val="932"/>
    <w:link w:val="752"/>
    <w:uiPriority w:val="99"/>
    <w:qFormat/>
    <w:pPr>
      <w:spacing w:after="0" w:line="240" w:lineRule="auto"/>
    </w:pPr>
    <w:tblPr/>
  </w:style>
  <w:style w:type="table" w:styleId="933">
    <w:name w:val="List Table 6 Colorful - Accent 2"/>
    <w:next w:val="933"/>
    <w:link w:val="752"/>
    <w:uiPriority w:val="99"/>
    <w:qFormat/>
    <w:pPr>
      <w:spacing w:after="0" w:line="240" w:lineRule="auto"/>
    </w:pPr>
    <w:tblPr/>
  </w:style>
  <w:style w:type="table" w:styleId="934">
    <w:name w:val="List Table 6 Colorful - Accent 3"/>
    <w:next w:val="934"/>
    <w:link w:val="752"/>
    <w:uiPriority w:val="99"/>
    <w:qFormat/>
    <w:pPr>
      <w:spacing w:after="0" w:line="240" w:lineRule="auto"/>
    </w:pPr>
    <w:tblPr/>
  </w:style>
  <w:style w:type="table" w:styleId="935">
    <w:name w:val="List Table 6 Colorful - Accent 4"/>
    <w:next w:val="935"/>
    <w:link w:val="752"/>
    <w:uiPriority w:val="99"/>
    <w:qFormat/>
    <w:pPr>
      <w:spacing w:after="0" w:line="240" w:lineRule="auto"/>
    </w:pPr>
    <w:tblPr/>
  </w:style>
  <w:style w:type="table" w:styleId="936">
    <w:name w:val="List Table 6 Colorful - Accent 5"/>
    <w:next w:val="936"/>
    <w:link w:val="752"/>
    <w:uiPriority w:val="99"/>
    <w:qFormat/>
    <w:pPr>
      <w:spacing w:after="0" w:line="240" w:lineRule="auto"/>
    </w:pPr>
    <w:tblPr/>
  </w:style>
  <w:style w:type="table" w:styleId="937">
    <w:name w:val="List Table 6 Colorful - Accent 6"/>
    <w:next w:val="937"/>
    <w:link w:val="752"/>
    <w:uiPriority w:val="99"/>
    <w:qFormat/>
    <w:pPr>
      <w:spacing w:after="0" w:line="240" w:lineRule="auto"/>
    </w:pPr>
    <w:tblPr/>
  </w:style>
  <w:style w:type="table" w:styleId="938">
    <w:name w:val="List Table 7 Colorful"/>
    <w:next w:val="938"/>
    <w:link w:val="752"/>
    <w:uiPriority w:val="99"/>
    <w:qFormat/>
    <w:pPr>
      <w:spacing w:after="0" w:line="240" w:lineRule="auto"/>
    </w:pPr>
    <w:tblPr/>
  </w:style>
  <w:style w:type="table" w:styleId="939">
    <w:name w:val="List Table 7 Colorful - Accent 1"/>
    <w:next w:val="939"/>
    <w:link w:val="752"/>
    <w:uiPriority w:val="99"/>
    <w:qFormat/>
    <w:pPr>
      <w:spacing w:after="0" w:line="240" w:lineRule="auto"/>
    </w:pPr>
    <w:tblPr/>
  </w:style>
  <w:style w:type="table" w:styleId="940">
    <w:name w:val="List Table 7 Colorful - Accent 2"/>
    <w:next w:val="940"/>
    <w:link w:val="752"/>
    <w:uiPriority w:val="99"/>
    <w:qFormat/>
    <w:pPr>
      <w:spacing w:after="0" w:line="240" w:lineRule="auto"/>
    </w:pPr>
    <w:tblPr/>
  </w:style>
  <w:style w:type="table" w:styleId="941">
    <w:name w:val="List Table 7 Colorful - Accent 3"/>
    <w:next w:val="941"/>
    <w:link w:val="752"/>
    <w:uiPriority w:val="99"/>
    <w:qFormat/>
    <w:pPr>
      <w:spacing w:after="0" w:line="240" w:lineRule="auto"/>
    </w:pPr>
    <w:tblPr/>
  </w:style>
  <w:style w:type="table" w:styleId="942">
    <w:name w:val="List Table 7 Colorful - Accent 4"/>
    <w:next w:val="942"/>
    <w:link w:val="752"/>
    <w:uiPriority w:val="99"/>
    <w:qFormat/>
    <w:pPr>
      <w:spacing w:after="0" w:line="240" w:lineRule="auto"/>
    </w:pPr>
    <w:tblPr/>
  </w:style>
  <w:style w:type="table" w:styleId="943">
    <w:name w:val="List Table 7 Colorful - Accent 5"/>
    <w:next w:val="943"/>
    <w:link w:val="752"/>
    <w:uiPriority w:val="99"/>
    <w:qFormat/>
    <w:pPr>
      <w:spacing w:after="0" w:line="240" w:lineRule="auto"/>
    </w:pPr>
    <w:tblPr/>
  </w:style>
  <w:style w:type="table" w:styleId="944">
    <w:name w:val="List Table 7 Colorful - Accent 6"/>
    <w:next w:val="944"/>
    <w:link w:val="752"/>
    <w:uiPriority w:val="99"/>
    <w:qFormat/>
    <w:pPr>
      <w:spacing w:after="0" w:line="240" w:lineRule="auto"/>
    </w:pPr>
    <w:tblPr/>
  </w:style>
  <w:style w:type="table" w:styleId="945">
    <w:name w:val="Lined - Accent"/>
    <w:next w:val="945"/>
    <w:link w:val="752"/>
    <w:uiPriority w:val="99"/>
    <w:qFormat/>
    <w:pPr>
      <w:spacing w:after="0" w:line="240" w:lineRule="auto"/>
    </w:pPr>
    <w:rPr>
      <w:color w:val="404040"/>
    </w:rPr>
    <w:tblPr/>
  </w:style>
  <w:style w:type="table" w:styleId="946">
    <w:name w:val="Lined - Accent 1"/>
    <w:next w:val="946"/>
    <w:link w:val="752"/>
    <w:uiPriority w:val="99"/>
    <w:qFormat/>
    <w:pPr>
      <w:spacing w:after="0" w:line="240" w:lineRule="auto"/>
    </w:pPr>
    <w:rPr>
      <w:color w:val="404040"/>
    </w:rPr>
    <w:tblPr/>
  </w:style>
  <w:style w:type="table" w:styleId="947">
    <w:name w:val="Lined - Accent 2"/>
    <w:next w:val="947"/>
    <w:link w:val="752"/>
    <w:uiPriority w:val="99"/>
    <w:qFormat/>
    <w:pPr>
      <w:spacing w:after="0" w:line="240" w:lineRule="auto"/>
    </w:pPr>
    <w:rPr>
      <w:color w:val="404040"/>
    </w:rPr>
    <w:tblPr/>
  </w:style>
  <w:style w:type="table" w:styleId="948">
    <w:name w:val="Lined - Accent 3"/>
    <w:next w:val="948"/>
    <w:link w:val="752"/>
    <w:uiPriority w:val="99"/>
    <w:qFormat/>
    <w:pPr>
      <w:spacing w:after="0" w:line="240" w:lineRule="auto"/>
    </w:pPr>
    <w:rPr>
      <w:color w:val="404040"/>
    </w:rPr>
    <w:tblPr/>
  </w:style>
  <w:style w:type="table" w:styleId="949">
    <w:name w:val="Lined - Accent 4"/>
    <w:next w:val="949"/>
    <w:link w:val="752"/>
    <w:uiPriority w:val="99"/>
    <w:qFormat/>
    <w:pPr>
      <w:spacing w:after="0" w:line="240" w:lineRule="auto"/>
    </w:pPr>
    <w:rPr>
      <w:color w:val="404040"/>
    </w:rPr>
    <w:tblPr/>
  </w:style>
  <w:style w:type="table" w:styleId="950">
    <w:name w:val="Lined - Accent 5"/>
    <w:next w:val="950"/>
    <w:link w:val="752"/>
    <w:uiPriority w:val="99"/>
    <w:qFormat/>
    <w:pPr>
      <w:spacing w:after="0" w:line="240" w:lineRule="auto"/>
    </w:pPr>
    <w:rPr>
      <w:color w:val="404040"/>
    </w:rPr>
    <w:tblPr/>
  </w:style>
  <w:style w:type="table" w:styleId="951">
    <w:name w:val="Lined - Accent 6"/>
    <w:next w:val="951"/>
    <w:link w:val="752"/>
    <w:uiPriority w:val="99"/>
    <w:qFormat/>
    <w:pPr>
      <w:spacing w:after="0" w:line="240" w:lineRule="auto"/>
    </w:pPr>
    <w:rPr>
      <w:color w:val="404040"/>
    </w:rPr>
    <w:tblPr/>
  </w:style>
  <w:style w:type="table" w:styleId="952">
    <w:name w:val="Bordered &amp; Lined - Accent"/>
    <w:next w:val="952"/>
    <w:link w:val="752"/>
    <w:uiPriority w:val="99"/>
    <w:qFormat/>
    <w:pPr>
      <w:spacing w:after="0" w:line="240" w:lineRule="auto"/>
    </w:pPr>
    <w:rPr>
      <w:color w:val="404040"/>
    </w:rPr>
    <w:tblPr/>
  </w:style>
  <w:style w:type="table" w:styleId="953">
    <w:name w:val="Bordered &amp; Lined - Accent 1"/>
    <w:next w:val="953"/>
    <w:link w:val="752"/>
    <w:uiPriority w:val="99"/>
    <w:qFormat/>
    <w:pPr>
      <w:spacing w:after="0" w:line="240" w:lineRule="auto"/>
    </w:pPr>
    <w:rPr>
      <w:color w:val="404040"/>
    </w:rPr>
    <w:tblPr/>
  </w:style>
  <w:style w:type="table" w:styleId="954">
    <w:name w:val="Bordered &amp; Lined - Accent 2"/>
    <w:next w:val="954"/>
    <w:link w:val="752"/>
    <w:uiPriority w:val="99"/>
    <w:qFormat/>
    <w:pPr>
      <w:spacing w:after="0" w:line="240" w:lineRule="auto"/>
    </w:pPr>
    <w:rPr>
      <w:color w:val="404040"/>
    </w:rPr>
    <w:tblPr/>
  </w:style>
  <w:style w:type="table" w:styleId="955">
    <w:name w:val="Bordered &amp; Lined - Accent 3"/>
    <w:next w:val="955"/>
    <w:link w:val="752"/>
    <w:uiPriority w:val="99"/>
    <w:qFormat/>
    <w:pPr>
      <w:spacing w:after="0" w:line="240" w:lineRule="auto"/>
    </w:pPr>
    <w:rPr>
      <w:color w:val="404040"/>
    </w:rPr>
    <w:tblPr/>
  </w:style>
  <w:style w:type="table" w:styleId="956">
    <w:name w:val="Bordered &amp; Lined - Accent 4"/>
    <w:next w:val="956"/>
    <w:link w:val="752"/>
    <w:uiPriority w:val="99"/>
    <w:qFormat/>
    <w:pPr>
      <w:spacing w:after="0" w:line="240" w:lineRule="auto"/>
    </w:pPr>
    <w:rPr>
      <w:color w:val="404040"/>
    </w:rPr>
    <w:tblPr/>
  </w:style>
  <w:style w:type="table" w:styleId="957">
    <w:name w:val="Bordered &amp; Lined - Accent 5"/>
    <w:next w:val="957"/>
    <w:link w:val="752"/>
    <w:uiPriority w:val="99"/>
    <w:qFormat/>
    <w:pPr>
      <w:spacing w:after="0" w:line="240" w:lineRule="auto"/>
    </w:pPr>
    <w:rPr>
      <w:color w:val="404040"/>
    </w:rPr>
    <w:tblPr/>
  </w:style>
  <w:style w:type="table" w:styleId="958">
    <w:name w:val="Bordered &amp; Lined - Accent 6"/>
    <w:next w:val="958"/>
    <w:link w:val="752"/>
    <w:uiPriority w:val="99"/>
    <w:qFormat/>
    <w:pPr>
      <w:spacing w:after="0" w:line="240" w:lineRule="auto"/>
    </w:pPr>
    <w:rPr>
      <w:color w:val="404040"/>
    </w:rPr>
    <w:tblPr/>
  </w:style>
  <w:style w:type="table" w:styleId="959">
    <w:name w:val="Bordered"/>
    <w:next w:val="959"/>
    <w:link w:val="752"/>
    <w:uiPriority w:val="99"/>
    <w:qFormat/>
    <w:pPr>
      <w:spacing w:after="0" w:line="240" w:lineRule="auto"/>
    </w:pPr>
    <w:tblPr/>
  </w:style>
  <w:style w:type="table" w:styleId="960">
    <w:name w:val="Bordered - Accent 1"/>
    <w:next w:val="960"/>
    <w:link w:val="752"/>
    <w:uiPriority w:val="99"/>
    <w:qFormat/>
    <w:pPr>
      <w:spacing w:after="0" w:line="240" w:lineRule="auto"/>
    </w:pPr>
    <w:tblPr/>
  </w:style>
  <w:style w:type="table" w:styleId="961">
    <w:name w:val="Bordered - Accent 2"/>
    <w:next w:val="961"/>
    <w:link w:val="752"/>
    <w:uiPriority w:val="99"/>
    <w:qFormat/>
    <w:pPr>
      <w:spacing w:after="0" w:line="240" w:lineRule="auto"/>
    </w:pPr>
    <w:tblPr/>
  </w:style>
  <w:style w:type="table" w:styleId="962">
    <w:name w:val="Bordered - Accent 3"/>
    <w:next w:val="962"/>
    <w:link w:val="752"/>
    <w:uiPriority w:val="99"/>
    <w:qFormat/>
    <w:pPr>
      <w:spacing w:after="0" w:line="240" w:lineRule="auto"/>
    </w:pPr>
    <w:tblPr/>
  </w:style>
  <w:style w:type="table" w:styleId="963">
    <w:name w:val="Bordered - Accent 4"/>
    <w:next w:val="963"/>
    <w:link w:val="752"/>
    <w:uiPriority w:val="99"/>
    <w:qFormat/>
    <w:pPr>
      <w:spacing w:after="0" w:line="240" w:lineRule="auto"/>
    </w:pPr>
    <w:tblPr/>
  </w:style>
  <w:style w:type="table" w:styleId="964">
    <w:name w:val="Bordered - Accent 5"/>
    <w:next w:val="964"/>
    <w:link w:val="752"/>
    <w:uiPriority w:val="99"/>
    <w:qFormat/>
    <w:pPr>
      <w:spacing w:after="0" w:line="240" w:lineRule="auto"/>
    </w:pPr>
    <w:tblPr/>
  </w:style>
  <w:style w:type="table" w:styleId="965">
    <w:name w:val="Bordered - Accent 6"/>
    <w:next w:val="965"/>
    <w:link w:val="752"/>
    <w:uiPriority w:val="99"/>
    <w:qFormat/>
    <w:pPr>
      <w:spacing w:after="0" w:line="240" w:lineRule="auto"/>
    </w:pPr>
    <w:tblPr/>
  </w:style>
  <w:style w:type="paragraph" w:styleId="966">
    <w:name w:val="TOC Heading"/>
    <w:next w:val="966"/>
    <w:link w:val="752"/>
    <w:uiPriority w:val="39"/>
    <w:unhideWhenUsed/>
    <w:qFormat/>
    <w:rPr>
      <w:rFonts w:ascii="Times New Roman" w:hAnsi="Times New Roman" w:eastAsia="宋体" w:cs="Times New Roman"/>
    </w:rPr>
  </w:style>
  <w:style w:type="paragraph" w:styleId="967">
    <w:name w:val="标题 41"/>
    <w:basedOn w:val="968"/>
    <w:next w:val="816"/>
    <w:link w:val="969"/>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968">
    <w:name w:val="标题1"/>
    <w:basedOn w:val="752"/>
    <w:next w:val="814"/>
    <w:link w:val="752"/>
    <w:uiPriority w:val="10"/>
    <w:qFormat/>
    <w:pPr>
      <w:contextualSpacing/>
      <w:spacing w:before="300" w:after="200"/>
    </w:pPr>
    <w:rPr>
      <w:sz w:val="48"/>
      <w:szCs w:val="48"/>
    </w:rPr>
  </w:style>
  <w:style w:type="character" w:styleId="969">
    <w:name w:val="标题 4 Char"/>
    <w:basedOn w:val="806"/>
    <w:next w:val="969"/>
    <w:link w:val="967"/>
    <w:semiHidden/>
    <w:qFormat/>
    <w:rPr>
      <w:rFonts w:ascii="Calibri Light" w:hAnsi="Calibri Light" w:eastAsia="宋体" w:cs="Times New Roman"/>
      <w:b/>
      <w:bCs/>
      <w:sz w:val="28"/>
      <w:szCs w:val="28"/>
    </w:rPr>
  </w:style>
  <w:style w:type="paragraph" w:styleId="970">
    <w:name w:val="文本块1"/>
    <w:basedOn w:val="752"/>
    <w:next w:val="967"/>
    <w:link w:val="752"/>
    <w:uiPriority w:val="6"/>
    <w:unhideWhenUsed/>
    <w:qFormat/>
    <w:pPr>
      <w:ind w:left="1440" w:right="1440"/>
      <w:spacing w:after="120"/>
    </w:pPr>
  </w:style>
  <w:style w:type="paragraph" w:styleId="971">
    <w:name w:val="脚注文本1"/>
    <w:basedOn w:val="831"/>
    <w:next w:val="973"/>
    <w:link w:val="972"/>
    <w:uiPriority w:val="99"/>
    <w:qFormat/>
    <w:pPr>
      <w:jc w:val="left"/>
    </w:pPr>
    <w:rPr>
      <w:rFonts w:ascii="宋体" w:eastAsia="Times New Roman"/>
      <w:sz w:val="18"/>
      <w:szCs w:val="18"/>
    </w:rPr>
  </w:style>
  <w:style w:type="character" w:styleId="972">
    <w:name w:val="脚注文本 Char"/>
    <w:basedOn w:val="806"/>
    <w:next w:val="972"/>
    <w:link w:val="971"/>
    <w:uiPriority w:val="99"/>
    <w:qFormat/>
    <w:rPr>
      <w:rFonts w:ascii="宋体" w:hAnsi="Times New Roman" w:eastAsia="Times New Roman" w:cs="Times New Roman"/>
      <w:sz w:val="18"/>
      <w:szCs w:val="18"/>
    </w:rPr>
  </w:style>
  <w:style w:type="paragraph" w:styleId="973">
    <w:name w:val="索引 51"/>
    <w:basedOn w:val="752"/>
    <w:next w:val="831"/>
    <w:link w:val="752"/>
    <w:qFormat/>
    <w:pPr>
      <w:ind w:left="798"/>
      <w:jc w:val="left"/>
    </w:pPr>
    <w:rPr>
      <w:rFonts w:ascii="Calibri" w:hAnsi="Calibri"/>
    </w:rPr>
  </w:style>
  <w:style w:type="paragraph" w:styleId="974">
    <w:name w:val="段"/>
    <w:basedOn w:val="752"/>
    <w:next w:val="752"/>
    <w:link w:val="752"/>
    <w:qFormat/>
    <w:pPr>
      <w:ind w:firstLine="200"/>
      <w:widowControl/>
    </w:pPr>
    <w:rPr>
      <w:rFonts w:hint="eastAsia" w:ascii="宋体"/>
    </w:rPr>
  </w:style>
  <w:style w:type="paragraph" w:styleId="975">
    <w:name w:val="目录 111"/>
    <w:basedOn w:val="827"/>
    <w:next w:val="752"/>
    <w:link w:val="752"/>
    <w:uiPriority w:val="39"/>
    <w:unhideWhenUsed/>
    <w:qFormat/>
    <w:pPr>
      <w:jc w:val="left"/>
      <w:spacing w:after="100" w:line="259" w:lineRule="auto"/>
      <w:widowControl/>
    </w:pPr>
    <w:rPr>
      <w:rFonts w:ascii="Calibri" w:hAnsi="Calibri" w:eastAsia="宋体"/>
      <w:sz w:val="22"/>
      <w:szCs w:val="22"/>
    </w:rPr>
  </w:style>
  <w:style w:type="table" w:styleId="976">
    <w:name w:val="普通表格1"/>
    <w:next w:val="976"/>
    <w:link w:val="752"/>
    <w:uiPriority w:val="99"/>
    <w:unhideWhenUsed/>
    <w:qFormat/>
    <w:tblPr/>
  </w:style>
  <w:style w:type="paragraph" w:styleId="977">
    <w:name w:val="正文缩进1"/>
    <w:basedOn w:val="752"/>
    <w:next w:val="977"/>
    <w:link w:val="752"/>
    <w:qFormat/>
    <w:pPr>
      <w:ind w:firstLine="420"/>
    </w:pPr>
  </w:style>
  <w:style w:type="paragraph" w:styleId="978">
    <w:name w:val="批注文字1"/>
    <w:basedOn w:val="752"/>
    <w:next w:val="978"/>
    <w:link w:val="752"/>
    <w:uiPriority w:val="99"/>
    <w:qFormat/>
    <w:pPr>
      <w:jc w:val="left"/>
    </w:pPr>
  </w:style>
  <w:style w:type="paragraph" w:styleId="979">
    <w:name w:val="纯文本1"/>
    <w:basedOn w:val="752"/>
    <w:next w:val="979"/>
    <w:link w:val="752"/>
    <w:qFormat/>
    <w:rPr>
      <w:rFonts w:ascii="宋体" w:hAnsi="Courier New"/>
      <w:szCs w:val="20"/>
    </w:rPr>
  </w:style>
  <w:style w:type="paragraph" w:styleId="980">
    <w:name w:val="日期1"/>
    <w:basedOn w:val="752"/>
    <w:next w:val="752"/>
    <w:link w:val="752"/>
    <w:qFormat/>
    <w:rPr>
      <w:rFonts w:eastAsia="仿宋_GB2312"/>
      <w:sz w:val="28"/>
      <w:szCs w:val="20"/>
    </w:rPr>
  </w:style>
  <w:style w:type="paragraph" w:styleId="981">
    <w:name w:val="正文文本缩进 21"/>
    <w:basedOn w:val="752"/>
    <w:next w:val="981"/>
    <w:link w:val="752"/>
    <w:qFormat/>
    <w:pPr>
      <w:ind w:firstLine="560"/>
      <w:spacing w:line="500" w:lineRule="exact"/>
    </w:pPr>
    <w:rPr>
      <w:color w:val="000000"/>
      <w:sz w:val="28"/>
    </w:rPr>
  </w:style>
  <w:style w:type="paragraph" w:styleId="982">
    <w:name w:val="批注框文本1"/>
    <w:basedOn w:val="752"/>
    <w:next w:val="982"/>
    <w:link w:val="983"/>
    <w:qFormat/>
    <w:rPr>
      <w:sz w:val="18"/>
      <w:szCs w:val="18"/>
    </w:rPr>
  </w:style>
  <w:style w:type="character" w:styleId="983">
    <w:name w:val="批注框文本 Char"/>
    <w:basedOn w:val="806"/>
    <w:next w:val="983"/>
    <w:link w:val="982"/>
    <w:qFormat/>
    <w:rPr>
      <w:rFonts w:ascii="Times New Roman" w:hAnsi="Times New Roman" w:eastAsia="宋体" w:cs="Times New Roman"/>
      <w:sz w:val="18"/>
      <w:szCs w:val="18"/>
    </w:rPr>
  </w:style>
  <w:style w:type="paragraph" w:styleId="984">
    <w:name w:val="页脚1"/>
    <w:basedOn w:val="752"/>
    <w:next w:val="984"/>
    <w:link w:val="985"/>
    <w:uiPriority w:val="99"/>
    <w:qFormat/>
    <w:pPr>
      <w:jc w:val="left"/>
      <w:tabs>
        <w:tab w:val="center" w:pos="4153" w:leader="none"/>
        <w:tab w:val="right" w:pos="8306" w:leader="none"/>
      </w:tabs>
    </w:pPr>
    <w:rPr>
      <w:sz w:val="18"/>
      <w:szCs w:val="18"/>
    </w:rPr>
  </w:style>
  <w:style w:type="character" w:styleId="985">
    <w:name w:val="页脚 Char"/>
    <w:basedOn w:val="806"/>
    <w:next w:val="985"/>
    <w:link w:val="984"/>
    <w:uiPriority w:val="99"/>
    <w:qFormat/>
    <w:rPr>
      <w:rFonts w:ascii="Times New Roman" w:hAnsi="Times New Roman" w:eastAsia="宋体" w:cs="Times New Roman"/>
      <w:sz w:val="18"/>
      <w:szCs w:val="18"/>
    </w:rPr>
  </w:style>
  <w:style w:type="paragraph" w:styleId="986">
    <w:name w:val="页眉1"/>
    <w:basedOn w:val="752"/>
    <w:next w:val="986"/>
    <w:link w:val="752"/>
    <w:uiPriority w:val="99"/>
    <w:qFormat/>
    <w:pPr>
      <w:jc w:val="center"/>
      <w:tabs>
        <w:tab w:val="center" w:pos="4153" w:leader="none"/>
        <w:tab w:val="right" w:pos="8306" w:leader="none"/>
      </w:tabs>
      <w:pBdr>
        <w:bottom w:val="single" w:color="000000" w:sz="6" w:space="1"/>
      </w:pBdr>
    </w:pPr>
    <w:rPr>
      <w:sz w:val="18"/>
      <w:szCs w:val="18"/>
    </w:rPr>
  </w:style>
  <w:style w:type="paragraph" w:styleId="987">
    <w:name w:val="目录 11111"/>
    <w:basedOn w:val="752"/>
    <w:next w:val="752"/>
    <w:link w:val="752"/>
    <w:uiPriority w:val="39"/>
    <w:qFormat/>
  </w:style>
  <w:style w:type="paragraph" w:styleId="988">
    <w:name w:val="目录 21"/>
    <w:basedOn w:val="752"/>
    <w:next w:val="752"/>
    <w:link w:val="752"/>
    <w:unhideWhenUsed/>
    <w:qFormat/>
    <w:pPr>
      <w:ind w:left="420"/>
    </w:pPr>
  </w:style>
  <w:style w:type="paragraph" w:styleId="989">
    <w:name w:val="普通(网站)1"/>
    <w:basedOn w:val="752"/>
    <w:next w:val="989"/>
    <w:link w:val="752"/>
    <w:uiPriority w:val="99"/>
    <w:qFormat/>
    <w:pPr>
      <w:jc w:val="left"/>
      <w:spacing w:before="100" w:beforeAutospacing="1" w:after="100" w:afterAutospacing="1"/>
      <w:widowControl/>
    </w:pPr>
    <w:rPr>
      <w:rFonts w:ascii="宋体" w:hAnsi="宋体" w:cs="宋体"/>
      <w:sz w:val="24"/>
    </w:rPr>
  </w:style>
  <w:style w:type="table" w:styleId="990">
    <w:name w:val="网格型1"/>
    <w:basedOn w:val="976"/>
    <w:next w:val="990"/>
    <w:link w:val="752"/>
    <w:qFormat/>
    <w:tblPr/>
  </w:style>
  <w:style w:type="character" w:styleId="991">
    <w:name w:val="页码1"/>
    <w:basedOn w:val="806"/>
    <w:next w:val="991"/>
    <w:link w:val="752"/>
    <w:qFormat/>
  </w:style>
  <w:style w:type="character" w:styleId="992">
    <w:name w:val="已访问的超链接1"/>
    <w:basedOn w:val="806"/>
    <w:next w:val="992"/>
    <w:link w:val="752"/>
    <w:unhideWhenUsed/>
    <w:qFormat/>
    <w:rPr>
      <w:color w:val="800080"/>
      <w:u w:val="none"/>
    </w:rPr>
  </w:style>
  <w:style w:type="character" w:styleId="993">
    <w:name w:val="超链接11"/>
    <w:basedOn w:val="806"/>
    <w:next w:val="993"/>
    <w:link w:val="752"/>
    <w:uiPriority w:val="99"/>
    <w:unhideWhenUsed/>
    <w:qFormat/>
    <w:rPr>
      <w:color w:val="0000ff"/>
      <w:u w:val="none"/>
    </w:rPr>
  </w:style>
  <w:style w:type="character" w:styleId="994">
    <w:name w:val="ql-font-timesnewroman"/>
    <w:basedOn w:val="806"/>
    <w:next w:val="994"/>
    <w:link w:val="752"/>
    <w:qFormat/>
  </w:style>
  <w:style w:type="paragraph" w:styleId="995">
    <w:name w:val="样式 样式 样式 样式 小四 左 首行缩进:  2 字符 + 首行缩进:  2 字符 Char + 右  0 字符1 + 首行缩...3"/>
    <w:basedOn w:val="752"/>
    <w:next w:val="995"/>
    <w:link w:val="752"/>
    <w:uiPriority w:val="99"/>
    <w:qFormat/>
    <w:pPr>
      <w:ind w:firstLine="480"/>
      <w:jc w:val="left"/>
      <w:spacing w:line="360" w:lineRule="auto"/>
    </w:pPr>
    <w:rPr>
      <w:sz w:val="24"/>
    </w:rPr>
  </w:style>
  <w:style w:type="paragraph" w:styleId="996">
    <w:name w:val="Heading21"/>
    <w:basedOn w:val="752"/>
    <w:next w:val="752"/>
    <w:link w:val="752"/>
    <w:qFormat/>
    <w:pPr>
      <w:jc w:val="left"/>
      <w:keepLines/>
      <w:keepNext/>
      <w:spacing w:before="260" w:after="260" w:line="416" w:lineRule="auto"/>
    </w:pPr>
    <w:rPr>
      <w:rFonts w:ascii="Calibri Light" w:hAnsi="Calibri Light"/>
      <w:b/>
      <w:bCs/>
      <w:sz w:val="24"/>
      <w:szCs w:val="32"/>
    </w:rPr>
  </w:style>
  <w:style w:type="paragraph" w:styleId="997">
    <w:name w:val="Table Paragraph"/>
    <w:basedOn w:val="752"/>
    <w:next w:val="997"/>
    <w:link w:val="752"/>
    <w:uiPriority w:val="1"/>
    <w:qFormat/>
    <w:pPr>
      <w:jc w:val="left"/>
    </w:pPr>
    <w:rPr>
      <w:rFonts w:ascii="Arial Unicode MS" w:hAnsi="Arial Unicode MS" w:eastAsia="Arial Unicode MS" w:cs="Arial Unicode MS"/>
      <w:sz w:val="22"/>
      <w:szCs w:val="22"/>
      <w:lang w:val="zh-CN" w:bidi="zh-CN"/>
    </w:rPr>
  </w:style>
  <w:style w:type="paragraph" w:styleId="998">
    <w:name w:val="标准"/>
    <w:basedOn w:val="752"/>
    <w:next w:val="998"/>
    <w:link w:val="752"/>
    <w:qFormat/>
    <w:pPr>
      <w:ind w:firstLine="200"/>
      <w:spacing w:line="360" w:lineRule="auto"/>
    </w:pPr>
    <w:rPr>
      <w:rFonts w:cs="宋体"/>
      <w:szCs w:val="21"/>
    </w:rPr>
  </w:style>
  <w:style w:type="paragraph" w:styleId="999">
    <w:name w:val="Default"/>
    <w:next w:val="999"/>
    <w:link w:val="752"/>
    <w:qFormat/>
    <w:pPr>
      <w:widowControl w:val="off"/>
    </w:pPr>
    <w:rPr>
      <w:rFonts w:ascii="宋体" w:hAnsi="Times New Roman" w:eastAsia="宋体" w:cs="宋体"/>
      <w:color w:val="000000"/>
      <w:sz w:val="24"/>
      <w:szCs w:val="24"/>
      <w:lang w:val="en-US" w:eastAsia="zh-CN" w:bidi="ar-SA"/>
    </w:rPr>
  </w:style>
  <w:style w:type="paragraph" w:styleId="1000">
    <w:name w:val="p0"/>
    <w:basedOn w:val="752"/>
    <w:next w:val="1000"/>
    <w:link w:val="752"/>
    <w:qFormat/>
    <w:pPr>
      <w:widowControl/>
    </w:pPr>
    <w:rPr>
      <w:szCs w:val="21"/>
    </w:rPr>
  </w:style>
  <w:style w:type="paragraph" w:styleId="1001">
    <w:name w:val="List Paragraph"/>
    <w:basedOn w:val="752"/>
    <w:next w:val="1001"/>
    <w:link w:val="752"/>
    <w:uiPriority w:val="34"/>
    <w:qFormat/>
    <w:pPr>
      <w:ind w:firstLine="420"/>
    </w:pPr>
  </w:style>
  <w:style w:type="paragraph" w:styleId="1002">
    <w:name w:val="UserStyle_0"/>
    <w:next w:val="1002"/>
    <w:link w:val="752"/>
    <w:qFormat/>
    <w:rPr>
      <w:rFonts w:ascii="Times New Roman" w:hAnsi="Times New Roman" w:eastAsia="宋体" w:cs="Times New Roman"/>
      <w:color w:val="000000"/>
      <w:sz w:val="24"/>
      <w:szCs w:val="24"/>
      <w:lang w:val="en-US" w:eastAsia="zh-CN" w:bidi="ar-SA"/>
    </w:rPr>
  </w:style>
  <w:style w:type="paragraph" w:styleId="1003">
    <w:name w:val="目录 1111"/>
    <w:basedOn w:val="752"/>
    <w:next w:val="752"/>
    <w:link w:val="752"/>
    <w:uiPriority w:val="39"/>
    <w:unhideWhenUsed/>
    <w:qFormat/>
    <w:pPr>
      <w:jc w:val="left"/>
      <w:spacing w:after="100" w:line="259" w:lineRule="auto"/>
      <w:widowControl/>
    </w:pPr>
    <w:rPr>
      <w:rFonts w:ascii="Calibri" w:hAnsi="Calibri" w:eastAsia="宋体"/>
      <w:sz w:val="22"/>
      <w:szCs w:val="22"/>
    </w:rPr>
  </w:style>
  <w:style w:type="paragraph" w:styleId="1004">
    <w:name w:val="ql-align-justify"/>
    <w:basedOn w:val="752"/>
    <w:next w:val="1004"/>
    <w:link w:val="752"/>
    <w:qFormat/>
    <w:pPr>
      <w:jc w:val="left"/>
      <w:spacing w:before="100" w:beforeAutospacing="1" w:after="100" w:afterAutospacing="1"/>
      <w:widowControl/>
    </w:pPr>
    <w:rPr>
      <w:rFonts w:ascii="宋体" w:hAnsi="宋体" w:cs="宋体"/>
      <w:sz w:val="24"/>
    </w:rPr>
  </w:style>
  <w:style w:type="paragraph" w:styleId="1005">
    <w:name w:val="179"/>
    <w:basedOn w:val="752"/>
    <w:next w:val="1005"/>
    <w:link w:val="752"/>
    <w:qFormat/>
    <w:pPr>
      <w:ind w:firstLine="420"/>
      <w:jc w:val="left"/>
      <w:widowControl/>
    </w:pPr>
    <w:rPr>
      <w:rFonts w:ascii="宋体" w:hAnsi="宋体"/>
      <w:sz w:val="24"/>
    </w:rPr>
  </w:style>
  <w:style w:type="paragraph" w:styleId="1006">
    <w:name w:val="ql-align-center"/>
    <w:basedOn w:val="752"/>
    <w:next w:val="1006"/>
    <w:link w:val="752"/>
    <w:qFormat/>
    <w:pPr>
      <w:jc w:val="left"/>
      <w:spacing w:before="100" w:beforeAutospacing="1" w:after="100" w:afterAutospacing="1"/>
      <w:widowControl/>
    </w:pPr>
    <w:rPr>
      <w:rFonts w:ascii="宋体" w:hAnsi="宋体" w:cs="宋体"/>
      <w:sz w:val="24"/>
    </w:rPr>
  </w:style>
  <w:style w:type="paragraph" w:styleId="1007">
    <w:name w:val="Table Text"/>
    <w:basedOn w:val="752"/>
    <w:next w:val="1007"/>
    <w:link w:val="752"/>
    <w:semiHidden/>
    <w:qFormat/>
    <w:rPr>
      <w:rFonts w:ascii="宋体" w:hAnsi="宋体" w:eastAsia="宋体" w:cs="宋体"/>
      <w:sz w:val="32"/>
      <w:szCs w:val="32"/>
      <w:lang w:val="en-US" w:eastAsia="en-US" w:bidi="ar-SA"/>
    </w:rPr>
  </w:style>
  <w:style w:type="paragraph" w:styleId="1008">
    <w:name w:val="普通(网站)111"/>
    <w:basedOn w:val="752"/>
    <w:next w:val="1008"/>
    <w:link w:val="752"/>
    <w:uiPriority w:val="99"/>
    <w:qFormat/>
    <w:pPr>
      <w:spacing w:before="100" w:beforeAutospacing="1" w:after="100" w:afterAutospacing="1"/>
    </w:pPr>
    <w:rPr>
      <w:rFonts w:ascii="宋体" w:hAnsi="宋体" w:cs="宋体"/>
      <w:sz w:val="24"/>
      <w:szCs w:val="24"/>
    </w:rPr>
  </w:style>
  <w:style w:type="paragraph" w:styleId="1009">
    <w:name w:val="正文文本缩进111"/>
    <w:basedOn w:val="752"/>
    <w:next w:val="1009"/>
    <w:link w:val="752"/>
    <w:uiPriority w:val="99"/>
    <w:qFormat/>
    <w:pPr>
      <w:ind w:left="420"/>
      <w:spacing w:after="120"/>
    </w:pPr>
  </w:style>
  <w:style w:type="paragraph" w:styleId="1010">
    <w:name w:val="AONormal"/>
    <w:next w:val="1010"/>
    <w:link w:val="752"/>
    <w:qFormat/>
    <w:pPr>
      <w:ind w:firstLine="440"/>
      <w:spacing w:line="400" w:lineRule="exact"/>
    </w:pPr>
    <w:rPr>
      <w:rFonts w:ascii="华文楷体" w:hAnsi="华文楷体" w:eastAsia="华文楷体" w:cs="华文楷体"/>
      <w:sz w:val="22"/>
      <w:szCs w:val="21"/>
      <w:lang w:val="en-US" w:eastAsia="zh-CN" w:bidi="ar-SA"/>
    </w:rPr>
  </w:style>
  <w:style w:type="paragraph" w:styleId="1011">
    <w:name w:val="列出段落1"/>
    <w:basedOn w:val="752"/>
    <w:next w:val="794"/>
    <w:link w:val="752"/>
    <w:uiPriority w:val="34"/>
    <w:qFormat/>
    <w:pPr>
      <w:ind w:firstLine="420"/>
    </w:pPr>
    <w:rPr>
      <w:rFonts w:ascii="Calibri" w:hAnsi="Calibri"/>
    </w:rPr>
  </w:style>
  <w:style w:type="paragraph" w:styleId="1012">
    <w:name w:val="纯文本11"/>
    <w:basedOn w:val="752"/>
    <w:next w:val="1012"/>
    <w:link w:val="752"/>
    <w:qFormat/>
    <w:rPr>
      <w:rFonts w:ascii="宋体" w:hAnsi="Courier New"/>
      <w:szCs w:val="20"/>
    </w:rPr>
  </w:style>
  <w:style w:type="paragraph" w:styleId="1013">
    <w:name w:val="目录 112"/>
    <w:basedOn w:val="752"/>
    <w:next w:val="752"/>
    <w:link w:val="752"/>
    <w:uiPriority w:val="39"/>
    <w:qFormat/>
  </w:style>
  <w:style w:type="character" w:styleId="1014">
    <w:name w:val="font31"/>
    <w:basedOn w:val="762"/>
    <w:next w:val="1014"/>
    <w:link w:val="752"/>
    <w:qFormat/>
    <w:rPr>
      <w:rFonts w:ascii="Times New Roman" w:hAnsi="Times New Roman" w:cs="Times New Roman"/>
      <w:color w:val="000000"/>
      <w:sz w:val="24"/>
      <w:szCs w:val="24"/>
      <w:u w:val="none"/>
    </w:rPr>
  </w:style>
  <w:style w:type="character" w:styleId="1015">
    <w:name w:val="font21"/>
    <w:basedOn w:val="762"/>
    <w:next w:val="1015"/>
    <w:link w:val="752"/>
    <w:qFormat/>
    <w:rPr>
      <w:rFonts w:hint="eastAsia" w:ascii="宋体" w:hAnsi="宋体" w:eastAsia="宋体" w:cs="宋体"/>
      <w:color w:val="000000"/>
      <w:sz w:val="24"/>
      <w:szCs w:val="24"/>
      <w:u w:val="none"/>
    </w:rPr>
  </w:style>
  <w:style w:type="character" w:styleId="1016">
    <w:name w:val="font61"/>
    <w:basedOn w:val="762"/>
    <w:next w:val="1016"/>
    <w:link w:val="752"/>
    <w:qFormat/>
    <w:rPr>
      <w:rFonts w:ascii="Arial" w:hAnsi="Arial" w:cs="Arial"/>
      <w:color w:val="000000"/>
      <w:sz w:val="24"/>
      <w:szCs w:val="24"/>
      <w:u w:val="none"/>
    </w:rPr>
  </w:style>
  <w:style w:type="character" w:styleId="1017">
    <w:name w:val="font41"/>
    <w:basedOn w:val="762"/>
    <w:next w:val="1017"/>
    <w:link w:val="752"/>
    <w:qFormat/>
    <w:rPr>
      <w:rFonts w:ascii="Times New Roman" w:hAnsi="Times New Roman" w:cs="Times New Roman"/>
      <w:color w:val="000000"/>
      <w:sz w:val="24"/>
      <w:szCs w:val="24"/>
      <w:u w:val="none"/>
    </w:rPr>
  </w:style>
  <w:style w:type="character" w:styleId="1018" w:default="1">
    <w:name w:val="Default Paragraph Font"/>
    <w:uiPriority w:val="1"/>
    <w:semiHidden/>
    <w:unhideWhenUsed/>
  </w:style>
  <w:style w:type="numbering" w:styleId="1019" w:default="1">
    <w:name w:val="No List"/>
    <w:uiPriority w:val="99"/>
    <w:semiHidden/>
    <w:unhideWhenUsed/>
  </w:style>
  <w:style w:type="table" w:styleId="10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李海沫</cp:lastModifiedBy>
  <cp:revision>3</cp:revision>
  <dcterms:created xsi:type="dcterms:W3CDTF">2022-01-18T09:01:00Z</dcterms:created>
  <dcterms:modified xsi:type="dcterms:W3CDTF">2026-05-06T08:58:41Z</dcterms:modified>
</cp:coreProperties>
</file>