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rPr>
          <w:rFonts w:hint="default"/>
          <w:color w:val="auto"/>
          <w:highlight w:val="none"/>
          <w:lang w:val="en-US" w:eastAsia="zh-CN"/>
        </w:rPr>
      </w:pPr>
      <w:r>
        <w:rPr>
          <w:rFonts w:hint="default"/>
          <w:color w:val="auto"/>
          <w:highlight w:val="none"/>
          <w:lang w:val="en-US" w:eastAsia="zh-CN"/>
        </w:rPr>
      </w:r>
      <w:r/>
    </w:p>
    <w:p>
      <w:pPr>
        <w:pStyle w:val="983"/>
        <w:rPr>
          <w:rFonts w:ascii="宋体" w:hAnsi="宋体"/>
          <w:b/>
          <w:color w:val="auto"/>
          <w:szCs w:val="21"/>
          <w:highlight w:val="none"/>
        </w:rPr>
      </w:pPr>
      <w:r>
        <w:rPr>
          <w:rFonts w:ascii="宋体" w:hAnsi="宋体"/>
          <w:b/>
          <w:color w:val="auto"/>
          <w:szCs w:val="21"/>
          <w:highlight w:val="none"/>
        </w:rPr>
      </w:r>
      <w:r/>
    </w:p>
    <w:p>
      <w:pPr>
        <w:pStyle w:val="983"/>
        <w:rPr>
          <w:rFonts w:ascii="宋体" w:hAnsi="宋体"/>
          <w:b/>
          <w:color w:val="auto"/>
          <w:szCs w:val="21"/>
          <w:highlight w:val="none"/>
        </w:rPr>
      </w:pPr>
      <w:r>
        <w:rPr>
          <w:rFonts w:ascii="宋体" w:hAnsi="宋体"/>
          <w:b/>
          <w:color w:val="auto"/>
          <w:szCs w:val="21"/>
          <w:highlight w:val="none"/>
        </w:rPr>
      </w:r>
      <w:r/>
    </w:p>
    <w:p>
      <w:pPr>
        <w:pStyle w:val="983"/>
        <w:rPr>
          <w:rFonts w:ascii="宋体" w:hAnsi="宋体"/>
          <w:b/>
          <w:color w:val="auto"/>
          <w:szCs w:val="21"/>
          <w:highlight w:val="none"/>
        </w:rPr>
      </w:pPr>
      <w:r>
        <w:rPr>
          <w:rFonts w:ascii="宋体" w:hAnsi="宋体"/>
          <w:b/>
          <w:color w:val="auto"/>
          <w:szCs w:val="21"/>
          <w:highlight w:val="none"/>
        </w:rPr>
      </w:r>
      <w:r/>
    </w:p>
    <w:p>
      <w:pPr>
        <w:pStyle w:val="982"/>
        <w:rPr>
          <w:rFonts w:ascii="宋体" w:hAnsi="宋体"/>
          <w:b/>
          <w:color w:val="auto"/>
          <w:szCs w:val="21"/>
          <w:highlight w:val="none"/>
        </w:rPr>
      </w:pPr>
      <w:r>
        <w:rPr>
          <w:rFonts w:ascii="宋体" w:hAnsi="宋体"/>
          <w:b/>
          <w:color w:val="auto"/>
          <w:szCs w:val="21"/>
          <w:highlight w:val="none"/>
        </w:rPr>
      </w:r>
      <w:r/>
    </w:p>
    <w:p>
      <w:pPr>
        <w:pStyle w:val="957"/>
        <w:jc w:val="center"/>
        <w:rPr>
          <w:rFonts w:ascii="宋体" w:hAnsi="宋体"/>
          <w:b/>
          <w:color w:val="auto"/>
          <w:spacing w:val="76"/>
          <w:sz w:val="112"/>
          <w:szCs w:val="112"/>
          <w:highlight w:val="none"/>
        </w:rPr>
      </w:pPr>
      <w:r>
        <w:rPr>
          <w:rFonts w:ascii="宋体" w:hAnsi="宋体"/>
          <w:b/>
          <w:color w:val="auto"/>
          <w:spacing w:val="76"/>
          <w:sz w:val="100"/>
          <w:szCs w:val="112"/>
          <w:highlight w:val="none"/>
        </w:rPr>
        <w:t xml:space="preserve">竞争性磋商文件</w:t>
      </w:r>
      <w:r/>
    </w:p>
    <w:p>
      <w:pPr>
        <w:pStyle w:val="982"/>
        <w:rPr>
          <w:rFonts w:ascii="宋体" w:hAnsi="宋体"/>
          <w:color w:val="auto"/>
          <w:highlight w:val="none"/>
        </w:rPr>
      </w:pPr>
      <w:r>
        <w:rPr>
          <w:rFonts w:ascii="宋体" w:hAnsi="宋体"/>
          <w:color w:val="auto"/>
          <w:highlight w:val="none"/>
        </w:rPr>
      </w:r>
      <w:r/>
    </w:p>
    <w:p>
      <w:pPr>
        <w:pStyle w:val="982"/>
        <w:ind w:left="0"/>
        <w:rPr>
          <w:rFonts w:ascii="宋体" w:hAnsi="宋体"/>
          <w:color w:val="auto"/>
          <w:highlight w:val="none"/>
        </w:rPr>
      </w:pPr>
      <w:r>
        <w:rPr>
          <w:rFonts w:ascii="宋体" w:hAnsi="宋体"/>
          <w:color w:val="auto"/>
          <w:highlight w:val="none"/>
        </w:rPr>
      </w:r>
      <w:r/>
    </w:p>
    <w:p>
      <w:pPr>
        <w:pStyle w:val="983"/>
        <w:rPr>
          <w:rFonts w:ascii="宋体" w:hAnsi="宋体"/>
          <w:color w:val="auto"/>
          <w:highlight w:val="none"/>
        </w:rPr>
      </w:pPr>
      <w:r>
        <w:rPr>
          <w:rFonts w:ascii="宋体" w:hAnsi="宋体"/>
          <w:color w:val="auto"/>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ascii="仿宋" w:hAnsi="仿宋" w:eastAsia="仿宋" w:cs="仿宋"/>
          <w:color w:val="auto"/>
          <w:sz w:val="32"/>
          <w:highlight w:val="none"/>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JSZC-320390-JSYE-C2026-0003</w:t>
      </w:r>
      <w:r>
        <w:rPr>
          <w:rFonts w:hint="eastAsia" w:ascii="仿宋" w:hAnsi="仿宋" w:eastAsia="仿宋" w:cs="仿宋"/>
          <w:color w:val="auto"/>
          <w:sz w:val="32"/>
          <w:highlight w:val="none"/>
        </w:rPr>
        <w:t xml:space="preserve"> </w:t>
      </w:r>
      <w:r/>
    </w:p>
    <w:p>
      <w:pPr>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项目名称：</w:t>
      </w:r>
      <w:r>
        <w:rPr>
          <w:rFonts w:hint="eastAsia" w:ascii="仿宋" w:hAnsi="仿宋" w:eastAsia="仿宋" w:cs="仿宋"/>
          <w:color w:val="auto"/>
          <w:sz w:val="32"/>
          <w:highlight w:val="none"/>
          <w:lang w:eastAsia="zh-CN"/>
        </w:rPr>
        <w:t xml:space="preserve">徐州经开区2026年特种设备安全生产</w:t>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lang w:eastAsia="zh-CN"/>
        </w:rPr>
        <w:t xml:space="preserve">隐患排查治理项目</w:t>
      </w:r>
      <w:r/>
    </w:p>
    <w:p>
      <w:pPr>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徐州经济技术开发区市场监督管理局</w:t>
      </w:r>
      <w:r/>
    </w:p>
    <w:p>
      <w:pPr>
        <w:ind w:right="-159"/>
        <w:spacing w:line="300" w:lineRule="auto"/>
        <w:rPr>
          <w:color w:val="auto"/>
          <w:highlight w:val="none"/>
        </w:rPr>
      </w:pPr>
      <w:r>
        <w:rPr>
          <w:color w:val="auto"/>
          <w:highlight w:val="none"/>
        </w:rPr>
      </w:r>
      <w:r/>
    </w:p>
    <w:p>
      <w:pPr>
        <w:pStyle w:val="917"/>
        <w:ind w:firstLine="0"/>
        <w:rPr>
          <w:rFonts w:ascii="仿宋" w:hAnsi="仿宋" w:eastAsia="仿宋" w:cs="仿宋"/>
          <w:color w:val="auto"/>
          <w:highlight w:val="none"/>
        </w:rPr>
      </w:pPr>
      <w:r>
        <w:rPr>
          <w:rFonts w:ascii="仿宋" w:hAnsi="仿宋" w:eastAsia="仿宋" w:cs="仿宋"/>
          <w:color w:val="auto"/>
          <w:highlight w:val="none"/>
        </w:rPr>
      </w:r>
      <w:r/>
    </w:p>
    <w:p>
      <w:pPr>
        <w:ind w:right="-159" w:firstLine="1440"/>
        <w:spacing w:line="300" w:lineRule="auto"/>
        <w:rPr>
          <w:rFonts w:ascii="仿宋" w:hAnsi="仿宋" w:eastAsia="仿宋" w:cs="仿宋"/>
          <w:color w:val="auto"/>
          <w:highlight w:val="none"/>
        </w:rPr>
      </w:pPr>
      <w:r>
        <w:rPr>
          <w:rFonts w:hint="eastAsia" w:ascii="仿宋" w:hAnsi="仿宋" w:eastAsia="仿宋" w:cs="仿宋"/>
          <w:color w:val="auto"/>
          <w:highlight w:val="none"/>
        </w:rPr>
        <w:t xml:space="preserve">    </w:t>
      </w:r>
      <w:r/>
    </w:p>
    <w:p>
      <w:pPr>
        <w:ind w:right="-159"/>
        <w:spacing w:line="30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right="-159"/>
        <w:jc w:val="center"/>
        <w:spacing w:line="30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923"/>
        <w:rPr>
          <w:color w:val="auto"/>
          <w:highlight w:val="none"/>
        </w:rPr>
      </w:pPr>
      <w:r>
        <w:rPr>
          <w:color w:val="auto"/>
          <w:highlight w:val="none"/>
        </w:rPr>
      </w:r>
      <w:r/>
    </w:p>
    <w:p>
      <w:pPr>
        <w:pStyle w:val="923"/>
        <w:rPr>
          <w:color w:val="auto"/>
          <w:highlight w:val="none"/>
        </w:rPr>
      </w:pPr>
      <w:r>
        <w:rPr>
          <w:color w:val="auto"/>
          <w:highlight w:val="none"/>
        </w:rPr>
      </w:r>
      <w:r/>
    </w:p>
    <w:p>
      <w:pPr>
        <w:ind w:firstLine="1200"/>
        <w:spacing w:line="360" w:lineRule="auto"/>
        <w:rPr>
          <w:rFonts w:ascii="仿宋" w:hAnsi="仿宋" w:eastAsia="仿宋" w:cs="仿宋"/>
          <w:color w:val="auto"/>
          <w:sz w:val="30"/>
          <w:highlight w:val="none"/>
        </w:rPr>
      </w:pPr>
      <w:r>
        <w:rPr>
          <w:rFonts w:ascii="仿宋" w:hAnsi="仿宋" w:eastAsia="仿宋" w:cs="仿宋"/>
          <w:color w:val="auto"/>
          <w:sz w:val="30"/>
          <w:highlight w:val="none"/>
        </w:rPr>
      </w:r>
      <w:r/>
    </w:p>
    <w:p>
      <w:pPr>
        <w:ind w:firstLine="1200"/>
        <w:spacing w:line="360" w:lineRule="auto"/>
        <w:rPr>
          <w:rFonts w:ascii="仿宋" w:hAnsi="仿宋" w:eastAsia="仿宋" w:cs="仿宋"/>
          <w:color w:val="auto"/>
          <w:sz w:val="30"/>
          <w:highlight w:val="none"/>
        </w:rPr>
      </w:pPr>
      <w:r>
        <w:rPr>
          <w:rFonts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江苏誉尔威建筑咨询有限公司</w:t>
      </w:r>
      <w:r/>
    </w:p>
    <w:p>
      <w:pPr>
        <w:ind w:firstLine="2700"/>
        <w:spacing w:line="360" w:lineRule="auto"/>
        <w:rPr>
          <w:rFonts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val="en-US" w:eastAsia="zh-CN"/>
        </w:rPr>
        <w:t xml:space="preserve">六</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val="en-US" w:eastAsia="zh-CN"/>
        </w:rPr>
        <w:t xml:space="preserve">五</w:t>
      </w:r>
      <w:r>
        <w:rPr>
          <w:rFonts w:hint="eastAsia" w:ascii="仿宋" w:hAnsi="仿宋" w:eastAsia="仿宋" w:cs="仿宋"/>
          <w:bCs/>
          <w:color w:val="auto"/>
          <w:sz w:val="30"/>
          <w:highlight w:val="none"/>
        </w:rPr>
        <w:t xml:space="preserve">月</w:t>
      </w:r>
      <w:r/>
    </w:p>
    <w:p>
      <w:pPr>
        <w:pStyle w:val="918"/>
        <w:jc w:val="both"/>
        <w:spacing w:line="0" w:lineRule="atLeast"/>
        <w:rPr>
          <w:rFonts w:ascii="宋体" w:hAnsi="宋体" w:cs="宋体"/>
          <w:b/>
          <w:color w:val="auto"/>
          <w:sz w:val="36"/>
          <w:highlight w:val="none"/>
        </w:rPr>
        <w:sectPr>
          <w:headerReference w:type="default" r:id="rId9"/>
          <w:headerReference w:type="first" r:id="rId10"/>
          <w:footerReference w:type="default" r:id="rId13"/>
          <w:footerReference w:type="even" r:id="rId14"/>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cs="宋体"/>
          <w:b/>
          <w:color w:val="auto"/>
          <w:sz w:val="36"/>
          <w:highlight w:val="none"/>
        </w:rPr>
      </w:r>
      <w:r/>
    </w:p>
    <w:p>
      <w:pPr>
        <w:pStyle w:val="918"/>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18"/>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18"/>
        <w:jc w:val="cente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JSZC-320390-JSYE-C2026-0003</w:t>
      </w:r>
      <w:r/>
    </w:p>
    <w:p>
      <w:pPr>
        <w:pStyle w:val="918"/>
        <w:keepLines w:val="0"/>
        <w:keepNext w:val="0"/>
        <w:pageBreakBefore w:val="0"/>
        <w:spacing w:line="360" w:lineRule="auto"/>
        <w:tabs>
          <w:tab w:val="left" w:pos="3240" w:leader="none"/>
        </w:tabs>
        <w:rPr>
          <w:rFonts w:ascii="宋体" w:hAnsi="宋体" w:cs="宋体"/>
          <w:color w:val="auto"/>
          <w:sz w:val="24"/>
          <w:highlight w:val="none"/>
          <w:u w:val="single"/>
        </w:rPr>
      </w:pPr>
      <w:r>
        <w:rPr>
          <w:rFonts w:ascii="宋体" w:hAnsi="宋体" w:cs="宋体"/>
          <w:color w:val="auto"/>
          <w:sz w:val="24"/>
          <w:highlight w:val="none"/>
          <w:u w:val="single"/>
        </w:rPr>
      </w:r>
      <w:r/>
    </w:p>
    <w:p>
      <w:pPr>
        <w:pStyle w:val="918"/>
        <w:keepLines w:val="0"/>
        <w:keepNext w:val="0"/>
        <w:pageBreakBefore w:val="0"/>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rPr>
        <w:t xml:space="preserve"> （供应商）：</w:t>
      </w:r>
      <w:r/>
    </w:p>
    <w:p>
      <w:pPr>
        <w:pStyle w:val="918"/>
        <w:ind w:firstLine="497"/>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18"/>
        <w:ind w:firstLine="497"/>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江苏誉尔威建筑咨询有限公司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徐州经济技术开发区市场监督管理局徐州经开区2026年特种设备安全生产隐患排查治理项目</w:t>
      </w:r>
      <w:r>
        <w:rPr>
          <w:rFonts w:hint="eastAsia" w:ascii="宋体" w:hAnsi="宋体" w:cs="宋体"/>
          <w:color w:val="auto"/>
          <w:sz w:val="24"/>
          <w:highlight w:val="none"/>
        </w:rPr>
        <w:t xml:space="preserve">采取竞争性磋商采购方式进行采购，竞争性磋商文件（以下简称《磋商文件》）内容如下：</w:t>
      </w:r>
      <w:r/>
    </w:p>
    <w:p>
      <w:pPr>
        <w:pStyle w:val="918"/>
        <w:ind w:firstLine="497"/>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18"/>
        <w:ind w:left="497"/>
        <w:jc w:val="center"/>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第一章 项目说明</w:t>
      </w:r>
      <w:r/>
    </w:p>
    <w:p>
      <w:pPr>
        <w:pStyle w:val="918"/>
        <w:ind w:left="497"/>
        <w:jc w:val="center"/>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18"/>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徐州经济技术开发区市场监督管理局</w:t>
      </w:r>
      <w:r/>
    </w:p>
    <w:p>
      <w:pPr>
        <w:pStyle w:val="918"/>
        <w:ind w:left="497"/>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徐州经开区2026年特种设备安全生产隐患排查治理项目</w:t>
      </w:r>
      <w:r/>
    </w:p>
    <w:p>
      <w:pPr>
        <w:pStyle w:val="918"/>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JSZC-320390-JSYE-C2026-0003</w:t>
      </w:r>
      <w:r/>
    </w:p>
    <w:p>
      <w:pPr>
        <w:pStyle w:val="918"/>
        <w:ind w:firstLine="497"/>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18"/>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五、采购方式：竞争性磋商采购方式。</w:t>
      </w:r>
      <w:r/>
    </w:p>
    <w:p>
      <w:pPr>
        <w:pStyle w:val="918"/>
        <w:ind w:firstLine="480"/>
        <w:keepLines w:val="0"/>
        <w:keepNext w:val="0"/>
        <w:pageBreakBefore w:val="0"/>
        <w:spacing w:line="360" w:lineRule="auto"/>
        <w:rPr>
          <w:rFonts w:cs="宋体"/>
          <w:color w:val="auto"/>
          <w:szCs w:val="24"/>
          <w:highlight w:val="none"/>
        </w:rPr>
      </w:pPr>
      <w:r>
        <w:rPr>
          <w:rFonts w:hint="eastAsia" w:ascii="宋体" w:hAnsi="宋体" w:cs="宋体"/>
          <w:color w:val="auto"/>
          <w:sz w:val="24"/>
          <w:highlight w:val="none"/>
        </w:rPr>
        <w:t xml:space="preserve">六、供应商资格条件：</w:t>
      </w:r>
      <w:r>
        <w:rPr>
          <w:rFonts w:hint="eastAsia" w:ascii="宋体" w:hAnsi="宋体" w:eastAsia="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JSZC-320390-JSYE-C2026-0003</w:t>
      </w:r>
      <w:r>
        <w:rPr>
          <w:rFonts w:hint="eastAsia" w:ascii="宋体" w:hAnsi="宋体" w:eastAsia="宋体" w:cs="宋体"/>
          <w:color w:val="auto"/>
          <w:sz w:val="24"/>
          <w:highlight w:val="none"/>
        </w:rPr>
        <w:t xml:space="preserve">）。</w:t>
      </w:r>
      <w:r/>
    </w:p>
    <w:p>
      <w:pPr>
        <w:pStyle w:val="918"/>
        <w:ind w:left="497"/>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七、采购预算（采购项目预算金额）：见《磋商文件》附件2.《项目要求（采购需求）》。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八、采购需求：见《磋商文件》附件2.《项目要求（采购需求）》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九、合同草案条款：见《磋商文件》附件6.《合同草案条款》。</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十、报价要求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1.供应商报价为要约，</w:t>
      </w:r>
      <w:r>
        <w:rPr>
          <w:rFonts w:hint="eastAsia" w:cs="宋体" w:asciiTheme="minorEastAsia" w:hAnsiTheme="minorEastAsia" w:eastAsiaTheme="minorEastAsia"/>
          <w:color w:val="auto"/>
          <w:sz w:val="24"/>
          <w:highlight w:val="none"/>
          <w:lang w:eastAsia="zh-CN"/>
        </w:rPr>
        <w:t xml:space="preserve">江苏誉尔威建筑咨询有限公司</w:t>
      </w:r>
      <w:r>
        <w:rPr>
          <w:rFonts w:hint="eastAsia" w:cs="宋体" w:asciiTheme="minorEastAsia" w:hAnsiTheme="minorEastAsia" w:eastAsiaTheme="minorEastAsia"/>
          <w:color w:val="auto"/>
          <w:sz w:val="24"/>
          <w:highlight w:val="none"/>
        </w:rPr>
        <w:t xml:space="preserve">无承诺表示时视为未成交，</w:t>
      </w:r>
      <w:r>
        <w:rPr>
          <w:rFonts w:hint="eastAsia" w:cs="宋体" w:asciiTheme="minorEastAsia" w:hAnsiTheme="minorEastAsia" w:eastAsiaTheme="minorEastAsia"/>
          <w:color w:val="auto"/>
          <w:sz w:val="24"/>
          <w:highlight w:val="none"/>
          <w:lang w:eastAsia="zh-CN"/>
        </w:rPr>
        <w:t xml:space="preserve">江苏誉尔威建筑咨询有限公司</w:t>
      </w:r>
      <w:r>
        <w:rPr>
          <w:rFonts w:hint="eastAsia" w:cs="宋体" w:asciiTheme="minorEastAsia" w:hAnsiTheme="minorEastAsia" w:eastAsiaTheme="minorEastAsia"/>
          <w:color w:val="auto"/>
          <w:sz w:val="24"/>
          <w:highlight w:val="none"/>
        </w:rPr>
        <w:t xml:space="preserve">认为必要时可重新进行竞争性磋商采购或采取其它方式采购。</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2.按照《磋商报价表》要求填写首次报价。</w:t>
      </w:r>
      <w:r/>
    </w:p>
    <w:p>
      <w:pPr>
        <w:pStyle w:val="980"/>
        <w:keepLines w:val="0"/>
        <w:keepNext w:val="0"/>
        <w:pageBreakBefore w:val="0"/>
        <w:spacing w:line="360" w:lineRule="auto"/>
        <w:rPr>
          <w:color w:val="auto"/>
          <w:highlight w:val="none"/>
        </w:rPr>
      </w:pPr>
      <w:r>
        <w:rPr>
          <w:color w:val="auto"/>
          <w:highlight w:val="none"/>
        </w:rPr>
      </w:r>
      <w:r/>
    </w:p>
    <w:p>
      <w:pPr>
        <w:pStyle w:val="918"/>
        <w:ind w:left="497"/>
        <w:jc w:val="center"/>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第二章 响应文件</w:t>
      </w:r>
      <w:r/>
    </w:p>
    <w:p>
      <w:pPr>
        <w:pStyle w:val="918"/>
        <w:ind w:left="497"/>
        <w:jc w:val="center"/>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十一、提交响应文件要求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（一）本项目通过“苏采云”系统进行电子采购，即供应商响应文件从政府采购客户端工具制作并通过“苏采云”系统提交。</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CA数字证书”的获取：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；或进入徐州政府采购网（网址：http://czj.xz.gov.cn/Home/HomeIndex）--业务工作--用户登录，点击“苏采云”进入系统），按照要求通过互联网方式提交首次响应文件。</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“苏采云”系统使用要求：</w:t>
      </w:r>
      <w:r/>
    </w:p>
    <w:p>
      <w:pPr>
        <w:pStyle w:val="918"/>
        <w:numPr>
          <w:ilvl w:val="0"/>
          <w:numId w:val="2"/>
        </w:numPr>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使用谷歌浏览器参与不见面开标及磋商环节。</w:t>
      </w:r>
      <w:r/>
    </w:p>
    <w:p>
      <w:pPr>
        <w:pStyle w:val="918"/>
        <w:numPr>
          <w:ilvl w:val="0"/>
          <w:numId w:val="2"/>
        </w:numPr>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电脑需提前准备好麦克风、音响，摄像头，提前检查保证能够正常使用。</w:t>
      </w:r>
      <w:r/>
    </w:p>
    <w:p>
      <w:pPr>
        <w:pStyle w:val="918"/>
        <w:numPr>
          <w:ilvl w:val="0"/>
          <w:numId w:val="2"/>
        </w:numPr>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操作系统至少win7以上，建议使用win10操作系统。</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b/>
          <w:bCs/>
          <w:color w:val="auto"/>
          <w:sz w:val="24"/>
          <w:highlight w:val="none"/>
        </w:rPr>
        <w:t xml:space="preserve">（二）首次响应文件提交的截止时间：</w:t>
      </w:r>
      <w:r>
        <w:rPr>
          <w:rFonts w:hint="eastAsia" w:cs="宋体" w:asciiTheme="minorEastAsia" w:hAnsiTheme="minorEastAsia" w:eastAsiaTheme="minorEastAsia"/>
          <w:b/>
          <w:bCs/>
          <w:color w:val="auto"/>
          <w:sz w:val="24"/>
          <w:highlight w:val="none"/>
          <w:lang w:eastAsia="zh-CN"/>
        </w:rPr>
        <w:t xml:space="preserve">2026年05月28日09:30</w:t>
      </w:r>
      <w:r>
        <w:rPr>
          <w:rFonts w:hint="eastAsia" w:cs="宋体" w:asciiTheme="minorEastAsia" w:hAnsiTheme="minorEastAsia" w:eastAsiaTheme="minorEastAsia"/>
          <w:b/>
          <w:bCs/>
          <w:color w:val="auto"/>
          <w:sz w:val="24"/>
          <w:highlight w:val="none"/>
        </w:rPr>
        <w:t xml:space="preserve">，在截止时间后提交的首次响应文件为无效文件，将被拒收。</w:t>
      </w:r>
      <w:r/>
    </w:p>
    <w:p>
      <w:pPr>
        <w:pStyle w:val="918"/>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（三）首次响应文件提交时间、地点：</w:t>
      </w:r>
      <w:r/>
    </w:p>
    <w:p>
      <w:pPr>
        <w:pStyle w:val="918"/>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1.提交时间：</w:t>
      </w:r>
      <w:r/>
    </w:p>
    <w:p>
      <w:pPr>
        <w:pStyle w:val="918"/>
        <w:ind w:firstLine="480"/>
        <w:keepLines w:val="0"/>
        <w:keepNext w:val="0"/>
        <w:pageBreakBefore w:val="0"/>
        <w:spacing w:line="360" w:lineRule="auto"/>
        <w:rPr>
          <w:rFonts w:ascii="宋体" w:hAnsi="宋体" w:cs="宋体"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首次响应文件提交的截止时间（</w:t>
      </w:r>
      <w:r>
        <w:rPr>
          <w:rFonts w:hint="eastAsia" w:cs="宋体" w:asciiTheme="minorEastAsia" w:hAnsiTheme="minorEastAsia" w:eastAsiaTheme="minorEastAsia"/>
          <w:b/>
          <w:bCs/>
          <w:color w:val="auto"/>
          <w:sz w:val="24"/>
          <w:highlight w:val="none"/>
          <w:lang w:eastAsia="zh-CN"/>
        </w:rPr>
        <w:t xml:space="preserve">2026年05月28日09:30</w:t>
      </w:r>
      <w:r>
        <w:rPr>
          <w:rFonts w:hint="eastAsia" w:cs="宋体" w:asciiTheme="minorEastAsia" w:hAnsiTheme="minorEastAsia" w:eastAsiaTheme="minorEastAsia"/>
          <w:b/>
          <w:bCs/>
          <w:color w:val="auto"/>
          <w:sz w:val="24"/>
          <w:highlight w:val="none"/>
        </w:rPr>
        <w:t xml:space="preserve">）前。</w:t>
      </w:r>
      <w:r/>
    </w:p>
    <w:p>
      <w:pPr>
        <w:pStyle w:val="918"/>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2.提交地点：</w:t>
      </w:r>
      <w:r/>
    </w:p>
    <w:p>
      <w:pPr>
        <w:pStyle w:val="918"/>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18"/>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（四）首次响应文件开启时间：</w:t>
      </w:r>
      <w:r>
        <w:rPr>
          <w:rFonts w:hint="eastAsia" w:cs="宋体" w:asciiTheme="minorEastAsia" w:hAnsiTheme="minorEastAsia" w:eastAsiaTheme="minorEastAsia"/>
          <w:b/>
          <w:bCs/>
          <w:color w:val="auto"/>
          <w:sz w:val="24"/>
          <w:highlight w:val="none"/>
          <w:lang w:eastAsia="zh-CN"/>
        </w:rPr>
        <w:t xml:space="preserve">2026年05月28日09:30</w:t>
      </w:r>
      <w:r>
        <w:rPr>
          <w:rFonts w:hint="eastAsia" w:cs="宋体" w:asciiTheme="minorEastAsia" w:hAnsiTheme="minorEastAsia" w:eastAsiaTheme="minorEastAsia"/>
          <w:b/>
          <w:bCs/>
          <w:color w:val="auto"/>
          <w:sz w:val="24"/>
          <w:highlight w:val="none"/>
        </w:rPr>
        <w:t xml:space="preserve">。</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（五）首次响应文件开启地点：</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8"/>
        <w:ind w:firstLine="480"/>
        <w:jc w:val="left"/>
        <w:keepLines w:val="0"/>
        <w:keepNext w:val="0"/>
        <w:pageBreakBefore w:val="0"/>
        <w:spacing w:line="360" w:lineRule="auto"/>
        <w:shd w:val="clear" w:color="auto" w:fill="ffffff"/>
        <w:widowControl/>
        <w:rPr>
          <w:rFonts w:ascii="宋体" w:hAnsi="宋体" w:cs="宋体"/>
          <w:color w:val="auto"/>
          <w:sz w:val="24"/>
          <w:highlight w:val="none"/>
        </w:rPr>
        <w:outlineLvl w:val="0"/>
      </w:pPr>
      <w:r>
        <w:rPr>
          <w:rFonts w:hint="eastAsia" w:cs="宋体" w:asciiTheme="minorEastAsia" w:hAnsiTheme="minorEastAsia" w:eastAsiaTheme="minorEastAsia"/>
          <w:color w:val="auto"/>
          <w:sz w:val="24"/>
          <w:highlight w:val="none"/>
        </w:rPr>
        <w:t xml:space="preserve">（七）不接受不按要求加盖公章（电子签章）的首次响应文件。电子签章相关要求见“苏采云”系统。</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bCs/>
          <w:color w:val="auto"/>
          <w:sz w:val="24"/>
          <w:highlight w:val="none"/>
        </w:rPr>
        <w:t xml:space="preserve">（八）首次响应文件解密：到达开启时间，</w:t>
      </w:r>
      <w:r>
        <w:rPr>
          <w:rFonts w:hint="eastAsia" w:cs="宋体" w:asciiTheme="minorEastAsia" w:hAnsiTheme="minorEastAsia" w:eastAsiaTheme="minorEastAsia"/>
          <w:color w:val="auto"/>
          <w:sz w:val="24"/>
          <w:highlight w:val="none"/>
        </w:rPr>
        <w:t xml:space="preserve">“苏采云”系统自动提取所有响应文件，供应商按采购文件规定方式按时在线解密。本项目采购文件规定的供应商按时在线解密方式：</w:t>
      </w:r>
      <w:r>
        <w:rPr>
          <w:rFonts w:hint="eastAsia" w:cs="宋体" w:asciiTheme="minorEastAsia" w:hAnsiTheme="minorEastAsia" w:eastAsiaTheme="minorEastAsia"/>
          <w:b/>
          <w:bCs/>
          <w:color w:val="auto"/>
          <w:sz w:val="24"/>
          <w:highlight w:val="none"/>
        </w:rPr>
        <w:t xml:space="preserve">开启时间后30分钟内</w:t>
      </w:r>
      <w:r>
        <w:rPr>
          <w:rFonts w:hint="eastAsia" w:cs="宋体" w:asciiTheme="minorEastAsia" w:hAnsiTheme="minorEastAsia" w:eastAsiaTheme="minorEastAsia"/>
          <w:color w:val="auto"/>
          <w:sz w:val="24"/>
          <w:highlight w:val="none"/>
        </w:rPr>
        <w:t xml:space="preserve">，通过“苏采云”系统（使用“CA数字证书”）解密。</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（十）相关说明: 供应商在“苏采云”系统中提交首次响应文件的时间即为数据电文（响应文件，下同）的发送时间和接收时间。</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十二、响应文件编制要求</w:t>
      </w:r>
      <w:r/>
    </w:p>
    <w:p>
      <w:pPr>
        <w:pStyle w:val="918"/>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请按照以下要求（包括但不限于以下要求）制作：</w:t>
      </w:r>
      <w:r/>
    </w:p>
    <w:p>
      <w:pPr>
        <w:pStyle w:val="918"/>
        <w:ind w:firstLine="425"/>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（一）基本目录</w:t>
      </w:r>
      <w:r/>
    </w:p>
    <w:p>
      <w:pPr>
        <w:pStyle w:val="918"/>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1.</w:t>
      </w:r>
      <w:r>
        <w:rPr>
          <w:rFonts w:hint="eastAsia" w:cs="宋体" w:asciiTheme="minorEastAsia" w:hAnsiTheme="minorEastAsia" w:eastAsiaTheme="minorEastAsia"/>
          <w:color w:val="auto"/>
          <w:sz w:val="24"/>
          <w:highlight w:val="none"/>
        </w:rPr>
        <w:t xml:space="preserve">《磋商报价表》（加盖电子签章，格式见《磋商文件》附件。</w:t>
      </w:r>
      <w:r>
        <w:rPr>
          <w:rFonts w:hint="eastAsia" w:cs="宋体" w:asciiTheme="minorEastAsia" w:hAnsiTheme="minorEastAsia" w:eastAsiaTheme="minorEastAsia"/>
          <w:bCs/>
          <w:color w:val="auto"/>
          <w:sz w:val="24"/>
          <w:highlight w:val="none"/>
        </w:rPr>
        <w:t xml:space="preserve">政府采购客户端工具输入报价自动生成）；</w:t>
      </w:r>
      <w:r/>
    </w:p>
    <w:p>
      <w:pPr>
        <w:pStyle w:val="918"/>
        <w:ind w:firstLine="425"/>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
          <w:bCs w:val="0"/>
          <w:color w:val="auto"/>
          <w:sz w:val="24"/>
          <w:highlight w:val="none"/>
        </w:rPr>
        <w:t xml:space="preserve">（二）资格条件（1～</w:t>
      </w:r>
      <w:r>
        <w:rPr>
          <w:rFonts w:hint="eastAsia" w:cs="宋体" w:asciiTheme="minorEastAsia" w:hAnsiTheme="minorEastAsia" w:eastAsiaTheme="minorEastAsia"/>
          <w:b/>
          <w:bCs w:val="0"/>
          <w:color w:val="auto"/>
          <w:sz w:val="24"/>
          <w:highlight w:val="none"/>
          <w:lang w:val="en-US" w:eastAsia="zh-CN"/>
        </w:rPr>
        <w:t xml:space="preserve">6</w:t>
      </w:r>
      <w:r>
        <w:rPr>
          <w:rFonts w:hint="eastAsia" w:cs="宋体" w:asciiTheme="minorEastAsia" w:hAnsiTheme="minorEastAsia" w:eastAsiaTheme="minorEastAsia"/>
          <w:b/>
          <w:bCs w:val="0"/>
          <w:color w:val="auto"/>
          <w:sz w:val="24"/>
          <w:highlight w:val="none"/>
        </w:rPr>
        <w:t xml:space="preserve">项必须提供，否则响应无效）</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1.投标人合法有效的法人或者其他组织的营业执照等证明文件，自然人的身份证明。以上证明文件提供原件的扫描件。</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2.财务状况报告，至少提供：</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（1）投标人的本项目开标时间前6个月内任何1月（不含开标当月）的资产负债表原件的扫描件1份；</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（2）投标人的本项目开标时间前6个月内任何1月（不含开标当月）的利润表月报表原件的扫描件1份。</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3.投标人依法缴纳税收和社会保障资金的记录：</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（1）本项目开标时间前6个月内任何1月（不含开标当月）的依法缴纳税收的相关材料原件的扫描件；</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（2）本项目开标时间前6个月内任何1月（不含开标当月）的依法缴纳社会保障资金的相关材料原件的扫描件。</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4.具备履行合同所必需的设备和专业技术能力的证明材料</w:t>
      </w:r>
      <w:r>
        <w:rPr>
          <w:rFonts w:hint="eastAsia" w:cs="宋体" w:asciiTheme="minorEastAsia" w:hAnsiTheme="minorEastAsia" w:eastAsiaTheme="minorEastAsia"/>
          <w:b w:val="0"/>
          <w:bCs w:val="0"/>
          <w:color w:val="auto"/>
          <w:sz w:val="24"/>
          <w:highlight w:val="none"/>
        </w:rPr>
        <w:t xml:space="preserve">，即投标文件中提供《具备履行合同所必需的设备和专业技术能力的书面声明》（加盖电子签章，格式见磋商文件第九章《磋商文件相关格式》）。</w:t>
      </w:r>
      <w:r/>
    </w:p>
    <w:p>
      <w:pPr>
        <w:pStyle w:val="918"/>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5.投标人参加政府采购活动前3年内在经营活动中没有重大违法记录的书面声明</w:t>
      </w:r>
      <w:r>
        <w:rPr>
          <w:rFonts w:hint="eastAsia" w:cs="宋体" w:asciiTheme="minorEastAsia" w:hAnsiTheme="minorEastAsia" w:eastAsiaTheme="minorEastAsia"/>
          <w:b w:val="0"/>
          <w:bCs w:val="0"/>
          <w:color w:val="auto"/>
          <w:sz w:val="24"/>
          <w:highlight w:val="none"/>
        </w:rPr>
        <w:t xml:space="preserve">（加盖电子签章，格式见磋商文件第九章《磋商文件相关格式》）。</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b/>
          <w:bCs/>
          <w:color w:val="auto"/>
          <w:sz w:val="24"/>
          <w:highlight w:val="none"/>
        </w:rPr>
        <w:t xml:space="preserve">6.</w:t>
      </w:r>
      <w:r>
        <w:rPr>
          <w:rFonts w:hint="eastAsia" w:cs="宋体" w:asciiTheme="minorEastAsia" w:hAnsiTheme="minorEastAsia" w:eastAsiaTheme="minorEastAsia"/>
          <w:b/>
          <w:bCs/>
          <w:color w:val="auto"/>
          <w:sz w:val="24"/>
          <w:highlight w:val="none"/>
          <w:lang w:val="en-US" w:eastAsia="zh-CN"/>
        </w:rPr>
        <w:t xml:space="preserve">供应商应</w:t>
      </w:r>
      <w:r>
        <w:rPr>
          <w:rFonts w:hint="eastAsia" w:cs="宋体" w:asciiTheme="minorEastAsia" w:hAnsiTheme="minorEastAsia" w:eastAsiaTheme="minorEastAsia"/>
          <w:b/>
          <w:bCs/>
          <w:color w:val="auto"/>
          <w:sz w:val="24"/>
          <w:highlight w:val="none"/>
        </w:rPr>
        <w:t xml:space="preserve">为中小微企业，提供《中小企业声明函》</w:t>
      </w:r>
      <w:r>
        <w:rPr>
          <w:rFonts w:hint="eastAsia" w:cs="宋体" w:asciiTheme="minorEastAsia" w:hAnsiTheme="minorEastAsia" w:eastAsiaTheme="minorEastAsia"/>
          <w:b w:val="0"/>
          <w:bCs w:val="0"/>
          <w:color w:val="auto"/>
          <w:sz w:val="24"/>
          <w:highlight w:val="none"/>
        </w:rPr>
        <w:t xml:space="preserve">（电子签章，填写完整。格式见《磋商文件》附件,如不填写完整，视为无效）。《中小企业声明函》查询渠道用微信搜索“中小企业规模类型自测小程序”</w:t>
      </w:r>
      <w:r>
        <w:rPr>
          <w:rFonts w:hint="eastAsia" w:cs="宋体" w:asciiTheme="minorEastAsia" w:hAnsiTheme="minorEastAsia" w:eastAsiaTheme="minorEastAsia"/>
          <w:b w:val="0"/>
          <w:bCs w:val="0"/>
          <w:color w:val="auto"/>
          <w:sz w:val="24"/>
          <w:highlight w:val="none"/>
          <w:lang w:eastAsia="zh-CN"/>
        </w:rPr>
        <w:t xml:space="preserve">；</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注：具体以《政府采购促进中小企业发展管理办法》（财库[2020]46号）和《关于印发中小企业划型标准规定的通知》（工信部联企业[2011]300号）的规定为准。</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注：监护企业和残疾人福利性单位等同于小微企业。</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供应商为监狱企业的，提供省级以上监狱管理局、戒毒管理局（含新疆生产建设兵团）出具的属于监狱企业的证明文件原件的扫描件。</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具体以《财政部 司法部关于政府采购支持监狱企业发展有关问题的通知》（财库〔2014〕68号）的规定为准。</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供应商为享受政府采购支持政策的残疾人福利性单位的，提供《残疾人福利性单位声明函》（加盖电子签章，格式见《磋商文件》附件）。</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享受政府采购支持政策的残疾人福利性单位应当同时满足以下条件：</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①安置的残疾人占本单位在职职工人数的比例不低于25%（含25%），并且安置的残疾人人数不少于10人（含10人）；</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②依法与安置的每位残疾人签订了一年以上（含一年）的劳动合同或服务协议；</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③为安置的每位残疾人按月足额缴纳了基本养老保险、基本医疗保险、失业保险、工伤保险和生育保险等社会保险费；</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④通过银行等金融机构向安置的每位残疾人，按月支付了不低于单位所在区县适用的经省级人民政府批准的月最低工资标准的工资；</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具体以《三部门联合发布关于促进残疾人就业政府采购政策的通知》（财库〔2017〕141号）规定为准。</w:t>
      </w:r>
      <w:r/>
    </w:p>
    <w:p>
      <w:pPr>
        <w:pStyle w:val="918"/>
        <w:ind w:firstLine="480"/>
        <w:keepLines w:val="0"/>
        <w:keepNext w:val="0"/>
        <w:pageBreakBefore w:val="0"/>
        <w:spacing w:line="360" w:lineRule="auto"/>
        <w:rPr>
          <w:rFonts w:hint="eastAsia" w:cs="宋体" w:asciiTheme="minorEastAsia" w:hAnsiTheme="minorEastAsia" w:eastAsiaTheme="minorEastAsia"/>
          <w:b/>
          <w:bCs w:val="0"/>
          <w:color w:val="auto"/>
          <w:sz w:val="24"/>
          <w:highlight w:val="none"/>
        </w:rPr>
      </w:pPr>
      <w:r>
        <w:rPr>
          <w:rFonts w:hint="eastAsia" w:cs="宋体" w:asciiTheme="minorEastAsia" w:hAnsiTheme="minorEastAsia" w:eastAsiaTheme="minorEastAsia"/>
          <w:b/>
          <w:bCs w:val="0"/>
          <w:color w:val="auto"/>
          <w:sz w:val="24"/>
          <w:highlight w:val="none"/>
        </w:rPr>
        <w:t xml:space="preserve">（三）符合条件（必须提供，否则响应无效）</w:t>
      </w:r>
      <w:r/>
    </w:p>
    <w:p>
      <w:pPr>
        <w:pStyle w:val="918"/>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w:t>
      </w:r>
      <w:r>
        <w:rPr>
          <w:rFonts w:hint="eastAsia" w:cs="宋体" w:asciiTheme="minorEastAsia" w:hAnsiTheme="minorEastAsia" w:eastAsiaTheme="minorEastAsia"/>
          <w:bCs/>
          <w:color w:val="auto"/>
          <w:sz w:val="24"/>
          <w:highlight w:val="none"/>
          <w:lang w:eastAsia="zh-CN"/>
        </w:rPr>
        <w:t xml:space="preserve">磋商报价表</w:t>
      </w:r>
      <w:r>
        <w:rPr>
          <w:rFonts w:hint="eastAsia" w:cs="宋体" w:asciiTheme="minorEastAsia" w:hAnsiTheme="minorEastAsia" w:eastAsiaTheme="minorEastAsia"/>
          <w:bCs/>
          <w:color w:val="auto"/>
          <w:sz w:val="24"/>
          <w:highlight w:val="none"/>
        </w:rPr>
        <w:t xml:space="preserve">》（加盖电子签章，格式见《磋商文件》附件）</w:t>
      </w:r>
      <w:r/>
    </w:p>
    <w:p>
      <w:pPr>
        <w:pStyle w:val="918"/>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2.《分项价格表》（加盖电子签章，格式见《磋商文件》附件）；</w:t>
      </w:r>
      <w:r/>
    </w:p>
    <w:p>
      <w:pPr>
        <w:pStyle w:val="918"/>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3.《承诺书》（加盖电子签章，格式见《磋商文件》附件）；</w:t>
      </w:r>
      <w:r/>
    </w:p>
    <w:p>
      <w:pPr>
        <w:pStyle w:val="918"/>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4.《授权委托书》（加盖电子签章，格式见《磋商文件》附件）；</w:t>
      </w:r>
      <w:r/>
    </w:p>
    <w:p>
      <w:pPr>
        <w:pStyle w:val="918"/>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5.《偏离表》（加盖电子签章，格式见《磋商</w:t>
      </w:r>
      <w:r>
        <w:rPr>
          <w:rFonts w:hint="eastAsia" w:cs="宋体" w:asciiTheme="minorEastAsia" w:hAnsiTheme="minorEastAsia" w:eastAsiaTheme="minorEastAsia"/>
          <w:color w:val="auto"/>
          <w:sz w:val="24"/>
          <w:highlight w:val="none"/>
        </w:rPr>
        <w:t xml:space="preserve">文件》附件）；</w:t>
      </w:r>
      <w:r/>
    </w:p>
    <w:p>
      <w:pPr>
        <w:pStyle w:val="918"/>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（四）</w:t>
      </w:r>
      <w:r>
        <w:rPr>
          <w:rFonts w:hint="eastAsia" w:cs="宋体" w:asciiTheme="minorEastAsia" w:hAnsiTheme="minorEastAsia" w:eastAsiaTheme="minorEastAsia"/>
          <w:color w:val="auto"/>
          <w:sz w:val="24"/>
          <w:highlight w:val="none"/>
        </w:rPr>
        <w:t xml:space="preserve">评审方法和评审标准</w:t>
      </w:r>
      <w:r/>
    </w:p>
    <w:p>
      <w:pPr>
        <w:pStyle w:val="918"/>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1、评审方法：综合评分法</w:t>
      </w:r>
      <w:r/>
    </w:p>
    <w:p>
      <w:pPr>
        <w:pStyle w:val="918"/>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2、评审标准：详见《磋商文件》附件1、《评分细则》</w:t>
      </w:r>
      <w:r/>
    </w:p>
    <w:p>
      <w:pPr>
        <w:pStyle w:val="918"/>
        <w:ind w:firstLine="480"/>
        <w:keepLines w:val="0"/>
        <w:keepNext w:val="0"/>
        <w:pageBreakBefore w:val="0"/>
        <w:spacing w:line="360" w:lineRule="auto"/>
        <w:rPr>
          <w:rFonts w:ascii="宋体" w:hAnsi="宋体" w:cs="宋体"/>
          <w:b/>
          <w:bCs w:val="0"/>
          <w:color w:val="auto"/>
          <w:sz w:val="24"/>
          <w:highlight w:val="none"/>
        </w:rPr>
      </w:pPr>
      <w:r>
        <w:rPr>
          <w:rFonts w:hint="eastAsia" w:cs="宋体" w:asciiTheme="minorEastAsia" w:hAnsiTheme="minorEastAsia" w:eastAsiaTheme="minorEastAsia"/>
          <w:b/>
          <w:bCs w:val="0"/>
          <w:color w:val="auto"/>
          <w:sz w:val="24"/>
          <w:highlight w:val="none"/>
        </w:rPr>
        <w:t xml:space="preserve">（五）价格折扣文件格式</w:t>
      </w:r>
      <w:r/>
    </w:p>
    <w:p>
      <w:pPr>
        <w:pStyle w:val="918"/>
        <w:ind w:firstLine="480"/>
        <w:keepLines w:val="0"/>
        <w:keepNext w:val="0"/>
        <w:pageBreakBefore w:val="0"/>
        <w:spacing w:line="360" w:lineRule="auto"/>
        <w:rPr>
          <w:rFonts w:hint="eastAsia" w:cs="宋体" w:asciiTheme="minorEastAsia" w:hAnsiTheme="minorEastAsia" w:eastAsiaTheme="minorEastAsia"/>
          <w:b/>
          <w:bCs w:val="0"/>
          <w:color w:val="auto"/>
          <w:sz w:val="24"/>
          <w:highlight w:val="none"/>
          <w:lang w:val="en-US" w:eastAsia="zh-CN"/>
        </w:rPr>
      </w:pPr>
      <w:r>
        <w:rPr>
          <w:rFonts w:hint="eastAsia" w:cs="宋体" w:asciiTheme="minorEastAsia" w:hAnsiTheme="minorEastAsia" w:eastAsiaTheme="minorEastAsia"/>
          <w:b/>
          <w:bCs w:val="0"/>
          <w:color w:val="auto"/>
          <w:sz w:val="24"/>
          <w:highlight w:val="none"/>
        </w:rPr>
        <w:t xml:space="preserve">1.企业报价折扣证明：</w:t>
      </w:r>
      <w:r>
        <w:rPr>
          <w:rFonts w:hint="eastAsia" w:cs="宋体" w:asciiTheme="minorEastAsia" w:hAnsiTheme="minorEastAsia" w:eastAsiaTheme="minorEastAsia"/>
          <w:b/>
          <w:bCs w:val="0"/>
          <w:color w:val="auto"/>
          <w:sz w:val="24"/>
          <w:highlight w:val="none"/>
          <w:lang w:val="en-US" w:eastAsia="zh-CN"/>
        </w:rPr>
        <w:t xml:space="preserve">无</w:t>
      </w:r>
      <w:r/>
    </w:p>
    <w:p>
      <w:pPr>
        <w:pStyle w:val="918"/>
        <w:ind w:firstLine="36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（六）提交的首次响应文件的密封、签署、盖章要求：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1.密封（加密）要求：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2.签署要求：见《磋商文件》第九章附件中相关格式要求。</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3.盖章要求：见《磋商文件》第九章附件中相关格式要求。供应商须通过“苏采云”系统提供的政府采购客户端工具（使用“CA数字证书”）加盖电子签章。</w:t>
      </w:r>
      <w:r/>
    </w:p>
    <w:p>
      <w:pPr>
        <w:pStyle w:val="918"/>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特别提醒：竞争性磋商文件中如需“被授权代表签字或盖章”，供应商可打印成文档，签字或盖章后再扫描上传，最后再电子签章。</w:t>
      </w:r>
      <w:r/>
    </w:p>
    <w:p>
      <w:pPr>
        <w:pStyle w:val="918"/>
        <w:ind w:firstLine="497"/>
        <w:keepLines w:val="0"/>
        <w:keepNext w:val="0"/>
        <w:pageBreakBefore w:val="0"/>
        <w:spacing w:line="360" w:lineRule="auto"/>
        <w:tabs>
          <w:tab w:val="left" w:pos="3600" w:leader="none"/>
        </w:tabs>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（七）通过“苏采云”系统提交政府采购客户端工具导出加密的响应文件（后缀名为zip）。响应文件不得超过</w:t>
      </w:r>
      <w:r>
        <w:rPr>
          <w:rFonts w:hint="eastAsia" w:cs="宋体" w:asciiTheme="minorEastAsia" w:hAnsiTheme="minorEastAsia" w:eastAsiaTheme="minorEastAsia"/>
          <w:color w:val="auto"/>
          <w:sz w:val="24"/>
          <w:highlight w:val="none"/>
          <w:lang w:val="en-US" w:eastAsia="zh-CN"/>
        </w:rPr>
        <w:t xml:space="preserve">150</w:t>
      </w:r>
      <w:r>
        <w:rPr>
          <w:rFonts w:hint="eastAsia" w:cs="宋体" w:asciiTheme="minorEastAsia" w:hAnsiTheme="minorEastAsia" w:eastAsiaTheme="minorEastAsia"/>
          <w:color w:val="auto"/>
          <w:sz w:val="24"/>
          <w:highlight w:val="none"/>
        </w:rPr>
        <w:t xml:space="preserve">M！ </w:t>
      </w:r>
      <w:r/>
    </w:p>
    <w:p>
      <w:pPr>
        <w:pStyle w:val="918"/>
        <w:ind w:firstLine="497"/>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注：</w:t>
      </w:r>
      <w:r/>
    </w:p>
    <w:p>
      <w:pPr>
        <w:pStyle w:val="918"/>
        <w:ind w:firstLine="497"/>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1.供应商应当按照《磋商文件》的要求编制响应文件，并对其提交的响应文件的真实性、合法性承担法律责任。</w:t>
      </w:r>
      <w:r/>
    </w:p>
    <w:p>
      <w:pPr>
        <w:pStyle w:val="918"/>
        <w:ind w:firstLine="480"/>
        <w:jc w:val="left"/>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2.采购人索取成交供应商的响应文件，须在双方签订政府采购合同后，由本代理公司提供给采购人。</w:t>
      </w:r>
      <w:r/>
    </w:p>
    <w:p>
      <w:pPr>
        <w:pStyle w:val="918"/>
        <w:jc w:val="center"/>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第三章 磋商相关说明</w:t>
      </w:r>
      <w:r/>
    </w:p>
    <w:p>
      <w:pPr>
        <w:pStyle w:val="918"/>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十三、磋商相关说明</w:t>
      </w:r>
      <w:r/>
    </w:p>
    <w:p>
      <w:pPr>
        <w:pStyle w:val="918"/>
        <w:ind w:firstLine="480"/>
        <w:keepLines w:val="0"/>
        <w:keepNext w:val="0"/>
        <w:pageBreakBefore w:val="0"/>
        <w:spacing w:line="360" w:lineRule="auto"/>
        <w:rPr>
          <w:rFonts w:hAnsi="宋体" w:cs="宋体"/>
          <w:bCs/>
          <w:color w:val="auto"/>
          <w:sz w:val="24"/>
          <w:highlight w:val="none"/>
        </w:rPr>
      </w:pPr>
      <w:r>
        <w:rPr>
          <w:rFonts w:hint="eastAsia" w:hAnsi="宋体" w:cs="宋体"/>
          <w:color w:val="auto"/>
          <w:sz w:val="24"/>
          <w:highlight w:val="none"/>
        </w:rPr>
        <w:t xml:space="preserve">(一)</w:t>
      </w:r>
      <w:r>
        <w:rPr>
          <w:rFonts w:hint="eastAsia" w:hAnsi="宋体" w:cs="宋体"/>
          <w:bCs/>
          <w:color w:val="auto"/>
          <w:sz w:val="24"/>
          <w:highlight w:val="none"/>
        </w:rPr>
        <w:t xml:space="preserve">磋商要求</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w:t>
      </w:r>
      <w:r>
        <w:rPr>
          <w:rFonts w:hint="eastAsia" w:hAnsi="宋体" w:cs="宋体"/>
          <w:color w:val="auto"/>
          <w:sz w:val="24"/>
          <w:highlight w:val="none"/>
        </w:rPr>
        <w:t xml:space="preserve"> </w:t>
      </w:r>
      <w:r>
        <w:rPr>
          <w:rFonts w:hint="eastAsia" w:hAnsi="宋体" w:cs="宋体"/>
          <w:bCs/>
          <w:color w:val="auto"/>
          <w:sz w:val="24"/>
          <w:highlight w:val="none"/>
        </w:rPr>
        <w:t xml:space="preserve">供应商可通过CA数字证书，在首次响应文件开启时间后，使用CA数字证书在规定时间内解密各自响应文件。</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3.供应商的授权代表或法定代表人须全程守候在“苏采云”系统开标大厅，并确保视频设备正常使用。</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4.磋商顺序随机。</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hAnsi="宋体" w:cs="宋体"/>
          <w:b/>
          <w:color w:val="auto"/>
          <w:sz w:val="24"/>
          <w:highlight w:val="none"/>
          <w:lang w:eastAsia="zh-CN"/>
        </w:rPr>
        <w:t xml:space="preserve">。</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6.未在规定时间内进行答疑澄清的，视同放弃澄清。</w:t>
      </w:r>
      <w:r/>
    </w:p>
    <w:p>
      <w:pPr>
        <w:pStyle w:val="918"/>
        <w:ind w:firstLine="480"/>
        <w:spacing w:line="360" w:lineRule="auto"/>
        <w:rPr>
          <w:rFonts w:hint="eastAsia" w:hAnsi="宋体" w:cs="宋体"/>
          <w:b/>
          <w:bCs w:val="0"/>
          <w:color w:val="auto"/>
          <w:sz w:val="24"/>
          <w:highlight w:val="none"/>
        </w:rPr>
      </w:pPr>
      <w:r>
        <w:rPr>
          <w:rFonts w:hint="eastAsia" w:hAnsi="宋体" w:cs="宋体"/>
          <w:b/>
          <w:bCs w:val="0"/>
          <w:color w:val="auto"/>
          <w:sz w:val="24"/>
          <w:highlight w:val="none"/>
        </w:rPr>
        <w:t xml:space="preserve">7.未在规定时间内进行报价的，视为响应无效。</w:t>
      </w:r>
      <w:r/>
    </w:p>
    <w:p>
      <w:pPr>
        <w:pStyle w:val="918"/>
        <w:ind w:firstLine="480"/>
        <w:spacing w:line="360" w:lineRule="auto"/>
        <w:rPr>
          <w:rFonts w:hint="eastAsia" w:hAnsi="宋体" w:cs="宋体"/>
          <w:bCs/>
          <w:color w:val="auto"/>
          <w:sz w:val="24"/>
          <w:highlight w:val="none"/>
          <w:lang w:val="en-US" w:eastAsia="zh-CN"/>
        </w:rPr>
      </w:pPr>
      <w:r>
        <w:rPr>
          <w:rFonts w:hint="eastAsia" w:hAnsi="宋体" w:cs="宋体"/>
          <w:b/>
          <w:bCs w:val="0"/>
          <w:color w:val="auto"/>
          <w:sz w:val="24"/>
          <w:highlight w:val="none"/>
          <w:lang w:val="en-US" w:eastAsia="zh-CN"/>
        </w:rPr>
        <w:t xml:space="preserve">注：各供应商在未进行第二次报价前，请不要离开开标系统，随时接受磋商小组提出的二次报价，因供应商未能及时二次报价而引起的废标及损失，由供应商负责。</w:t>
      </w:r>
      <w:r/>
    </w:p>
    <w:p>
      <w:pPr>
        <w:pStyle w:val="918"/>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8.被邀请参与磋商的供应商如未按上述磋商要求执行，视同放弃磋商的权利。</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 (</w:t>
      </w:r>
      <w:r>
        <w:rPr>
          <w:rFonts w:hint="eastAsia" w:hAnsi="宋体" w:cs="宋体"/>
          <w:bCs/>
          <w:color w:val="auto"/>
          <w:sz w:val="24"/>
          <w:highlight w:val="none"/>
          <w:lang w:val="en-US" w:eastAsia="zh-CN"/>
        </w:rPr>
        <w:t xml:space="preserve">二</w:t>
      </w:r>
      <w:r>
        <w:rPr>
          <w:rFonts w:hint="eastAsia" w:hAnsi="宋体" w:cs="宋体"/>
          <w:bCs/>
          <w:color w:val="auto"/>
          <w:sz w:val="24"/>
          <w:highlight w:val="none"/>
        </w:rPr>
        <w:t xml:space="preserve">) 查询及使用供应商信用记录</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1.由采购人查询信用信息。</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2.查询渠道包括：</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cs="宋体"/>
          <w:bCs/>
          <w:color w:val="auto"/>
          <w:sz w:val="24"/>
          <w:highlight w:val="none"/>
        </w:rPr>
        <w:t xml:space="preserve">www.creditchina.gov.cn</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 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bCs/>
          <w:color w:val="auto"/>
          <w:sz w:val="24"/>
          <w:highlight w:val="none"/>
        </w:rPr>
        <w:t xml:space="preserve">www.ccgp.gov.cn</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 “诚信江苏”网（</w:t>
      </w:r>
      <w:r>
        <w:rPr>
          <w:color w:val="auto"/>
          <w:highlight w:val="none"/>
        </w:rPr>
        <w:fldChar w:fldCharType="begin"/>
      </w:r>
      <w:r>
        <w:rPr>
          <w:color w:val="auto"/>
          <w:highlight w:val="none"/>
        </w:rPr>
        <w:instrText xml:space="preserve"> HYPERLINK "http://www.jiangsu.gov.cn/jsxy/index.htm" </w:instrText>
      </w:r>
      <w:r>
        <w:rPr>
          <w:color w:val="auto"/>
          <w:highlight w:val="none"/>
        </w:rPr>
        <w:fldChar w:fldCharType="separate"/>
      </w:r>
      <w:r>
        <w:rPr>
          <w:rFonts w:hint="eastAsia" w:hAnsi="宋体" w:cs="宋体"/>
          <w:bCs/>
          <w:color w:val="auto"/>
          <w:sz w:val="24"/>
          <w:highlight w:val="none"/>
        </w:rPr>
        <w:t xml:space="preserve">www.jiangsu.gov.cn/jsxy/index.htm</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和或“信用江苏”网（http://credit.jiangsu.gov.cn/）；</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(4)“诚信徐州”网（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hAnsi="宋体" w:cs="宋体"/>
          <w:bCs/>
          <w:color w:val="auto"/>
          <w:sz w:val="24"/>
          <w:highlight w:val="none"/>
        </w:rPr>
        <w:t xml:space="preserve">http://www.xuzhoucredit.gov.cn</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和或“信用徐州”网（www.xuzhoucredit.gov.cn/）。</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3.截止时点（查询环节）：首次响应文件开启后资格审查结束前。</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4.信用信息查询记录和证据留存的具体方式：</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网页截屏打印，与其他采购文件一并保存。</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5.信用信息的使用规则：</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8"/>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6.信用评价结果查询：见《磋商文件》附件1.《评分细则》。</w:t>
      </w:r>
      <w:r/>
    </w:p>
    <w:p>
      <w:pPr>
        <w:pStyle w:val="918"/>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十四、评审程序</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1.经磋商确定最终采购需求和提交最后报价的供应商后，由磋商小组采用综合评分法对提交最后报价的供应商的响应文件和最后报价进行综合评分。</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技术指标优劣（得分）顺序推荐。评审得分且最后报价且技术指标优劣（得分）都相同的，由采购人确定。</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3.政府采购异常低价审查</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（一）评审过程中出现下列情形之一的，磋商小组应当启动异常低价投标审查程序：</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1.响应报价低于采购项目预算 50%的，即响应报价＜采购项目预算×50%；</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2.响应报价低于采购项目最高限价 45%的，即响应报价＜采购项目最高限价×45%；</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3.磋商小组认定的供应商报价过低、有可能影响产品质量或者不能诚信履约的其他情形。</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启动异常低价投标审查后，磋商小组应当要求相关供应商在评审现场合理的时间内通过“苏采云”系统（使用“CA数字证书”,加盖电子签章）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说明：“苏采云”系统通过“江苏省政府采购一体化不见面开标大厅”提醒供应商。供应商自行查看，供应商因自身原因不及时查看导致没收到信息，“苏采云”系统不承担任何责任。</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相关内容和要求见：《中华人民共和国政府采购法》《中华人民共和国政府采购法实施条例》《政府采购竞争性磋商采购方式管理暂行办法》</w:t>
      </w:r>
      <w:r/>
    </w:p>
    <w:p>
      <w:pPr>
        <w:ind w:firstLine="482"/>
        <w:jc w:val="both"/>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特别说明：</w:t>
      </w:r>
      <w:r/>
    </w:p>
    <w:p>
      <w:pPr>
        <w:pStyle w:val="91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根据《财政部关于政府采购竞争性磋商采购方式管理暂行办法有关问题的补充通知》(财库〔2015〕124号)规定，采用竞</w:t>
      </w:r>
      <w:r>
        <w:rPr>
          <w:rFonts w:hint="eastAsia" w:ascii="宋体" w:hAnsi="宋体" w:eastAsia="宋体" w:cs="宋体"/>
          <w:bCs/>
          <w:color w:val="auto"/>
          <w:sz w:val="24"/>
          <w:szCs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五</w:t>
      </w:r>
      <w:r>
        <w:rPr>
          <w:rFonts w:hint="eastAsia" w:hAnsi="宋体" w:cs="宋体"/>
          <w:bCs/>
          <w:color w:val="auto"/>
          <w:sz w:val="24"/>
          <w:highlight w:val="none"/>
        </w:rPr>
        <w:t xml:space="preserve">、评审方法和评审标准</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1.评审方法：综合评分法</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2.评审标准：详见《磋商文件》附件1.《评分细则》</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六</w:t>
      </w:r>
      <w:r>
        <w:rPr>
          <w:rFonts w:hint="eastAsia" w:hAnsi="宋体" w:cs="宋体"/>
          <w:bCs/>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七</w:t>
      </w:r>
      <w:r>
        <w:rPr>
          <w:rFonts w:hint="eastAsia" w:hAnsi="宋体" w:cs="宋体"/>
          <w:bCs/>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第四章 确定成交供应商及合同签订等</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八</w:t>
      </w:r>
      <w:r>
        <w:rPr>
          <w:rFonts w:hint="eastAsia" w:hAnsi="宋体" w:cs="宋体"/>
          <w:bCs/>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九</w:t>
      </w:r>
      <w:r>
        <w:rPr>
          <w:rFonts w:hint="eastAsia" w:hAnsi="宋体" w:cs="宋体"/>
          <w:bCs/>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18"/>
        <w:numPr>
          <w:ilvl w:val="0"/>
          <w:numId w:val="0"/>
        </w:numPr>
        <w:ind w:firstLine="480"/>
        <w:spacing w:line="360" w:lineRule="auto"/>
        <w:rPr>
          <w:rFonts w:hAnsi="宋体" w:cs="宋体"/>
          <w:color w:val="auto"/>
          <w:sz w:val="24"/>
          <w:highlight w:val="none"/>
        </w:rPr>
      </w:pPr>
      <w:r>
        <w:rPr>
          <w:rFonts w:hint="eastAsia" w:hAnsi="宋体" w:cs="宋体"/>
          <w:color w:val="auto"/>
          <w:sz w:val="24"/>
          <w:szCs w:val="24"/>
          <w:lang w:val="en-US" w:eastAsia="zh-CN" w:bidi="ar-SA"/>
        </w:rPr>
        <w:t xml:space="preserve">二十</w:t>
      </w:r>
      <w:r>
        <w:rPr>
          <w:rFonts w:hint="eastAsia" w:ascii="Times New Roman" w:hAnsi="宋体" w:eastAsia="宋体" w:cs="宋体"/>
          <w:color w:val="auto"/>
          <w:sz w:val="24"/>
          <w:szCs w:val="24"/>
          <w:lang w:val="en-US" w:eastAsia="zh-CN" w:bidi="ar-SA"/>
        </w:rPr>
        <w:t xml:space="preserve">、</w:t>
      </w:r>
      <w:r>
        <w:rPr>
          <w:rFonts w:hint="eastAsia" w:hAnsi="宋体" w:cs="宋体"/>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920"/>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二十</w:t>
      </w:r>
      <w:r>
        <w:rPr>
          <w:rFonts w:hint="eastAsia" w:hAnsi="宋体" w:cs="宋体"/>
          <w:color w:val="auto"/>
          <w:sz w:val="24"/>
          <w:highlight w:val="none"/>
          <w:lang w:val="en-US" w:eastAsia="zh-CN"/>
        </w:rPr>
        <w:t xml:space="preserve">一</w:t>
      </w:r>
      <w:r>
        <w:rPr>
          <w:rFonts w:hint="eastAsia" w:hAnsi="宋体" w:cs="宋体"/>
          <w:color w:val="auto"/>
          <w:sz w:val="24"/>
          <w:highlight w:val="none"/>
        </w:rPr>
        <w:t xml:space="preserve">、中标人中标后应在中标（成交）公告发布之日起3个工作日内将中标代理服务费（金额按照招标文件“代理服务费收取标准”执行）通过网银、电汇、转账等方式汇入</w:t>
      </w:r>
      <w:r>
        <w:rPr>
          <w:rFonts w:hint="eastAsia" w:hAnsi="宋体" w:cs="宋体"/>
          <w:color w:val="auto"/>
          <w:sz w:val="24"/>
          <w:highlight w:val="none"/>
          <w:lang w:eastAsia="zh-CN"/>
        </w:rPr>
        <w:t xml:space="preserve">江苏誉尔威建筑咨询有限公司</w:t>
      </w:r>
      <w:r>
        <w:rPr>
          <w:rFonts w:hint="eastAsia" w:hAnsi="宋体" w:cs="宋体"/>
          <w:color w:val="auto"/>
          <w:sz w:val="24"/>
          <w:highlight w:val="none"/>
        </w:rPr>
        <w:t xml:space="preserve">账户。（账户名称、开户行、账号详见“代理服务费收取标准”最后），中标（成交）公告发布后7个工作日内，持银行汇款凭据或回单截图到</w:t>
      </w:r>
      <w:r>
        <w:rPr>
          <w:rFonts w:hint="eastAsia" w:hAnsi="宋体" w:cs="宋体"/>
          <w:color w:val="auto"/>
          <w:sz w:val="24"/>
          <w:highlight w:val="none"/>
          <w:lang w:eastAsia="zh-CN"/>
        </w:rPr>
        <w:t xml:space="preserve">江苏誉尔威建筑咨询有限公司</w:t>
      </w:r>
      <w:r>
        <w:rPr>
          <w:rFonts w:hint="eastAsia" w:hAnsi="宋体" w:cs="宋体"/>
          <w:color w:val="auto"/>
          <w:sz w:val="24"/>
          <w:highlight w:val="none"/>
        </w:rPr>
        <w:t xml:space="preserve">领取中标（成交）通知书，中标人在领取中标通知书的同时，需向代理机构提供投标文件正本纸质文件两本。逾期不予汇款的，视同自动放弃中标（成交）资格。</w:t>
      </w:r>
      <w:r/>
    </w:p>
    <w:p>
      <w:pPr>
        <w:pStyle w:val="920"/>
        <w:ind w:firstLine="480"/>
        <w:spacing w:line="360" w:lineRule="auto"/>
        <w:rPr>
          <w:rFonts w:hAnsi="宋体" w:cs="宋体"/>
          <w:color w:val="auto"/>
          <w:sz w:val="24"/>
          <w:highlight w:val="none"/>
        </w:rPr>
      </w:pPr>
      <w:r>
        <w:rPr>
          <w:rFonts w:hint="eastAsia" w:hAnsi="宋体" w:cs="宋体"/>
          <w:color w:val="auto"/>
          <w:sz w:val="24"/>
          <w:highlight w:val="none"/>
        </w:rPr>
        <w:t xml:space="preserve">第五章 磋商文件的澄清或者修改</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二十</w:t>
      </w:r>
      <w:r>
        <w:rPr>
          <w:rFonts w:hint="eastAsia" w:hAnsi="宋体" w:cs="宋体"/>
          <w:bCs/>
          <w:color w:val="auto"/>
          <w:sz w:val="24"/>
          <w:highlight w:val="none"/>
          <w:lang w:val="en-US" w:eastAsia="zh-CN"/>
        </w:rPr>
        <w:t xml:space="preserve">二</w:t>
      </w:r>
      <w:r>
        <w:rPr>
          <w:rFonts w:hint="eastAsia" w:hAnsi="宋体" w:cs="宋体"/>
          <w:bCs/>
          <w:color w:val="auto"/>
          <w:sz w:val="24"/>
          <w:highlight w:val="none"/>
        </w:rPr>
        <w:t xml:space="preserve">、《磋商文件》的澄清或者修改</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第六章 询问和质疑</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二十</w:t>
      </w:r>
      <w:r>
        <w:rPr>
          <w:rFonts w:hint="eastAsia" w:hAnsi="宋体" w:cs="宋体"/>
          <w:bCs/>
          <w:color w:val="auto"/>
          <w:sz w:val="24"/>
          <w:highlight w:val="none"/>
          <w:lang w:val="en-US" w:eastAsia="zh-CN"/>
        </w:rPr>
        <w:t xml:space="preserve">三</w:t>
      </w:r>
      <w:r>
        <w:rPr>
          <w:rFonts w:hint="eastAsia" w:hAnsi="宋体" w:cs="宋体"/>
          <w:bCs/>
          <w:color w:val="auto"/>
          <w:sz w:val="24"/>
          <w:highlight w:val="none"/>
        </w:rPr>
        <w:t xml:space="preserve">、询问和质疑</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供应商在法定质疑期内一次性提出针对同一采购程序环节的质疑。</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质疑接收人：</w:t>
      </w:r>
      <w:r>
        <w:rPr>
          <w:rFonts w:hint="eastAsia" w:hAnsi="宋体" w:cs="宋体"/>
          <w:bCs/>
          <w:color w:val="auto"/>
          <w:sz w:val="24"/>
          <w:highlight w:val="none"/>
          <w:lang w:eastAsia="zh-CN"/>
        </w:rPr>
        <w:t xml:space="preserve">邓婷</w:t>
      </w:r>
      <w:r>
        <w:rPr>
          <w:rFonts w:hint="eastAsia" w:hAnsi="宋体" w:cs="宋体"/>
          <w:bCs/>
          <w:color w:val="auto"/>
          <w:sz w:val="24"/>
          <w:highlight w:val="none"/>
        </w:rPr>
        <w:t xml:space="preserve">    联系电话：</w:t>
      </w:r>
      <w:r>
        <w:rPr>
          <w:rFonts w:hint="eastAsia" w:hAnsi="宋体" w:cs="宋体"/>
          <w:bCs/>
          <w:color w:val="auto"/>
          <w:sz w:val="24"/>
          <w:highlight w:val="none"/>
          <w:lang w:eastAsia="zh-CN"/>
        </w:rPr>
        <w:t xml:space="preserve">19952115995</w:t>
      </w:r>
      <w:r>
        <w:rPr>
          <w:rFonts w:hint="eastAsia" w:hAnsi="宋体" w:cs="宋体"/>
          <w:bCs/>
          <w:color w:val="auto"/>
          <w:sz w:val="24"/>
          <w:highlight w:val="none"/>
        </w:rPr>
        <w:t xml:space="preserve"> </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地址：</w:t>
      </w:r>
      <w:r>
        <w:rPr>
          <w:rFonts w:hint="eastAsia" w:hAnsi="宋体" w:cs="宋体"/>
          <w:bCs/>
          <w:color w:val="auto"/>
          <w:sz w:val="24"/>
          <w:highlight w:val="none"/>
          <w:lang w:eastAsia="zh-CN"/>
        </w:rPr>
        <w:t xml:space="preserve">徐州市鼓楼区风尚路鼓楼经典南侧商业街43号</w:t>
      </w:r>
      <w:r>
        <w:rPr>
          <w:rFonts w:hint="eastAsia" w:hAnsi="宋体" w:cs="宋体"/>
          <w:bCs/>
          <w:color w:val="auto"/>
          <w:sz w:val="24"/>
          <w:highlight w:val="none"/>
        </w:rPr>
        <w:t xml:space="preserve">。 </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第七章 联系方式</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1.采购人信息</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名 称：</w:t>
      </w:r>
      <w:r>
        <w:rPr>
          <w:rFonts w:hint="eastAsia" w:hAnsi="宋体" w:cs="宋体"/>
          <w:bCs/>
          <w:color w:val="auto"/>
          <w:sz w:val="24"/>
          <w:highlight w:val="none"/>
          <w:lang w:eastAsia="zh-CN"/>
        </w:rPr>
        <w:t xml:space="preserve">徐州经济技术开发区市场监督管理局</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地 址：</w:t>
      </w:r>
      <w:r>
        <w:rPr>
          <w:rFonts w:hint="eastAsia" w:hAnsi="宋体" w:cs="宋体"/>
          <w:bCs/>
          <w:color w:val="auto"/>
          <w:sz w:val="24"/>
          <w:highlight w:val="none"/>
          <w:lang w:eastAsia="zh-CN"/>
        </w:rPr>
        <w:t xml:space="preserve">徐州鼓楼区金桥路20号</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联系方式： </w:t>
      </w:r>
      <w:r>
        <w:rPr>
          <w:rFonts w:hint="eastAsia" w:hAnsi="宋体" w:cs="宋体"/>
          <w:bCs/>
          <w:color w:val="auto"/>
          <w:sz w:val="24"/>
          <w:highlight w:val="none"/>
          <w:lang w:eastAsia="zh-CN"/>
        </w:rPr>
        <w:t xml:space="preserve">17712996018</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采购项目联系人：</w:t>
      </w:r>
      <w:r>
        <w:rPr>
          <w:rFonts w:hint="eastAsia" w:hAnsi="宋体" w:cs="宋体"/>
          <w:bCs/>
          <w:color w:val="auto"/>
          <w:sz w:val="24"/>
          <w:highlight w:val="none"/>
          <w:lang w:eastAsia="zh-CN"/>
        </w:rPr>
        <w:t xml:space="preserve">韩皓</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2.采购代理机构</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名称：</w:t>
      </w:r>
      <w:r>
        <w:rPr>
          <w:rFonts w:hint="eastAsia" w:hAnsi="宋体" w:cs="宋体"/>
          <w:bCs/>
          <w:color w:val="auto"/>
          <w:sz w:val="24"/>
          <w:highlight w:val="none"/>
          <w:lang w:eastAsia="zh-CN"/>
        </w:rPr>
        <w:t xml:space="preserve">江苏誉尔威建筑咨询有限公司</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地址：</w:t>
      </w:r>
      <w:r>
        <w:rPr>
          <w:rFonts w:hint="eastAsia" w:hAnsi="宋体" w:cs="宋体"/>
          <w:bCs/>
          <w:color w:val="auto"/>
          <w:sz w:val="24"/>
          <w:highlight w:val="none"/>
          <w:lang w:eastAsia="zh-CN"/>
        </w:rPr>
        <w:t xml:space="preserve">徐州市鼓楼区风尚路鼓楼经典南侧商业街43号</w:t>
      </w:r>
      <w:r/>
    </w:p>
    <w:p>
      <w:pPr>
        <w:pStyle w:val="918"/>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联系方法：</w:t>
      </w:r>
      <w:r>
        <w:rPr>
          <w:rFonts w:hint="eastAsia" w:hAnsi="宋体" w:cs="宋体"/>
          <w:bCs/>
          <w:color w:val="auto"/>
          <w:sz w:val="24"/>
          <w:highlight w:val="none"/>
          <w:lang w:eastAsia="zh-CN"/>
        </w:rPr>
        <w:t xml:space="preserve">19952115995</w:t>
      </w:r>
      <w:r>
        <w:rPr>
          <w:rFonts w:hint="eastAsia" w:hAnsi="宋体" w:cs="宋体"/>
          <w:bCs/>
          <w:color w:val="auto"/>
          <w:sz w:val="24"/>
          <w:highlight w:val="none"/>
        </w:rPr>
        <w:t xml:space="preserve">  </w:t>
      </w:r>
      <w:r>
        <w:rPr>
          <w:rFonts w:hint="eastAsia" w:hAnsi="宋体" w:cs="宋体"/>
          <w:bCs/>
          <w:color w:val="auto"/>
          <w:sz w:val="24"/>
          <w:highlight w:val="none"/>
          <w:lang w:val="en-US" w:eastAsia="zh-CN"/>
        </w:rPr>
        <w:t xml:space="preserve">  </w:t>
      </w:r>
      <w:r/>
    </w:p>
    <w:p>
      <w:pPr>
        <w:pStyle w:val="918"/>
        <w:ind w:firstLine="480"/>
        <w:spacing w:line="360" w:lineRule="auto"/>
        <w:rPr>
          <w:rFonts w:hint="default" w:hAnsi="宋体" w:eastAsia="宋体" w:cs="宋体"/>
          <w:bCs/>
          <w:color w:val="auto"/>
          <w:sz w:val="24"/>
          <w:highlight w:val="none"/>
          <w:lang w:val="en-US" w:eastAsia="zh-CN"/>
        </w:rPr>
      </w:pPr>
      <w:r>
        <w:rPr>
          <w:rFonts w:hint="eastAsia" w:hAnsi="宋体" w:cs="宋体"/>
          <w:bCs/>
          <w:color w:val="auto"/>
          <w:sz w:val="24"/>
          <w:highlight w:val="none"/>
        </w:rPr>
        <w:t xml:space="preserve">采购项目联系人：</w:t>
      </w:r>
      <w:r>
        <w:rPr>
          <w:rFonts w:hint="eastAsia" w:hAnsi="宋体" w:cs="宋体"/>
          <w:bCs/>
          <w:color w:val="auto"/>
          <w:sz w:val="24"/>
          <w:highlight w:val="none"/>
          <w:lang w:eastAsia="zh-CN"/>
        </w:rPr>
        <w:t xml:space="preserve">邓婷</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w:t>
      </w:r>
      <w:r>
        <w:rPr>
          <w:rFonts w:hint="eastAsia" w:hAnsi="宋体" w:cs="宋体"/>
          <w:bCs/>
          <w:color w:val="auto"/>
          <w:sz w:val="24"/>
          <w:highlight w:val="none"/>
          <w:lang w:val="en-US" w:eastAsia="zh-CN"/>
        </w:rPr>
        <w:t xml:space="preserve">八</w:t>
      </w:r>
      <w:r>
        <w:rPr>
          <w:rFonts w:hint="eastAsia" w:hAnsi="宋体" w:cs="宋体"/>
          <w:bCs/>
          <w:color w:val="auto"/>
          <w:sz w:val="24"/>
          <w:highlight w:val="none"/>
        </w:rPr>
        <w:t xml:space="preserve">章 附 件</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附件：</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1.《评分细则》</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2.《项目要求（采购需求）》</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3.《磋商报价表》</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4.《分项价格表》</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5.《偏离表》</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6.《合同草案条款》</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7.《承诺书》</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8.《授权委托书》</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9、《具备履行合同所必需的设备和专业技术能力的书面声明》</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10.《中小企业声明函》</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11.《供应商参加政府采购活动前3年内在经营活动中没有重大违法记录的书面声明》</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12.《残疾人福利性单位声明函》</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13.《代理服务收费标准》</w:t>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14.《预付款保函支付条款模板》</w:t>
      </w:r>
      <w:r/>
    </w:p>
    <w:p>
      <w:pPr>
        <w:pStyle w:val="918"/>
        <w:ind w:firstLine="480"/>
        <w:spacing w:line="360" w:lineRule="auto"/>
        <w:rPr>
          <w:rFonts w:hAnsi="宋体" w:cs="宋体"/>
          <w:bCs/>
          <w:color w:val="auto"/>
          <w:sz w:val="24"/>
          <w:highlight w:val="none"/>
        </w:rPr>
      </w:pPr>
      <w:r>
        <w:rPr>
          <w:rFonts w:hAnsi="宋体" w:cs="宋体"/>
          <w:bCs/>
          <w:color w:val="auto"/>
          <w:sz w:val="24"/>
          <w:highlight w:val="none"/>
        </w:rPr>
      </w:r>
      <w:r/>
    </w:p>
    <w:p>
      <w:pPr>
        <w:pStyle w:val="918"/>
        <w:ind w:firstLine="480"/>
        <w:spacing w:line="360" w:lineRule="auto"/>
        <w:rPr>
          <w:rFonts w:hAnsi="宋体" w:cs="宋体"/>
          <w:bCs/>
          <w:color w:val="auto"/>
          <w:sz w:val="24"/>
          <w:highlight w:val="none"/>
        </w:rPr>
      </w:pPr>
      <w:r>
        <w:rPr>
          <w:rFonts w:hint="eastAsia" w:hAnsi="宋体" w:cs="宋体"/>
          <w:bCs/>
          <w:color w:val="auto"/>
          <w:sz w:val="24"/>
          <w:highlight w:val="none"/>
          <w:lang w:eastAsia="zh-CN"/>
        </w:rPr>
        <w:t xml:space="preserve">2026年</w:t>
      </w: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月</w:t>
      </w:r>
      <w:r/>
    </w:p>
    <w:p>
      <w:pPr>
        <w:pStyle w:val="918"/>
        <w:numPr>
          <w:ilvl w:val="0"/>
          <w:numId w:val="0"/>
        </w:numPr>
        <w:jc w:val="center"/>
        <w:keepLines w:val="0"/>
        <w:keepNext w:val="0"/>
        <w:pageBreakBefore w:val="0"/>
        <w:spacing w:line="360" w:lineRule="auto"/>
        <w:widowControl w:val="off"/>
        <w:rPr>
          <w:rFonts w:hint="eastAsia" w:cs="宋体" w:asciiTheme="minorEastAsia" w:hAnsiTheme="minorEastAsia" w:eastAsiaTheme="minorEastAsia"/>
          <w:b/>
          <w:color w:val="auto"/>
          <w:sz w:val="36"/>
          <w:highlight w:val="none"/>
        </w:rPr>
        <w:outlineLvl w:val="9"/>
      </w:pPr>
      <w:r>
        <w:rPr>
          <w:rFonts w:hint="eastAsia" w:hAnsi="宋体" w:cs="宋体"/>
          <w:bCs/>
          <w:color w:val="auto"/>
          <w:sz w:val="24"/>
          <w:highlight w:val="none"/>
        </w:rPr>
        <w:br w:type="page" w:clear="all"/>
      </w:r>
      <w:r>
        <w:rPr>
          <w:rFonts w:hint="eastAsia" w:cs="宋体" w:asciiTheme="minorEastAsia" w:hAnsiTheme="minorEastAsia" w:eastAsiaTheme="minorEastAsia"/>
          <w:b/>
          <w:color w:val="auto"/>
          <w:sz w:val="32"/>
          <w:szCs w:val="22"/>
          <w:highlight w:val="none"/>
          <w:lang w:val="en-US" w:eastAsia="zh-CN"/>
        </w:rPr>
        <w:t xml:space="preserve">1.</w:t>
      </w:r>
      <w:r>
        <w:rPr>
          <w:rFonts w:hint="eastAsia" w:cs="宋体" w:asciiTheme="minorEastAsia" w:hAnsiTheme="minorEastAsia" w:eastAsiaTheme="minorEastAsia"/>
          <w:b/>
          <w:color w:val="auto"/>
          <w:sz w:val="32"/>
          <w:szCs w:val="22"/>
          <w:highlight w:val="none"/>
        </w:rPr>
        <w:t xml:space="preserve">评分细则</w:t>
      </w:r>
      <w:r/>
    </w:p>
    <w:tbl>
      <w:tblPr>
        <w:tblStyle w:val="908"/>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1728"/>
        <w:gridCol w:w="6981"/>
      </w:tblGrid>
      <w:tr>
        <w:trPr>
          <w:jc w:val="center"/>
          <w:trHeight w:val="513"/>
        </w:trPr>
        <w:tc>
          <w:tcPr>
            <w:gridSpan w:val="2"/>
            <w:tcW w:w="2794" w:type="dxa"/>
            <w:vAlign w:val="center"/>
            <w:textDirection w:val="lrTb"/>
            <w:noWrap w:val="false"/>
          </w:tcPr>
          <w:p>
            <w:pPr>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项目</w:t>
            </w:r>
            <w:r/>
          </w:p>
        </w:tc>
        <w:tc>
          <w:tcPr>
            <w:tcW w:w="6981" w:type="dxa"/>
            <w:vAlign w:val="center"/>
            <w:textDirection w:val="lrTb"/>
            <w:noWrap w:val="false"/>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评价细则</w:t>
            </w:r>
            <w:r/>
          </w:p>
        </w:tc>
      </w:tr>
      <w:tr>
        <w:trPr>
          <w:jc w:val="center"/>
          <w:trHeight w:val="966"/>
        </w:trPr>
        <w:tc>
          <w:tcPr>
            <w:gridSpan w:val="2"/>
            <w:tcW w:w="2794"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价格部分（10分）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价格分统一采用低价优先法计算，即满足招标文件要求且投标人评审价格最低的投标报价为评标基准价，其价格得分为满分：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各投标人价格得分=最低报价（投标人的最低评审价格）÷各投标人评审价格×10；</w:t>
            </w:r>
            <w:r/>
          </w:p>
        </w:tc>
      </w:tr>
      <w:tr>
        <w:trPr>
          <w:jc w:val="center"/>
          <w:trHeight w:val="871"/>
        </w:trPr>
        <w:tc>
          <w:tcPr>
            <w:tcW w:w="1066" w:type="dxa"/>
            <w:vAlign w:val="center"/>
            <w:vMerge w:val="restart"/>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商务</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部分</w:t>
            </w:r>
            <w:r/>
          </w:p>
          <w:p>
            <w:pPr>
              <w:pStyle w:val="918"/>
              <w:ind w:left="0" w:right="0" w:firstLine="0"/>
              <w:jc w:val="center"/>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业绩</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投标文件中提供供应商为乙方，合同签订日期在20</w:t>
            </w:r>
            <w:r>
              <w:rPr>
                <w:rFonts w:hint="eastAsia" w:ascii="宋体" w:hAnsi="宋体" w:cs="宋体"/>
                <w:color w:val="auto"/>
                <w:sz w:val="24"/>
                <w:szCs w:val="24"/>
                <w:highlight w:val="none"/>
                <w:lang w:val="en-US" w:eastAsia="zh-CN" w:bidi="ar-SA"/>
              </w:rPr>
              <w:t xml:space="preserve">23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月1日以后(以合同签订日期为准)类似安全检查技术服务项目业绩</w:t>
            </w:r>
            <w:r>
              <w:rPr>
                <w:rFonts w:hint="eastAsia" w:ascii="宋体" w:hAnsi="宋体" w:cs="宋体"/>
                <w:color w:val="auto"/>
                <w:sz w:val="24"/>
                <w:szCs w:val="24"/>
                <w:highlight w:val="none"/>
                <w:lang w:val="en-US" w:eastAsia="zh-CN" w:bidi="ar-SA"/>
              </w:rPr>
              <w:t xml:space="preserve">（需提供</w:t>
            </w:r>
            <w:r>
              <w:rPr>
                <w:rFonts w:hint="eastAsia" w:ascii="宋体" w:hAnsi="宋体" w:eastAsia="宋体" w:cs="宋体"/>
                <w:color w:val="auto"/>
                <w:sz w:val="24"/>
                <w:szCs w:val="24"/>
                <w:highlight w:val="none"/>
                <w:lang w:val="en-US" w:eastAsia="zh-CN" w:bidi="ar-SA"/>
              </w:rPr>
              <w:t xml:space="preserve">合同</w:t>
            </w:r>
            <w:r>
              <w:rPr>
                <w:rFonts w:hint="eastAsia" w:ascii="宋体" w:hAnsi="宋体" w:cs="宋体"/>
                <w:color w:val="auto"/>
                <w:sz w:val="24"/>
                <w:szCs w:val="24"/>
                <w:highlight w:val="none"/>
                <w:lang w:val="en-US" w:eastAsia="zh-CN" w:bidi="ar-SA"/>
              </w:rPr>
              <w:t xml:space="preserve">扫描件</w:t>
            </w:r>
            <w:r>
              <w:rPr>
                <w:rFonts w:hint="eastAsia" w:ascii="宋体" w:hAnsi="宋体" w:eastAsia="宋体" w:cs="宋体"/>
                <w:color w:val="auto"/>
                <w:sz w:val="24"/>
                <w:szCs w:val="24"/>
                <w:highlight w:val="none"/>
                <w:lang w:val="en-US" w:eastAsia="zh-CN" w:bidi="ar-SA"/>
              </w:rPr>
              <w:t xml:space="preserve">及</w:t>
            </w:r>
            <w:r>
              <w:rPr>
                <w:rFonts w:hint="eastAsia" w:ascii="宋体" w:hAnsi="宋体" w:cs="宋体"/>
                <w:color w:val="auto"/>
                <w:sz w:val="24"/>
                <w:szCs w:val="24"/>
                <w:highlight w:val="none"/>
                <w:lang w:val="en-US" w:eastAsia="zh-CN" w:bidi="ar-SA"/>
              </w:rPr>
              <w:t xml:space="preserve">中标通知书扫描件）</w:t>
            </w:r>
            <w:r>
              <w:rPr>
                <w:rFonts w:hint="eastAsia" w:ascii="宋体" w:hAnsi="宋体" w:eastAsia="宋体" w:cs="宋体"/>
                <w:color w:val="auto"/>
                <w:sz w:val="24"/>
                <w:szCs w:val="24"/>
                <w:highlight w:val="none"/>
                <w:lang w:val="en-US" w:eastAsia="zh-CN" w:bidi="ar-SA"/>
              </w:rPr>
              <w:t xml:space="preserve">，每提供一个业绩得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分，本项满分</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     </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响应</w:t>
            </w:r>
            <w:r>
              <w:rPr>
                <w:rFonts w:hint="eastAsia" w:ascii="宋体" w:hAnsi="宋体" w:eastAsia="宋体" w:cs="宋体"/>
                <w:b/>
                <w:bCs/>
                <w:color w:val="auto"/>
                <w:sz w:val="24"/>
                <w:szCs w:val="24"/>
                <w:highlight w:val="none"/>
                <w:lang w:val="en-US" w:eastAsia="zh-CN" w:bidi="ar-SA"/>
              </w:rPr>
              <w:t xml:space="preserve">文件中</w:t>
            </w:r>
            <w:r>
              <w:rPr>
                <w:rFonts w:hint="eastAsia" w:ascii="宋体" w:hAnsi="宋体" w:cs="宋体"/>
                <w:b/>
                <w:bCs/>
                <w:color w:val="auto"/>
                <w:sz w:val="24"/>
                <w:szCs w:val="24"/>
                <w:highlight w:val="none"/>
                <w:lang w:val="en-US" w:eastAsia="zh-CN" w:bidi="ar-SA"/>
              </w:rPr>
              <w:t xml:space="preserve">必须</w:t>
            </w:r>
            <w:r>
              <w:rPr>
                <w:rFonts w:hint="eastAsia" w:ascii="宋体" w:hAnsi="宋体" w:eastAsia="宋体" w:cs="宋体"/>
                <w:b/>
                <w:bCs/>
                <w:color w:val="auto"/>
                <w:sz w:val="24"/>
                <w:szCs w:val="24"/>
                <w:highlight w:val="none"/>
                <w:lang w:val="en-US" w:eastAsia="zh-CN" w:bidi="ar-SA"/>
              </w:rPr>
              <w:t xml:space="preserve">提供以上</w:t>
            </w:r>
            <w:r>
              <w:rPr>
                <w:rFonts w:hint="eastAsia" w:ascii="宋体" w:hAnsi="宋体" w:cs="宋体"/>
                <w:b/>
                <w:bCs/>
                <w:color w:val="auto"/>
                <w:sz w:val="24"/>
                <w:szCs w:val="24"/>
                <w:highlight w:val="none"/>
                <w:lang w:val="en-US" w:eastAsia="zh-CN" w:bidi="ar-SA"/>
              </w:rPr>
              <w:t xml:space="preserve">证明材料扫描</w:t>
            </w:r>
            <w:r>
              <w:rPr>
                <w:rFonts w:hint="eastAsia" w:ascii="宋体" w:hAnsi="宋体" w:eastAsia="宋体" w:cs="宋体"/>
                <w:b/>
                <w:bCs/>
                <w:color w:val="auto"/>
                <w:sz w:val="24"/>
                <w:szCs w:val="24"/>
                <w:highlight w:val="none"/>
                <w:lang w:val="en-US" w:eastAsia="zh-CN" w:bidi="ar-SA"/>
              </w:rPr>
              <w:t xml:space="preserve">件</w:t>
            </w:r>
            <w:r>
              <w:rPr>
                <w:rFonts w:hint="eastAsia" w:ascii="宋体" w:hAnsi="宋体" w:cs="宋体"/>
                <w:b/>
                <w:bCs/>
                <w:color w:val="auto"/>
                <w:sz w:val="24"/>
                <w:szCs w:val="24"/>
                <w:highlight w:val="none"/>
                <w:lang w:val="en-US" w:eastAsia="zh-CN" w:bidi="ar-SA"/>
              </w:rPr>
              <w:t xml:space="preserve">并加盖电子签章</w:t>
            </w:r>
            <w:r>
              <w:rPr>
                <w:rFonts w:hint="eastAsia" w:ascii="宋体" w:hAnsi="宋体" w:eastAsia="宋体" w:cs="宋体"/>
                <w:b/>
                <w:bCs/>
                <w:color w:val="auto"/>
                <w:sz w:val="24"/>
                <w:szCs w:val="24"/>
                <w:highlight w:val="none"/>
                <w:lang w:val="en-US" w:eastAsia="zh-CN" w:bidi="ar-SA"/>
              </w:rPr>
              <w:t xml:space="preserve">后方为有效。</w:t>
            </w:r>
            <w:r/>
          </w:p>
        </w:tc>
      </w:tr>
      <w:tr>
        <w:trPr>
          <w:jc w:val="center"/>
          <w:trHeight w:val="871"/>
        </w:trPr>
        <w:tc>
          <w:tcPr>
            <w:tcW w:w="1066" w:type="dxa"/>
            <w:vAlign w:val="center"/>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供应商资信</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（3分）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供应商具有有效期内的ISO9001质量管理体系认证、ISO14001环境管理体系认证、ISO45001 职业健康安全管理体系认证证书，每具备一项证书得1分，最高得3分。</w:t>
            </w:r>
            <w:r/>
          </w:p>
          <w:p>
            <w:pPr>
              <w:pStyle w:val="918"/>
              <w:ind w:left="0" w:right="0" w:firstLine="0"/>
              <w:keepLines w:val="0"/>
              <w:keepNext w:val="0"/>
              <w:pageBreakBefore w:val="0"/>
              <w:spacing w:before="0" w:after="0" w:line="240" w:lineRule="auto"/>
              <w:widowControl/>
              <w:rPr>
                <w:rFonts w:hint="eastAsia" w:ascii="宋体" w:hAnsi="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注：响应文件中须提供相关证书原件扫描件加盖电子签章方可得分，否则不得分。</w:t>
            </w:r>
            <w:r/>
          </w:p>
        </w:tc>
      </w:tr>
      <w:tr>
        <w:trPr>
          <w:jc w:val="center"/>
          <w:trHeight w:val="922"/>
        </w:trPr>
        <w:tc>
          <w:tcPr>
            <w:tcW w:w="1066" w:type="dxa"/>
            <w:vAlign w:val="center"/>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数字化平台（2分）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每提供一个以往利用数字化隐患排查的案例加1分，最高加2分。</w:t>
            </w:r>
            <w:r/>
          </w:p>
          <w:p>
            <w:pPr>
              <w:pStyle w:val="920"/>
              <w:rPr>
                <w:rFonts w:hint="default"/>
                <w:color w:val="auto"/>
                <w:highlight w:val="none"/>
                <w:lang w:val="en-US" w:eastAsia="zh-CN"/>
              </w:rPr>
            </w:pPr>
            <w:r>
              <w:rPr>
                <w:rFonts w:hint="eastAsia" w:ascii="宋体" w:hAnsi="宋体" w:cs="宋体"/>
                <w:b/>
                <w:bCs/>
                <w:color w:val="auto"/>
                <w:sz w:val="24"/>
                <w:szCs w:val="24"/>
                <w:highlight w:val="none"/>
                <w:lang w:val="en-US" w:eastAsia="zh-CN" w:bidi="ar-SA"/>
              </w:rPr>
              <w:t xml:space="preserve">响应</w:t>
            </w:r>
            <w:r>
              <w:rPr>
                <w:rFonts w:hint="eastAsia" w:ascii="宋体" w:hAnsi="宋体" w:eastAsia="宋体" w:cs="宋体"/>
                <w:b/>
                <w:bCs/>
                <w:color w:val="auto"/>
                <w:sz w:val="24"/>
                <w:szCs w:val="24"/>
                <w:highlight w:val="none"/>
                <w:lang w:val="en-US" w:eastAsia="zh-CN" w:bidi="ar-SA"/>
              </w:rPr>
              <w:t xml:space="preserve">文件中</w:t>
            </w:r>
            <w:r>
              <w:rPr>
                <w:rFonts w:hint="eastAsia" w:ascii="宋体" w:hAnsi="宋体" w:cs="宋体"/>
                <w:b/>
                <w:bCs/>
                <w:color w:val="auto"/>
                <w:sz w:val="24"/>
                <w:szCs w:val="24"/>
                <w:highlight w:val="none"/>
                <w:lang w:val="en-US" w:eastAsia="zh-CN" w:bidi="ar-SA"/>
              </w:rPr>
              <w:t xml:space="preserve">必须</w:t>
            </w:r>
            <w:r>
              <w:rPr>
                <w:rFonts w:hint="eastAsia" w:ascii="宋体" w:hAnsi="宋体" w:eastAsia="宋体" w:cs="宋体"/>
                <w:b/>
                <w:bCs/>
                <w:color w:val="auto"/>
                <w:sz w:val="24"/>
                <w:szCs w:val="24"/>
                <w:highlight w:val="none"/>
                <w:lang w:val="en-US" w:eastAsia="zh-CN" w:bidi="ar-SA"/>
              </w:rPr>
              <w:t xml:space="preserve">提供</w:t>
            </w:r>
            <w:r>
              <w:rPr>
                <w:rFonts w:hint="eastAsia" w:ascii="宋体" w:hAnsi="宋体" w:cs="宋体"/>
                <w:b/>
                <w:bCs/>
                <w:color w:val="auto"/>
                <w:sz w:val="24"/>
                <w:szCs w:val="24"/>
                <w:highlight w:val="none"/>
                <w:lang w:val="en-US" w:eastAsia="zh-CN" w:bidi="ar-SA"/>
              </w:rPr>
              <w:t xml:space="preserve">证明材料（包括但不限于软件截图、案例图片等</w:t>
            </w:r>
            <w:bookmarkStart w:id="2" w:name="_GoBack"/>
            <w:r/>
            <w:bookmarkEnd w:id="2"/>
            <w:r>
              <w:rPr>
                <w:rFonts w:hint="eastAsia" w:ascii="宋体" w:hAnsi="宋体" w:cs="宋体"/>
                <w:b/>
                <w:bCs/>
                <w:color w:val="auto"/>
                <w:sz w:val="24"/>
                <w:szCs w:val="24"/>
                <w:highlight w:val="none"/>
                <w:lang w:val="en-US" w:eastAsia="zh-CN" w:bidi="ar-SA"/>
              </w:rPr>
              <w:t xml:space="preserve">）并加盖电子签章</w:t>
            </w:r>
            <w:r>
              <w:rPr>
                <w:rFonts w:hint="eastAsia" w:ascii="宋体" w:hAnsi="宋体" w:eastAsia="宋体" w:cs="宋体"/>
                <w:b/>
                <w:bCs/>
                <w:color w:val="auto"/>
                <w:sz w:val="24"/>
                <w:szCs w:val="24"/>
                <w:highlight w:val="none"/>
                <w:lang w:val="en-US" w:eastAsia="zh-CN" w:bidi="ar-SA"/>
              </w:rPr>
              <w:t xml:space="preserve">后方为有效</w:t>
            </w:r>
            <w:r>
              <w:rPr>
                <w:rFonts w:hint="eastAsia" w:ascii="宋体" w:hAnsi="宋体" w:cs="宋体"/>
                <w:b/>
                <w:bCs/>
                <w:color w:val="auto"/>
                <w:sz w:val="24"/>
                <w:szCs w:val="24"/>
                <w:highlight w:val="none"/>
                <w:lang w:val="en-US" w:eastAsia="zh-CN" w:bidi="ar-SA"/>
              </w:rPr>
              <w:t xml:space="preserve">。</w:t>
            </w:r>
            <w:r/>
          </w:p>
        </w:tc>
      </w:tr>
      <w:tr>
        <w:trPr>
          <w:jc w:val="center"/>
          <w:trHeight w:val="870"/>
        </w:trPr>
        <w:tc>
          <w:tcPr>
            <w:tcW w:w="1066" w:type="dxa"/>
            <w:vAlign w:val="center"/>
            <w:vMerge w:val="restart"/>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技术</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部分</w:t>
            </w:r>
            <w:r/>
          </w:p>
          <w:p>
            <w:pPr>
              <w:pStyle w:val="918"/>
              <w:ind w:left="0" w:right="0" w:firstLine="0"/>
              <w:jc w:val="center"/>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81</w:t>
            </w:r>
            <w:r>
              <w:rPr>
                <w:rFonts w:hint="eastAsia" w:ascii="宋体" w:hAnsi="宋体" w:eastAsia="宋体" w:cs="宋体"/>
                <w:color w:val="auto"/>
                <w:sz w:val="24"/>
                <w:szCs w:val="24"/>
                <w:highlight w:val="none"/>
                <w:lang w:val="en-US" w:eastAsia="zh-CN" w:bidi="ar-SA"/>
              </w:rPr>
              <w:t xml:space="preserve">分)</w:t>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项目团队</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成员配备</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拟派项目团队成员应具备特种设备使用、生产、充装和检验环节丰富的经验；每增加一名高级职称</w:t>
            </w:r>
            <w:r>
              <w:rPr>
                <w:rFonts w:hint="eastAsia" w:ascii="宋体" w:hAnsi="宋体" w:cs="宋体"/>
                <w:color w:val="auto"/>
                <w:sz w:val="24"/>
                <w:szCs w:val="24"/>
                <w:highlight w:val="none"/>
                <w:lang w:val="en-US" w:eastAsia="zh-CN" w:bidi="ar-SA"/>
              </w:rPr>
              <w:t xml:space="preserve">（专业与本项目相关，包括但不限于机械、化工等）或</w:t>
            </w:r>
            <w:r>
              <w:rPr>
                <w:rFonts w:hint="eastAsia" w:ascii="宋体" w:hAnsi="宋体" w:eastAsia="宋体" w:cs="宋体"/>
                <w:color w:val="auto"/>
                <w:sz w:val="24"/>
                <w:szCs w:val="24"/>
                <w:highlight w:val="none"/>
                <w:lang w:val="en-US" w:eastAsia="zh-CN" w:bidi="ar-SA"/>
              </w:rPr>
              <w:t xml:space="preserve">特种设备检验员</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特种设备安全检验师的人员可加1分，本项目最多得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注：需提供证书原件扫描件并加盖电子签章方为有效，否则不得分。一人持多证算一证。</w:t>
            </w:r>
            <w:r/>
          </w:p>
        </w:tc>
      </w:tr>
      <w:tr>
        <w:trPr>
          <w:jc w:val="center"/>
          <w:trHeight w:val="772"/>
        </w:trPr>
        <w:tc>
          <w:tcPr>
            <w:tcW w:w="1066" w:type="dxa"/>
            <w:vAlign w:val="center"/>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隐患排查</w:t>
            </w:r>
            <w:r>
              <w:rPr>
                <w:rFonts w:hint="eastAsia" w:ascii="宋体" w:hAnsi="宋体" w:cs="宋体"/>
                <w:b w:val="0"/>
                <w:bCs/>
                <w:color w:val="auto"/>
                <w:sz w:val="24"/>
                <w:szCs w:val="24"/>
                <w:highlight w:val="none"/>
                <w:lang w:val="en-US" w:eastAsia="zh-CN"/>
              </w:rPr>
              <w:t xml:space="preserve">工作</w:t>
            </w:r>
            <w:r>
              <w:rPr>
                <w:rFonts w:hint="eastAsia" w:ascii="宋体" w:hAnsi="宋体" w:cs="宋体"/>
                <w:color w:val="auto"/>
                <w:sz w:val="24"/>
                <w:szCs w:val="24"/>
                <w:highlight w:val="none"/>
                <w:lang w:val="en-US" w:eastAsia="zh-CN" w:bidi="ar-SA"/>
              </w:rPr>
              <w:t xml:space="preserve">方案</w:t>
            </w:r>
            <w:r/>
          </w:p>
          <w:p>
            <w:pPr>
              <w:pStyle w:val="918"/>
              <w:ind w:left="0" w:right="0" w:firstLine="0"/>
              <w:jc w:val="center"/>
              <w:keepLines w:val="0"/>
              <w:keepNext w:val="0"/>
              <w:pageBreakBefore w:val="0"/>
              <w:spacing w:before="0" w:after="0" w:line="240" w:lineRule="auto"/>
              <w:widowControl/>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根据供应商对本项目内容中特种设备</w:t>
            </w:r>
            <w:r>
              <w:rPr>
                <w:rFonts w:hint="eastAsia" w:ascii="宋体" w:hAnsi="宋体" w:eastAsia="宋体" w:cs="宋体"/>
                <w:b w:val="0"/>
                <w:bCs/>
                <w:color w:val="auto"/>
                <w:sz w:val="24"/>
                <w:szCs w:val="24"/>
                <w:highlight w:val="none"/>
                <w:lang w:val="en-US" w:eastAsia="zh-CN"/>
              </w:rPr>
              <w:t xml:space="preserve">隐患排查工作</w:t>
            </w:r>
            <w:r>
              <w:rPr>
                <w:rFonts w:hint="eastAsia" w:ascii="宋体" w:hAnsi="宋体" w:eastAsia="宋体" w:cs="宋体"/>
                <w:color w:val="auto"/>
                <w:sz w:val="24"/>
                <w:szCs w:val="24"/>
                <w:highlight w:val="none"/>
                <w:lang w:val="en-US" w:eastAsia="zh-CN" w:bidi="ar-SA"/>
              </w:rPr>
              <w:t xml:space="preserve">的实施方案内容表述合理可行性全面打分</w:t>
            </w:r>
            <w:r>
              <w:rPr>
                <w:rFonts w:hint="eastAsia" w:ascii="宋体" w:hAnsi="宋体" w:cs="宋体"/>
                <w:color w:val="auto"/>
                <w:sz w:val="24"/>
                <w:szCs w:val="24"/>
                <w:highlight w:val="none"/>
                <w:lang w:val="en-US" w:eastAsia="zh-CN" w:bidi="ar-SA"/>
              </w:rPr>
              <w:t xml:space="preserve">：</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内容的全面性（</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分）：全面具体详实得</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分；较全面得</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分；内容一般不全面得1分；存在较大漏项或缺陷得0分；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分）：切实可行得</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分；较切实可行得</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分；基本可行得1分；可行性欠缺得0分；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分）：针对性强得</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分；针对性较强得</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分；针对性一般得1分；针对性不强得0分。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未提供的得0分，本项最高得</w:t>
            </w:r>
            <w:r>
              <w:rPr>
                <w:rFonts w:hint="eastAsia" w:ascii="宋体" w:hAnsi="宋体" w:eastAsia="宋体" w:cs="宋体"/>
                <w:color w:val="auto"/>
                <w:sz w:val="24"/>
                <w:szCs w:val="24"/>
                <w:highlight w:val="none"/>
                <w:lang w:val="en-US" w:eastAsia="zh-CN" w:bidi="ar-SA"/>
              </w:rPr>
              <w:t xml:space="preserve">15</w:t>
            </w:r>
            <w:r>
              <w:rPr>
                <w:rFonts w:hint="default" w:ascii="宋体" w:hAnsi="宋体" w:eastAsia="宋体" w:cs="宋体"/>
                <w:color w:val="auto"/>
                <w:sz w:val="24"/>
                <w:szCs w:val="24"/>
                <w:highlight w:val="none"/>
                <w:lang w:val="en-US" w:eastAsia="zh-CN" w:bidi="ar-SA"/>
              </w:rPr>
              <w:t xml:space="preserve">分，最低得0分。</w:t>
            </w:r>
            <w:r/>
          </w:p>
        </w:tc>
      </w:tr>
      <w:tr>
        <w:trPr>
          <w:jc w:val="center"/>
          <w:trHeight w:val="772"/>
        </w:trPr>
        <w:tc>
          <w:tcPr>
            <w:tcW w:w="1066" w:type="dxa"/>
            <w:vAlign w:val="center"/>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专项检查工作</w:t>
            </w:r>
            <w:r>
              <w:rPr>
                <w:rFonts w:hint="eastAsia" w:ascii="宋体" w:hAnsi="宋体" w:cs="宋体"/>
                <w:b w:val="0"/>
                <w:bCs/>
                <w:color w:val="auto"/>
                <w:sz w:val="24"/>
                <w:szCs w:val="24"/>
                <w:highlight w:val="none"/>
                <w:lang w:val="en-US" w:eastAsia="zh-CN"/>
              </w:rPr>
              <w:t xml:space="preserve">方案</w:t>
            </w:r>
            <w:r/>
          </w:p>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根据供应商对本项目内容中特种设备专项检查工作的实施方案内容表述合理可行性全面打分：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内容的全面性（5分）：全面具体详实得5分；较全面得3分；内容一般不全面得1分；存在较大漏项或缺陷得0分；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可行性（5分）：切实可行得5分；较切实可行得3分；基本可行得1分；可行性欠缺得0分；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针对性（5分）：针对性强得5分；针对性较强得3分；针对性一般得1分；针对性不强得0分。</w:t>
            </w:r>
            <w:r/>
          </w:p>
          <w:p>
            <w:pPr>
              <w:pStyle w:val="918"/>
              <w:ind w:left="0" w:right="0" w:firstLine="0"/>
              <w:keepLines w:val="0"/>
              <w:keepNext w:val="0"/>
              <w:pageBreakBefore w:val="0"/>
              <w:spacing w:before="0" w:after="0" w:line="240" w:lineRule="auto"/>
              <w:widowControl/>
              <w:rPr>
                <w:rFonts w:hint="default"/>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未提供的得0分，本项最高得15分，最低得0分。</w:t>
            </w:r>
            <w:r/>
          </w:p>
        </w:tc>
      </w:tr>
      <w:tr>
        <w:trPr>
          <w:jc w:val="center"/>
          <w:trHeight w:val="330"/>
        </w:trPr>
        <w:tc>
          <w:tcPr>
            <w:tcW w:w="1066" w:type="dxa"/>
            <w:vAlign w:val="top"/>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top"/>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工作计划安排和进度计划表（</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tc>
        <w:tc>
          <w:tcPr>
            <w:tcW w:w="6981" w:type="dxa"/>
            <w:vAlign w:val="top"/>
            <w:textDirection w:val="lrTb"/>
            <w:noWrap w:val="false"/>
          </w:tcPr>
          <w:p>
            <w:pPr>
              <w:pStyle w:val="918"/>
              <w:ind w:left="0" w:right="0" w:firstLine="0"/>
              <w:jc w:val="both"/>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根据工作计划安排和进度计划表合理细致程度打分：合理细致得</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分，较合理细致得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分，方案</w:t>
            </w:r>
            <w:r>
              <w:rPr>
                <w:rFonts w:hint="eastAsia" w:ascii="宋体" w:hAnsi="宋体" w:cs="宋体"/>
                <w:color w:val="auto"/>
                <w:sz w:val="24"/>
                <w:szCs w:val="24"/>
                <w:highlight w:val="none"/>
                <w:lang w:val="en-US" w:eastAsia="zh-CN" w:bidi="ar-SA"/>
              </w:rPr>
              <w:t xml:space="preserve">一般可行</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基本合格得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分。未提供或与投标服务期承诺不一致得0分。</w:t>
            </w:r>
            <w:r/>
          </w:p>
        </w:tc>
      </w:tr>
      <w:tr>
        <w:trPr>
          <w:jc w:val="center"/>
          <w:trHeight w:val="165"/>
        </w:trPr>
        <w:tc>
          <w:tcPr>
            <w:tcW w:w="1066" w:type="dxa"/>
            <w:vAlign w:val="top"/>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根据质量保证措施合理可行程度打分：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内容的全面性（3分）：全面具体详实得3分；较全面得2分；内容一般不全面得1分；存在较大漏项或缺陷得0分；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可行性（3分）：切实可行得3分；较切实可行得2分；基本可行得1分；可行性欠缺得0分；</w:t>
            </w:r>
            <w:r/>
          </w:p>
          <w:p>
            <w:pPr>
              <w:pStyle w:val="918"/>
              <w:ind w:left="0" w:right="0" w:firstLine="0"/>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分）：针对性强得3分；针对性较强得2分；针对性一般得1分；针对性不强得0分。</w:t>
            </w:r>
            <w:r/>
          </w:p>
          <w:p>
            <w:pPr>
              <w:pStyle w:val="918"/>
              <w:ind w:left="0" w:right="0" w:firstLine="0"/>
              <w:keepLines w:val="0"/>
              <w:keepNext w:val="0"/>
              <w:pageBreakBefore w:val="0"/>
              <w:spacing w:before="0" w:after="0" w:line="240" w:lineRule="auto"/>
              <w:widowControl/>
              <w:rPr>
                <w:rFonts w:hint="default"/>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未提供的得0分，本项最高得</w:t>
            </w:r>
            <w:r>
              <w:rPr>
                <w:rFonts w:hint="eastAsia" w:ascii="宋体" w:hAnsi="宋体" w:eastAsia="宋体" w:cs="宋体"/>
                <w:color w:val="auto"/>
                <w:sz w:val="24"/>
                <w:szCs w:val="24"/>
                <w:highlight w:val="none"/>
                <w:lang w:val="en-US" w:eastAsia="zh-CN" w:bidi="ar-SA"/>
              </w:rPr>
              <w:t xml:space="preserve">9</w:t>
            </w:r>
            <w:r>
              <w:rPr>
                <w:rFonts w:hint="default" w:ascii="宋体" w:hAnsi="宋体" w:eastAsia="宋体" w:cs="宋体"/>
                <w:color w:val="auto"/>
                <w:sz w:val="24"/>
                <w:szCs w:val="24"/>
                <w:highlight w:val="none"/>
                <w:lang w:val="en-US" w:eastAsia="zh-CN" w:bidi="ar-SA"/>
              </w:rPr>
              <w:t xml:space="preserve">分，最低得0分。</w:t>
            </w:r>
            <w:r/>
          </w:p>
        </w:tc>
      </w:tr>
      <w:tr>
        <w:trPr>
          <w:jc w:val="center"/>
          <w:trHeight w:val="90"/>
        </w:trPr>
        <w:tc>
          <w:tcPr>
            <w:tcW w:w="1066" w:type="dxa"/>
            <w:vAlign w:val="top"/>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进度保证措施</w:t>
            </w:r>
            <w:r/>
          </w:p>
          <w:p>
            <w:pPr>
              <w:pStyle w:val="920"/>
              <w:jc w:val="center"/>
              <w:rPr>
                <w:rFonts w:hint="eastAsia"/>
                <w:lang w:val="en-US" w:eastAsia="zh-CN"/>
              </w:rPr>
            </w:pPr>
            <w:r>
              <w:rPr>
                <w:rFonts w:hint="eastAsia" w:ascii="宋体" w:hAnsi="宋体" w:eastAsia="宋体" w:cs="宋体"/>
                <w:color w:val="auto"/>
                <w:sz w:val="24"/>
                <w:szCs w:val="24"/>
                <w:highlight w:val="none"/>
                <w:lang w:val="en-US" w:eastAsia="zh-CN" w:bidi="ar-SA"/>
              </w:rPr>
              <w:t xml:space="preserve">（9分）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根据进度保证措施合理可行程度打分：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内容的全面性（3分）：全面具体详实得3分；较全面得2分；内容一般不全面得1分；存在较大漏项或缺陷得0分；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可行性（3分）：切实可行得3分；较切实可行得2分；基本可行得1分；可行性欠缺得0分；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分）：针对性强得3分；针对性较强得2分；针对性一般得1分；针对性不强得0分。</w:t>
            </w:r>
            <w:r/>
          </w:p>
          <w:p>
            <w:pPr>
              <w:pStyle w:val="918"/>
              <w:ind w:left="0" w:right="0" w:firstLine="0"/>
              <w:keepLines w:val="0"/>
              <w:keepNext w:val="0"/>
              <w:pageBreakBefore w:val="0"/>
              <w:spacing w:before="0" w:after="0" w:line="240" w:lineRule="auto"/>
              <w:widowControl/>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未提供的得0分，本项最高得9分，最低得0分。</w:t>
            </w:r>
            <w:r/>
          </w:p>
        </w:tc>
      </w:tr>
      <w:tr>
        <w:trPr>
          <w:jc w:val="center"/>
          <w:trHeight w:val="676"/>
        </w:trPr>
        <w:tc>
          <w:tcPr>
            <w:tcW w:w="1066" w:type="dxa"/>
            <w:vAlign w:val="top"/>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数字化平台应用方案</w:t>
            </w:r>
            <w:r/>
          </w:p>
          <w:p>
            <w:pPr>
              <w:pStyle w:val="918"/>
              <w:ind w:left="0" w:right="0" w:firstLine="0"/>
              <w:jc w:val="center"/>
              <w:keepLines w:val="0"/>
              <w:keepNext w:val="0"/>
              <w:pageBreakBefore w:val="0"/>
              <w:spacing w:before="0" w:after="0" w:line="24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（9分）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能够运用数字化隐患排查应用平台详细阐述实施流程，能够提供可在具体隐患排查实施过程中运用的隐患模板和隐患排查方案</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内容的全面性（3分）：全面具体详实得3分；较全面得2分；内容一般不全面得1分；存在较大漏项或缺陷得0分；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可行性（3分）：切实可行得3分；较切实可行得2分；基本可行得1分；可行性欠缺得0分；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分）：针对性强得3分；针对性较强得2分；针对性一般得1分；针对性不强得0分。</w:t>
            </w:r>
            <w:r/>
          </w:p>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未提供的得0分，本项最高得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1660"/>
        </w:trPr>
        <w:tc>
          <w:tcPr>
            <w:tcW w:w="1066" w:type="dxa"/>
            <w:vAlign w:val="top"/>
            <w:vMerge w:val="continue"/>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W w:w="1728" w:type="dxa"/>
            <w:vAlign w:val="center"/>
            <w:textDirection w:val="lrTb"/>
            <w:noWrap w:val="false"/>
          </w:tcPr>
          <w:p>
            <w:pPr>
              <w:pStyle w:val="918"/>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重、难点分析、发现重大违法行为的合理可行程度（</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tc>
        <w:tc>
          <w:tcPr>
            <w:tcW w:w="6981" w:type="dxa"/>
            <w:vAlign w:val="center"/>
            <w:textDirection w:val="lrTb"/>
            <w:noWrap w:val="false"/>
          </w:tcPr>
          <w:p>
            <w:pPr>
              <w:pStyle w:val="918"/>
              <w:ind w:left="0" w:right="0" w:firstLine="0"/>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根据对本项目研究进行的重、难点分析准确程度发现重大违法行为的合理可行程度打分：分析准确、合理、能够准确全面发现重大违法行为得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分，分析较准确、较合理，较为充分的发现重大违法行为得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分，分析基本合格、可以发现明显重大违法行为得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分，分析</w:t>
            </w:r>
            <w:r>
              <w:rPr>
                <w:rFonts w:hint="eastAsia" w:ascii="宋体" w:hAnsi="宋体" w:cs="宋体"/>
                <w:color w:val="auto"/>
                <w:sz w:val="24"/>
                <w:szCs w:val="24"/>
                <w:highlight w:val="none"/>
                <w:lang w:val="en-US" w:eastAsia="zh-CN" w:bidi="ar-SA"/>
              </w:rPr>
              <w:t xml:space="preserve">准确性不高、合理性一般得1分，</w:t>
            </w:r>
            <w:r>
              <w:rPr>
                <w:rFonts w:hint="eastAsia" w:ascii="宋体" w:hAnsi="宋体" w:eastAsia="宋体" w:cs="宋体"/>
                <w:color w:val="auto"/>
                <w:sz w:val="24"/>
                <w:szCs w:val="24"/>
                <w:highlight w:val="none"/>
                <w:lang w:val="en-US" w:eastAsia="zh-CN" w:bidi="ar-SA"/>
              </w:rPr>
              <w:t xml:space="preserve">未提供得0分。</w:t>
            </w:r>
            <w:r/>
          </w:p>
        </w:tc>
      </w:tr>
    </w:tbl>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spacing w:line="44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本章说明：1、本项目采用综合评分法。</w:t>
      </w:r>
      <w:r/>
    </w:p>
    <w:p>
      <w:pPr>
        <w:numPr>
          <w:ilvl w:val="0"/>
          <w:numId w:val="3"/>
        </w:numPr>
        <w:ind w:firstLine="1200"/>
        <w:spacing w:line="44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评分结果精确到小数点后两位。</w:t>
      </w:r>
      <w:r/>
    </w:p>
    <w:p>
      <w:pPr>
        <w:pStyle w:val="923"/>
        <w:ind w:left="0"/>
        <w:rPr>
          <w:color w:val="auto"/>
          <w:highlight w:val="none"/>
        </w:rPr>
      </w:pPr>
      <w:r>
        <w:rPr>
          <w:color w:val="auto"/>
          <w:highlight w:val="none"/>
        </w:rPr>
      </w:r>
      <w:r/>
    </w:p>
    <w:p>
      <w:pPr>
        <w:pStyle w:val="923"/>
        <w:ind w:left="0"/>
        <w:rPr>
          <w:color w:val="auto"/>
          <w:highlight w:val="none"/>
        </w:rPr>
      </w:pPr>
      <w:r>
        <w:rPr>
          <w:color w:val="auto"/>
          <w:highlight w:val="none"/>
        </w:rPr>
      </w:r>
      <w:r/>
    </w:p>
    <w:p>
      <w:pPr>
        <w:pStyle w:val="923"/>
        <w:ind w:left="0"/>
        <w:rPr>
          <w:color w:val="auto"/>
          <w:highlight w:val="none"/>
        </w:rPr>
      </w:pPr>
      <w:r>
        <w:rPr>
          <w:color w:val="auto"/>
          <w:highlight w:val="none"/>
        </w:rPr>
      </w:r>
      <w:r/>
    </w:p>
    <w:p>
      <w:pPr>
        <w:pStyle w:val="1197"/>
        <w:ind w:firstLine="0"/>
        <w:jc w:val="center"/>
        <w:rPr>
          <w:rFonts w:ascii="宋体" w:hAnsi="宋体" w:cs="宋体"/>
          <w:b/>
          <w:bCs/>
          <w:color w:val="auto"/>
          <w:sz w:val="36"/>
          <w:highlight w:val="none"/>
        </w:rPr>
      </w:pPr>
      <w:r>
        <w:rPr>
          <w:rFonts w:hint="eastAsia" w:cs="宋体" w:asciiTheme="minorEastAsia" w:hAnsiTheme="minorEastAsia" w:eastAsiaTheme="minorEastAsia"/>
          <w:b/>
          <w:bCs/>
          <w:color w:val="auto"/>
          <w:sz w:val="36"/>
          <w:szCs w:val="24"/>
          <w:highlight w:val="none"/>
        </w:rPr>
        <w:t xml:space="preserve">2.项目要求（采购需求）</w:t>
      </w:r>
      <w:r/>
    </w:p>
    <w:p>
      <w:pPr>
        <w:ind w:firstLine="482"/>
        <w:jc w:val="left"/>
        <w:spacing w:line="400" w:lineRule="atLeas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一、项目概况</w:t>
      </w:r>
      <w:r/>
    </w:p>
    <w:p>
      <w:pPr>
        <w:ind w:firstLine="482"/>
        <w:jc w:val="left"/>
        <w:spacing w:line="40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、项目名称：</w:t>
      </w:r>
      <w:r>
        <w:rPr>
          <w:rFonts w:hint="eastAsia" w:ascii="宋体" w:hAnsi="宋体" w:cs="宋体"/>
          <w:b w:val="0"/>
          <w:bCs/>
          <w:color w:val="auto"/>
          <w:sz w:val="24"/>
          <w:szCs w:val="24"/>
          <w:highlight w:val="none"/>
          <w:lang w:val="en-US" w:eastAsia="zh-CN"/>
        </w:rPr>
        <w:t xml:space="preserve">徐州经开区2026年特种设备安全生产隐患排查治理项目</w:t>
      </w:r>
      <w:r/>
    </w:p>
    <w:p>
      <w:pPr>
        <w:ind w:firstLine="482"/>
        <w:jc w:val="left"/>
        <w:spacing w:line="40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2、项目地址：徐州经开区。</w:t>
      </w:r>
      <w:r/>
    </w:p>
    <w:p>
      <w:pPr>
        <w:ind w:firstLine="482"/>
        <w:jc w:val="left"/>
        <w:spacing w:line="40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3、本项目不接受超过135万元人民币（采购项目预算金额）的报价；报价包括全部费用，采购人不再支付报价以外的任何费用。</w:t>
      </w:r>
      <w:r/>
    </w:p>
    <w:p>
      <w:pPr>
        <w:ind w:firstLine="482"/>
        <w:jc w:val="left"/>
        <w:spacing w:line="400" w:lineRule="atLeas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4、项目服务期限：合同签订后至</w:t>
      </w:r>
      <w:r>
        <w:rPr>
          <w:rFonts w:hint="eastAsia" w:ascii="宋体" w:hAnsi="宋体" w:cs="宋体"/>
          <w:b w:val="0"/>
          <w:bCs/>
          <w:color w:val="auto"/>
          <w:sz w:val="24"/>
          <w:szCs w:val="24"/>
          <w:highlight w:val="none"/>
          <w:lang w:val="en-US" w:eastAsia="zh-CN"/>
        </w:rPr>
        <w:t xml:space="preserve">2026年</w:t>
      </w:r>
      <w:r>
        <w:rPr>
          <w:rFonts w:hint="eastAsia" w:ascii="宋体" w:hAnsi="宋体" w:eastAsia="宋体" w:cs="宋体"/>
          <w:b w:val="0"/>
          <w:bCs/>
          <w:color w:val="auto"/>
          <w:sz w:val="24"/>
          <w:szCs w:val="24"/>
          <w:highlight w:val="none"/>
          <w:lang w:val="en-US" w:eastAsia="zh-CN"/>
        </w:rPr>
        <w:t xml:space="preserve">12月31日。</w:t>
      </w:r>
      <w:r/>
    </w:p>
    <w:p>
      <w:pPr>
        <w:ind w:firstLine="482"/>
        <w:jc w:val="left"/>
        <w:spacing w:line="40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二、项目背景</w:t>
      </w:r>
      <w:r/>
    </w:p>
    <w:p>
      <w:pPr>
        <w:ind w:firstLine="482"/>
        <w:jc w:val="left"/>
        <w:spacing w:line="400" w:lineRule="atLeas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经开区现有特种设备使用单位1590家，在用各类特种设备25340台套。其中包括锅炉51台、压力容器7996台、电梯5703台、起重机6465台、厂内车辆5125台，设备总量占到市辖区的40%。此外还有压力管道使用单位124家约728.685公里，充装单位7家（含4家CNG/LNG充装）。现存设备主要集中在电梯、压力容器、压力管道、起重机械、场内车辆五大类。2016-2024年特种设备平均年增长率约为14%左右。</w:t>
      </w:r>
      <w:r/>
    </w:p>
    <w:p>
      <w:pPr>
        <w:ind w:firstLine="482"/>
        <w:jc w:val="left"/>
        <w:spacing w:line="400" w:lineRule="atLeas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特种设备不仅用于工业生产，还大量使用在医院、车站、大型商业体等人员密集场所，高层住宅居民小区以及居民供气、供热等公共工程，关乎社会民生。我局现有从事特种设备监管的人员8人，人均需监管3168台特种设备，监管力量严重不足。在特种设备使用过程中存在违章作业、私自改造、维保使用不规范等安全隐患，仅凭市场监管局实施的执法检查难以全部发现。</w:t>
      </w:r>
      <w:r/>
    </w:p>
    <w:p>
      <w:pPr>
        <w:ind w:firstLine="482"/>
        <w:jc w:val="left"/>
        <w:spacing w:line="400" w:lineRule="atLeast"/>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为进一步做好经开区特种设备安全生产工作，保障人民群众生命财产安全，结合经开区特种设备基本情况，拟参照安全生产工作模式，时间期限为全年，按照区《关于全面推行安全生产隐患排查治理社会化市场化工作的实施意见》（徐开管〔2016〕26号）要求，采用政府采购的形式确定我区特种设备安全隐患排查承接主体。根据企业特种设备风险点发生事故的可能性大小、人员处于危险环境的频繁程度、事故产生的后果严重程度，筛选并排定隐患排查企业</w:t>
      </w:r>
      <w:r>
        <w:rPr>
          <w:rFonts w:hint="eastAsia" w:ascii="宋体" w:hAnsi="宋体" w:eastAsia="宋体" w:cs="宋体"/>
          <w:b w:val="0"/>
          <w:bCs/>
          <w:color w:val="auto"/>
          <w:sz w:val="24"/>
          <w:szCs w:val="24"/>
          <w:highlight w:val="none"/>
          <w:lang w:val="en-US" w:eastAsia="zh-CN"/>
        </w:rPr>
        <w:t xml:space="preserve">名单，包括气体充装单位、电站企业、化工企业、燃气单位、人员密集场所、长输管道企业、危化品运输企业、使用电梯的高层住宅、供热企业、拆迁安置小区等，由社会代理采购机构负责招标。同时，在隐患排查工作的基础上，根据《徐州经济技术开发区市场监管系统安全生产治本攻坚三年行动2026年重点工作任务》，拟开展特种设备生产单位、埋地管道、老旧住宅电梯及各类工业园区内场（厂）内机动车辆特种设备专项隐患排查工作，意在统筹各行业领域中特种设备的问题隐患，总结各行业领域中特种设备的安全治理经验，建立分类分级管控、精准治理的长效机制。</w:t>
      </w:r>
      <w:r/>
    </w:p>
    <w:p>
      <w:pPr>
        <w:ind w:firstLine="482"/>
        <w:jc w:val="left"/>
        <w:spacing w:line="400" w:lineRule="atLeast"/>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区市场监督管理局按照经开区特种设备使用单位名单，结合日常检查数据和上级部门确定的重点监管领域，共计排出178家单位为2026年度隐患排查单位（见附件1）。特种设备生产单位共计32家，工业园区12个，使用电梯的住宅小区20个，130家特种设备使用单位的工业管道约1.7万条。共计使用特种设备13849台套，占全区在用特种设备数量的55%。</w:t>
      </w:r>
      <w:r/>
    </w:p>
    <w:p>
      <w:pPr>
        <w:ind w:firstLine="482"/>
        <w:jc w:val="left"/>
        <w:spacing w:line="400" w:lineRule="atLeast"/>
        <w:widowControl w:val="off"/>
        <w:rPr>
          <w:rFonts w:hint="default"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注：具体单位根据实际情况可能变化，总数不变。专项检查包括但不限于上述单位。</w:t>
      </w:r>
      <w:r/>
    </w:p>
    <w:p>
      <w:pPr>
        <w:ind w:firstLine="482"/>
        <w:jc w:val="left"/>
        <w:spacing w:line="40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三、项目内容及服务要求</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1、项目内容：</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特种设备隐患排查工作：</w:t>
      </w:r>
      <w:r>
        <w:rPr>
          <w:rFonts w:hint="eastAsia" w:ascii="宋体" w:hAnsi="宋体" w:eastAsia="宋体" w:cs="宋体"/>
          <w:b w:val="0"/>
          <w:bCs/>
          <w:color w:val="auto"/>
          <w:sz w:val="24"/>
          <w:szCs w:val="24"/>
          <w:highlight w:val="none"/>
        </w:rPr>
        <w:t xml:space="preserve">对</w:t>
      </w:r>
      <w:r>
        <w:rPr>
          <w:rFonts w:hint="eastAsia" w:ascii="宋体" w:hAnsi="宋体" w:eastAsia="宋体" w:cs="宋体"/>
          <w:b w:val="0"/>
          <w:bCs/>
          <w:color w:val="auto"/>
          <w:sz w:val="24"/>
          <w:szCs w:val="24"/>
          <w:highlight w:val="none"/>
          <w:lang w:val="en-US" w:eastAsia="zh-CN"/>
        </w:rPr>
        <w:t xml:space="preserve">178</w:t>
      </w:r>
      <w:r>
        <w:rPr>
          <w:rFonts w:hint="eastAsia" w:ascii="宋体" w:hAnsi="宋体" w:eastAsia="宋体" w:cs="宋体"/>
          <w:b w:val="0"/>
          <w:bCs/>
          <w:color w:val="auto"/>
          <w:sz w:val="24"/>
          <w:szCs w:val="24"/>
          <w:highlight w:val="none"/>
        </w:rPr>
        <w:t xml:space="preserve">家特种设备</w:t>
      </w:r>
      <w:r>
        <w:rPr>
          <w:rFonts w:hint="eastAsia" w:ascii="宋体" w:hAnsi="宋体" w:eastAsia="宋体" w:cs="宋体"/>
          <w:b w:val="0"/>
          <w:bCs/>
          <w:color w:val="auto"/>
          <w:sz w:val="24"/>
          <w:szCs w:val="24"/>
          <w:highlight w:val="none"/>
          <w:lang w:val="en-US" w:eastAsia="zh-CN"/>
        </w:rPr>
        <w:t xml:space="preserve">使用单位</w:t>
      </w:r>
      <w:r>
        <w:rPr>
          <w:rFonts w:hint="eastAsia" w:ascii="宋体" w:hAnsi="宋体" w:eastAsia="宋体" w:cs="宋体"/>
          <w:b w:val="0"/>
          <w:bCs/>
          <w:color w:val="auto"/>
          <w:sz w:val="24"/>
          <w:szCs w:val="24"/>
          <w:highlight w:val="none"/>
        </w:rPr>
        <w:t xml:space="preserve">开展</w:t>
      </w:r>
      <w:r>
        <w:rPr>
          <w:rFonts w:hint="eastAsia" w:ascii="宋体" w:hAnsi="宋体" w:eastAsia="宋体" w:cs="宋体"/>
          <w:b w:val="0"/>
          <w:bCs/>
          <w:color w:val="auto"/>
          <w:sz w:val="24"/>
          <w:szCs w:val="24"/>
          <w:highlight w:val="none"/>
          <w:lang w:val="en-US" w:eastAsia="zh-CN"/>
        </w:rPr>
        <w:t xml:space="preserve">全年1次的</w:t>
      </w:r>
      <w:r>
        <w:rPr>
          <w:rFonts w:hint="eastAsia" w:ascii="宋体" w:hAnsi="宋体" w:eastAsia="宋体" w:cs="宋体"/>
          <w:b w:val="0"/>
          <w:bCs/>
          <w:color w:val="auto"/>
          <w:sz w:val="24"/>
          <w:szCs w:val="24"/>
          <w:highlight w:val="none"/>
        </w:rPr>
        <w:t xml:space="preserve">隐患排查治理工作。</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特种设备专项检查工作：对32家特种设备生产单位、12个工业园区、20个使用电梯的住宅小区开展特种设备专项检查工作，开展130家特种设备使用单位压力管道隐患排查整治，完善智慧服务平台功能，提供技术支撑，利用管道编码试点推动压力管道使用单位自查自纠，完善压力管道数据动态精准管理。</w:t>
      </w:r>
      <w:r/>
    </w:p>
    <w:p>
      <w:pPr>
        <w:ind w:left="0" w:firstLine="480"/>
        <w:jc w:val="both"/>
        <w:spacing w:after="0" w:line="360" w:lineRule="auto"/>
        <w:widowControl w:val="off"/>
        <w:rPr>
          <w:rFonts w:hint="default" w:ascii="宋体" w:hAnsi="宋体" w:eastAsia="宋体" w:cs="Times New Roman"/>
          <w:sz w:val="20"/>
          <w:szCs w:val="20"/>
          <w:lang w:val="en-US" w:eastAsia="zh-CN" w:bidi="ar-SA"/>
        </w:rPr>
      </w:pPr>
      <w:r>
        <w:rPr>
          <w:rFonts w:hint="eastAsia" w:ascii="宋体" w:hAnsi="宋体" w:eastAsia="宋体" w:cs="宋体"/>
          <w:b w:val="0"/>
          <w:bCs/>
          <w:color w:val="auto"/>
          <w:sz w:val="24"/>
          <w:szCs w:val="24"/>
          <w:highlight w:val="none"/>
          <w:lang w:val="en-US" w:eastAsia="zh-CN" w:bidi="ar-SA"/>
        </w:rPr>
        <w:t xml:space="preserve">（3）结合隐患排查情况，为特种设备相关培训提供技术授课4场。</w:t>
      </w:r>
      <w:r/>
    </w:p>
    <w:p>
      <w:pPr>
        <w:ind w:firstLine="480"/>
        <w:jc w:val="both"/>
        <w:spacing w:line="360" w:lineRule="auto"/>
        <w:widowControl w:val="off"/>
        <w:rPr>
          <w:rFonts w:hint="default" w:ascii="仿宋_GB2312" w:hAnsi="Arial" w:eastAsia="宋体" w:cs="Times New Roman"/>
          <w:sz w:val="30"/>
          <w:szCs w:val="30"/>
          <w:lang w:val="en-US" w:eastAsia="zh-CN" w:bidi="ar-SA"/>
        </w:rPr>
      </w:pPr>
      <w:r>
        <w:rPr>
          <w:rFonts w:hint="eastAsia" w:ascii="宋体" w:hAnsi="宋体" w:eastAsia="宋体" w:cs="宋体"/>
          <w:b w:val="0"/>
          <w:bCs/>
          <w:color w:val="auto"/>
          <w:sz w:val="24"/>
          <w:szCs w:val="24"/>
          <w:highlight w:val="none"/>
          <w:lang w:val="en-US" w:eastAsia="zh-CN" w:bidi="ar-SA"/>
        </w:rPr>
        <w:t xml:space="preserve">根据实际情况上述特种设备隐患排查工作具体排查单位可能会调整，总家数保持不变。专项检查工作包括但不限于上述单位。</w:t>
      </w:r>
      <w:r/>
    </w:p>
    <w:p>
      <w:pPr>
        <w:ind w:firstLine="480"/>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2、服务要求：</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（1）乙方应提供日常检查所需车辆，保证检查人员日常用车需求，集中检查时应适当增加车辆，所提供车辆必须手续齐全、状况良好，能满足检查的需求，车辆所产生的一切费用均由乙方承担。</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（2）检查机构应提供具备相应资质、安全管理经验丰富的人员开展隐患排查治理工作，按照排查单位类型的不同成立专门的小组，其中具备特种设备安全</w:t>
      </w:r>
      <w:r>
        <w:rPr>
          <w:rFonts w:hint="eastAsia" w:ascii="宋体" w:hAnsi="宋体" w:eastAsia="宋体" w:cs="宋体"/>
          <w:b w:val="0"/>
          <w:bCs/>
          <w:color w:val="auto"/>
          <w:sz w:val="24"/>
          <w:szCs w:val="24"/>
          <w:highlight w:val="none"/>
          <w:lang w:eastAsia="zh-CN"/>
        </w:rPr>
        <w:t xml:space="preserve">知识</w:t>
      </w:r>
      <w:r>
        <w:rPr>
          <w:rFonts w:hint="eastAsia" w:ascii="宋体" w:hAnsi="宋体" w:eastAsia="宋体" w:cs="宋体"/>
          <w:b w:val="0"/>
          <w:bCs/>
          <w:color w:val="auto"/>
          <w:sz w:val="24"/>
          <w:szCs w:val="24"/>
          <w:highlight w:val="none"/>
        </w:rPr>
        <w:t xml:space="preserve">的人员不得少于</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人。小组设组长一人，具备</w:t>
      </w:r>
      <w:r>
        <w:rPr>
          <w:rFonts w:hint="eastAsia" w:ascii="宋体" w:hAnsi="宋体" w:eastAsia="宋体" w:cs="宋体"/>
          <w:b w:val="0"/>
          <w:bCs/>
          <w:color w:val="auto"/>
          <w:sz w:val="24"/>
          <w:szCs w:val="24"/>
          <w:highlight w:val="none"/>
          <w:lang w:eastAsia="zh-CN"/>
        </w:rPr>
        <w:t xml:space="preserve">中级及以上</w:t>
      </w:r>
      <w:r>
        <w:rPr>
          <w:rFonts w:hint="eastAsia" w:ascii="宋体" w:hAnsi="宋体" w:eastAsia="宋体" w:cs="宋体"/>
          <w:b w:val="0"/>
          <w:bCs/>
          <w:color w:val="auto"/>
          <w:sz w:val="24"/>
          <w:szCs w:val="24"/>
          <w:highlight w:val="none"/>
        </w:rPr>
        <w:t xml:space="preserve">职称，原则上应是市级专家库专家，</w:t>
      </w:r>
      <w:r>
        <w:rPr>
          <w:rFonts w:hint="eastAsia" w:ascii="宋体" w:hAnsi="宋体" w:eastAsia="宋体" w:cs="宋体"/>
          <w:b w:val="0"/>
          <w:bCs/>
          <w:color w:val="auto"/>
          <w:sz w:val="24"/>
          <w:szCs w:val="24"/>
          <w:highlight w:val="none"/>
          <w:lang w:eastAsia="zh-CN"/>
        </w:rPr>
        <w:t xml:space="preserve">具备丰富的</w:t>
      </w:r>
      <w:r>
        <w:rPr>
          <w:rFonts w:hint="eastAsia" w:ascii="宋体" w:hAnsi="宋体" w:eastAsia="宋体" w:cs="宋体"/>
          <w:b w:val="0"/>
          <w:bCs/>
          <w:color w:val="auto"/>
          <w:sz w:val="24"/>
          <w:szCs w:val="24"/>
          <w:highlight w:val="none"/>
        </w:rPr>
        <w:t xml:space="preserve">安全管理工作</w:t>
      </w:r>
      <w:r>
        <w:rPr>
          <w:rFonts w:hint="eastAsia" w:ascii="宋体" w:hAnsi="宋体" w:eastAsia="宋体" w:cs="宋体"/>
          <w:b w:val="0"/>
          <w:bCs/>
          <w:color w:val="auto"/>
          <w:sz w:val="24"/>
          <w:szCs w:val="24"/>
          <w:highlight w:val="none"/>
          <w:lang w:eastAsia="zh-CN"/>
        </w:rPr>
        <w:t xml:space="preserve">经验</w:t>
      </w:r>
      <w:r>
        <w:rPr>
          <w:rFonts w:hint="eastAsia" w:ascii="宋体" w:hAnsi="宋体" w:eastAsia="宋体" w:cs="宋体"/>
          <w:b w:val="0"/>
          <w:bCs/>
          <w:color w:val="auto"/>
          <w:sz w:val="24"/>
          <w:szCs w:val="24"/>
          <w:highlight w:val="none"/>
        </w:rPr>
        <w:t xml:space="preserve">。</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（3）对各类单位进行排查的时间</w:t>
      </w:r>
      <w:r>
        <w:rPr>
          <w:rFonts w:hint="eastAsia" w:ascii="宋体" w:hAnsi="宋体" w:eastAsia="宋体" w:cs="宋体"/>
          <w:b w:val="0"/>
          <w:bCs/>
          <w:color w:val="auto"/>
          <w:sz w:val="24"/>
          <w:szCs w:val="24"/>
          <w:highlight w:val="none"/>
          <w:lang w:eastAsia="zh-CN"/>
        </w:rPr>
        <w:t xml:space="preserve">由检查机构按照现场实际情况进行安排</w:t>
      </w:r>
      <w:r>
        <w:rPr>
          <w:rFonts w:hint="eastAsia" w:ascii="宋体" w:hAnsi="宋体" w:eastAsia="宋体" w:cs="宋体"/>
          <w:b w:val="0"/>
          <w:bCs/>
          <w:color w:val="auto"/>
          <w:sz w:val="24"/>
          <w:szCs w:val="24"/>
          <w:highlight w:val="none"/>
        </w:rPr>
        <w:t xml:space="preserve">；对排查出的隐患组织</w:t>
      </w:r>
      <w:r>
        <w:rPr>
          <w:rFonts w:hint="eastAsia" w:ascii="宋体" w:hAnsi="宋体" w:eastAsia="宋体" w:cs="宋体"/>
          <w:b w:val="0"/>
          <w:bCs/>
          <w:color w:val="auto"/>
          <w:sz w:val="24"/>
          <w:szCs w:val="24"/>
          <w:highlight w:val="none"/>
          <w:lang w:eastAsia="zh-CN"/>
        </w:rPr>
        <w:t xml:space="preserve">需</w:t>
      </w:r>
      <w:r>
        <w:rPr>
          <w:rFonts w:hint="eastAsia" w:ascii="宋体" w:hAnsi="宋体" w:eastAsia="宋体" w:cs="宋体"/>
          <w:b w:val="0"/>
          <w:bCs/>
          <w:color w:val="auto"/>
          <w:sz w:val="24"/>
          <w:szCs w:val="24"/>
          <w:highlight w:val="none"/>
        </w:rPr>
        <w:t xml:space="preserve">现场</w:t>
      </w:r>
      <w:r>
        <w:rPr>
          <w:rFonts w:hint="eastAsia" w:ascii="宋体" w:hAnsi="宋体" w:eastAsia="宋体" w:cs="宋体"/>
          <w:b w:val="0"/>
          <w:bCs/>
          <w:color w:val="auto"/>
          <w:sz w:val="24"/>
          <w:szCs w:val="24"/>
          <w:highlight w:val="none"/>
          <w:lang w:eastAsia="zh-CN"/>
        </w:rPr>
        <w:t xml:space="preserve">再度</w:t>
      </w:r>
      <w:r>
        <w:rPr>
          <w:rFonts w:hint="eastAsia" w:ascii="宋体" w:hAnsi="宋体" w:eastAsia="宋体" w:cs="宋体"/>
          <w:b w:val="0"/>
          <w:bCs/>
          <w:color w:val="auto"/>
          <w:sz w:val="24"/>
          <w:szCs w:val="24"/>
          <w:highlight w:val="none"/>
        </w:rPr>
        <w:t xml:space="preserve">复查，复查人员中</w:t>
      </w:r>
      <w:r>
        <w:rPr>
          <w:rFonts w:hint="eastAsia" w:ascii="宋体" w:hAnsi="宋体" w:eastAsia="宋体" w:cs="宋体"/>
          <w:b w:val="0"/>
          <w:bCs/>
          <w:color w:val="auto"/>
          <w:sz w:val="24"/>
          <w:szCs w:val="24"/>
          <w:highlight w:val="none"/>
          <w:lang w:eastAsia="zh-CN"/>
        </w:rPr>
        <w:t xml:space="preserve">应有</w:t>
      </w:r>
      <w:r>
        <w:rPr>
          <w:rFonts w:hint="eastAsia" w:ascii="宋体" w:hAnsi="宋体" w:eastAsia="宋体" w:cs="宋体"/>
          <w:b w:val="0"/>
          <w:bCs/>
          <w:color w:val="auto"/>
          <w:sz w:val="24"/>
          <w:szCs w:val="24"/>
          <w:highlight w:val="none"/>
        </w:rPr>
        <w:t xml:space="preserve">发现该安全隐患并提出整改措施和完成效果的工作人员。</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隐患排查治理工作的整体报告列举的问题和隐患，应由存在的安全隐患或问题、法律法规和规范标准依据、整改建议和措施和整改应达到的效果组成，应附有呈现安全隐患状况的图片和相应的文字说明，应有企业基本情况和安全管理人员及联系电话，应有专家签字和安全技术服务机构盖章；对报告提及的安全隐患和问题应组织复查，并对整改成效进行验收，附有整改情况的照片和文字说明。</w:t>
      </w:r>
      <w:r/>
    </w:p>
    <w:p>
      <w:pPr>
        <w:ind w:firstLine="482"/>
        <w:jc w:val="left"/>
        <w:spacing w:line="40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四、人员配备要求</w:t>
      </w:r>
      <w:r/>
    </w:p>
    <w:p>
      <w:pPr>
        <w:ind w:firstLine="482"/>
        <w:jc w:val="left"/>
        <w:spacing w:line="400" w:lineRule="atLeas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供应商根据本项目的特点在满足项目服务要求的前提下自行合理配置人员。</w:t>
      </w:r>
      <w:r/>
    </w:p>
    <w:p>
      <w:pPr>
        <w:ind w:firstLine="482"/>
        <w:jc w:val="left"/>
        <w:spacing w:line="400" w:lineRule="atLeas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五、现场排查要求：</w:t>
      </w:r>
      <w:r/>
    </w:p>
    <w:p>
      <w:pPr>
        <w:ind w:firstLine="480"/>
        <w:jc w:val="left"/>
        <w:spacing w:line="400" w:lineRule="atLeas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1.现场检查按照实际情况安排时间，保证足够时间开展现场检查，重点对生产工艺（加工流程）、违章作业等情况进行检查；</w:t>
      </w:r>
      <w:r/>
    </w:p>
    <w:p>
      <w:pPr>
        <w:ind w:firstLine="480"/>
        <w:jc w:val="left"/>
        <w:spacing w:line="400" w:lineRule="atLeas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2.每次检查专家中，至少3人熟悉特种设备安全生产工作，能够发现现场系统性、工艺中和日常使用中的安全隐患，电梯检查需要配备机电相关专家，能够对电梯的维保质量进行隐患排查；</w:t>
      </w:r>
      <w:r/>
    </w:p>
    <w:p>
      <w:pPr>
        <w:ind w:firstLine="480"/>
        <w:jc w:val="left"/>
        <w:spacing w:line="400" w:lineRule="atLeas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每次检查结束必须出具检查情况书面报告，用文字加照片的形式将发现问题和隐患记录清楚，发现重大隐患应立即移交；整改结束后组织复查，复查结果也用文字加照片的形式记录，每家单位按照“一企一册”的标准，将检查工作完整记录；</w:t>
      </w:r>
      <w:r/>
    </w:p>
    <w:p>
      <w:pPr>
        <w:ind w:firstLine="480"/>
        <w:jc w:val="left"/>
        <w:spacing w:line="400" w:lineRule="atLeas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4.对每家检查应有针对性的管理提升建议（预防性措施），以利于被检查单位提升安全管理水平；</w:t>
      </w:r>
      <w:r/>
    </w:p>
    <w:p>
      <w:pPr>
        <w:ind w:firstLine="480"/>
        <w:jc w:val="left"/>
        <w:spacing w:line="400" w:lineRule="atLeas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5.落实企业特种设备智慧监管平台使用情况，包括企业是否经常登录使用平台、平台设备数据与实际设备数是否相符、企业是否上传相关材料、是否如实填写安全管理人员和作业人员等。</w:t>
      </w:r>
      <w:r/>
    </w:p>
    <w:p>
      <w:pPr>
        <w:ind w:firstLine="482"/>
        <w:jc w:val="left"/>
        <w:spacing w:line="400" w:lineRule="atLeas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六、项目方案要求</w:t>
      </w:r>
      <w:r/>
    </w:p>
    <w:p>
      <w:pPr>
        <w:ind w:firstLine="480"/>
        <w:jc w:val="left"/>
        <w:spacing w:line="400" w:lineRule="atLeas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必须针对本项目的实际情况、服务要求，制定科学、合理、具体并具有较强可操作性的项目服务方案，同时制定切实可行的任务计划、资源安排等内容，组织具有丰富经验和相应专业技术的技术人员，组成强有力的管理、技术队伍，完成任务。</w:t>
      </w:r>
      <w:r/>
    </w:p>
    <w:p>
      <w:pPr>
        <w:ind w:firstLine="482"/>
        <w:jc w:val="left"/>
        <w:spacing w:line="400" w:lineRule="atLeas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《特种设备安全隐患排查推荐内容》详见附件4</w:t>
      </w:r>
      <w:r/>
    </w:p>
    <w:p>
      <w:pPr>
        <w:ind w:firstLine="482"/>
        <w:jc w:val="left"/>
        <w:spacing w:line="400" w:lineRule="atLeas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其他要求：见磋商文件《拟签订的合同文本》。</w:t>
      </w:r>
      <w:r/>
    </w:p>
    <w:p>
      <w:pPr>
        <w:jc w:val="left"/>
        <w:spacing w:line="40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left"/>
        <w:spacing w:line="40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center"/>
        <w:spacing w:line="480" w:lineRule="exact"/>
        <w:rPr>
          <w:rFonts w:hint="eastAsia" w:ascii="宋体" w:hAnsi="宋体" w:eastAsia="宋体" w:cs="宋体"/>
          <w:color w:val="auto"/>
          <w:sz w:val="24"/>
          <w:highlight w:val="none"/>
        </w:rPr>
        <w:sectPr>
          <w:headerReference w:type="default" r:id="rId11"/>
          <w:footerReference w:type="default" r:id="rId15"/>
          <w:footnotePr/>
          <w:endnotePr/>
          <w:type w:val="nextPage"/>
          <w:pgSz w:w="11906" w:h="16838" w:orient="portrait"/>
          <w:pgMar w:top="1588" w:right="1418" w:bottom="1474" w:left="1474" w:header="851" w:footer="992" w:gutter="0"/>
          <w:pgNumType w:start="1"/>
          <w:cols w:num="1" w:sep="0" w:space="720" w:equalWidth="1"/>
          <w:docGrid w:linePitch="360"/>
        </w:sectPr>
      </w:pPr>
      <w:r>
        <w:rPr>
          <w:rFonts w:hint="eastAsia" w:ascii="宋体" w:hAnsi="宋体" w:eastAsia="宋体" w:cs="宋体"/>
          <w:color w:val="auto"/>
          <w:sz w:val="24"/>
          <w:highlight w:val="none"/>
        </w:rPr>
      </w:r>
      <w:r/>
    </w:p>
    <w:p>
      <w:pPr>
        <w:jc w:val="both"/>
        <w:spacing w:line="560" w:lineRule="exact"/>
        <w:widowControl/>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附件</w:t>
      </w:r>
      <w:r>
        <w:rPr>
          <w:rFonts w:hint="default" w:ascii="Times New Roman" w:hAnsi="Times New Roman" w:eastAsia="宋体" w:cs="Times New Roman"/>
          <w:color w:val="000000"/>
          <w:sz w:val="28"/>
          <w:szCs w:val="28"/>
          <w:lang w:val="en-US" w:eastAsia="zh-CN"/>
        </w:rPr>
        <w:t xml:space="preserve">1：特种设备隐患排查企业</w:t>
      </w:r>
      <w:r>
        <w:rPr>
          <w:rFonts w:hint="default" w:ascii="Times New Roman" w:hAnsi="Times New Roman" w:eastAsia="宋体" w:cs="Times New Roman"/>
          <w:color w:val="000000"/>
          <w:sz w:val="28"/>
          <w:szCs w:val="28"/>
        </w:rPr>
        <w:t xml:space="preserve">汇总表</w:t>
      </w:r>
      <w:r/>
    </w:p>
    <w:tbl>
      <w:tblPr>
        <w:tblStyle w:val="90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8010"/>
        <w:gridCol w:w="2533"/>
        <w:gridCol w:w="1577"/>
        <w:gridCol w:w="1176"/>
      </w:tblGrid>
      <w:tr>
        <w:trPr>
          <w:trHeight w:val="7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使用设备数量</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排查频次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江苏中能硅业科技发展有限公司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化工企业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3276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51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江苏鑫华半导体材料科技有限公司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化工企业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协鑫高科纳米新材料（徐州）</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化工企业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林德气体（徐州）有限公司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化工企业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61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徐州金山桥热电有限公司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电站企业/供热单位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徐州协鑫环保能源有限公司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电站企业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中能硅业自备电厂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电站企业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徐州港华燃气有限公司（场站）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燃气单位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徐州市特种气体厂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充装单位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徐州市福缘气体有限公司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充装单位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徐州诚意新能源有限公司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充装单位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弘元新材料（徐州）有限公司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徐州华气新能源有限公司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充装单位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鲁皖输油管线（徐州站）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油气管道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西气东输徐州分输站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油气管道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徐州中油气能源运输有限公司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油气管道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麦德龙商业集团有限公司徐州经济开发区商场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徐州医科大学附属医院（东院）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徐州仁慈医院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科技大厦（经开区管委会）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徐州经济技术开发区政务服务中心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徐州东站（高铁站）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徐州汽车东站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徐州月星商业管理有限公司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徐州迪卡侬体育用品有限公司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徐州博顿君庭酒店管理有限公司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徐州海珀酒店管理有限公司绿地铂丽分公司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徐州华开热力有限公司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供热企业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徐州港华燃气有限公司（燃气管网）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城镇燃气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徐州重型机械有限公司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578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徐州徐工挖掘机械有限公司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徐工集团工程机械股份有限公司科技分公司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402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徐州徐工施维英机械有限公司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徐工集团工程机械股份有限公司建设机械分公司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江苏协鑫硅材料科技发展有限公司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徐州徐工随车起重机有限公司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徐州徐工智联物流服务有限公司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徐州徐工液压件有限公司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徐州建机工程机械有限公司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徐工集团工程机械股份有限公司道路机械分公司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徐州徐工新能源动力科技有限公司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徐州徐工筑路机械有限公司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徐州徐工矿业机械有限公司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徐州徐工传动科技有限公司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徐州徐工港口机械有限公司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徐州徐工环境技术有限公司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青岛啤酒（徐州）彭城有限公司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徐州徐工特种工程机械有限公司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徐州中石油昆仑燃气有限公司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油气管道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徐州徐工养护机械有限公司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江苏宗申车业有限公司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徐州海伦哲专用车辆股份有限公司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阪神机器（徐州）有限公司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江苏华电铁塔制造有限公司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上海电气研砼（徐州）重工科技有限公司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江苏洽康食品有限公司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江苏远恒药业有限公司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徐州荣盈工程机械有限公司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江苏东宇工程机械有限公司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徐州二川机械有限公司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徐州燃烧控制研究院有限公司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徐州华东机械有限公司</w:t>
            </w:r>
            <w:r>
              <w:rPr>
                <w:rFonts w:hint="default" w:ascii="Arial" w:hAnsi="Arial" w:eastAsia="宋体" w:cs="Arial"/>
                <w:i w:val="0"/>
                <w:iCs w:val="0"/>
                <w:color w:val="333333"/>
                <w:sz w:val="28"/>
                <w:szCs w:val="28"/>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复星万邦（江苏）医药集团有限公司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蒂森克虏伯罗特艾德（徐州）环锻有限公司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迈特（中国）机械设备有限公司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卡特彼勒底盘（徐州）有限公司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徐州万邦金桥制药有限公司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徐州市创盛工程机械有限公司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江苏金达一舟工程机械有限公司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江苏颐海药业有限责任公司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徐州光环钢管（集团）有限公司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徐州巴特工程机械股份有限公司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江苏本优机械有限公司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徐州浩通新材料科技股份有限公司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徐州博斯特机械有限公司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徐州马龙节能环保设备有限公司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霍斯利机械（徐州）有限公司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default" w:ascii="Arial" w:hAnsi="Arial" w:eastAsia="宋体" w:cs="Arial"/>
                <w:i w:val="0"/>
                <w:iCs w:val="0"/>
                <w:color w:val="333333"/>
                <w:sz w:val="28"/>
                <w:szCs w:val="28"/>
                <w:u w:val="none"/>
                <w:lang w:val="en-US" w:eastAsia="zh-CN" w:bidi="ar"/>
              </w:rPr>
              <w:t xml:space="preserve">布兰肯（徐州）金属设备制造有限公司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徐州华艺彩色印刷有限公司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江苏恩华药业股份有限公司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徐州市开发区中学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徐州经济技术开发区金龙湖街道沈店社区居民委员会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江苏城置物业服务有限公司（万锦城小区）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徐州涛天世纪华联商贸有限公司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徐州爱购汇邻湾超市管理有限公司金龙湖分公司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徐州金桥供暖服务有限公司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徐州鲲鹏重工机械有限公司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供暖单位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徐州菲达宝开机械制造有限公司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徐州三江液压器材有限公司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赛摩智能科技集团有限公司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徐州中矿科光机电新技术有限公司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徐州圣邦机械有限公司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徐州永盛管件有限公司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徐州金桥石化管道输送技术有限公司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徐州华恒机器人系统有限公司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徐州川一工程机械有限公司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江苏新迈机械有限公司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徐州统一企业有限公司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徐州恒顺万通食品酿造有限公司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瑞威电力科技有限公司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江苏森荣环保科技有限公司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徐州永东机械有限公司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江苏东岳工程机械有限公司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徐州巨力起重机械有限公司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徐州智晟机械有限公司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江苏旺妮物流有限公司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徐州嘉环科技新材料有限公司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徐州苏煤矿山设备制造有限公司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徐州家得润超市管理有限公司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徐州经济技术开发区大庙街道官庄村村民委员会（官庄安置小区）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徐州市幼儿师范高等专科学校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江苏省徐州经贸高等职业学校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博途新能源（徐州）有限公司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徐州地铁运营有限公司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徐州乾馨机械科技有限公司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中物流（徐州）物流有限公司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徐州嘉环科技新材料有限公司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奥世佳机械（徐州）有限公司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徐州和利时阀门科技有限公司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江苏诚意新能源有限公司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江苏诚意住宅工业科技发展有限公司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江苏国华管塔制造有限公司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徐州瑞马科宝金属制品有限公司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江苏国润机械制造有限公司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徐州阿卡控制阀门有限公司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徐州宗尚工程机械有限公司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江苏天一物流有限公司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江苏天一鱼糜制造有限公司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江苏天华变压器有限公司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徐州华亚变压器有限公司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江苏飞煌重型机械有限公司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江苏巨能电力设备有限公司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徐州博宏机械科技有限公司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天宏电力科技有限公司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徐州市和谐物资再生利用有限责任公司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江苏科瑞特控制工程有限公司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徐州经济技术开发区迎修机械服务部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油气管道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徐州宝润钢结构有限公司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友信智能装备科技（徐州）有限公司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苏变电气股份有限公司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江苏金桥玻璃科技有限公司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徐州嘉德机械设备有限公司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徐州吉成科技有限公司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江苏中科智芯科技有限公司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道依茨动力技术（徐州）有限公司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徐州国安机械制造有限公司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天通（徐州）智能装备有限公司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徐州金地建材机械有限公司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江苏宝华金属材料有限公司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徐州恒业运输有限公司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徐州金桥国际商务区开发有限公司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徐州夏庄物业管理有限公司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徐州为民老年护理院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江苏大和电气有限公司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江苏恒久机械股份有限公司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徐州双胞胎饲料有限公司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徐州永燕饲料科技有限公司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徐州博汇世通重工机械有限责任公司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徐州市誉峰苑物业管理有限公司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徐州合泰装备制造有限公司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徐州顶创炉业有限公司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徐州飞越机械制造有限公司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徐州市安理机械制造有限公司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徐州金地建材机械有限公司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国能思达科技有限公司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徐州固台商贸有限公司有限公司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江苏纬能特变电力设备有限公司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人员密集场所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江苏韦地高端装备制造有限公司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徐州顺耀工程机械有限公司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浙江展兴机电设备有限公司徐州分公司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李文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天宏电力科技有限公司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徐州丑小鸭禽业有限公司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江苏东宇工程机械有限公司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徐州梓鸣废旧物资回收有限公司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徐州市安理机械制造有限公司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江苏卡斯贝克智能科技有限公司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333333"/>
                <w:sz w:val="28"/>
                <w:szCs w:val="28"/>
                <w:u w:val="none"/>
                <w:lang w:val="en-US" w:eastAsia="zh-CN" w:bidi="ar"/>
              </w:rPr>
              <w:t xml:space="preserve">徐州承达机械设备有限公司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重点工业企业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p>
        </w:tc>
      </w:tr>
    </w:tbl>
    <w:p>
      <w:pPr>
        <w:pStyle w:val="943"/>
        <w:ind w:left="0" w:firstLine="0"/>
        <w:rPr>
          <w:rFonts w:hint="eastAsia"/>
        </w:rPr>
        <w:sectPr>
          <w:footnotePr/>
          <w:endnotePr/>
          <w:type w:val="nextPage"/>
          <w:pgSz w:w="16838" w:h="11906" w:orient="landscape"/>
          <w:pgMar w:top="1474" w:right="1588" w:bottom="1418" w:left="1474" w:header="851" w:footer="992" w:gutter="0"/>
          <w:cols w:num="1" w:sep="0" w:space="720" w:equalWidth="1"/>
          <w:docGrid w:linePitch="360"/>
        </w:sectPr>
      </w:pPr>
      <w:r>
        <w:rPr>
          <w:rFonts w:hint="eastAsia"/>
        </w:rPr>
      </w:r>
      <w:r/>
    </w:p>
    <w:p>
      <w:pPr>
        <w:jc w:val="both"/>
        <w:widowControl w:val="off"/>
        <w:rPr>
          <w:rFonts w:hint="eastAsia" w:ascii="宋体" w:hAnsi="宋体" w:eastAsia="宋体" w:cs="宋体"/>
          <w:color w:val="auto"/>
          <w:sz w:val="36"/>
          <w:szCs w:val="36"/>
          <w:lang w:eastAsia="zh-CN"/>
        </w:rPr>
      </w:pPr>
      <w:r>
        <w:rPr>
          <w:rFonts w:hint="eastAsia" w:ascii="宋体" w:hAnsi="宋体" w:eastAsia="宋体" w:cs="宋体"/>
          <w:color w:val="auto"/>
          <w:sz w:val="36"/>
          <w:szCs w:val="36"/>
          <w:lang w:val="en-US" w:eastAsia="zh-CN"/>
        </w:rPr>
        <w:t xml:space="preserve">附件2：</w:t>
      </w:r>
      <w:r>
        <w:rPr>
          <w:rFonts w:hint="eastAsia" w:ascii="宋体" w:hAnsi="宋体" w:eastAsia="宋体" w:cs="宋体"/>
          <w:color w:val="auto"/>
          <w:sz w:val="36"/>
          <w:szCs w:val="36"/>
          <w:lang w:eastAsia="zh-CN"/>
        </w:rPr>
        <w:t xml:space="preserve">特种设备安全隐患排查推荐内容</w:t>
      </w:r>
      <w:r/>
    </w:p>
    <w:p>
      <w:pPr>
        <w:jc w:val="center"/>
        <w:widowControl w:val="off"/>
        <w:rPr>
          <w:rFonts w:hint="eastAsia" w:ascii="宋体" w:hAnsi="宋体" w:eastAsia="宋体" w:cs="宋体"/>
          <w:color w:val="auto"/>
          <w:sz w:val="36"/>
          <w:szCs w:val="36"/>
          <w:lang w:eastAsia="zh-CN"/>
        </w:rPr>
      </w:pPr>
      <w:r>
        <w:rPr>
          <w:rFonts w:hint="eastAsia" w:ascii="宋体" w:hAnsi="宋体" w:eastAsia="宋体" w:cs="宋体"/>
          <w:color w:val="auto"/>
          <w:sz w:val="36"/>
          <w:szCs w:val="36"/>
          <w:lang w:eastAsia="zh-CN"/>
        </w:rPr>
      </w:r>
      <w:r/>
    </w:p>
    <w:p>
      <w:pPr>
        <w:jc w:val="left"/>
        <w:widowControl w:val="off"/>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u w:val="single"/>
          <w:lang w:eastAsia="zh-CN"/>
        </w:rPr>
        <w:t xml:space="preserve">参考依据：</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《中华人民共和国特种设备安全法》</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《特种设备安全监察条例》</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《江苏省特种设备安全监察条例》</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《徐州市电梯安全管理条例》</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《特种设备目录》</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《特种设备作业人员管理办法》</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《特种设备使用管理规则》</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《特种设备安全监督检查办法》</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《市场监管总局办公厅关于特种设备行政许可有关事项的实施意见》（市监特设﹝2019﹞32号）</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特种设备安全技术规范和部分重要标准</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《特种设备生产单位落实质量安全主体责任监督管理规定》</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《特种设备使用单位落实使用安全主体责任监督管理规定》</w:t>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ind w:firstLine="600"/>
        <w:jc w:val="both"/>
        <w:spacing w:line="360" w:lineRule="auto"/>
        <w:widowControl w:val="off"/>
        <w:rPr>
          <w:rFonts w:hint="eastAsia" w:ascii="仿宋_GB2312" w:hAnsi="Arial" w:eastAsia="仿宋_GB2312" w:cs="Times New Roman"/>
          <w:sz w:val="30"/>
          <w:szCs w:val="30"/>
          <w:lang w:val="en-US" w:eastAsia="zh-CN" w:bidi="ar-SA"/>
        </w:rPr>
      </w:pPr>
      <w:r>
        <w:rPr>
          <w:rFonts w:hint="eastAsia" w:ascii="仿宋_GB2312" w:hAnsi="Arial" w:eastAsia="仿宋_GB2312" w:cs="Times New Roman"/>
          <w:sz w:val="30"/>
          <w:szCs w:val="30"/>
          <w:lang w:val="en-US" w:eastAsia="zh-CN" w:bidi="ar-SA"/>
        </w:rPr>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ind w:firstLine="560"/>
        <w:jc w:val="lef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ind w:left="0" w:firstLine="0"/>
        <w:jc w:val="both"/>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left="0" w:firstLine="0"/>
        <w:jc w:val="both"/>
        <w:spacing w:after="0" w:line="360" w:lineRule="auto"/>
        <w:widowControl w:val="off"/>
        <w:rPr>
          <w:rFonts w:hint="eastAsia" w:ascii="宋体" w:hAnsi="宋体" w:eastAsia="宋体" w:cs="Times New Roman"/>
          <w:sz w:val="20"/>
          <w:szCs w:val="20"/>
          <w:lang w:val="en-US" w:eastAsia="zh-CN" w:bidi="ar-SA"/>
        </w:rPr>
      </w:pPr>
      <w:r>
        <w:rPr>
          <w:rFonts w:hint="eastAsia" w:ascii="宋体" w:hAnsi="宋体" w:eastAsia="宋体" w:cs="Times New Roman"/>
          <w:sz w:val="20"/>
          <w:szCs w:val="20"/>
          <w:lang w:val="en-US" w:eastAsia="zh-CN" w:bidi="ar-SA"/>
        </w:rPr>
      </w:r>
      <w:r/>
    </w:p>
    <w:p>
      <w:pPr>
        <w:rPr>
          <w:rFonts w:hint="eastAsia"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lang w:val="en-US" w:eastAsia="zh-CN"/>
        </w:rPr>
        <w:br w:type="page" w:clear="all"/>
      </w:r>
      <w:r/>
    </w:p>
    <w:p>
      <w:pPr>
        <w:jc w:val="both"/>
        <w:widowControl w:val="off"/>
        <w:rPr>
          <w:rFonts w:hint="eastAsia"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lang w:val="en-US" w:eastAsia="zh-CN"/>
        </w:rPr>
        <w:t xml:space="preserve">排查内容</w:t>
      </w:r>
      <w:r/>
    </w:p>
    <w:p>
      <w:pPr>
        <w:numPr>
          <w:ilvl w:val="0"/>
          <w:numId w:val="4"/>
        </w:numPr>
        <w:jc w:val="lef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基础管理类</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（一）单位安全管理。</w:t>
      </w:r>
      <w:r/>
    </w:p>
    <w:p>
      <w:pPr>
        <w:numPr>
          <w:ilvl w:val="0"/>
          <w:numId w:val="5"/>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管理机构和管理制度</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1.1是否按要求成立特种设备安全管理机构，配备相应的安全管理人员。</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是否按规定建立</w:t>
      </w:r>
      <w:r>
        <w:rPr>
          <w:rFonts w:hint="eastAsia" w:ascii="宋体" w:hAnsi="宋体" w:eastAsia="宋体" w:cs="宋体"/>
          <w:color w:val="auto"/>
          <w:sz w:val="24"/>
          <w:szCs w:val="24"/>
          <w:lang w:val="en-US" w:eastAsia="zh-CN"/>
        </w:rPr>
        <w:t xml:space="preserve">特种设备</w:t>
      </w:r>
      <w:r>
        <w:rPr>
          <w:rFonts w:hint="eastAsia" w:ascii="宋体" w:hAnsi="宋体" w:eastAsia="宋体" w:cs="宋体"/>
          <w:color w:val="auto"/>
          <w:sz w:val="24"/>
          <w:szCs w:val="24"/>
        </w:rPr>
        <w:t xml:space="preserve">安全管理制度和岗位安全责任制度</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1.3是否按要求对特种设备采取全寿命安全管理，并留存记录。</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1.4是否制定符合实际情况的特种设备安全操作规程，并发布实施。</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是否制定</w:t>
      </w:r>
      <w:r>
        <w:rPr>
          <w:rFonts w:hint="eastAsia" w:ascii="宋体" w:hAnsi="宋体" w:eastAsia="宋体" w:cs="宋体"/>
          <w:color w:val="auto"/>
          <w:sz w:val="24"/>
          <w:szCs w:val="24"/>
          <w:lang w:val="en-US" w:eastAsia="zh-CN"/>
        </w:rPr>
        <w:t xml:space="preserve">特种设备</w:t>
      </w:r>
      <w:r>
        <w:rPr>
          <w:rFonts w:hint="eastAsia" w:ascii="宋体" w:hAnsi="宋体" w:eastAsia="宋体" w:cs="宋体"/>
          <w:color w:val="auto"/>
          <w:sz w:val="24"/>
          <w:szCs w:val="24"/>
        </w:rPr>
        <w:t xml:space="preserve">事故应急专项预案</w:t>
      </w:r>
      <w:r>
        <w:rPr>
          <w:rFonts w:hint="eastAsia" w:ascii="宋体" w:hAnsi="宋体" w:eastAsia="宋体" w:cs="宋体"/>
          <w:color w:val="auto"/>
          <w:sz w:val="24"/>
          <w:szCs w:val="24"/>
          <w:lang w:eastAsia="zh-CN"/>
        </w:rPr>
        <w:t xml:space="preserve">、开展培训教育和</w:t>
      </w:r>
      <w:r>
        <w:rPr>
          <w:rFonts w:hint="eastAsia" w:ascii="宋体" w:hAnsi="宋体" w:eastAsia="宋体" w:cs="宋体"/>
          <w:color w:val="auto"/>
          <w:sz w:val="24"/>
          <w:szCs w:val="24"/>
        </w:rPr>
        <w:t xml:space="preserve">演练</w:t>
      </w:r>
      <w:r>
        <w:rPr>
          <w:rFonts w:hint="eastAsia" w:ascii="宋体" w:hAnsi="宋体" w:eastAsia="宋体" w:cs="宋体"/>
          <w:color w:val="auto"/>
          <w:sz w:val="24"/>
          <w:szCs w:val="24"/>
          <w:lang w:eastAsia="zh-CN"/>
        </w:rPr>
        <w:t xml:space="preserve">。</w:t>
      </w:r>
      <w:r/>
    </w:p>
    <w:p>
      <w:pPr>
        <w:numPr>
          <w:ilvl w:val="0"/>
          <w:numId w:val="5"/>
        </w:numPr>
        <w:ind w:left="0" w:firstLine="0"/>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特种设备档案管理。</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是否建立</w:t>
      </w:r>
      <w:r>
        <w:rPr>
          <w:rFonts w:hint="eastAsia" w:ascii="宋体" w:hAnsi="宋体" w:eastAsia="宋体" w:cs="宋体"/>
          <w:color w:val="auto"/>
          <w:sz w:val="24"/>
          <w:szCs w:val="24"/>
          <w:lang w:eastAsia="zh-CN"/>
        </w:rPr>
        <w:t xml:space="preserve">特种</w:t>
      </w:r>
      <w:r>
        <w:rPr>
          <w:rFonts w:hint="eastAsia" w:ascii="宋体" w:hAnsi="宋体" w:eastAsia="宋体" w:cs="宋体"/>
          <w:color w:val="auto"/>
          <w:sz w:val="24"/>
          <w:szCs w:val="24"/>
        </w:rPr>
        <w:t xml:space="preserve">设备档案，</w:t>
      </w:r>
      <w:r>
        <w:rPr>
          <w:rFonts w:hint="eastAsia" w:ascii="宋体" w:hAnsi="宋体" w:eastAsia="宋体" w:cs="宋体"/>
          <w:color w:val="auto"/>
          <w:sz w:val="24"/>
          <w:szCs w:val="24"/>
          <w:lang w:eastAsia="zh-CN"/>
        </w:rPr>
        <w:t xml:space="preserve">并按要求收集</w:t>
      </w:r>
      <w:r>
        <w:rPr>
          <w:rFonts w:hint="eastAsia" w:ascii="宋体" w:hAnsi="宋体" w:eastAsia="宋体" w:cs="宋体"/>
          <w:color w:val="auto"/>
          <w:sz w:val="24"/>
          <w:szCs w:val="24"/>
        </w:rPr>
        <w:t xml:space="preserve">齐全</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2.2是否建立特种</w:t>
      </w:r>
      <w:r>
        <w:rPr>
          <w:rFonts w:hint="eastAsia" w:ascii="宋体" w:hAnsi="宋体" w:eastAsia="宋体" w:cs="宋体"/>
          <w:color w:val="auto"/>
          <w:sz w:val="24"/>
          <w:szCs w:val="24"/>
        </w:rPr>
        <w:t xml:space="preserve">设备检验</w:t>
      </w:r>
      <w:r>
        <w:rPr>
          <w:rFonts w:hint="eastAsia" w:ascii="宋体" w:hAnsi="宋体" w:eastAsia="宋体" w:cs="宋体"/>
          <w:color w:val="auto"/>
          <w:sz w:val="24"/>
          <w:szCs w:val="24"/>
          <w:lang w:eastAsia="zh-CN"/>
        </w:rPr>
        <w:t xml:space="preserve">台账，在用特种设备均在有效检验期内。</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2.3是否建立特种设备安全附件和仪表台账，在用安全附件和仪表是否均在有效的校验和检定期内。</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是否按规定</w:t>
      </w:r>
      <w:r>
        <w:rPr>
          <w:rFonts w:hint="eastAsia" w:ascii="宋体" w:hAnsi="宋体" w:eastAsia="宋体" w:cs="宋体"/>
          <w:color w:val="auto"/>
          <w:sz w:val="24"/>
          <w:szCs w:val="24"/>
          <w:lang w:eastAsia="zh-CN"/>
        </w:rPr>
        <w:t xml:space="preserve">对特种设备</w:t>
      </w:r>
      <w:r>
        <w:rPr>
          <w:rFonts w:hint="eastAsia" w:ascii="宋体" w:hAnsi="宋体" w:eastAsia="宋体" w:cs="宋体"/>
          <w:color w:val="auto"/>
          <w:sz w:val="24"/>
          <w:szCs w:val="24"/>
        </w:rPr>
        <w:t xml:space="preserve">进行日常维护保养或者定期自行检查并</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rPr>
        <w:t xml:space="preserve">记录</w:t>
      </w:r>
      <w:r>
        <w:rPr>
          <w:rFonts w:hint="eastAsia" w:ascii="宋体" w:hAnsi="宋体" w:eastAsia="宋体" w:cs="宋体"/>
          <w:color w:val="auto"/>
          <w:sz w:val="24"/>
          <w:szCs w:val="24"/>
          <w:lang w:eastAsia="zh-CN"/>
        </w:rPr>
        <w:t xml:space="preserve">维护或检查情况。</w:t>
      </w:r>
      <w:r/>
    </w:p>
    <w:p>
      <w:pPr>
        <w:numPr>
          <w:ilvl w:val="0"/>
          <w:numId w:val="5"/>
        </w:numPr>
        <w:ind w:left="0" w:firstLine="0"/>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特种设备作业人员（包括特种设备安全管理人员和操作人员，下同）档案。</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3.1是否建立特种设备作业人员档案，按要求收集齐全；聘用特种设备作业人员证件均在有效期内。</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3.2是否按要求对特种设备作业人员开展教育培训，并按要求记录教育培训情况。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（二）安全管理主体责任落实。</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1.是否按要求公示本单位特种设备安全管理情况。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2.是否将特种设备安全管理直接责任逐级分解落实到人。</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3.是否按照“三个必须”原则落实特种设备安全相关责任。</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4.是否对违反特种设备安全管理情况严格依规处理，并如实记录。</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5.是否按要求处理特种设备安全异常情况，并如实记录。</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6.是否按照“四不放过”原则严格依规处理特种设备安全事件。</w:t>
      </w:r>
      <w:r/>
    </w:p>
    <w:p>
      <w:pPr>
        <w:numPr>
          <w:ilvl w:val="0"/>
          <w:numId w:val="4"/>
        </w:numPr>
        <w:ind w:left="0" w:firstLine="0"/>
        <w:jc w:val="lef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现场管理类</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锅炉</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现场是否按要求张贴使用登记及检验标记，设备铭牌清晰可见与出厂资料一致，在有效检验期内（包含内外部检验）。</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现场作业人员是否按要求持证，允许操作范围与锅炉参数一致。</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现场安全阀、液位计、压力表和其他安全附属设施是否符合相关要求，是否完好可靠。</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现场锅炉运行是否存在超参数运行、跑冒滴漏和其他异常情况。</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现场是否按要求开展定期巡检和日常维护检查，如实填写相关记录，</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按要求开展</w:t>
      </w:r>
      <w:r>
        <w:rPr>
          <w:rFonts w:hint="eastAsia" w:ascii="宋体" w:hAnsi="宋体" w:eastAsia="宋体" w:cs="宋体"/>
          <w:color w:val="auto"/>
          <w:sz w:val="24"/>
          <w:szCs w:val="24"/>
        </w:rPr>
        <w:t xml:space="preserve">水（介）质化验</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定期水质化验</w:t>
      </w:r>
      <w:r>
        <w:rPr>
          <w:rFonts w:hint="eastAsia" w:ascii="宋体" w:hAnsi="宋体" w:eastAsia="宋体" w:cs="宋体"/>
          <w:color w:val="auto"/>
          <w:sz w:val="24"/>
          <w:szCs w:val="24"/>
          <w:lang w:eastAsia="zh-CN"/>
        </w:rPr>
        <w:t xml:space="preserve">，并如实记录。</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现场锅炉本体、排烟系统和汽水管道等是否存在安全隐患。</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现场是否存在违章作业情况。</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是否存在使用不纳入《特种设备目录》的蒸汽和热水发生装置的情况。</w:t>
      </w:r>
      <w:r/>
    </w:p>
    <w:p>
      <w:pPr>
        <w:numPr>
          <w:ilvl w:val="0"/>
          <w:numId w:val="7"/>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是否存在其他违反法律法规、安全技术规范和安全标准等强制性规定的问题隐患。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压力容器（含气瓶和氧舱，下同）</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1.现场是否按要求张贴使用登记及检验标记，设备铭牌清晰可见与出厂资料一致，在有效检验期内。</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2.现场作业人员是否按要求持证，允许操作范围与压力容器一致。</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3.现场安全阀、液位计、压力表、爆破片和其他安全附属设施是否符合相关要求，是否完好可靠。</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4.现场压力容器运行是否存在超参数运行、跑冒滴漏、严重锈蚀和其他异常情况。</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现场压力容器本体、附属设施和与其连接的管道等是否存在安全隐患。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6.现场是否按要求开展定期巡检和日常维护检查（含月度检查和年度检查），如实填写相关记录</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7.现场是否存在违章作业情况。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8.是否存在使用简单压力容器，简单压力容器是否超设计使用等情况。</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9.现场氧舱是否存在违规用电、未采取防爆措施等违规行为。</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10.是否存在无证充装、超范围充装、充装不符合规范气瓶和其他违规行为。</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11.气体使用现场是否存在不符合规定的行为。</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lang w:eastAsia="zh-CN"/>
        </w:rPr>
        <w:t xml:space="preserve">是否存在其他违反法律法规、安全技术规范和安全标准等强制性规定的问题隐患。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压力管道</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1.现场是否按要求张贴使用登记（现阶段仅限工业管道）及检验标记，在有效检验期内。</w:t>
      </w:r>
      <w:r/>
    </w:p>
    <w:p>
      <w:pPr>
        <w:numPr>
          <w:ilvl w:val="0"/>
          <w:numId w:val="0"/>
        </w:numPr>
        <w:jc w:val="left"/>
        <w:widowControl w:val="off"/>
        <w:tabs>
          <w:tab w:val="left" w:pos="295"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2.现场是否按要求标识截至名称和流向等基本信息流向，运输介质是否与检验信息一致。</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3.现场安全阀、压力表、爆破片和其他安全附属设施是否符合相关要求，是否完好可靠。</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4.现场是否存在超参数运行、跑冒滴漏、严重锈蚀和其他异常情况。</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现场与其连接的其他设备是否存在安全隐患。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6.现场是否按要求开展</w:t>
      </w:r>
      <w:r>
        <w:rPr>
          <w:rFonts w:hint="eastAsia" w:ascii="宋体" w:hAnsi="宋体" w:eastAsia="宋体" w:cs="宋体"/>
          <w:color w:val="auto"/>
          <w:sz w:val="24"/>
          <w:szCs w:val="24"/>
        </w:rPr>
        <w:t xml:space="preserve">运行、检修和日常巡检</w:t>
      </w:r>
      <w:r>
        <w:rPr>
          <w:rFonts w:hint="eastAsia" w:ascii="宋体" w:hAnsi="宋体" w:eastAsia="宋体" w:cs="宋体"/>
          <w:color w:val="auto"/>
          <w:sz w:val="24"/>
          <w:szCs w:val="24"/>
          <w:lang w:val="en-US" w:eastAsia="zh-CN"/>
        </w:rPr>
        <w:t xml:space="preserve">，如实填写相关记录</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7.现场是否存在违章作业情况。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8.公用管道和长输管道是否存在非法压占、安全保护距离不足等安全隐患。</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是否存在其他违反法律法规、安全技术规范和安全标准等强制性规定的问题隐患。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起重机械</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现场</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lang w:val="en-US" w:eastAsia="zh-CN"/>
        </w:rPr>
        <w:t xml:space="preserve">张贴使用登记及检验标记，在有效检验期内。</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2.现场作业人员是否按要求持证，允许操作范围与现场情况一致。</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3.现场</w:t>
      </w:r>
      <w:r>
        <w:rPr>
          <w:rFonts w:hint="eastAsia" w:ascii="宋体" w:hAnsi="宋体" w:eastAsia="宋体" w:cs="宋体"/>
          <w:color w:val="auto"/>
          <w:sz w:val="24"/>
          <w:szCs w:val="24"/>
        </w:rPr>
        <w:t xml:space="preserve">是否有使用注意事项提示牌、吨位标识</w:t>
      </w:r>
      <w:r>
        <w:rPr>
          <w:rFonts w:hint="eastAsia" w:ascii="宋体" w:hAnsi="宋体" w:eastAsia="宋体" w:cs="宋体"/>
          <w:color w:val="auto"/>
          <w:sz w:val="24"/>
          <w:szCs w:val="24"/>
          <w:lang w:eastAsia="zh-CN"/>
        </w:rPr>
        <w:t xml:space="preserve">等。</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4.现场</w:t>
      </w:r>
      <w:r>
        <w:rPr>
          <w:rFonts w:hint="eastAsia" w:ascii="宋体" w:hAnsi="宋体" w:eastAsia="宋体" w:cs="宋体"/>
          <w:color w:val="auto"/>
          <w:sz w:val="24"/>
          <w:szCs w:val="24"/>
        </w:rPr>
        <w:t xml:space="preserve">运行警示铃、紧急停止开关</w:t>
      </w:r>
      <w:r>
        <w:rPr>
          <w:rFonts w:hint="eastAsia" w:ascii="宋体" w:hAnsi="宋体" w:eastAsia="宋体" w:cs="宋体"/>
          <w:color w:val="auto"/>
          <w:sz w:val="24"/>
          <w:szCs w:val="24"/>
          <w:lang w:eastAsia="zh-CN"/>
        </w:rPr>
        <w:t xml:space="preserve">、限位器、室外防倾倒等</w:t>
      </w:r>
      <w:r>
        <w:rPr>
          <w:rFonts w:hint="eastAsia" w:ascii="宋体" w:hAnsi="宋体" w:eastAsia="宋体" w:cs="宋体"/>
          <w:color w:val="auto"/>
          <w:sz w:val="24"/>
          <w:szCs w:val="24"/>
        </w:rPr>
        <w:t xml:space="preserve">是否有效</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5.现场是否按要求开展定期巡检、日常维护检查和检修，如实填写相关记录</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6.现场是否安装防脱钩装置，有效运行。</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7.现场是否存在额定起重量标识小于3吨的情况，设备与出厂资料是否一致。</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8.现场是否存在“十不吊”等违章作业情况。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9.现场起吊环境是否满足安全需求。</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eastAsia="zh-CN"/>
        </w:rPr>
        <w:t xml:space="preserve">是否存在其他违反法律法规、安全技术规范和安全标准等强制性规定的问题隐患。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电梯</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现场</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lang w:val="en-US" w:eastAsia="zh-CN"/>
        </w:rPr>
        <w:t xml:space="preserve">张贴使用登记，在有效检验期内。</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2.现场作业人员</w:t>
      </w:r>
      <w:r>
        <w:rPr>
          <w:rFonts w:hint="eastAsia" w:ascii="宋体" w:hAnsi="宋体" w:eastAsia="宋体" w:cs="宋体"/>
          <w:color w:val="auto"/>
          <w:sz w:val="24"/>
          <w:szCs w:val="24"/>
          <w:lang w:eastAsia="zh-CN"/>
        </w:rPr>
        <w:t xml:space="preserve">（仅限安全管理人员和维护保养人员）</w:t>
      </w:r>
      <w:r>
        <w:rPr>
          <w:rFonts w:hint="eastAsia" w:ascii="宋体" w:hAnsi="宋体" w:eastAsia="宋体" w:cs="宋体"/>
          <w:color w:val="auto"/>
          <w:sz w:val="24"/>
          <w:szCs w:val="24"/>
          <w:lang w:val="en-US" w:eastAsia="zh-CN"/>
        </w:rPr>
        <w:t xml:space="preserve">是否按要求持证，允许操作范围与现场情况一致。</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3.是否按要求甚至</w:t>
      </w:r>
      <w:r>
        <w:rPr>
          <w:rFonts w:hint="eastAsia" w:ascii="宋体" w:hAnsi="宋体" w:eastAsia="宋体" w:cs="宋体"/>
          <w:color w:val="auto"/>
          <w:sz w:val="24"/>
          <w:szCs w:val="24"/>
        </w:rPr>
        <w:t xml:space="preserve">安全注意事项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警示标志</w:t>
      </w:r>
      <w:r>
        <w:rPr>
          <w:rFonts w:hint="eastAsia" w:ascii="宋体" w:hAnsi="宋体" w:eastAsia="宋体" w:cs="宋体"/>
          <w:color w:val="auto"/>
          <w:sz w:val="24"/>
          <w:szCs w:val="24"/>
          <w:lang w:eastAsia="zh-CN"/>
        </w:rPr>
        <w:t xml:space="preserve">和“</w:t>
      </w:r>
      <w:r>
        <w:rPr>
          <w:rFonts w:hint="eastAsia" w:ascii="宋体" w:hAnsi="宋体" w:eastAsia="宋体" w:cs="宋体"/>
          <w:color w:val="auto"/>
          <w:sz w:val="24"/>
          <w:szCs w:val="24"/>
          <w:lang w:val="en-US" w:eastAsia="zh-CN"/>
        </w:rPr>
        <w:t xml:space="preserve">96333”应急救援牌。</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电梯内设置的报警装置是否可靠，联系是否畅通</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呼层、楼层等显示信号系统功能是否有效，指示是否正确</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6.电梯</w:t>
      </w:r>
      <w:r>
        <w:rPr>
          <w:rFonts w:hint="eastAsia" w:ascii="宋体" w:hAnsi="宋体" w:eastAsia="宋体" w:cs="宋体"/>
          <w:color w:val="auto"/>
          <w:sz w:val="24"/>
          <w:szCs w:val="24"/>
        </w:rPr>
        <w:t xml:space="preserve">门防夹保护装置是否有效</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自动扶梯和自动人行道入口处急停开关是否有效</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限速器校验报告是否在有效期内</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是否有有效的维保合同，维保记录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维保</w:t>
      </w:r>
      <w:r>
        <w:rPr>
          <w:rFonts w:hint="eastAsia" w:ascii="宋体" w:hAnsi="宋体" w:eastAsia="宋体" w:cs="宋体"/>
          <w:color w:val="auto"/>
          <w:sz w:val="24"/>
          <w:szCs w:val="24"/>
          <w:lang w:eastAsia="zh-CN"/>
        </w:rPr>
        <w:t xml:space="preserve">工作等</w:t>
      </w:r>
      <w:r>
        <w:rPr>
          <w:rFonts w:hint="eastAsia" w:ascii="宋体" w:hAnsi="宋体" w:eastAsia="宋体" w:cs="宋体"/>
          <w:color w:val="auto"/>
          <w:sz w:val="24"/>
          <w:szCs w:val="24"/>
        </w:rPr>
        <w:t xml:space="preserve">是否符合</w:t>
      </w:r>
      <w:r>
        <w:rPr>
          <w:rFonts w:hint="eastAsia" w:ascii="宋体" w:hAnsi="宋体" w:eastAsia="宋体" w:cs="宋体"/>
          <w:color w:val="auto"/>
          <w:sz w:val="24"/>
          <w:szCs w:val="24"/>
          <w:lang w:eastAsia="zh-CN"/>
        </w:rPr>
        <w:t xml:space="preserve">相关</w:t>
      </w:r>
      <w:r>
        <w:rPr>
          <w:rFonts w:hint="eastAsia" w:ascii="宋体" w:hAnsi="宋体" w:eastAsia="宋体" w:cs="宋体"/>
          <w:color w:val="auto"/>
          <w:sz w:val="24"/>
          <w:szCs w:val="24"/>
        </w:rPr>
        <w:t xml:space="preserve">规定</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10.是否按要求安装视频监控系统，视频监控系统运行有效。</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11.是否按要求管理电梯“三把钥匙”。</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12.电梯防坠落、防挤压等安全装置是否设置，运行有效。</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13.是否存在违章作业情况。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lang w:eastAsia="zh-CN"/>
        </w:rPr>
        <w:t xml:space="preserve">是否存在其他违反法律法规、安全技术规范和安全标准等强制性规定的问题隐患。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场内车辆</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现场</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lang w:val="en-US" w:eastAsia="zh-CN"/>
        </w:rPr>
        <w:t xml:space="preserve">张贴使用登记、安装牌照，在有效检验期内。</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现场作业人员</w:t>
      </w:r>
      <w:r>
        <w:rPr>
          <w:rFonts w:hint="eastAsia" w:ascii="宋体" w:hAnsi="宋体" w:eastAsia="宋体" w:cs="宋体"/>
          <w:color w:val="auto"/>
          <w:sz w:val="24"/>
          <w:szCs w:val="24"/>
          <w:lang w:eastAsia="zh-CN"/>
        </w:rPr>
        <w:t xml:space="preserve">（含安全管理人员和操作人员）</w:t>
      </w:r>
      <w:r>
        <w:rPr>
          <w:rFonts w:hint="eastAsia" w:ascii="宋体" w:hAnsi="宋体" w:eastAsia="宋体" w:cs="宋体"/>
          <w:color w:val="auto"/>
          <w:sz w:val="24"/>
          <w:szCs w:val="24"/>
        </w:rPr>
        <w:t xml:space="preserve">是否具有有效证件</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3.现场</w:t>
      </w:r>
      <w:r>
        <w:rPr>
          <w:rFonts w:hint="eastAsia" w:ascii="宋体" w:hAnsi="宋体" w:eastAsia="宋体" w:cs="宋体"/>
          <w:color w:val="auto"/>
          <w:sz w:val="24"/>
          <w:szCs w:val="24"/>
        </w:rPr>
        <w:t xml:space="preserve">是否设置安全警示标志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车辆的照明系统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行车、驻车制动系统</w:t>
      </w:r>
      <w:r>
        <w:rPr>
          <w:rFonts w:hint="eastAsia" w:ascii="宋体" w:hAnsi="宋体" w:eastAsia="宋体" w:cs="宋体"/>
          <w:color w:val="auto"/>
          <w:sz w:val="24"/>
          <w:szCs w:val="24"/>
          <w:lang w:eastAsia="zh-CN"/>
        </w:rPr>
        <w:t xml:space="preserve">和</w:t>
      </w:r>
      <w:r>
        <w:rPr>
          <w:rFonts w:hint="eastAsia" w:ascii="宋体" w:hAnsi="宋体" w:eastAsia="宋体" w:cs="宋体"/>
          <w:color w:val="auto"/>
          <w:sz w:val="24"/>
          <w:szCs w:val="24"/>
        </w:rPr>
        <w:t xml:space="preserve">倒车镜</w:t>
      </w:r>
      <w:r>
        <w:rPr>
          <w:rFonts w:hint="eastAsia" w:ascii="宋体" w:hAnsi="宋体" w:eastAsia="宋体" w:cs="宋体"/>
          <w:color w:val="auto"/>
          <w:sz w:val="24"/>
          <w:szCs w:val="24"/>
          <w:lang w:eastAsia="zh-CN"/>
        </w:rPr>
        <w:t xml:space="preserve">等是否有效。</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4.现场是否按要求开展定期巡检、日常维护检查和检修，如实填写相关记录</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5.现场作业环境是否满足安全需求。</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6.是否存在超速、未按规定路线行驶、视线被遮挡等违章作业情况。</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是否存在其他违反法律法规、安全技术规范和安全标准等强制性规定的问题隐患。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大型游乐设施</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现场</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lang w:val="en-US" w:eastAsia="zh-CN"/>
        </w:rPr>
        <w:t xml:space="preserve">张贴使用登记及检验标记，在有效检验期内。</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现场作业人员</w:t>
      </w:r>
      <w:r>
        <w:rPr>
          <w:rFonts w:hint="eastAsia" w:ascii="宋体" w:hAnsi="宋体" w:eastAsia="宋体" w:cs="宋体"/>
          <w:color w:val="auto"/>
          <w:sz w:val="24"/>
          <w:szCs w:val="24"/>
          <w:lang w:eastAsia="zh-CN"/>
        </w:rPr>
        <w:t xml:space="preserve">（含安全管理人员和操作人员）</w:t>
      </w:r>
      <w:r>
        <w:rPr>
          <w:rFonts w:hint="eastAsia" w:ascii="宋体" w:hAnsi="宋体" w:eastAsia="宋体" w:cs="宋体"/>
          <w:color w:val="auto"/>
          <w:sz w:val="24"/>
          <w:szCs w:val="24"/>
        </w:rPr>
        <w:t xml:space="preserve">是否具有有效证件</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是否设有显著的警示标志，进出口是否设有显著的乘客须知和身高标尺等安全标志</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4.现场</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rPr>
        <w:t xml:space="preserve">配备全带、安全压杆等安全保护装置</w:t>
      </w:r>
      <w:r>
        <w:rPr>
          <w:rFonts w:hint="eastAsia" w:ascii="宋体" w:hAnsi="宋体" w:eastAsia="宋体" w:cs="宋体"/>
          <w:color w:val="auto"/>
          <w:sz w:val="24"/>
          <w:szCs w:val="24"/>
          <w:lang w:eastAsia="zh-CN"/>
        </w:rPr>
        <w:t xml:space="preserve">，并</w:t>
      </w:r>
      <w:r>
        <w:rPr>
          <w:rFonts w:hint="eastAsia" w:ascii="宋体" w:hAnsi="宋体" w:eastAsia="宋体" w:cs="宋体"/>
          <w:color w:val="auto"/>
          <w:sz w:val="24"/>
          <w:szCs w:val="24"/>
        </w:rPr>
        <w:t xml:space="preserve">有效</w:t>
      </w:r>
      <w:r>
        <w:rPr>
          <w:rFonts w:hint="eastAsia" w:ascii="宋体" w:hAnsi="宋体" w:eastAsia="宋体" w:cs="宋体"/>
          <w:color w:val="auto"/>
          <w:sz w:val="24"/>
          <w:szCs w:val="24"/>
          <w:lang w:eastAsia="zh-CN"/>
        </w:rPr>
        <w:t xml:space="preserve">运行。</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5.现场是否设置</w:t>
      </w:r>
      <w:r>
        <w:rPr>
          <w:rFonts w:hint="eastAsia" w:ascii="宋体" w:hAnsi="宋体" w:eastAsia="宋体" w:cs="宋体"/>
          <w:color w:val="auto"/>
          <w:sz w:val="24"/>
          <w:szCs w:val="24"/>
        </w:rPr>
        <w:t xml:space="preserve">座舱舱门锁紧装置</w:t>
      </w:r>
      <w:r>
        <w:rPr>
          <w:rFonts w:hint="eastAsia" w:ascii="宋体" w:hAnsi="宋体" w:eastAsia="宋体" w:cs="宋体"/>
          <w:color w:val="auto"/>
          <w:sz w:val="24"/>
          <w:szCs w:val="24"/>
          <w:lang w:eastAsia="zh-CN"/>
        </w:rPr>
        <w:t xml:space="preserve">，并</w:t>
      </w:r>
      <w:r>
        <w:rPr>
          <w:rFonts w:hint="eastAsia" w:ascii="宋体" w:hAnsi="宋体" w:eastAsia="宋体" w:cs="宋体"/>
          <w:color w:val="auto"/>
          <w:sz w:val="24"/>
          <w:szCs w:val="24"/>
        </w:rPr>
        <w:t xml:space="preserve">有效</w:t>
      </w:r>
      <w:r>
        <w:rPr>
          <w:rFonts w:hint="eastAsia" w:ascii="宋体" w:hAnsi="宋体" w:eastAsia="宋体" w:cs="宋体"/>
          <w:color w:val="auto"/>
          <w:sz w:val="24"/>
          <w:szCs w:val="24"/>
          <w:lang w:eastAsia="zh-CN"/>
        </w:rPr>
        <w:t xml:space="preserve">运行。</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6.现场作业环境是否满足安全需求。</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7.是否存在倾倒、触电、碰撞等其他危险风险和隐患。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8.是否存在违章作业情况。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9.是否存在非法制造、流动营业等情况。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10.是否存在其他违反法律法规、安全技术规范和安全标准等强制性规定的问题</w:t>
      </w:r>
      <w:r>
        <w:rPr>
          <w:rFonts w:hint="eastAsia" w:ascii="宋体" w:hAnsi="宋体" w:eastAsia="宋体" w:cs="宋体"/>
          <w:color w:val="auto"/>
          <w:sz w:val="24"/>
          <w:szCs w:val="24"/>
          <w:lang w:eastAsia="zh-CN"/>
        </w:rPr>
        <w:t xml:space="preserve">隐患。</w:t>
      </w:r>
      <w:r/>
    </w:p>
    <w:p>
      <w:pPr>
        <w:numPr>
          <w:ilvl w:val="0"/>
          <w:numId w:val="6"/>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客运索道</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现场</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w:t>
      </w:r>
      <w:r>
        <w:rPr>
          <w:rFonts w:hint="eastAsia" w:ascii="宋体" w:hAnsi="宋体" w:eastAsia="宋体" w:cs="宋体"/>
          <w:color w:val="auto"/>
          <w:sz w:val="24"/>
          <w:szCs w:val="24"/>
          <w:lang w:val="en-US" w:eastAsia="zh-CN"/>
        </w:rPr>
        <w:t xml:space="preserve">张贴使用登记及检验标记，在有效检验期内。</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现场作业人员</w:t>
      </w:r>
      <w:r>
        <w:rPr>
          <w:rFonts w:hint="eastAsia" w:ascii="宋体" w:hAnsi="宋体" w:eastAsia="宋体" w:cs="宋体"/>
          <w:color w:val="auto"/>
          <w:sz w:val="24"/>
          <w:szCs w:val="24"/>
          <w:lang w:eastAsia="zh-CN"/>
        </w:rPr>
        <w:t xml:space="preserve">（含安全管理人员和操作人员）</w:t>
      </w:r>
      <w:r>
        <w:rPr>
          <w:rFonts w:hint="eastAsia" w:ascii="宋体" w:hAnsi="宋体" w:eastAsia="宋体" w:cs="宋体"/>
          <w:color w:val="auto"/>
          <w:sz w:val="24"/>
          <w:szCs w:val="24"/>
        </w:rPr>
        <w:t xml:space="preserve">是否具有有效证件</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进站口是否设乘客安全注意事项，站台是否按规定设上下车线、禁止线等安全标志</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吊篮、吊箱内是否</w:t>
      </w:r>
      <w:r>
        <w:rPr>
          <w:rFonts w:hint="eastAsia" w:ascii="宋体" w:hAnsi="宋体" w:eastAsia="宋体" w:cs="宋体"/>
          <w:color w:val="auto"/>
          <w:sz w:val="24"/>
          <w:szCs w:val="24"/>
          <w:lang w:eastAsia="zh-CN"/>
        </w:rPr>
        <w:t xml:space="preserve">按要求设置</w:t>
      </w:r>
      <w:r>
        <w:rPr>
          <w:rFonts w:hint="eastAsia" w:ascii="宋体" w:hAnsi="宋体" w:eastAsia="宋体" w:cs="宋体"/>
          <w:color w:val="auto"/>
          <w:sz w:val="24"/>
          <w:szCs w:val="24"/>
        </w:rPr>
        <w:t xml:space="preserve">安全说明</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站房之间是否有专用电话，并至少有一条外线电话，是否能保持通讯可靠；沿线广播是否可以及时通知乘客应注意事项</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是否</w:t>
      </w:r>
      <w:r>
        <w:rPr>
          <w:rFonts w:hint="eastAsia" w:ascii="宋体" w:hAnsi="宋体" w:eastAsia="宋体" w:cs="宋体"/>
          <w:color w:val="auto"/>
          <w:sz w:val="24"/>
          <w:szCs w:val="24"/>
          <w:lang w:eastAsia="zh-CN"/>
        </w:rPr>
        <w:t xml:space="preserve">按要求配备</w:t>
      </w:r>
      <w:r>
        <w:rPr>
          <w:rFonts w:hint="eastAsia" w:ascii="宋体" w:hAnsi="宋体" w:eastAsia="宋体" w:cs="宋体"/>
          <w:color w:val="auto"/>
          <w:sz w:val="24"/>
          <w:szCs w:val="24"/>
        </w:rPr>
        <w:t xml:space="preserve">应急救援装备</w:t>
      </w:r>
      <w:r>
        <w:rPr>
          <w:rFonts w:hint="eastAsia" w:ascii="宋体" w:hAnsi="宋体" w:eastAsia="宋体" w:cs="宋体"/>
          <w:color w:val="auto"/>
          <w:sz w:val="24"/>
          <w:szCs w:val="24"/>
          <w:lang w:eastAsia="zh-CN"/>
        </w:rPr>
        <w:t xml:space="preserve">，组织应急救援队伍，开展应急救援演练，并如实记录情况。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7.是否存在违章作业情况。</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8.是否存在其他违反法律法规、安全技术规范和安全标准等强制性规定的问题</w:t>
      </w:r>
      <w:r>
        <w:rPr>
          <w:rFonts w:hint="eastAsia" w:ascii="宋体" w:hAnsi="宋体" w:eastAsia="宋体" w:cs="宋体"/>
          <w:color w:val="auto"/>
          <w:sz w:val="24"/>
          <w:szCs w:val="24"/>
          <w:lang w:eastAsia="zh-CN"/>
        </w:rPr>
        <w:t xml:space="preserve">隐患。</w:t>
      </w:r>
      <w:r/>
    </w:p>
    <w:p>
      <w:pPr>
        <w:numPr>
          <w:ilvl w:val="0"/>
          <w:numId w:val="6"/>
        </w:numPr>
        <w:ind w:left="0" w:firstLine="0"/>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气瓶（移动式压力容器）充装</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许可证是否在有效期内，发生变更是否按规定及时办理变更手续</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现场作业人员</w:t>
      </w:r>
      <w:r>
        <w:rPr>
          <w:rFonts w:hint="eastAsia" w:ascii="宋体" w:hAnsi="宋体" w:eastAsia="宋体" w:cs="宋体"/>
          <w:color w:val="auto"/>
          <w:sz w:val="24"/>
          <w:szCs w:val="24"/>
          <w:lang w:eastAsia="zh-CN"/>
        </w:rPr>
        <w:t xml:space="preserve">（含安全管理人员、充装人员和其他特种设备操作人员）</w:t>
      </w:r>
      <w:r>
        <w:rPr>
          <w:rFonts w:hint="eastAsia" w:ascii="宋体" w:hAnsi="宋体" w:eastAsia="宋体" w:cs="宋体"/>
          <w:color w:val="auto"/>
          <w:sz w:val="24"/>
          <w:szCs w:val="24"/>
        </w:rPr>
        <w:t xml:space="preserve">是否具有有效证件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允许操作范围与现场情况一致。</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3.是否有超范围充装情况。</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4.是否对气瓶（移动式压力容器）登记注册，按要求进行充装，并如实记录。</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使用的压力容器、压力管道等特种设备是否办理使用登记，并有有效的定期检验报告</w:t>
      </w:r>
      <w:r>
        <w:rPr>
          <w:rFonts w:hint="eastAsia" w:ascii="宋体" w:hAnsi="宋体" w:eastAsia="宋体" w:cs="宋体"/>
          <w:color w:val="auto"/>
          <w:sz w:val="24"/>
          <w:szCs w:val="24"/>
          <w:lang w:eastAsia="zh-CN"/>
        </w:rPr>
        <w:t xml:space="preserve">。</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6.是否充装非自有产权、标识和颜色不符合规定、非重复充装、无二维码、报废和超期未检的气瓶（移动式压力容器）。</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7.现场作业环境是否满足安全需求。</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8.是否存在违章作业情况。</w:t>
      </w:r>
      <w:r/>
    </w:p>
    <w:p>
      <w:pPr>
        <w:numPr>
          <w:ilvl w:val="0"/>
          <w:numId w:val="0"/>
        </w:numPr>
        <w:jc w:val="lef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9.是否存在其他违反法律法规、安全技术规范和安全标准等强制性规定的问题</w:t>
      </w:r>
      <w:r>
        <w:rPr>
          <w:rFonts w:hint="eastAsia" w:ascii="宋体" w:hAnsi="宋体" w:eastAsia="宋体" w:cs="宋体"/>
          <w:color w:val="auto"/>
          <w:sz w:val="24"/>
          <w:szCs w:val="24"/>
          <w:lang w:eastAsia="zh-CN"/>
        </w:rPr>
        <w:t xml:space="preserve">隐患。</w:t>
      </w:r>
      <w:r/>
    </w:p>
    <w:p>
      <w:pPr>
        <w:numPr>
          <w:ilvl w:val="0"/>
          <w:numId w:val="4"/>
        </w:numPr>
        <w:ind w:left="0" w:firstLine="0"/>
        <w:jc w:val="lef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管理提升类</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1、特种设备本身设计、制造、安装存在安全风险和隐患。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2、特种设备受周围环境因素或其他设备设施影响存在风险和隐患。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3、由于认识不到位或者管理缺陷，对违章作业习以为常而产生的风险和隐患。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4、由于历史原因和现场实际情况限制，对特种设备产生的风险和隐患。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5、未认真吸取同类事故教训，相同的风险和隐患未及时彻底整改。</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6、安全操作规程与实际情况不符，存在事故风险和隐患。</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7、专项应急预案由于编写不清、信息不准确、未开展培训演练等因素，致使无法发挥实效。</w:t>
      </w:r>
      <w:r/>
    </w:p>
    <w:p>
      <w:pPr>
        <w:numPr>
          <w:ilvl w:val="0"/>
          <w:numId w:val="0"/>
        </w:numPr>
        <w:jc w:val="lef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8、由于管理能力不足，导致特种设备管理未覆盖全部特种设备，存在部分特种设备未纳入管理、安全附件未校验、安全仪表未检定、现场设置不合理不规范等风险和隐患。</w:t>
      </w:r>
      <w:r/>
    </w:p>
    <w:p>
      <w:pPr>
        <w:ind w:left="907" w:hanging="907"/>
        <w:jc w:val="both"/>
        <w:spacing w:before="0" w:after="0"/>
        <w:rPr>
          <w:rFonts w:hint="eastAsia" w:ascii="宋体" w:hAnsi="宋体" w:eastAsia="宋体" w:cs="宋体"/>
          <w:b/>
          <w:color w:val="auto"/>
          <w:sz w:val="24"/>
          <w:szCs w:val="20"/>
          <w:highlight w:val="none"/>
          <w:lang w:val="en-US" w:eastAsia="zh-CN" w:bidi="ar-SA"/>
        </w:rPr>
        <w:outlineLvl w:val="2"/>
      </w:pPr>
      <w:r>
        <w:rPr>
          <w:rFonts w:hint="eastAsia" w:ascii="宋体" w:hAnsi="宋体" w:eastAsia="宋体" w:cs="宋体"/>
          <w:b/>
          <w:color w:val="auto"/>
          <w:sz w:val="24"/>
          <w:szCs w:val="20"/>
          <w:highlight w:val="none"/>
          <w:lang w:val="en-US" w:eastAsia="zh-CN" w:bidi="ar-SA"/>
        </w:rPr>
      </w:r>
      <w:r/>
    </w:p>
    <w:p>
      <w:pPr>
        <w:rPr>
          <w:rFonts w:hint="eastAsia" w:asciiTheme="minorEastAsia" w:hAnsiTheme="minorEastAsia" w:eastAsiaTheme="minorEastAsia" w:cstheme="minorBidi"/>
          <w:b/>
          <w:color w:val="auto"/>
          <w:sz w:val="36"/>
          <w:highlight w:val="none"/>
        </w:rPr>
      </w:pPr>
      <w:r>
        <w:rPr>
          <w:rFonts w:hint="eastAsia" w:asciiTheme="minorEastAsia" w:hAnsiTheme="minorEastAsia" w:eastAsiaTheme="minorEastAsia" w:cstheme="minorBidi"/>
          <w:b/>
          <w:color w:val="auto"/>
          <w:sz w:val="36"/>
          <w:highlight w:val="none"/>
        </w:rPr>
        <w:br w:type="page" w:clear="all"/>
      </w:r>
      <w:r/>
    </w:p>
    <w:p>
      <w:pPr>
        <w:jc w:val="center"/>
        <w:rPr>
          <w:rFonts w:ascii="宋体" w:hAnsi="宋体" w:cs="宋体"/>
          <w:b/>
          <w:bCs/>
          <w:color w:val="auto"/>
          <w:sz w:val="36"/>
          <w:highlight w:val="none"/>
        </w:rPr>
      </w:pPr>
      <w:r>
        <w:rPr>
          <w:rFonts w:hint="eastAsia" w:asciiTheme="minorEastAsia" w:hAnsiTheme="minorEastAsia" w:eastAsiaTheme="minorEastAsia" w:cstheme="minorBidi"/>
          <w:b/>
          <w:color w:val="auto"/>
          <w:sz w:val="36"/>
          <w:highlight w:val="none"/>
        </w:rPr>
        <w:t xml:space="preserve">3.磋商</w:t>
      </w:r>
      <w:r>
        <w:rPr>
          <w:rFonts w:hint="eastAsia" w:asciiTheme="minorEastAsia" w:hAnsiTheme="minorEastAsia" w:eastAsiaTheme="minorEastAsia" w:cstheme="minorBidi"/>
          <w:b/>
          <w:bCs/>
          <w:color w:val="auto"/>
          <w:sz w:val="36"/>
          <w:highlight w:val="none"/>
        </w:rPr>
        <w:t xml:space="preserve">报价表</w:t>
      </w:r>
      <w:r/>
    </w:p>
    <w:p>
      <w:pPr>
        <w:pStyle w:val="918"/>
        <w:ind w:firstLine="2692"/>
        <w:spacing w:line="0" w:lineRule="atLeast"/>
        <w:rPr>
          <w:rFonts w:ascii="宋体" w:hAnsi="宋体" w:cs="宋体"/>
          <w:b/>
          <w:bCs/>
          <w:color w:val="auto"/>
          <w:sz w:val="36"/>
          <w:highlight w:val="none"/>
        </w:rPr>
      </w:pPr>
      <w:r>
        <w:rPr>
          <w:rFonts w:ascii="宋体" w:hAnsi="宋体" w:cs="宋体"/>
          <w:b/>
          <w:bCs/>
          <w:color w:val="auto"/>
          <w:sz w:val="36"/>
          <w:highlight w:val="none"/>
        </w:rPr>
      </w:r>
      <w:r/>
    </w:p>
    <w:p>
      <w:pPr>
        <w:pStyle w:val="918"/>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本次为首次报价                                   货币单位：人民币元</w:t>
      </w:r>
      <w:r/>
    </w:p>
    <w:p>
      <w:pPr>
        <w:pStyle w:val="918"/>
        <w:spacing w:line="360" w:lineRule="auto"/>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Bidi"/>
          <w:color w:val="auto"/>
          <w:sz w:val="24"/>
          <w:highlight w:val="none"/>
        </w:rPr>
        <w:t xml:space="preserve"> 项目编号：</w:t>
      </w:r>
      <w:r>
        <w:rPr>
          <w:rFonts w:hint="eastAsia" w:asciiTheme="minorEastAsia" w:hAnsiTheme="minorEastAsia" w:eastAsiaTheme="minorEastAsia" w:cstheme="minorBidi"/>
          <w:color w:val="auto"/>
          <w:sz w:val="24"/>
          <w:highlight w:val="none"/>
          <w:lang w:eastAsia="zh-CN"/>
        </w:rPr>
        <w:t xml:space="preserve">JSZC-320390-JSYE-C2026-0003</w:t>
      </w:r>
      <w:r/>
    </w:p>
    <w:p>
      <w:pPr>
        <w:pStyle w:val="918"/>
        <w:spacing w:line="360" w:lineRule="auto"/>
        <w:rPr>
          <w:rFonts w:ascii="宋体" w:hAnsi="宋体" w:cs="宋体"/>
          <w:color w:val="auto"/>
          <w:sz w:val="24"/>
          <w:highlight w:val="none"/>
        </w:rPr>
      </w:pPr>
      <w:r>
        <w:rPr>
          <w:rFonts w:ascii="宋体" w:hAnsi="宋体" w:cs="宋体"/>
          <w:color w:val="auto"/>
          <w:sz w:val="24"/>
          <w:highlight w:val="none"/>
        </w:rPr>
      </w:r>
      <w:r/>
    </w:p>
    <w:tbl>
      <w:tblPr>
        <w:tblStyle w:val="908"/>
        <w:tblW w:w="770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34"/>
        <w:gridCol w:w="2590"/>
        <w:gridCol w:w="238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734" w:type="dxa"/>
            <w:vAlign w:val="center"/>
            <w:textDirection w:val="lrTb"/>
            <w:noWrap w:val="false"/>
          </w:tcPr>
          <w:p>
            <w:pPr>
              <w:pStyle w:val="918"/>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项目名称</w:t>
            </w:r>
            <w:r/>
          </w:p>
        </w:tc>
        <w:tc>
          <w:tcPr>
            <w:tcBorders>
              <w:top w:val="single" w:color="000000" w:sz="6" w:space="0"/>
              <w:left w:val="single" w:color="000000" w:sz="2" w:space="0"/>
              <w:bottom w:val="single" w:color="000000" w:sz="2" w:space="0"/>
              <w:right w:val="single" w:color="000000" w:sz="4" w:space="0"/>
            </w:tcBorders>
            <w:tcW w:w="2590" w:type="dxa"/>
            <w:vAlign w:val="center"/>
            <w:textDirection w:val="lrTb"/>
            <w:noWrap w:val="false"/>
          </w:tcPr>
          <w:p>
            <w:pPr>
              <w:pStyle w:val="918"/>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项目内容</w:t>
            </w:r>
            <w:r/>
          </w:p>
        </w:tc>
        <w:tc>
          <w:tcPr>
            <w:tcBorders>
              <w:top w:val="single" w:color="000000" w:sz="6" w:space="0"/>
              <w:left w:val="single" w:color="000000" w:sz="4" w:space="0"/>
              <w:bottom w:val="single" w:color="000000" w:sz="2" w:space="0"/>
              <w:right w:val="single" w:color="000000" w:sz="2" w:space="0"/>
            </w:tcBorders>
            <w:tcW w:w="2385" w:type="dxa"/>
            <w:vAlign w:val="center"/>
            <w:textDirection w:val="lrTb"/>
            <w:noWrap w:val="false"/>
          </w:tcPr>
          <w:p>
            <w:pPr>
              <w:pStyle w:val="918"/>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932"/>
        </w:trPr>
        <w:tc>
          <w:tcPr>
            <w:tcBorders>
              <w:top w:val="single" w:color="000000" w:sz="2" w:space="0"/>
              <w:left w:val="single" w:color="000000" w:sz="6" w:space="0"/>
              <w:bottom w:val="single" w:color="000000" w:sz="2" w:space="0"/>
              <w:right w:val="single" w:color="000000" w:sz="2" w:space="0"/>
            </w:tcBorders>
            <w:tcW w:w="2734" w:type="dxa"/>
            <w:vAlign w:val="center"/>
            <w:textDirection w:val="lrTb"/>
            <w:noWrap w:val="false"/>
          </w:tcPr>
          <w:p>
            <w:pPr>
              <w:pStyle w:val="91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徐州经开区2026年特种设备安全生产隐患排查治理项目</w:t>
            </w:r>
            <w:r/>
          </w:p>
        </w:tc>
        <w:tc>
          <w:tcPr>
            <w:tcBorders>
              <w:top w:val="single" w:color="000000" w:sz="2" w:space="0"/>
              <w:left w:val="single" w:color="000000" w:sz="2" w:space="0"/>
              <w:bottom w:val="single" w:color="000000" w:sz="2" w:space="0"/>
              <w:right w:val="single" w:color="000000" w:sz="4" w:space="0"/>
            </w:tcBorders>
            <w:tcW w:w="2590" w:type="dxa"/>
            <w:vAlign w:val="center"/>
            <w:textDirection w:val="lrTb"/>
            <w:noWrap w:val="false"/>
          </w:tcPr>
          <w:p>
            <w:pPr>
              <w:pStyle w:val="918"/>
              <w:jc w:val="center"/>
              <w:rPr>
                <w:rFonts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w:t>
            </w:r>
            <w:r/>
          </w:p>
        </w:tc>
        <w:tc>
          <w:tcPr>
            <w:tcBorders>
              <w:top w:val="single" w:color="000000" w:sz="2" w:space="0"/>
              <w:left w:val="single" w:color="000000" w:sz="4" w:space="0"/>
              <w:bottom w:val="single" w:color="000000" w:sz="2" w:space="0"/>
              <w:right w:val="single" w:color="000000" w:sz="2" w:space="0"/>
            </w:tcBorders>
            <w:tcW w:w="2385" w:type="dxa"/>
            <w:vAlign w:val="center"/>
            <w:textDirection w:val="lrTb"/>
            <w:noWrap w:val="false"/>
          </w:tcPr>
          <w:p>
            <w:pPr>
              <w:pStyle w:val="918"/>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051"/>
        </w:trPr>
        <w:tc>
          <w:tcPr>
            <w:tcBorders>
              <w:top w:val="single" w:color="000000" w:sz="2" w:space="0"/>
              <w:left w:val="single" w:color="000000" w:sz="6" w:space="0"/>
              <w:bottom w:val="single" w:color="000000" w:sz="2" w:space="0"/>
              <w:right w:val="single" w:color="000000" w:sz="2" w:space="0"/>
            </w:tcBorders>
            <w:tcW w:w="2734" w:type="dxa"/>
            <w:vAlign w:val="center"/>
            <w:textDirection w:val="lrTb"/>
            <w:noWrap w:val="false"/>
          </w:tcPr>
          <w:p>
            <w:pPr>
              <w:pStyle w:val="918"/>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975" w:type="dxa"/>
            <w:vAlign w:val="center"/>
            <w:textDirection w:val="lrTb"/>
            <w:noWrap w:val="false"/>
          </w:tcPr>
          <w:p>
            <w:pPr>
              <w:pStyle w:val="918"/>
              <w:jc w:val="center"/>
              <w:rPr>
                <w:rFonts w:ascii="宋体" w:hAnsi="宋体" w:cs="宋体"/>
                <w:color w:val="auto"/>
                <w:sz w:val="24"/>
                <w:highlight w:val="none"/>
              </w:rPr>
            </w:pPr>
            <w:r>
              <w:rPr>
                <w:rFonts w:ascii="宋体" w:hAnsi="宋体" w:cs="宋体"/>
                <w:color w:val="auto"/>
                <w:sz w:val="24"/>
                <w:highlight w:val="none"/>
              </w:rPr>
            </w:r>
            <w:r/>
          </w:p>
        </w:tc>
      </w:tr>
    </w:tbl>
    <w:p>
      <w:pPr>
        <w:pStyle w:val="918"/>
        <w:spacing w:line="360" w:lineRule="auto"/>
        <w:rPr>
          <w:rFonts w:ascii="宋体" w:hAnsi="宋体" w:cs="宋体"/>
          <w:color w:val="auto"/>
          <w:sz w:val="24"/>
          <w:highlight w:val="none"/>
        </w:rPr>
      </w:pPr>
      <w:r>
        <w:rPr>
          <w:rFonts w:ascii="宋体" w:hAnsi="宋体" w:cs="宋体"/>
          <w:color w:val="auto"/>
          <w:sz w:val="24"/>
          <w:highlight w:val="none"/>
        </w:rPr>
      </w:r>
      <w:r/>
    </w:p>
    <w:p>
      <w:pPr>
        <w:pStyle w:val="918"/>
        <w:spacing w:line="360" w:lineRule="auto"/>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报价说明：</w:t>
      </w:r>
      <w:r/>
    </w:p>
    <w:p>
      <w:pPr>
        <w:pStyle w:val="918"/>
        <w:ind w:right="-1052"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1.报价包括完成项目的所有费用。采购人不再支付报价以外的任何费用。</w:t>
      </w:r>
      <w:r/>
    </w:p>
    <w:p>
      <w:pPr>
        <w:pStyle w:val="918"/>
        <w:ind w:right="-1052"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2.报价以总价为准，大小写不一致以大写为准；</w:t>
      </w:r>
      <w:r/>
    </w:p>
    <w:p>
      <w:pPr>
        <w:pStyle w:val="918"/>
        <w:ind w:right="-1052"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3.偏离说明：详见《偏离表》；</w:t>
      </w:r>
      <w:r/>
    </w:p>
    <w:p>
      <w:pPr>
        <w:pStyle w:val="918"/>
        <w:ind w:firstLine="480"/>
        <w:rPr>
          <w:rFonts w:ascii="宋体" w:hAnsi="宋体" w:cs="宋体"/>
          <w:color w:val="auto"/>
          <w:sz w:val="24"/>
          <w:highlight w:val="none"/>
        </w:rPr>
      </w:pPr>
      <w:r>
        <w:rPr>
          <w:rFonts w:ascii="宋体" w:hAnsi="宋体" w:cs="宋体"/>
          <w:color w:val="auto"/>
          <w:sz w:val="24"/>
          <w:highlight w:val="none"/>
        </w:rPr>
      </w:r>
      <w:r/>
    </w:p>
    <w:p>
      <w:pPr>
        <w:pStyle w:val="918"/>
        <w:ind w:firstLine="480"/>
        <w:rPr>
          <w:rFonts w:ascii="宋体" w:hAnsi="宋体" w:cs="宋体"/>
          <w:color w:val="auto"/>
          <w:sz w:val="24"/>
          <w:highlight w:val="none"/>
        </w:rPr>
      </w:pPr>
      <w:r>
        <w:rPr>
          <w:rFonts w:ascii="宋体" w:hAnsi="宋体" w:cs="宋体"/>
          <w:color w:val="auto"/>
          <w:sz w:val="24"/>
          <w:highlight w:val="none"/>
        </w:rPr>
      </w:r>
      <w:r/>
    </w:p>
    <w:p>
      <w:pPr>
        <w:pStyle w:val="918"/>
        <w:ind w:right="29" w:firstLine="396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供应商（电子签章）：</w:t>
      </w:r>
      <w:r/>
    </w:p>
    <w:p>
      <w:pPr>
        <w:pStyle w:val="918"/>
        <w:ind w:firstLine="3960"/>
        <w:rPr>
          <w:rFonts w:ascii="宋体" w:hAnsi="宋体" w:cs="宋体"/>
          <w:b/>
          <w:bCs/>
          <w:color w:val="auto"/>
          <w:highlight w:val="none"/>
        </w:rPr>
      </w:pPr>
      <w:r>
        <w:rPr>
          <w:rFonts w:hint="eastAsia" w:asciiTheme="minorEastAsia" w:hAnsiTheme="minorEastAsia" w:eastAsiaTheme="minorEastAsia" w:cstheme="minorBidi"/>
          <w:color w:val="auto"/>
          <w:sz w:val="24"/>
          <w:highlight w:val="none"/>
        </w:rPr>
        <w:t xml:space="preserve">日期：</w:t>
      </w:r>
      <w:r/>
    </w:p>
    <w:p>
      <w:pPr>
        <w:pStyle w:val="918"/>
        <w:ind w:right="29"/>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highlight w:val="none"/>
        </w:rPr>
      </w:pPr>
      <w:r>
        <w:rPr>
          <w:rFonts w:ascii="宋体" w:hAnsi="宋体" w:cs="宋体"/>
          <w:color w:val="auto"/>
          <w:highlight w:val="none"/>
        </w:rPr>
      </w:r>
      <w:r/>
    </w:p>
    <w:p>
      <w:pPr>
        <w:pStyle w:val="918"/>
        <w:rPr>
          <w:rFonts w:ascii="宋体" w:hAnsi="宋体" w:cs="宋体"/>
          <w:color w:val="auto"/>
          <w:highlight w:val="none"/>
        </w:rPr>
      </w:pPr>
      <w:r>
        <w:rPr>
          <w:rFonts w:ascii="宋体" w:hAnsi="宋体" w:cs="宋体"/>
          <w:color w:val="auto"/>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hint="eastAsia" w:asciiTheme="minorEastAsia" w:hAnsiTheme="minorEastAsia" w:eastAsiaTheme="minorEastAsia" w:cstheme="minorBidi"/>
          <w:b/>
          <w:bCs/>
          <w:color w:val="auto"/>
          <w:sz w:val="36"/>
          <w:highlight w:val="none"/>
        </w:rPr>
      </w:pPr>
      <w:r>
        <w:rPr>
          <w:rFonts w:hint="eastAsia" w:asciiTheme="minorEastAsia" w:hAnsiTheme="minorEastAsia" w:eastAsiaTheme="minorEastAsia" w:cstheme="minorBidi"/>
          <w:b/>
          <w:bCs/>
          <w:color w:val="auto"/>
          <w:sz w:val="36"/>
          <w:highlight w:val="none"/>
        </w:rPr>
      </w:r>
      <w:r/>
    </w:p>
    <w:p>
      <w:pPr>
        <w:pStyle w:val="918"/>
        <w:jc w:val="center"/>
        <w:rPr>
          <w:rFonts w:ascii="宋体" w:hAnsi="宋体" w:cs="宋体"/>
          <w:b/>
          <w:bCs/>
          <w:color w:val="auto"/>
          <w:sz w:val="36"/>
          <w:highlight w:val="none"/>
        </w:rPr>
      </w:pPr>
      <w:r>
        <w:rPr>
          <w:rFonts w:hint="eastAsia" w:asciiTheme="minorEastAsia" w:hAnsiTheme="minorEastAsia" w:eastAsiaTheme="minorEastAsia" w:cstheme="minorBidi"/>
          <w:b/>
          <w:bCs/>
          <w:color w:val="auto"/>
          <w:sz w:val="36"/>
          <w:highlight w:val="none"/>
        </w:rPr>
        <w:t xml:space="preserve">4．分项价格表</w:t>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spacing w:line="360" w:lineRule="auto"/>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本次为首次报价</w:t>
      </w:r>
      <w:r/>
    </w:p>
    <w:p>
      <w:pPr>
        <w:pStyle w:val="918"/>
        <w:ind w:firstLine="480"/>
        <w:jc w:val="center"/>
        <w:rPr>
          <w:rFonts w:ascii="宋体" w:hAnsi="宋体" w:cs="宋体"/>
          <w:color w:val="auto"/>
          <w:sz w:val="24"/>
          <w:highlight w:val="none"/>
        </w:rPr>
      </w:pPr>
      <w:r>
        <w:rPr>
          <w:rFonts w:ascii="宋体" w:hAnsi="宋体" w:cs="宋体"/>
          <w:color w:val="auto"/>
          <w:sz w:val="24"/>
          <w:highlight w:val="none"/>
        </w:rPr>
      </w:r>
      <w:r/>
    </w:p>
    <w:p>
      <w:pPr>
        <w:pStyle w:val="918"/>
        <w:jc w:val="left"/>
        <w:spacing w:line="0" w:lineRule="atLeas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Bidi"/>
          <w:color w:val="auto"/>
          <w:sz w:val="24"/>
          <w:highlight w:val="none"/>
        </w:rPr>
        <w:t xml:space="preserve">项目编号：</w:t>
      </w:r>
      <w:r>
        <w:rPr>
          <w:rFonts w:hint="eastAsia" w:asciiTheme="minorEastAsia" w:hAnsiTheme="minorEastAsia" w:eastAsiaTheme="minorEastAsia" w:cstheme="minorBidi"/>
          <w:color w:val="auto"/>
          <w:sz w:val="24"/>
          <w:highlight w:val="none"/>
          <w:lang w:eastAsia="zh-CN"/>
        </w:rPr>
        <w:t xml:space="preserve">JSZC-320390-JSYE-C2026-0003</w:t>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jc w:val="center"/>
        <w:spacing w:line="0" w:lineRule="atLeast"/>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b/>
          <w:bCs/>
          <w:color w:val="auto"/>
          <w:sz w:val="24"/>
          <w:highlight w:val="none"/>
        </w:rPr>
      </w:pPr>
      <w:r>
        <w:rPr>
          <w:rFonts w:hint="eastAsia" w:asciiTheme="minorEastAsia" w:hAnsiTheme="minorEastAsia" w:eastAsiaTheme="minorEastAsia" w:cstheme="minorBidi"/>
          <w:b/>
          <w:bCs/>
          <w:color w:val="auto"/>
          <w:sz w:val="24"/>
          <w:highlight w:val="none"/>
        </w:rPr>
        <w:t xml:space="preserve">（格式自拟）</w:t>
      </w:r>
      <w:r/>
    </w:p>
    <w:p>
      <w:pPr>
        <w:pStyle w:val="954"/>
        <w:rPr>
          <w:color w:val="auto"/>
          <w:highlight w:val="none"/>
        </w:rPr>
      </w:pPr>
      <w:r>
        <w:rPr>
          <w:color w:val="auto"/>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ind w:right="2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供应商（电子签章）：</w:t>
      </w:r>
      <w:r/>
    </w:p>
    <w:p>
      <w:pPr>
        <w:pStyle w:val="918"/>
        <w:ind w:right="2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日期：</w:t>
      </w:r>
      <w:r/>
    </w:p>
    <w:p>
      <w:pPr>
        <w:pStyle w:val="918"/>
        <w:rPr>
          <w:rFonts w:ascii="宋体" w:hAnsi="宋体" w:cs="宋体"/>
          <w:color w:val="auto"/>
          <w:sz w:val="24"/>
          <w:highlight w:val="none"/>
          <w:u w:val="single"/>
        </w:rPr>
      </w:pPr>
      <w:r>
        <w:rPr>
          <w:rFonts w:ascii="宋体" w:hAnsi="宋体" w:cs="宋体"/>
          <w:color w:val="auto"/>
          <w:sz w:val="24"/>
          <w:highlight w:val="none"/>
          <w:u w:val="singl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注：1．如果按单价计算的结果与总价不一致，以总价为准。</w:t>
      </w:r>
      <w:r/>
    </w:p>
    <w:p>
      <w:pPr>
        <w:pStyle w:val="918"/>
        <w:ind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2．如果不提供详细分项报价将视为没有实质性响应。</w:t>
      </w:r>
      <w:r/>
    </w:p>
    <w:p>
      <w:pPr>
        <w:pStyle w:val="918"/>
        <w:ind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3. 供应商对以上数据的真实性负责。</w:t>
      </w:r>
      <w:r/>
    </w:p>
    <w:p>
      <w:pPr>
        <w:pStyle w:val="918"/>
        <w:ind w:firstLine="482"/>
        <w:rPr>
          <w:rFonts w:ascii="宋体" w:hAnsi="宋体" w:cs="宋体"/>
          <w:b/>
          <w:i/>
          <w:color w:val="auto"/>
          <w:sz w:val="24"/>
          <w:highlight w:val="none"/>
          <w:u w:val="single"/>
        </w:rPr>
      </w:pPr>
      <w:r>
        <w:rPr>
          <w:rFonts w:hint="eastAsia" w:asciiTheme="minorEastAsia" w:hAnsiTheme="minorEastAsia" w:eastAsiaTheme="minorEastAsia" w:cstheme="minorBidi"/>
          <w:b/>
          <w:i/>
          <w:color w:val="auto"/>
          <w:sz w:val="24"/>
          <w:highlight w:val="none"/>
          <w:u w:val="single"/>
          <w:lang w:eastAsia="zh-CN"/>
        </w:rPr>
        <w:t xml:space="preserve">江苏誉尔威建筑咨询有限公司</w:t>
      </w:r>
      <w:r>
        <w:rPr>
          <w:rFonts w:hint="eastAsia" w:asciiTheme="minorEastAsia" w:hAnsiTheme="minorEastAsia" w:eastAsiaTheme="minorEastAsia" w:cstheme="minorBidi"/>
          <w:b/>
          <w:i/>
          <w:color w:val="auto"/>
          <w:sz w:val="24"/>
          <w:highlight w:val="none"/>
          <w:u w:val="single"/>
        </w:rPr>
        <w:t xml:space="preserve">有权将以上内容进行公示。</w:t>
      </w:r>
      <w:r/>
    </w:p>
    <w:p>
      <w:pPr>
        <w:pStyle w:val="918"/>
        <w:rPr>
          <w:rFonts w:ascii="宋体" w:hAnsi="宋体" w:cs="宋体"/>
          <w:b/>
          <w:bCs/>
          <w:color w:val="auto"/>
          <w:sz w:val="36"/>
          <w:highlight w:val="none"/>
        </w:rPr>
      </w:pPr>
      <w:r>
        <w:rPr>
          <w:rFonts w:ascii="宋体" w:hAnsi="宋体" w:cs="宋体"/>
          <w:b/>
          <w:bCs/>
          <w:color w:val="auto"/>
          <w:sz w:val="36"/>
          <w:highlight w:val="none"/>
        </w:rPr>
      </w:r>
      <w:r/>
    </w:p>
    <w:p>
      <w:pPr>
        <w:pStyle w:val="918"/>
        <w:ind w:firstLine="480"/>
        <w:rPr>
          <w:rFonts w:ascii="宋体" w:hAnsi="宋体" w:cs="宋体"/>
          <w:color w:val="auto"/>
          <w:sz w:val="24"/>
          <w:highlight w:val="none"/>
        </w:rPr>
      </w:pPr>
      <w:r>
        <w:rPr>
          <w:rFonts w:ascii="宋体" w:hAnsi="宋体" w:cs="宋体"/>
          <w:color w:val="auto"/>
          <w:sz w:val="24"/>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rPr>
          <w:rFonts w:ascii="宋体" w:hAnsi="宋体" w:cs="宋体"/>
          <w:b/>
          <w:color w:val="auto"/>
          <w:sz w:val="36"/>
          <w:highlight w:val="none"/>
        </w:rPr>
      </w:pPr>
      <w:r>
        <w:rPr>
          <w:rFonts w:ascii="宋体" w:hAnsi="宋体" w:cs="宋体"/>
          <w:b/>
          <w:color w:val="auto"/>
          <w:sz w:val="36"/>
          <w:highlight w:val="none"/>
        </w:rPr>
      </w:r>
      <w:r/>
    </w:p>
    <w:p>
      <w:pPr>
        <w:pStyle w:val="918"/>
        <w:jc w:val="center"/>
        <w:rPr>
          <w:rFonts w:ascii="宋体" w:hAnsi="宋体" w:cs="宋体"/>
          <w:b/>
          <w:color w:val="auto"/>
          <w:sz w:val="36"/>
          <w:highlight w:val="none"/>
        </w:rPr>
      </w:pPr>
      <w:r>
        <w:rPr>
          <w:rFonts w:ascii="宋体" w:hAnsi="宋体" w:cs="宋体"/>
          <w:b/>
          <w:color w:val="auto"/>
          <w:sz w:val="36"/>
          <w:highlight w:val="none"/>
        </w:rPr>
      </w:r>
      <w:r/>
    </w:p>
    <w:p>
      <w:pPr>
        <w:pStyle w:val="918"/>
        <w:jc w:val="center"/>
        <w:rPr>
          <w:rFonts w:ascii="宋体" w:hAnsi="宋体" w:cs="宋体"/>
          <w:b/>
          <w:bCs/>
          <w:color w:val="auto"/>
          <w:sz w:val="36"/>
          <w:highlight w:val="none"/>
        </w:rPr>
      </w:pPr>
      <w:r>
        <w:rPr>
          <w:rFonts w:ascii="宋体" w:hAnsi="宋体" w:cs="宋体"/>
          <w:b/>
          <w:bCs/>
          <w:color w:val="auto"/>
          <w:sz w:val="36"/>
          <w:highlight w:val="none"/>
        </w:rPr>
      </w:r>
      <w:r/>
    </w:p>
    <w:p>
      <w:pPr>
        <w:pStyle w:val="918"/>
        <w:jc w:val="center"/>
        <w:rPr>
          <w:rFonts w:ascii="宋体" w:hAnsi="宋体" w:cs="宋体"/>
          <w:b/>
          <w:bCs/>
          <w:color w:val="auto"/>
          <w:sz w:val="36"/>
          <w:highlight w:val="none"/>
        </w:rPr>
      </w:pPr>
      <w:r>
        <w:rPr>
          <w:rFonts w:hint="eastAsia" w:asciiTheme="minorEastAsia" w:hAnsiTheme="minorEastAsia" w:eastAsiaTheme="minorEastAsia" w:cstheme="minorBidi"/>
          <w:b/>
          <w:bCs/>
          <w:color w:val="auto"/>
          <w:sz w:val="36"/>
          <w:highlight w:val="none"/>
        </w:rPr>
        <w:t xml:space="preserve">5.偏离表</w:t>
      </w:r>
      <w:r/>
    </w:p>
    <w:p>
      <w:pPr>
        <w:pStyle w:val="918"/>
        <w:jc w:val="center"/>
        <w:rPr>
          <w:rFonts w:ascii="宋体" w:hAnsi="宋体" w:cs="宋体"/>
          <w:b/>
          <w:bCs/>
          <w:color w:val="auto"/>
          <w:sz w:val="36"/>
          <w:highlight w:val="none"/>
        </w:rPr>
      </w:pPr>
      <w:r>
        <w:rPr>
          <w:rFonts w:hint="eastAsia" w:asciiTheme="minorEastAsia" w:hAnsiTheme="minorEastAsia" w:eastAsiaTheme="minorEastAsia" w:cstheme="minorBidi"/>
          <w:color w:val="auto"/>
          <w:sz w:val="24"/>
          <w:highlight w:val="none"/>
        </w:rPr>
        <w:t xml:space="preserve">（首次报价）</w:t>
      </w:r>
      <w:r/>
    </w:p>
    <w:p>
      <w:pPr>
        <w:pStyle w:val="918"/>
        <w:jc w:val="left"/>
        <w:spacing w:line="0" w:lineRule="atLeas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Bidi"/>
          <w:color w:val="auto"/>
          <w:sz w:val="24"/>
          <w:highlight w:val="none"/>
        </w:rPr>
        <w:t xml:space="preserve">项目编号：</w:t>
      </w:r>
      <w:r>
        <w:rPr>
          <w:rFonts w:hint="eastAsia" w:asciiTheme="minorEastAsia" w:hAnsiTheme="minorEastAsia" w:eastAsiaTheme="minorEastAsia" w:cstheme="minorBidi"/>
          <w:color w:val="auto"/>
          <w:sz w:val="24"/>
          <w:highlight w:val="none"/>
          <w:lang w:eastAsia="zh-CN"/>
        </w:rPr>
        <w:t xml:space="preserve">JSZC-320390-JSYE-C2026-0003</w:t>
      </w:r>
      <w:r/>
    </w:p>
    <w:p>
      <w:pPr>
        <w:pStyle w:val="918"/>
        <w:jc w:val="left"/>
        <w:spacing w:line="0" w:lineRule="atLeast"/>
        <w:rPr>
          <w:rFonts w:ascii="宋体" w:hAnsi="宋体" w:cs="宋体"/>
          <w:color w:val="auto"/>
          <w:sz w:val="24"/>
          <w:highlight w:val="none"/>
        </w:rPr>
      </w:pPr>
      <w:r>
        <w:rPr>
          <w:rFonts w:ascii="宋体" w:hAnsi="宋体" w:cs="宋体"/>
          <w:color w:val="auto"/>
          <w:sz w:val="24"/>
          <w:highlight w:val="none"/>
        </w:rPr>
      </w:r>
      <w:r/>
    </w:p>
    <w:tbl>
      <w:tblPr>
        <w:tblStyle w:val="908"/>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18"/>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18"/>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918"/>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918"/>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18"/>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18"/>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8"/>
              <w:rPr>
                <w:rFonts w:ascii="宋体" w:hAnsi="宋体" w:cs="宋体"/>
                <w:color w:val="auto"/>
                <w:sz w:val="24"/>
                <w:highlight w:val="none"/>
              </w:rPr>
            </w:pPr>
            <w:r>
              <w:rPr>
                <w:rFonts w:ascii="宋体" w:hAnsi="宋体" w:cs="宋体"/>
                <w:color w:val="auto"/>
                <w:sz w:val="24"/>
                <w:highlight w:val="none"/>
              </w:rPr>
            </w:r>
            <w:r/>
          </w:p>
        </w:tc>
      </w:tr>
    </w:tbl>
    <w:p>
      <w:pPr>
        <w:pStyle w:val="918"/>
        <w:rPr>
          <w:rFonts w:ascii="宋体" w:hAnsi="宋体" w:cs="宋体"/>
          <w:color w:val="auto"/>
          <w:sz w:val="24"/>
          <w:highlight w:val="none"/>
          <w:u w:val="single"/>
        </w:rPr>
      </w:pPr>
      <w:r>
        <w:rPr>
          <w:rFonts w:ascii="宋体" w:hAnsi="宋体" w:cs="宋体"/>
          <w:color w:val="auto"/>
          <w:sz w:val="24"/>
          <w:highlight w:val="none"/>
          <w:u w:val="single"/>
        </w:rPr>
      </w:r>
      <w:r/>
    </w:p>
    <w:p>
      <w:pPr>
        <w:pStyle w:val="918"/>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18"/>
        <w:rPr>
          <w:rFonts w:ascii="宋体" w:hAnsi="宋体" w:cs="宋体"/>
          <w:color w:val="auto"/>
          <w:sz w:val="24"/>
          <w:highlight w:val="none"/>
        </w:rPr>
      </w:pPr>
      <w:r>
        <w:rPr>
          <w:rFonts w:ascii="宋体" w:hAnsi="宋体" w:cs="宋体"/>
          <w:color w:val="auto"/>
          <w:sz w:val="24"/>
          <w:highlight w:val="none"/>
        </w:rPr>
      </w:r>
      <w:r/>
    </w:p>
    <w:p>
      <w:pPr>
        <w:pStyle w:val="918"/>
        <w:ind w:right="2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供应商（电子签章）：</w:t>
      </w:r>
      <w:r/>
    </w:p>
    <w:p>
      <w:pPr>
        <w:pStyle w:val="918"/>
        <w:ind w:right="29"/>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t xml:space="preserve">                           日期：</w:t>
      </w:r>
      <w:r/>
    </w:p>
    <w:p>
      <w:pPr>
        <w:pStyle w:val="920"/>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r>
      <w:r/>
    </w:p>
    <w:p>
      <w:pPr>
        <w:pStyle w:val="915"/>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r>
      <w:r/>
    </w:p>
    <w:p>
      <w:pPr>
        <w:pStyle w:val="917"/>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r>
      <w:r/>
    </w:p>
    <w:p>
      <w:pPr>
        <w:pStyle w:val="918"/>
        <w:jc w:val="center"/>
        <w:rPr>
          <w:rFonts w:hint="eastAsia" w:asciiTheme="minorEastAsia" w:hAnsiTheme="minorEastAsia" w:eastAsiaTheme="minorEastAsia" w:cstheme="minorBidi"/>
          <w:b/>
          <w:bCs/>
          <w:color w:val="auto"/>
          <w:sz w:val="36"/>
          <w:highlight w:val="none"/>
        </w:rPr>
      </w:pPr>
      <w:r>
        <w:rPr>
          <w:rFonts w:hint="eastAsia" w:asciiTheme="minorEastAsia" w:hAnsiTheme="minorEastAsia" w:eastAsiaTheme="minorEastAsia" w:cstheme="minorBidi"/>
          <w:b/>
          <w:bCs/>
          <w:color w:val="auto"/>
          <w:sz w:val="36"/>
          <w:highlight w:val="none"/>
        </w:rPr>
      </w:r>
      <w:r/>
    </w:p>
    <w:p>
      <w:pPr>
        <w:pStyle w:val="918"/>
        <w:jc w:val="center"/>
        <w:rPr>
          <w:rFonts w:hint="eastAsia" w:asciiTheme="minorEastAsia" w:hAnsiTheme="minorEastAsia" w:eastAsiaTheme="minorEastAsia" w:cstheme="minorBidi"/>
          <w:b/>
          <w:bCs/>
          <w:color w:val="auto"/>
          <w:sz w:val="36"/>
          <w:highlight w:val="none"/>
        </w:rPr>
      </w:pPr>
      <w:r>
        <w:rPr>
          <w:rFonts w:hint="eastAsia" w:asciiTheme="minorEastAsia" w:hAnsiTheme="minorEastAsia" w:eastAsiaTheme="minorEastAsia" w:cstheme="minorBidi"/>
          <w:b/>
          <w:bCs/>
          <w:color w:val="auto"/>
          <w:sz w:val="36"/>
          <w:highlight w:val="none"/>
        </w:rPr>
        <w:t xml:space="preserve">6.合同草案条款</w:t>
      </w:r>
      <w:r/>
    </w:p>
    <w:p>
      <w:pPr>
        <w:jc w:val="center"/>
        <w:spacing w:line="360" w:lineRule="auto"/>
        <w:rPr>
          <w:rFonts w:hint="default" w:ascii="方正小标宋_GBK" w:hAnsi="宋体" w:eastAsia="方正小标宋_GBK" w:cs="宋体"/>
          <w:b/>
          <w:bCs/>
          <w:color w:val="auto"/>
          <w:sz w:val="52"/>
          <w:szCs w:val="52"/>
          <w:highlight w:val="none"/>
        </w:rPr>
      </w:pPr>
      <w:r>
        <w:rPr>
          <w:rFonts w:hint="default" w:ascii="方正小标宋_GBK" w:hAnsi="宋体" w:eastAsia="方正小标宋_GBK" w:cs="宋体"/>
          <w:b/>
          <w:bCs/>
          <w:color w:val="auto"/>
          <w:sz w:val="52"/>
          <w:szCs w:val="52"/>
          <w:highlight w:val="none"/>
        </w:rPr>
        <w:t xml:space="preserve">徐州经济技术开发区</w:t>
      </w:r>
      <w:r/>
    </w:p>
    <w:p>
      <w:pPr>
        <w:jc w:val="center"/>
        <w:spacing w:line="360" w:lineRule="auto"/>
        <w:rPr>
          <w:rFonts w:hint="default" w:ascii="方正小标宋_GBK" w:hAnsi="宋体" w:eastAsia="方正小标宋_GBK" w:cs="宋体"/>
          <w:b/>
          <w:bCs/>
          <w:color w:val="auto"/>
          <w:sz w:val="52"/>
          <w:szCs w:val="52"/>
          <w:highlight w:val="none"/>
        </w:rPr>
      </w:pPr>
      <w:r>
        <w:rPr>
          <w:rFonts w:hint="default" w:ascii="方正小标宋_GBK" w:hAnsi="宋体" w:eastAsia="方正小标宋_GBK" w:cs="宋体"/>
          <w:b/>
          <w:bCs/>
          <w:color w:val="auto"/>
          <w:sz w:val="52"/>
          <w:szCs w:val="52"/>
          <w:highlight w:val="none"/>
        </w:rPr>
        <w:t xml:space="preserve">合同示范文本</w:t>
      </w:r>
      <w:r/>
    </w:p>
    <w:p>
      <w:pPr>
        <w:spacing w:line="360" w:lineRule="auto"/>
        <w:tabs>
          <w:tab w:val="left" w:pos="720" w:leader="none"/>
        </w:tabs>
        <w:rPr>
          <w:rFonts w:hint="default" w:ascii="Times New Roman" w:hAnsi="Times New Roman" w:eastAsia="仿宋" w:cs="Times New Roman"/>
          <w:b/>
          <w:color w:val="auto"/>
          <w:spacing w:val="0"/>
          <w:sz w:val="28"/>
          <w:szCs w:val="28"/>
          <w:highlight w:val="none"/>
        </w:rPr>
      </w:pPr>
      <w:r>
        <w:rPr>
          <w:rFonts w:hint="default" w:ascii="Times New Roman" w:hAnsi="Times New Roman" w:eastAsia="仿宋" w:cs="Times New Roman"/>
          <w:b/>
          <w:color w:val="auto"/>
          <w:spacing w:val="0"/>
          <w:sz w:val="28"/>
          <w:szCs w:val="28"/>
          <w:highlight w:val="none"/>
        </w:rPr>
      </w:r>
      <w:r/>
    </w:p>
    <w:p>
      <w:pPr>
        <w:spacing w:line="360" w:lineRule="auto"/>
        <w:tabs>
          <w:tab w:val="left" w:pos="720" w:leader="none"/>
        </w:tabs>
        <w:rPr>
          <w:rFonts w:hint="default" w:ascii="Times New Roman" w:hAnsi="Times New Roman" w:eastAsia="仿宋" w:cs="Times New Roman"/>
          <w:b/>
          <w:color w:val="auto"/>
          <w:spacing w:val="0"/>
          <w:sz w:val="28"/>
          <w:szCs w:val="28"/>
          <w:highlight w:val="none"/>
        </w:rPr>
      </w:pPr>
      <w:r>
        <w:rPr>
          <w:rFonts w:hint="default" w:ascii="Times New Roman" w:hAnsi="Times New Roman" w:eastAsia="仿宋" w:cs="Times New Roman"/>
          <w:b/>
          <w:color w:val="auto"/>
          <w:spacing w:val="0"/>
          <w:sz w:val="28"/>
          <w:szCs w:val="28"/>
          <w:highlight w:val="none"/>
        </w:rPr>
      </w:r>
      <w:r/>
    </w:p>
    <w:p>
      <w:pPr>
        <w:spacing w:line="360" w:lineRule="auto"/>
        <w:tabs>
          <w:tab w:val="left" w:pos="720" w:leader="none"/>
        </w:tabs>
        <w:rPr>
          <w:rFonts w:hint="default" w:ascii="Times New Roman" w:hAnsi="Times New Roman" w:eastAsia="仿宋" w:cs="Times New Roman"/>
          <w:b/>
          <w:color w:val="auto"/>
          <w:spacing w:val="0"/>
          <w:sz w:val="28"/>
          <w:szCs w:val="28"/>
          <w:highlight w:val="none"/>
        </w:rPr>
      </w:pPr>
      <w:r>
        <w:rPr>
          <w:rFonts w:hint="default" w:ascii="Times New Roman" w:hAnsi="Times New Roman" w:eastAsia="仿宋" w:cs="Times New Roman"/>
          <w:b/>
          <w:color w:val="auto"/>
          <w:spacing w:val="0"/>
          <w:sz w:val="28"/>
          <w:szCs w:val="28"/>
          <w:highlight w:val="none"/>
        </w:rPr>
      </w:r>
      <w:r/>
    </w:p>
    <w:p>
      <w:pPr>
        <w:spacing w:line="360" w:lineRule="auto"/>
        <w:tabs>
          <w:tab w:val="left" w:pos="720" w:leader="none"/>
        </w:tabs>
        <w:rPr>
          <w:rFonts w:hint="default" w:ascii="Times New Roman" w:hAnsi="Times New Roman" w:eastAsia="仿宋" w:cs="Times New Roman"/>
          <w:b/>
          <w:color w:val="auto"/>
          <w:spacing w:val="0"/>
          <w:sz w:val="28"/>
          <w:szCs w:val="28"/>
          <w:highlight w:val="none"/>
        </w:rPr>
      </w:pPr>
      <w:r>
        <w:rPr>
          <w:rFonts w:hint="default" w:ascii="Times New Roman" w:hAnsi="Times New Roman" w:eastAsia="仿宋" w:cs="Times New Roman"/>
          <w:b/>
          <w:color w:val="auto"/>
          <w:spacing w:val="0"/>
          <w:sz w:val="28"/>
          <w:szCs w:val="28"/>
          <w:highlight w:val="none"/>
        </w:rPr>
      </w:r>
      <w:r/>
    </w:p>
    <w:p>
      <w:pPr>
        <w:spacing w:line="360" w:lineRule="auto"/>
        <w:tabs>
          <w:tab w:val="left" w:pos="720" w:leader="none"/>
        </w:tabs>
        <w:rPr>
          <w:rFonts w:hint="default" w:ascii="Times New Roman" w:hAnsi="Times New Roman" w:eastAsia="仿宋" w:cs="Times New Roman"/>
          <w:b/>
          <w:color w:val="auto"/>
          <w:spacing w:val="0"/>
          <w:sz w:val="28"/>
          <w:szCs w:val="28"/>
          <w:highlight w:val="none"/>
        </w:rPr>
      </w:pPr>
      <w:r>
        <w:rPr>
          <w:rFonts w:hint="default" w:ascii="Times New Roman" w:hAnsi="Times New Roman" w:eastAsia="仿宋" w:cs="Times New Roman"/>
          <w:b/>
          <w:color w:val="auto"/>
          <w:spacing w:val="0"/>
          <w:sz w:val="28"/>
          <w:szCs w:val="28"/>
          <w:highlight w:val="none"/>
        </w:rPr>
      </w:r>
      <w:r/>
    </w:p>
    <w:p>
      <w:pPr>
        <w:jc w:val="center"/>
        <w:spacing w:line="360" w:lineRule="auto"/>
        <w:tabs>
          <w:tab w:val="left" w:pos="720" w:leader="none"/>
        </w:tabs>
        <w:rPr>
          <w:rFonts w:hint="default" w:ascii="Times New Roman" w:hAnsi="Times New Roman" w:eastAsia="仿宋" w:cs="Times New Roman"/>
          <w:b/>
          <w:bCs/>
          <w:color w:val="auto"/>
          <w:spacing w:val="0"/>
          <w:sz w:val="52"/>
          <w:szCs w:val="52"/>
          <w:highlight w:val="none"/>
        </w:rPr>
      </w:pPr>
      <w:r>
        <w:rPr>
          <w:rFonts w:hint="default" w:ascii="Times New Roman" w:hAnsi="Times New Roman" w:eastAsia="仿宋" w:cs="Times New Roman"/>
          <w:b/>
          <w:bCs/>
          <w:color w:val="auto"/>
          <w:spacing w:val="0"/>
          <w:sz w:val="52"/>
          <w:szCs w:val="52"/>
          <w:highlight w:val="none"/>
        </w:rPr>
      </w:r>
      <w:r/>
    </w:p>
    <w:p>
      <w:pPr>
        <w:jc w:val="center"/>
        <w:spacing w:line="360" w:lineRule="auto"/>
        <w:rPr>
          <w:rFonts w:hint="default" w:ascii="方正小标宋_GBK" w:hAnsi="宋体" w:eastAsia="方正小标宋_GBK" w:cs="宋体"/>
          <w:b/>
          <w:bCs/>
          <w:color w:val="auto"/>
          <w:sz w:val="52"/>
          <w:szCs w:val="52"/>
          <w:highlight w:val="none"/>
        </w:rPr>
      </w:pPr>
      <w:r>
        <w:rPr>
          <w:rFonts w:hint="default" w:ascii="方正小标宋_GBK" w:hAnsi="宋体" w:eastAsia="方正小标宋_GBK" w:cs="宋体"/>
          <w:b/>
          <w:bCs/>
          <w:color w:val="auto"/>
          <w:sz w:val="52"/>
          <w:szCs w:val="52"/>
          <w:highlight w:val="none"/>
        </w:rPr>
        <w:t xml:space="preserve">技术服务合同范本</w:t>
      </w:r>
      <w:r/>
    </w:p>
    <w:p>
      <w:pPr>
        <w:jc w:val="center"/>
        <w:spacing w:line="360" w:lineRule="auto"/>
        <w:tabs>
          <w:tab w:val="left" w:pos="720" w:leader="none"/>
        </w:tabs>
        <w:rPr>
          <w:rFonts w:hint="default" w:ascii="Times New Roman" w:hAnsi="Times New Roman" w:eastAsia="仿宋" w:cs="Times New Roman"/>
          <w:color w:val="auto"/>
          <w:spacing w:val="0"/>
          <w:sz w:val="28"/>
          <w:szCs w:val="28"/>
          <w:highlight w:val="none"/>
        </w:rPr>
      </w:pPr>
      <w:r>
        <w:rPr>
          <w:rFonts w:hint="default" w:ascii="Times New Roman" w:hAnsi="Times New Roman" w:eastAsia="仿宋" w:cs="Times New Roman"/>
          <w:color w:val="auto"/>
          <w:spacing w:val="0"/>
          <w:sz w:val="28"/>
          <w:szCs w:val="28"/>
          <w:highlight w:val="none"/>
        </w:rPr>
      </w:r>
      <w:r/>
    </w:p>
    <w:p>
      <w:pPr>
        <w:spacing w:line="360" w:lineRule="auto"/>
        <w:tabs>
          <w:tab w:val="left" w:pos="720" w:leader="none"/>
        </w:tabs>
        <w:rPr>
          <w:rFonts w:hint="default" w:ascii="Times New Roman" w:hAnsi="Times New Roman" w:eastAsia="仿宋" w:cs="Times New Roman"/>
          <w:b/>
          <w:color w:val="auto"/>
          <w:spacing w:val="0"/>
          <w:sz w:val="32"/>
          <w:szCs w:val="32"/>
          <w:highlight w:val="none"/>
        </w:rPr>
      </w:pPr>
      <w:r>
        <w:rPr>
          <w:rFonts w:hint="default" w:ascii="Times New Roman" w:hAnsi="Times New Roman" w:eastAsia="仿宋" w:cs="Times New Roman"/>
          <w:b/>
          <w:color w:val="auto"/>
          <w:spacing w:val="0"/>
          <w:sz w:val="32"/>
          <w:szCs w:val="32"/>
          <w:highlight w:val="none"/>
        </w:rPr>
      </w:r>
      <w:r/>
    </w:p>
    <w:p>
      <w:pPr>
        <w:spacing w:line="360" w:lineRule="auto"/>
        <w:tabs>
          <w:tab w:val="left" w:pos="720" w:leader="none"/>
        </w:tabs>
        <w:rPr>
          <w:rFonts w:hint="default" w:ascii="Times New Roman" w:hAnsi="Times New Roman" w:eastAsia="仿宋" w:cs="Times New Roman"/>
          <w:b/>
          <w:color w:val="auto"/>
          <w:spacing w:val="0"/>
          <w:sz w:val="32"/>
          <w:szCs w:val="32"/>
          <w:highlight w:val="none"/>
        </w:rPr>
      </w:pPr>
      <w:r>
        <w:rPr>
          <w:rFonts w:hint="default" w:ascii="Times New Roman" w:hAnsi="Times New Roman" w:eastAsia="仿宋" w:cs="Times New Roman"/>
          <w:b/>
          <w:color w:val="auto"/>
          <w:spacing w:val="0"/>
          <w:sz w:val="32"/>
          <w:szCs w:val="32"/>
          <w:highlight w:val="none"/>
        </w:rPr>
        <w:t xml:space="preserve">        </w:t>
      </w:r>
      <w:r/>
    </w:p>
    <w:p>
      <w:pPr>
        <w:spacing w:line="360" w:lineRule="auto"/>
        <w:tabs>
          <w:tab w:val="left" w:pos="720" w:leader="none"/>
        </w:tabs>
        <w:rPr>
          <w:rFonts w:hint="default" w:ascii="Times New Roman" w:hAnsi="Times New Roman" w:eastAsia="仿宋" w:cs="Times New Roman"/>
          <w:b/>
          <w:color w:val="auto"/>
          <w:spacing w:val="0"/>
          <w:sz w:val="32"/>
          <w:szCs w:val="32"/>
          <w:highlight w:val="none"/>
        </w:rPr>
      </w:pPr>
      <w:r>
        <w:rPr>
          <w:rFonts w:hint="default" w:ascii="Times New Roman" w:hAnsi="Times New Roman" w:eastAsia="仿宋" w:cs="Times New Roman"/>
          <w:b/>
          <w:color w:val="auto"/>
          <w:spacing w:val="0"/>
          <w:sz w:val="32"/>
          <w:szCs w:val="32"/>
          <w:highlight w:val="none"/>
        </w:rPr>
      </w:r>
      <w:r/>
    </w:p>
    <w:p>
      <w:pPr>
        <w:spacing w:line="360" w:lineRule="auto"/>
        <w:tabs>
          <w:tab w:val="left" w:pos="720" w:leader="none"/>
        </w:tabs>
        <w:rPr>
          <w:rFonts w:hint="default" w:ascii="Times New Roman" w:hAnsi="Times New Roman" w:eastAsia="仿宋" w:cs="Times New Roman"/>
          <w:b/>
          <w:color w:val="auto"/>
          <w:spacing w:val="0"/>
          <w:sz w:val="32"/>
          <w:szCs w:val="32"/>
          <w:highlight w:val="none"/>
        </w:rPr>
      </w:pPr>
      <w:r>
        <w:rPr>
          <w:rFonts w:hint="default" w:ascii="Times New Roman" w:hAnsi="Times New Roman" w:eastAsia="仿宋" w:cs="Times New Roman"/>
          <w:b/>
          <w:color w:val="auto"/>
          <w:spacing w:val="0"/>
          <w:sz w:val="32"/>
          <w:szCs w:val="32"/>
          <w:highlight w:val="none"/>
        </w:rPr>
        <w:t xml:space="preserve">  </w:t>
      </w:r>
      <w:r/>
    </w:p>
    <w:p>
      <w:pPr>
        <w:pStyle w:val="926"/>
        <w:spacing w:line="600" w:lineRule="exact"/>
        <w:tabs>
          <w:tab w:val="left" w:pos="0" w:leader="none"/>
          <w:tab w:val="left" w:pos="6300" w:leader="none"/>
        </w:tabs>
        <w:rPr>
          <w:rFonts w:hint="eastAsia" w:hAnsi="Courier New" w:eastAsia="宋体" w:cs="Times New Roman"/>
          <w:color w:val="auto"/>
          <w:sz w:val="28"/>
          <w:szCs w:val="28"/>
          <w:highlight w:val="none"/>
          <w:lang w:val="en-US" w:eastAsia="zh-CN"/>
        </w:rPr>
      </w:pPr>
      <w:r>
        <w:rPr>
          <w:rFonts w:hint="default" w:hAnsi="Courier New" w:eastAsia="宋体" w:cs="Times New Roman"/>
          <w:color w:val="auto"/>
          <w:sz w:val="28"/>
          <w:szCs w:val="28"/>
          <w:highlight w:val="none"/>
        </w:rPr>
        <w:t xml:space="preserve">项目名称：</w:t>
      </w:r>
      <w:r>
        <w:rPr>
          <w:rFonts w:hint="eastAsia" w:cs="Times New Roman"/>
          <w:i w:val="0"/>
          <w:iCs w:val="0"/>
          <w:color w:val="auto"/>
          <w:sz w:val="28"/>
          <w:szCs w:val="28"/>
          <w:highlight w:val="none"/>
          <w:u w:val="single"/>
          <w:lang w:eastAsia="zh-CN"/>
        </w:rPr>
        <w:t xml:space="preserve">徐州经开区2026年特种设备安全生产隐患排查治理项目</w:t>
      </w:r>
      <w:r>
        <w:rPr>
          <w:rFonts w:hint="eastAsia" w:hAnsi="Courier New" w:eastAsia="宋体" w:cs="Times New Roman"/>
          <w:i w:val="0"/>
          <w:iCs w:val="0"/>
          <w:color w:val="auto"/>
          <w:sz w:val="28"/>
          <w:szCs w:val="28"/>
          <w:highlight w:val="none"/>
          <w:u w:val="single"/>
          <w:lang w:val="en-US" w:eastAsia="zh-CN"/>
        </w:rPr>
        <w:t xml:space="preserve"> </w:t>
      </w:r>
      <w:r/>
    </w:p>
    <w:p>
      <w:pPr>
        <w:pStyle w:val="926"/>
        <w:spacing w:line="600" w:lineRule="exact"/>
        <w:tabs>
          <w:tab w:val="left" w:pos="0" w:leader="none"/>
          <w:tab w:val="left" w:pos="6300" w:leader="none"/>
        </w:tabs>
        <w:rPr>
          <w:rFonts w:hint="default" w:hAnsi="Courier New" w:eastAsia="宋体" w:cs="Times New Roman"/>
          <w:color w:val="auto"/>
          <w:sz w:val="28"/>
          <w:szCs w:val="28"/>
          <w:highlight w:val="none"/>
        </w:rPr>
      </w:pPr>
      <w:r>
        <w:rPr>
          <w:rFonts w:hint="default" w:hAnsi="Courier New" w:eastAsia="宋体" w:cs="Times New Roman"/>
          <w:color w:val="auto"/>
          <w:sz w:val="28"/>
          <w:szCs w:val="28"/>
          <w:highlight w:val="none"/>
        </w:rPr>
        <w:t xml:space="preserve">委 托 人：</w:t>
      </w:r>
      <w:r>
        <w:rPr>
          <w:rFonts w:hint="default" w:hAnsi="Courier New" w:eastAsia="宋体" w:cs="Times New Roman"/>
          <w:color w:val="auto"/>
          <w:sz w:val="28"/>
          <w:szCs w:val="28"/>
          <w:highlight w:val="none"/>
          <w:u w:val="single"/>
        </w:rPr>
        <w:t xml:space="preserve">徐州经济技术开发区市场监督管理局 </w:t>
      </w:r>
      <w:r>
        <w:rPr>
          <w:rFonts w:hint="eastAsia" w:hAnsi="Courier New" w:eastAsia="宋体" w:cs="Times New Roman"/>
          <w:color w:val="auto"/>
          <w:sz w:val="28"/>
          <w:szCs w:val="28"/>
          <w:highlight w:val="none"/>
          <w:u w:val="single"/>
          <w:lang w:val="en-US" w:eastAsia="zh-CN"/>
        </w:rPr>
        <w:t xml:space="preserve">    </w:t>
      </w:r>
      <w:r>
        <w:rPr>
          <w:rFonts w:hint="default" w:hAnsi="Courier New" w:eastAsia="宋体" w:cs="Times New Roman"/>
          <w:color w:val="auto"/>
          <w:sz w:val="28"/>
          <w:szCs w:val="28"/>
          <w:highlight w:val="none"/>
          <w:u w:val="single"/>
        </w:rPr>
        <w:t xml:space="preserve"> </w:t>
      </w:r>
      <w:r/>
    </w:p>
    <w:p>
      <w:pPr>
        <w:pStyle w:val="926"/>
        <w:spacing w:line="600" w:lineRule="exact"/>
        <w:tabs>
          <w:tab w:val="left" w:pos="0" w:leader="none"/>
          <w:tab w:val="left" w:pos="6300" w:leader="none"/>
        </w:tabs>
        <w:rPr>
          <w:rFonts w:hint="default" w:hAnsi="Courier New" w:eastAsia="宋体" w:cs="Times New Roman"/>
          <w:color w:val="auto"/>
          <w:sz w:val="28"/>
          <w:szCs w:val="28"/>
          <w:highlight w:val="none"/>
        </w:rPr>
      </w:pPr>
      <w:r>
        <w:rPr>
          <w:rFonts w:hint="default" w:hAnsi="Courier New" w:eastAsia="宋体" w:cs="Times New Roman"/>
          <w:color w:val="auto"/>
          <w:sz w:val="28"/>
          <w:szCs w:val="28"/>
          <w:highlight w:val="none"/>
        </w:rPr>
        <w:t xml:space="preserve">服 务 人：</w:t>
      </w:r>
      <w:r>
        <w:rPr>
          <w:rFonts w:hint="default" w:hAnsi="Courier New" w:eastAsia="宋体" w:cs="Times New Roman"/>
          <w:color w:val="auto"/>
          <w:sz w:val="28"/>
          <w:szCs w:val="28"/>
          <w:highlight w:val="none"/>
          <w:u w:val="single"/>
        </w:rPr>
        <w:t xml:space="preserve">                                      </w:t>
      </w:r>
      <w:r/>
    </w:p>
    <w:p>
      <w:pPr>
        <w:pStyle w:val="926"/>
        <w:spacing w:line="600" w:lineRule="exact"/>
        <w:tabs>
          <w:tab w:val="left" w:pos="0" w:leader="none"/>
          <w:tab w:val="left" w:pos="6300" w:leader="none"/>
        </w:tabs>
        <w:rPr>
          <w:rFonts w:hint="default" w:hAnsi="Courier New" w:eastAsia="宋体" w:cs="Times New Roman"/>
          <w:color w:val="auto"/>
          <w:sz w:val="28"/>
          <w:szCs w:val="28"/>
          <w:highlight w:val="none"/>
        </w:rPr>
      </w:pPr>
      <w:r>
        <w:rPr>
          <w:rFonts w:hint="default" w:hAnsi="Courier New" w:eastAsia="宋体" w:cs="Times New Roman"/>
          <w:color w:val="auto"/>
          <w:sz w:val="28"/>
          <w:szCs w:val="28"/>
          <w:highlight w:val="none"/>
        </w:rPr>
        <w:t xml:space="preserve">签订地点：</w:t>
      </w:r>
      <w:r>
        <w:rPr>
          <w:rFonts w:hint="default" w:hAnsi="Courier New" w:eastAsia="宋体" w:cs="Times New Roman"/>
          <w:color w:val="auto"/>
          <w:sz w:val="28"/>
          <w:szCs w:val="28"/>
          <w:highlight w:val="none"/>
          <w:u w:val="single"/>
        </w:rPr>
        <w:t xml:space="preserve">                                      </w:t>
      </w:r>
      <w:r/>
    </w:p>
    <w:p>
      <w:pPr>
        <w:pStyle w:val="926"/>
        <w:spacing w:line="600" w:lineRule="exact"/>
        <w:tabs>
          <w:tab w:val="left" w:pos="0" w:leader="none"/>
          <w:tab w:val="left" w:pos="6300" w:leader="none"/>
        </w:tabs>
        <w:rPr>
          <w:rFonts w:hint="default" w:hAnsi="Courier New" w:eastAsia="宋体" w:cs="Times New Roman"/>
          <w:color w:val="auto"/>
          <w:sz w:val="28"/>
          <w:szCs w:val="28"/>
          <w:highlight w:val="none"/>
        </w:rPr>
      </w:pPr>
      <w:r>
        <w:rPr>
          <w:rFonts w:hint="default" w:hAnsi="Courier New" w:eastAsia="宋体" w:cs="Times New Roman"/>
          <w:color w:val="auto"/>
          <w:sz w:val="28"/>
          <w:szCs w:val="28"/>
          <w:highlight w:val="none"/>
        </w:rPr>
        <w:t xml:space="preserve">签订日期：</w:t>
      </w:r>
      <w:r>
        <w:rPr>
          <w:rFonts w:hint="default" w:hAnsi="Courier New" w:eastAsia="宋体" w:cs="Times New Roman"/>
          <w:color w:val="auto"/>
          <w:sz w:val="28"/>
          <w:szCs w:val="28"/>
          <w:highlight w:val="none"/>
          <w:u w:val="single"/>
        </w:rPr>
        <w:t xml:space="preserve">                                      </w:t>
      </w:r>
      <w:r/>
    </w:p>
    <w:p>
      <w:pPr>
        <w:rPr>
          <w:rFonts w:hint="default" w:ascii="仿宋_GB2312" w:hAnsi="仿宋" w:eastAsia="仿宋_GB2312" w:cs="Times New Roman"/>
          <w:b/>
          <w:color w:val="auto"/>
          <w:sz w:val="44"/>
          <w:szCs w:val="44"/>
          <w:highlight w:val="none"/>
        </w:rPr>
      </w:pPr>
      <w:r>
        <w:rPr>
          <w:rFonts w:hint="default" w:ascii="仿宋_GB2312" w:hAnsi="仿宋" w:eastAsia="仿宋_GB2312" w:cs="Times New Roman"/>
          <w:b/>
          <w:color w:val="auto"/>
          <w:sz w:val="44"/>
          <w:szCs w:val="44"/>
          <w:highlight w:val="none"/>
        </w:rPr>
        <w:br w:type="page" w:clear="all"/>
      </w:r>
      <w:r/>
    </w:p>
    <w:p>
      <w:pPr>
        <w:jc w:val="center"/>
        <w:spacing w:line="360" w:lineRule="auto"/>
        <w:tabs>
          <w:tab w:val="left" w:pos="720" w:leader="none"/>
        </w:tabs>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合同协议书</w:t>
      </w:r>
      <w:r/>
    </w:p>
    <w:p>
      <w:pPr>
        <w:ind w:firstLine="640"/>
        <w:spacing w:line="360" w:lineRule="auto"/>
        <w:tabs>
          <w:tab w:val="left" w:pos="720" w:leader="none"/>
        </w:tabs>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ind w:firstLine="560"/>
        <w:spacing w:line="440" w:lineRule="exact"/>
        <w:tabs>
          <w:tab w:val="left" w:pos="720" w:leader="none"/>
        </w:tabs>
        <w:rPr>
          <w:rFonts w:hint="eastAsia" w:ascii="宋体" w:hAnsi="宋体" w:eastAsia="宋体" w:cs="宋体"/>
          <w:color w:val="auto"/>
          <w:spacing w:val="0"/>
          <w:sz w:val="28"/>
          <w:szCs w:val="28"/>
          <w:highlight w:val="none"/>
          <w:u w:val="single"/>
        </w:rPr>
      </w:pPr>
      <w:r>
        <w:rPr>
          <w:rFonts w:hint="eastAsia" w:ascii="宋体" w:hAnsi="宋体" w:eastAsia="宋体" w:cs="宋体"/>
          <w:color w:val="auto"/>
          <w:spacing w:val="0"/>
          <w:sz w:val="28"/>
          <w:szCs w:val="28"/>
          <w:highlight w:val="none"/>
        </w:rPr>
        <w:t xml:space="preserve">委托人（甲方）：</w:t>
      </w:r>
      <w:r>
        <w:rPr>
          <w:rFonts w:hint="eastAsia" w:ascii="宋体" w:hAnsi="宋体" w:eastAsia="宋体" w:cs="宋体"/>
          <w:color w:val="auto"/>
          <w:spacing w:val="0"/>
          <w:sz w:val="28"/>
          <w:szCs w:val="28"/>
          <w:highlight w:val="none"/>
          <w:u w:val="single"/>
        </w:rPr>
        <w:t xml:space="preserve">徐州经济技术开发区市场监督管理局  </w:t>
      </w:r>
      <w:r/>
    </w:p>
    <w:p>
      <w:pPr>
        <w:ind w:firstLine="560"/>
        <w:spacing w:line="440" w:lineRule="exact"/>
        <w:tabs>
          <w:tab w:val="left" w:pos="720" w:leader="none"/>
        </w:tabs>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rPr>
        <w:t xml:space="preserve">服务人（乙方）：</w:t>
      </w:r>
      <w:r>
        <w:rPr>
          <w:rFonts w:hint="eastAsia" w:ascii="宋体" w:hAnsi="宋体" w:eastAsia="宋体" w:cs="宋体"/>
          <w:color w:val="auto"/>
          <w:spacing w:val="0"/>
          <w:sz w:val="28"/>
          <w:szCs w:val="28"/>
          <w:highlight w:val="none"/>
          <w:u w:val="none"/>
          <w:lang w:val="en-US" w:eastAsia="zh-CN"/>
        </w:rPr>
        <w:t xml:space="preserve">                                                                </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根据《中华人民共和国政府采购法》、《中华人民共和国民法典》、《中华人民共和国招标投标法》等法律法规，</w:t>
      </w:r>
      <w:r>
        <w:rPr>
          <w:rFonts w:hint="eastAsia" w:ascii="宋体" w:hAnsi="宋体" w:eastAsia="宋体" w:cs="宋体"/>
          <w:color w:val="auto"/>
          <w:spacing w:val="0"/>
          <w:sz w:val="28"/>
          <w:szCs w:val="28"/>
          <w:highlight w:val="none"/>
        </w:rPr>
        <w:t xml:space="preserve">经甲乙双方协商，</w:t>
      </w:r>
      <w:r>
        <w:rPr>
          <w:rFonts w:hint="eastAsia" w:ascii="宋体" w:hAnsi="宋体" w:eastAsia="宋体" w:cs="宋体"/>
          <w:color w:val="auto"/>
          <w:spacing w:val="0"/>
          <w:sz w:val="28"/>
          <w:szCs w:val="28"/>
          <w:highlight w:val="none"/>
        </w:rPr>
        <w:t xml:space="preserve">本着平等互利和诚实信用的原则，双方</w:t>
      </w:r>
      <w:r>
        <w:rPr>
          <w:rFonts w:hint="eastAsia" w:ascii="宋体" w:hAnsi="宋体" w:eastAsia="宋体" w:cs="宋体"/>
          <w:color w:val="auto"/>
          <w:spacing w:val="0"/>
          <w:sz w:val="28"/>
          <w:szCs w:val="28"/>
          <w:highlight w:val="none"/>
        </w:rPr>
        <w:t xml:space="preserve">一致同意，签订本合同</w:t>
      </w:r>
      <w:r>
        <w:rPr>
          <w:rFonts w:hint="eastAsia" w:ascii="宋体" w:hAnsi="宋体" w:eastAsia="宋体" w:cs="宋体"/>
          <w:color w:val="auto"/>
          <w:spacing w:val="0"/>
          <w:sz w:val="28"/>
          <w:szCs w:val="28"/>
          <w:highlight w:val="none"/>
        </w:rPr>
        <w:t xml:space="preserve">.</w:t>
      </w:r>
      <w:r/>
    </w:p>
    <w:p>
      <w:pPr>
        <w:ind w:left="1436" w:hanging="885"/>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第一条 服务的内容及期限</w:t>
      </w:r>
      <w:r/>
    </w:p>
    <w:p>
      <w:pPr>
        <w:ind w:firstLine="555"/>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1、项目名称：</w:t>
      </w:r>
      <w:r>
        <w:rPr>
          <w:rFonts w:hint="eastAsia" w:ascii="宋体" w:hAnsi="宋体" w:eastAsia="宋体" w:cs="宋体"/>
          <w:color w:val="auto"/>
          <w:spacing w:val="0"/>
          <w:sz w:val="28"/>
          <w:szCs w:val="28"/>
          <w:highlight w:val="none"/>
          <w:u w:val="single"/>
          <w:lang w:eastAsia="zh-CN"/>
        </w:rPr>
        <w:t xml:space="preserve">徐州经开区2026年特种设备安全生产隐患排查治理项目</w:t>
      </w:r>
      <w:r>
        <w:rPr>
          <w:rFonts w:hint="eastAsia" w:ascii="宋体" w:hAnsi="宋体" w:eastAsia="宋体" w:cs="宋体"/>
          <w:color w:val="auto"/>
          <w:spacing w:val="0"/>
          <w:sz w:val="28"/>
          <w:szCs w:val="28"/>
          <w:highlight w:val="none"/>
          <w:u w:val="single"/>
        </w:rPr>
        <w:t xml:space="preserve"> </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2、服务内容：</w:t>
      </w:r>
      <w:r/>
    </w:p>
    <w:p>
      <w:pPr>
        <w:ind w:firstLine="560"/>
        <w:spacing w:line="440" w:lineRule="exact"/>
        <w:tabs>
          <w:tab w:val="left" w:pos="720" w:leader="none"/>
        </w:tabs>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 xml:space="preserve">（1）</w:t>
      </w:r>
      <w:r>
        <w:rPr>
          <w:rFonts w:hint="eastAsia" w:ascii="宋体" w:hAnsi="宋体" w:eastAsia="宋体" w:cs="宋体"/>
          <w:color w:val="auto"/>
          <w:spacing w:val="0"/>
          <w:sz w:val="28"/>
          <w:szCs w:val="28"/>
          <w:highlight w:val="none"/>
          <w:lang w:val="en-US" w:eastAsia="zh-CN"/>
        </w:rPr>
        <w:t xml:space="preserve">特种设备隐患排查工作：</w:t>
      </w:r>
      <w:r>
        <w:rPr>
          <w:rFonts w:hint="eastAsia" w:ascii="宋体" w:hAnsi="宋体" w:eastAsia="宋体" w:cs="宋体"/>
          <w:color w:val="auto"/>
          <w:spacing w:val="0"/>
          <w:sz w:val="28"/>
          <w:szCs w:val="28"/>
          <w:highlight w:val="none"/>
          <w:lang w:eastAsia="zh-CN"/>
        </w:rPr>
        <w:t xml:space="preserve">对</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eastAsia="zh-CN"/>
        </w:rPr>
        <w:t xml:space="preserve">家特种设备</w:t>
      </w:r>
      <w:r>
        <w:rPr>
          <w:rFonts w:hint="eastAsia" w:ascii="宋体" w:hAnsi="宋体" w:eastAsia="宋体" w:cs="宋体"/>
          <w:color w:val="auto"/>
          <w:spacing w:val="0"/>
          <w:sz w:val="28"/>
          <w:szCs w:val="28"/>
          <w:highlight w:val="none"/>
          <w:lang w:val="en-US" w:eastAsia="zh-CN"/>
        </w:rPr>
        <w:t xml:space="preserve">使用单位</w:t>
      </w:r>
      <w:r>
        <w:rPr>
          <w:rFonts w:hint="eastAsia" w:ascii="宋体" w:hAnsi="宋体" w:eastAsia="宋体" w:cs="宋体"/>
          <w:color w:val="auto"/>
          <w:spacing w:val="0"/>
          <w:sz w:val="28"/>
          <w:szCs w:val="28"/>
          <w:highlight w:val="none"/>
          <w:lang w:eastAsia="zh-CN"/>
        </w:rPr>
        <w:t xml:space="preserve">开展</w:t>
      </w:r>
      <w:r>
        <w:rPr>
          <w:rFonts w:hint="eastAsia" w:ascii="宋体" w:hAnsi="宋体" w:eastAsia="宋体" w:cs="宋体"/>
          <w:color w:val="auto"/>
          <w:spacing w:val="0"/>
          <w:sz w:val="28"/>
          <w:szCs w:val="28"/>
          <w:highlight w:val="none"/>
          <w:lang w:val="en-US" w:eastAsia="zh-CN"/>
        </w:rPr>
        <w:t xml:space="preserve">全年</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val="en-US" w:eastAsia="zh-CN"/>
        </w:rPr>
        <w:t xml:space="preserve">次的</w:t>
      </w:r>
      <w:r>
        <w:rPr>
          <w:rFonts w:hint="eastAsia" w:ascii="宋体" w:hAnsi="宋体" w:eastAsia="宋体" w:cs="宋体"/>
          <w:color w:val="auto"/>
          <w:spacing w:val="0"/>
          <w:sz w:val="28"/>
          <w:szCs w:val="28"/>
          <w:highlight w:val="none"/>
          <w:lang w:eastAsia="zh-CN"/>
        </w:rPr>
        <w:t xml:space="preserve">隐患排查治理工作。</w:t>
      </w:r>
      <w:r/>
    </w:p>
    <w:p>
      <w:pPr>
        <w:ind w:left="266" w:firstLine="280"/>
        <w:spacing w:line="440" w:lineRule="exact"/>
        <w:tabs>
          <w:tab w:val="left" w:pos="720" w:leader="none"/>
        </w:tabs>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eastAsia="zh-CN"/>
        </w:rPr>
        <w:t xml:space="preserve">（</w:t>
      </w:r>
      <w:r>
        <w:rPr>
          <w:rFonts w:hint="eastAsia" w:ascii="宋体" w:hAnsi="宋体" w:eastAsia="宋体" w:cs="宋体"/>
          <w:color w:val="auto"/>
          <w:spacing w:val="0"/>
          <w:sz w:val="28"/>
          <w:szCs w:val="28"/>
          <w:highlight w:val="none"/>
          <w:lang w:val="en-US" w:eastAsia="zh-CN"/>
        </w:rPr>
        <w:t xml:space="preserve">2</w:t>
      </w:r>
      <w:r>
        <w:rPr>
          <w:rFonts w:hint="eastAsia" w:ascii="宋体" w:hAnsi="宋体" w:eastAsia="宋体" w:cs="宋体"/>
          <w:color w:val="auto"/>
          <w:spacing w:val="0"/>
          <w:sz w:val="28"/>
          <w:szCs w:val="28"/>
          <w:highlight w:val="none"/>
          <w:lang w:eastAsia="zh-CN"/>
        </w:rPr>
        <w:t xml:space="preserve">）</w:t>
      </w:r>
      <w:r>
        <w:rPr>
          <w:rFonts w:hint="eastAsia" w:ascii="宋体" w:hAnsi="宋体" w:eastAsia="宋体" w:cs="宋体"/>
          <w:color w:val="auto"/>
          <w:spacing w:val="0"/>
          <w:sz w:val="28"/>
          <w:szCs w:val="28"/>
          <w:highlight w:val="none"/>
          <w:lang w:val="en-US" w:eastAsia="zh-CN"/>
        </w:rPr>
        <w:t xml:space="preserve">特种设备专项检查工作：对</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val="en-US" w:eastAsia="zh-CN"/>
        </w:rPr>
        <w:t xml:space="preserve">、</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val="en-US" w:eastAsia="zh-CN"/>
        </w:rPr>
        <w:t xml:space="preserve">、</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val="en-US" w:eastAsia="zh-CN"/>
        </w:rPr>
        <w:t xml:space="preserve">开展特种设备专项检查工作。</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 xml:space="preserve">根据实际情况上述</w:t>
      </w:r>
      <w:r>
        <w:rPr>
          <w:rFonts w:hint="eastAsia" w:ascii="宋体" w:hAnsi="宋体" w:eastAsia="宋体" w:cs="宋体"/>
          <w:color w:val="auto"/>
          <w:spacing w:val="0"/>
          <w:sz w:val="28"/>
          <w:szCs w:val="28"/>
          <w:highlight w:val="none"/>
          <w:lang w:val="en-US" w:eastAsia="zh-CN"/>
        </w:rPr>
        <w:t xml:space="preserve">特种设备隐患排查工作</w:t>
      </w:r>
      <w:r>
        <w:rPr>
          <w:rFonts w:hint="eastAsia" w:ascii="宋体" w:hAnsi="宋体" w:eastAsia="宋体" w:cs="宋体"/>
          <w:color w:val="auto"/>
          <w:spacing w:val="0"/>
          <w:sz w:val="28"/>
          <w:szCs w:val="28"/>
          <w:highlight w:val="none"/>
          <w:lang w:eastAsia="zh-CN"/>
        </w:rPr>
        <w:t xml:space="preserve">具体排查单位可能会调整，总家数保持不变。</w:t>
      </w:r>
      <w:r>
        <w:rPr>
          <w:rFonts w:hint="eastAsia" w:ascii="宋体" w:hAnsi="宋体" w:eastAsia="宋体" w:cs="宋体"/>
          <w:color w:val="auto"/>
          <w:spacing w:val="0"/>
          <w:sz w:val="28"/>
          <w:szCs w:val="28"/>
          <w:highlight w:val="none"/>
          <w:lang w:val="en-US" w:eastAsia="zh-CN"/>
        </w:rPr>
        <w:t xml:space="preserve">专项检查工作包括但不限于上述单位。</w:t>
      </w:r>
      <w:r/>
    </w:p>
    <w:p>
      <w:pPr>
        <w:ind w:left="278" w:firstLine="28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2、服务期限：自</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月</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日至自</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月</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日，总计</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rPr>
        <w:t xml:space="preserve">日历天。</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3、服务地点：</w:t>
      </w:r>
      <w:r>
        <w:rPr>
          <w:rFonts w:hint="eastAsia" w:ascii="宋体" w:hAnsi="宋体" w:eastAsia="宋体" w:cs="宋体"/>
          <w:color w:val="auto"/>
          <w:spacing w:val="0"/>
          <w:sz w:val="28"/>
          <w:szCs w:val="28"/>
          <w:highlight w:val="none"/>
          <w:u w:val="single"/>
        </w:rPr>
        <w:t xml:space="preserve"> 徐州经济技术开发区   </w:t>
      </w:r>
      <w:r/>
    </w:p>
    <w:p>
      <w:pPr>
        <w:ind w:left="1436" w:hanging="885"/>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第二条  服务质量标准</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1、服务具体要求：</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（1）乙方应提供日常检查所需车辆，保证检查人员日常用车需求，集中检查时应适当增加车辆，所提供车辆必须手续齐全、状况良好，能满足检查的需求，车辆所产生的一切费用均由乙方承担。</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（2）检查机构应提供具备相应资质、安全管理经验丰富的人员开展隐患排查治理工作，按照排查单位类型的不同成立专门的小组，其中具备特种设备安全</w:t>
      </w:r>
      <w:r>
        <w:rPr>
          <w:rFonts w:hint="eastAsia" w:ascii="宋体" w:hAnsi="宋体" w:eastAsia="宋体" w:cs="宋体"/>
          <w:color w:val="auto"/>
          <w:spacing w:val="0"/>
          <w:sz w:val="28"/>
          <w:szCs w:val="28"/>
          <w:highlight w:val="none"/>
          <w:lang w:eastAsia="zh-CN"/>
        </w:rPr>
        <w:t xml:space="preserve">知识</w:t>
      </w:r>
      <w:r>
        <w:rPr>
          <w:rFonts w:hint="eastAsia" w:ascii="宋体" w:hAnsi="宋体" w:eastAsia="宋体" w:cs="宋体"/>
          <w:color w:val="auto"/>
          <w:spacing w:val="0"/>
          <w:sz w:val="28"/>
          <w:szCs w:val="28"/>
          <w:highlight w:val="none"/>
        </w:rPr>
        <w:t xml:space="preserve">的人员不得少于</w:t>
      </w:r>
      <w:r>
        <w:rPr>
          <w:rFonts w:hint="eastAsia" w:ascii="宋体" w:hAnsi="宋体" w:eastAsia="宋体" w:cs="宋体"/>
          <w:color w:val="auto"/>
          <w:spacing w:val="0"/>
          <w:sz w:val="28"/>
          <w:szCs w:val="28"/>
          <w:highlight w:val="none"/>
          <w:lang w:val="en-US" w:eastAsia="zh-CN"/>
        </w:rPr>
        <w:t xml:space="preserve">3</w:t>
      </w:r>
      <w:r>
        <w:rPr>
          <w:rFonts w:hint="eastAsia" w:ascii="宋体" w:hAnsi="宋体" w:eastAsia="宋体" w:cs="宋体"/>
          <w:color w:val="auto"/>
          <w:spacing w:val="0"/>
          <w:sz w:val="28"/>
          <w:szCs w:val="28"/>
          <w:highlight w:val="none"/>
        </w:rPr>
        <w:t xml:space="preserve">人。小组设组长一人，具备</w:t>
      </w:r>
      <w:r>
        <w:rPr>
          <w:rFonts w:hint="eastAsia" w:ascii="宋体" w:hAnsi="宋体" w:eastAsia="宋体" w:cs="宋体"/>
          <w:color w:val="auto"/>
          <w:spacing w:val="0"/>
          <w:sz w:val="28"/>
          <w:szCs w:val="28"/>
          <w:highlight w:val="none"/>
          <w:lang w:eastAsia="zh-CN"/>
        </w:rPr>
        <w:t xml:space="preserve">中级及以上</w:t>
      </w:r>
      <w:r>
        <w:rPr>
          <w:rFonts w:hint="eastAsia" w:ascii="宋体" w:hAnsi="宋体" w:eastAsia="宋体" w:cs="宋体"/>
          <w:color w:val="auto"/>
          <w:spacing w:val="0"/>
          <w:sz w:val="28"/>
          <w:szCs w:val="28"/>
          <w:highlight w:val="none"/>
        </w:rPr>
        <w:t xml:space="preserve">职称，原则上应是市级专家库专家，</w:t>
      </w:r>
      <w:r>
        <w:rPr>
          <w:rFonts w:hint="eastAsia" w:ascii="宋体" w:hAnsi="宋体" w:eastAsia="宋体" w:cs="宋体"/>
          <w:color w:val="auto"/>
          <w:spacing w:val="0"/>
          <w:sz w:val="28"/>
          <w:szCs w:val="28"/>
          <w:highlight w:val="none"/>
          <w:lang w:eastAsia="zh-CN"/>
        </w:rPr>
        <w:t xml:space="preserve">具备丰富的</w:t>
      </w:r>
      <w:r>
        <w:rPr>
          <w:rFonts w:hint="eastAsia" w:ascii="宋体" w:hAnsi="宋体" w:eastAsia="宋体" w:cs="宋体"/>
          <w:color w:val="auto"/>
          <w:spacing w:val="0"/>
          <w:sz w:val="28"/>
          <w:szCs w:val="28"/>
          <w:highlight w:val="none"/>
        </w:rPr>
        <w:t xml:space="preserve">安全管理工作</w:t>
      </w:r>
      <w:r>
        <w:rPr>
          <w:rFonts w:hint="eastAsia" w:ascii="宋体" w:hAnsi="宋体" w:eastAsia="宋体" w:cs="宋体"/>
          <w:color w:val="auto"/>
          <w:spacing w:val="0"/>
          <w:sz w:val="28"/>
          <w:szCs w:val="28"/>
          <w:highlight w:val="none"/>
          <w:lang w:eastAsia="zh-CN"/>
        </w:rPr>
        <w:t xml:space="preserve">经验</w:t>
      </w:r>
      <w:r>
        <w:rPr>
          <w:rFonts w:hint="eastAsia" w:ascii="宋体" w:hAnsi="宋体" w:eastAsia="宋体" w:cs="宋体"/>
          <w:color w:val="auto"/>
          <w:spacing w:val="0"/>
          <w:sz w:val="28"/>
          <w:szCs w:val="28"/>
          <w:highlight w:val="none"/>
        </w:rPr>
        <w:t xml:space="preserve">。</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（3）对各类单位进行排查的时间</w:t>
      </w:r>
      <w:r>
        <w:rPr>
          <w:rFonts w:hint="eastAsia" w:ascii="宋体" w:hAnsi="宋体" w:eastAsia="宋体" w:cs="宋体"/>
          <w:color w:val="auto"/>
          <w:spacing w:val="0"/>
          <w:sz w:val="28"/>
          <w:szCs w:val="28"/>
          <w:highlight w:val="none"/>
          <w:lang w:eastAsia="zh-CN"/>
        </w:rPr>
        <w:t xml:space="preserve">由检查机构按照现场实际情况进行安排</w:t>
      </w:r>
      <w:r>
        <w:rPr>
          <w:rFonts w:hint="eastAsia" w:ascii="宋体" w:hAnsi="宋体" w:eastAsia="宋体" w:cs="宋体"/>
          <w:color w:val="auto"/>
          <w:spacing w:val="0"/>
          <w:sz w:val="28"/>
          <w:szCs w:val="28"/>
          <w:highlight w:val="none"/>
        </w:rPr>
        <w:t xml:space="preserve">；对排查出的隐患组织</w:t>
      </w:r>
      <w:r>
        <w:rPr>
          <w:rFonts w:hint="eastAsia" w:ascii="宋体" w:hAnsi="宋体" w:eastAsia="宋体" w:cs="宋体"/>
          <w:color w:val="auto"/>
          <w:spacing w:val="0"/>
          <w:sz w:val="28"/>
          <w:szCs w:val="28"/>
          <w:highlight w:val="none"/>
          <w:lang w:eastAsia="zh-CN"/>
        </w:rPr>
        <w:t xml:space="preserve">需</w:t>
      </w:r>
      <w:r>
        <w:rPr>
          <w:rFonts w:hint="eastAsia" w:ascii="宋体" w:hAnsi="宋体" w:eastAsia="宋体" w:cs="宋体"/>
          <w:color w:val="auto"/>
          <w:spacing w:val="0"/>
          <w:sz w:val="28"/>
          <w:szCs w:val="28"/>
          <w:highlight w:val="none"/>
        </w:rPr>
        <w:t xml:space="preserve">现场</w:t>
      </w:r>
      <w:r>
        <w:rPr>
          <w:rFonts w:hint="eastAsia" w:ascii="宋体" w:hAnsi="宋体" w:eastAsia="宋体" w:cs="宋体"/>
          <w:color w:val="auto"/>
          <w:spacing w:val="0"/>
          <w:sz w:val="28"/>
          <w:szCs w:val="28"/>
          <w:highlight w:val="none"/>
          <w:lang w:eastAsia="zh-CN"/>
        </w:rPr>
        <w:t xml:space="preserve">再度</w:t>
      </w:r>
      <w:r>
        <w:rPr>
          <w:rFonts w:hint="eastAsia" w:ascii="宋体" w:hAnsi="宋体" w:eastAsia="宋体" w:cs="宋体"/>
          <w:color w:val="auto"/>
          <w:spacing w:val="0"/>
          <w:sz w:val="28"/>
          <w:szCs w:val="28"/>
          <w:highlight w:val="none"/>
        </w:rPr>
        <w:t xml:space="preserve">复查，复查人员中</w:t>
      </w:r>
      <w:r>
        <w:rPr>
          <w:rFonts w:hint="eastAsia" w:ascii="宋体" w:hAnsi="宋体" w:eastAsia="宋体" w:cs="宋体"/>
          <w:color w:val="auto"/>
          <w:spacing w:val="0"/>
          <w:sz w:val="28"/>
          <w:szCs w:val="28"/>
          <w:highlight w:val="none"/>
          <w:lang w:eastAsia="zh-CN"/>
        </w:rPr>
        <w:t xml:space="preserve">应有</w:t>
      </w:r>
      <w:r>
        <w:rPr>
          <w:rFonts w:hint="eastAsia" w:ascii="宋体" w:hAnsi="宋体" w:eastAsia="宋体" w:cs="宋体"/>
          <w:color w:val="auto"/>
          <w:spacing w:val="0"/>
          <w:sz w:val="28"/>
          <w:szCs w:val="28"/>
          <w:highlight w:val="none"/>
        </w:rPr>
        <w:t xml:space="preserve">发现该安全隐患并提出整改措施和完成效果的工作人员。</w:t>
      </w:r>
      <w:r/>
    </w:p>
    <w:p>
      <w:pPr>
        <w:ind w:firstLine="560"/>
        <w:spacing w:line="440" w:lineRule="exact"/>
        <w:tabs>
          <w:tab w:val="left" w:pos="72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4）隐患排查治理工作的整体报告列举的问题和隐患，应由存在的安全隐患或问题、法律法规和规范标准依据、整改建议和措施和整改应达到的效果组成，应附有呈现安全隐患状况的图片和相应的文字说明，应有企业基本情况和安全管理人员及联系电话，应有专家签字和安全技术服务机构盖章；对报告提及的安全隐患和问题应组织复查，并对整改成效进行验收，附有整改情况的照片和文字说明。</w:t>
      </w:r>
      <w:r/>
    </w:p>
    <w:p>
      <w:pPr>
        <w:ind w:firstLine="560"/>
        <w:spacing w:line="440" w:lineRule="exact"/>
        <w:rPr>
          <w:rFonts w:hint="eastAsia" w:ascii="宋体" w:hAnsi="宋体" w:eastAsia="宋体" w:cs="宋体"/>
          <w:color w:val="auto"/>
          <w:spacing w:val="0"/>
          <w:highlight w:val="none"/>
          <w:lang w:val="en-US" w:eastAsia="zh-CN"/>
        </w:rPr>
      </w:pPr>
      <w:r>
        <w:rPr>
          <w:rFonts w:hint="eastAsia" w:ascii="宋体" w:hAnsi="宋体" w:eastAsia="宋体" w:cs="宋体"/>
          <w:color w:val="auto"/>
          <w:spacing w:val="0"/>
          <w:sz w:val="28"/>
          <w:szCs w:val="28"/>
          <w:highlight w:val="none"/>
        </w:rPr>
        <w:t xml:space="preserve">2、服务进度要求：</w:t>
      </w:r>
      <w:r>
        <w:rPr>
          <w:rFonts w:hint="eastAsia" w:ascii="宋体" w:hAnsi="宋体" w:eastAsia="宋体" w:cs="宋体"/>
          <w:color w:val="auto"/>
          <w:spacing w:val="0"/>
          <w:sz w:val="28"/>
          <w:szCs w:val="28"/>
          <w:highlight w:val="none"/>
          <w:u w:val="single"/>
          <w:lang w:val="en-US" w:eastAsia="zh-CN"/>
        </w:rPr>
        <w:t xml:space="preserve">在服务期间内完成隐患排查、复查、督促整改、出具隐患排查报告等工作。</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3、提供成果形式：</w:t>
      </w:r>
      <w:r>
        <w:rPr>
          <w:rFonts w:hint="eastAsia" w:ascii="宋体" w:hAnsi="宋体" w:eastAsia="宋体" w:cs="宋体"/>
          <w:color w:val="auto"/>
          <w:spacing w:val="0"/>
          <w:sz w:val="28"/>
          <w:szCs w:val="28"/>
          <w:highlight w:val="none"/>
          <w:u w:val="single"/>
          <w:lang w:val="en-US" w:eastAsia="zh-CN"/>
        </w:rPr>
        <w:t xml:space="preserve">出具</w:t>
      </w:r>
      <w:r>
        <w:rPr>
          <w:rFonts w:hint="eastAsia" w:ascii="宋体" w:hAnsi="宋体" w:eastAsia="宋体" w:cs="宋体"/>
          <w:color w:val="auto"/>
          <w:spacing w:val="0"/>
          <w:sz w:val="28"/>
          <w:szCs w:val="28"/>
          <w:highlight w:val="none"/>
          <w:u w:val="single"/>
        </w:rPr>
        <w:t xml:space="preserve">附有呈现安全隐患状况的图片和相应的文字说明</w:t>
      </w:r>
      <w:r>
        <w:rPr>
          <w:rFonts w:hint="eastAsia" w:ascii="宋体" w:hAnsi="宋体" w:eastAsia="宋体" w:cs="宋体"/>
          <w:color w:val="auto"/>
          <w:spacing w:val="0"/>
          <w:sz w:val="28"/>
          <w:szCs w:val="28"/>
          <w:highlight w:val="none"/>
          <w:u w:val="single"/>
          <w:lang w:val="en-US" w:eastAsia="zh-CN"/>
        </w:rPr>
        <w:t xml:space="preserve">及整改情况的报告。</w:t>
      </w:r>
      <w:r/>
    </w:p>
    <w:p>
      <w:pPr>
        <w:ind w:firstLine="560"/>
        <w:spacing w:line="440" w:lineRule="exact"/>
        <w:rPr>
          <w:rFonts w:hint="eastAsia" w:ascii="宋体" w:hAnsi="宋体" w:eastAsia="宋体" w:cs="宋体"/>
          <w:color w:val="auto"/>
          <w:spacing w:val="0"/>
          <w:sz w:val="28"/>
          <w:szCs w:val="28"/>
          <w:highlight w:val="none"/>
          <w:u w:val="none"/>
        </w:rPr>
      </w:pPr>
      <w:r>
        <w:rPr>
          <w:rFonts w:hint="eastAsia" w:ascii="宋体" w:hAnsi="宋体" w:eastAsia="宋体" w:cs="宋体"/>
          <w:color w:val="auto"/>
          <w:spacing w:val="0"/>
          <w:sz w:val="28"/>
          <w:szCs w:val="28"/>
          <w:highlight w:val="none"/>
        </w:rPr>
        <w:t xml:space="preserve">4、提供成果份数：</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none"/>
        </w:rPr>
        <w:t xml:space="preserve">                            </w:t>
      </w:r>
      <w:r/>
    </w:p>
    <w:p>
      <w:pPr>
        <w:ind w:firstLine="551"/>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第三条  合同金额</w:t>
      </w:r>
      <w:r/>
    </w:p>
    <w:p>
      <w:pPr>
        <w:pStyle w:val="926"/>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1、本合同价格形式为：</w:t>
      </w:r>
      <w:r>
        <w:rPr>
          <w:rFonts w:hint="eastAsia" w:ascii="宋体" w:hAnsi="宋体" w:eastAsia="宋体" w:cs="宋体"/>
          <w:color w:val="auto"/>
          <w:spacing w:val="0"/>
          <w:sz w:val="28"/>
          <w:szCs w:val="28"/>
          <w:highlight w:val="none"/>
          <w:u w:val="single"/>
        </w:rPr>
        <w:t xml:space="preserve">总价合同/单价合同</w:t>
      </w:r>
      <w:r>
        <w:rPr>
          <w:rFonts w:hint="eastAsia" w:ascii="宋体" w:hAnsi="宋体" w:eastAsia="宋体" w:cs="宋体"/>
          <w:color w:val="auto"/>
          <w:spacing w:val="0"/>
          <w:sz w:val="28"/>
          <w:szCs w:val="28"/>
          <w:highlight w:val="none"/>
        </w:rPr>
        <w:t xml:space="preserve">。</w:t>
      </w:r>
      <w:r/>
    </w:p>
    <w:p>
      <w:pPr>
        <w:pStyle w:val="926"/>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2、本合同服务费总金额为人民币（大写）：</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元（￥</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元）。</w:t>
      </w:r>
      <w:r/>
    </w:p>
    <w:p>
      <w:pPr>
        <w:pStyle w:val="926"/>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具体明细：</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eastAsia="zh-CN"/>
        </w:rPr>
        <w:t xml:space="preserve">徐州经开区2026年特种设备安全生产隐患排查治理项目，</w:t>
      </w:r>
      <w:r>
        <w:rPr>
          <w:rFonts w:hint="eastAsia" w:ascii="宋体" w:hAnsi="宋体" w:eastAsia="宋体" w:cs="宋体"/>
          <w:color w:val="auto"/>
          <w:spacing w:val="0"/>
          <w:sz w:val="28"/>
          <w:szCs w:val="28"/>
          <w:highlight w:val="none"/>
          <w:u w:val="single"/>
          <w:lang w:val="en-US" w:eastAsia="zh-CN"/>
        </w:rPr>
        <w:t xml:space="preserve">详见磋商文件采购需求。</w:t>
      </w:r>
      <w:r>
        <w:rPr>
          <w:rFonts w:hint="eastAsia" w:ascii="宋体" w:hAnsi="宋体" w:eastAsia="宋体" w:cs="宋体"/>
          <w:color w:val="auto"/>
          <w:spacing w:val="0"/>
          <w:sz w:val="28"/>
          <w:szCs w:val="28"/>
          <w:highlight w:val="none"/>
          <w:u w:val="single"/>
        </w:rPr>
        <w:t xml:space="preserve">  </w:t>
      </w:r>
      <w:r/>
    </w:p>
    <w:p>
      <w:pPr>
        <w:ind w:firstLine="570"/>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第四条  甲方权利和义务</w:t>
      </w:r>
      <w:r/>
    </w:p>
    <w:p>
      <w:pPr>
        <w:ind w:firstLine="56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sz w:val="28"/>
          <w:szCs w:val="28"/>
          <w:highlight w:val="none"/>
        </w:rPr>
        <w:t xml:space="preserve">1、甲方项目负责人（联系人）：</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联系电话：</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2、甲方有权对乙方的服务过程进行监督，提出改进意见，对不符合甲方要求的服务人员及设备提出调整，乙方需进行配合。</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3、甲方有权对乙方的服务成果进行考核，考核标准详见附件1，对考核不合格部分有权拒绝支付支付费用，并要求乙方进行整改，直至满足甲方考核要求后，方可支付费用。</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4、甲方应为乙方提供的技术资料：</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，甲方应保证所提供相关资料真实、有效。</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5、甲方应为乙方提供的场地及条件：</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6、甲方应协助乙方协调相关方的关系，协助解决相关方产生的矛盾，避免影响工作的顺利进行；</w:t>
      </w:r>
      <w:r/>
    </w:p>
    <w:p>
      <w:pPr>
        <w:ind w:firstLine="570"/>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第五条  乙方权利和义务</w:t>
      </w:r>
      <w:r/>
    </w:p>
    <w:p>
      <w:pPr>
        <w:ind w:firstLine="56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sz w:val="28"/>
          <w:szCs w:val="28"/>
          <w:highlight w:val="none"/>
        </w:rPr>
        <w:t xml:space="preserve">1、乙方项目负责人（联系人）：</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联系电话：</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2、乙方应按期完成甲方的委托，按期完成约定的相关工作；</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3、乙方应依照法律法规、行业技术标准及合同约定内容，开展服务。</w:t>
      </w:r>
      <w:r/>
    </w:p>
    <w:p>
      <w:pPr>
        <w:ind w:firstLine="56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sz w:val="28"/>
          <w:szCs w:val="28"/>
          <w:highlight w:val="none"/>
        </w:rPr>
        <w:t xml:space="preserve">4</w:t>
      </w:r>
      <w:r>
        <w:rPr>
          <w:rFonts w:hint="eastAsia" w:ascii="宋体" w:hAnsi="宋体" w:eastAsia="宋体" w:cs="宋体"/>
          <w:color w:val="auto"/>
          <w:spacing w:val="0"/>
          <w:sz w:val="28"/>
          <w:szCs w:val="28"/>
          <w:highlight w:val="none"/>
          <w:lang w:eastAsia="zh-Hans"/>
        </w:rPr>
        <w:t xml:space="preserve">、</w:t>
      </w:r>
      <w:r>
        <w:rPr>
          <w:rFonts w:hint="eastAsia" w:ascii="宋体" w:hAnsi="宋体" w:eastAsia="宋体" w:cs="宋体"/>
          <w:color w:val="auto"/>
          <w:spacing w:val="0"/>
          <w:sz w:val="28"/>
          <w:szCs w:val="28"/>
          <w:highlight w:val="none"/>
        </w:rPr>
        <w:t xml:space="preserve">乙方应当及时向</w:t>
      </w:r>
      <w:r>
        <w:rPr>
          <w:rFonts w:hint="eastAsia" w:ascii="宋体" w:hAnsi="宋体" w:eastAsia="宋体" w:cs="宋体"/>
          <w:color w:val="auto"/>
          <w:spacing w:val="0"/>
          <w:sz w:val="28"/>
          <w:szCs w:val="28"/>
          <w:highlight w:val="none"/>
          <w:lang w:eastAsia="zh-Hans"/>
        </w:rPr>
        <w:t xml:space="preserve">甲方</w:t>
      </w:r>
      <w:r>
        <w:rPr>
          <w:rFonts w:hint="eastAsia" w:ascii="宋体" w:hAnsi="宋体" w:eastAsia="宋体" w:cs="宋体"/>
          <w:color w:val="auto"/>
          <w:spacing w:val="0"/>
          <w:sz w:val="28"/>
          <w:szCs w:val="28"/>
          <w:highlight w:val="none"/>
        </w:rPr>
        <w:t xml:space="preserve">报告项目的进展情况。</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5、乙方应提供的人员、设备：</w:t>
      </w:r>
      <w:r>
        <w:rPr>
          <w:rFonts w:hint="eastAsia" w:ascii="宋体" w:hAnsi="宋体" w:eastAsia="宋体" w:cs="宋体"/>
          <w:color w:val="auto"/>
          <w:spacing w:val="0"/>
          <w:sz w:val="28"/>
          <w:szCs w:val="28"/>
          <w:highlight w:val="none"/>
          <w:u w:val="single"/>
        </w:rPr>
        <w:t xml:space="preserve">                                 </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6、乙方应当接受甲方对服务活动的监督和考核，有权对考核结果提出异议。</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7、乙方不得将委托事项转委托给第三方。</w:t>
      </w:r>
      <w:r/>
    </w:p>
    <w:p>
      <w:pPr>
        <w:ind w:firstLine="551"/>
        <w:spacing w:line="440" w:lineRule="exact"/>
        <w:tabs>
          <w:tab w:val="left" w:pos="630" w:leader="none"/>
        </w:tabs>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第六条  付款方式</w:t>
      </w:r>
      <w:r/>
    </w:p>
    <w:p>
      <w:pPr>
        <w:pStyle w:val="923"/>
        <w:ind w:left="0" w:right="0"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val="en-US" w:eastAsia="zh-CN" w:bidi="ar-SA"/>
        </w:rPr>
        <w:t xml:space="preserve">1、本合同金额为人民币大写金额</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val="en-US" w:eastAsia="zh-CN" w:bidi="ar-SA"/>
        </w:rPr>
        <w:t xml:space="preserve"> </w:t>
      </w:r>
      <w:r>
        <w:rPr>
          <w:rFonts w:hint="eastAsia" w:ascii="宋体" w:hAnsi="宋体" w:eastAsia="宋体" w:cs="宋体"/>
          <w:color w:val="auto"/>
          <w:spacing w:val="0"/>
          <w:sz w:val="28"/>
          <w:szCs w:val="28"/>
          <w:highlight w:val="none"/>
          <w:lang w:val="en-US" w:eastAsia="zh-CN" w:bidi="ar-SA"/>
        </w:rPr>
        <w:t xml:space="preserve">元（小写：</w:t>
      </w:r>
      <w:r>
        <w:rPr>
          <w:rFonts w:hint="eastAsia" w:ascii="宋体" w:hAnsi="宋体" w:eastAsia="宋体" w:cs="宋体"/>
          <w:color w:val="auto"/>
          <w:spacing w:val="0"/>
          <w:sz w:val="28"/>
          <w:szCs w:val="28"/>
          <w:highlight w:val="none"/>
          <w:u w:val="single"/>
          <w:lang w:val="en-US" w:eastAsia="zh-CN" w:bidi="ar-SA"/>
        </w:rPr>
        <w:t xml:space="preserve">         </w:t>
      </w:r>
      <w:r>
        <w:rPr>
          <w:rFonts w:hint="eastAsia" w:ascii="宋体" w:hAnsi="宋体" w:eastAsia="宋体" w:cs="宋体"/>
          <w:color w:val="auto"/>
          <w:spacing w:val="0"/>
          <w:sz w:val="28"/>
          <w:szCs w:val="28"/>
          <w:highlight w:val="none"/>
          <w:lang w:val="en-US" w:eastAsia="zh-CN" w:bidi="ar-SA"/>
        </w:rPr>
        <w:t xml:space="preserve">元），经双方协商一致，选择以下第</w:t>
      </w:r>
      <w:r>
        <w:rPr>
          <w:rFonts w:hint="eastAsia" w:ascii="宋体" w:hAnsi="宋体" w:eastAsia="宋体" w:cs="宋体"/>
          <w:color w:val="auto"/>
          <w:spacing w:val="0"/>
          <w:sz w:val="28"/>
          <w:szCs w:val="28"/>
          <w:highlight w:val="none"/>
          <w:u w:val="single"/>
          <w:lang w:val="en-US" w:eastAsia="zh-CN"/>
        </w:rPr>
        <w:t xml:space="preserve">（2）</w:t>
      </w:r>
      <w:r>
        <w:rPr>
          <w:rFonts w:hint="eastAsia" w:ascii="宋体" w:hAnsi="宋体" w:eastAsia="宋体" w:cs="宋体"/>
          <w:color w:val="auto"/>
          <w:spacing w:val="0"/>
          <w:sz w:val="28"/>
          <w:szCs w:val="28"/>
          <w:highlight w:val="none"/>
          <w:lang w:val="en-US" w:eastAsia="zh-CN" w:bidi="ar-SA"/>
        </w:rPr>
        <w:t xml:space="preserve">种付款方式：</w:t>
      </w:r>
      <w:r/>
    </w:p>
    <w:p>
      <w:pPr>
        <w:ind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rPr>
        <w:outlineLvl w:val="1"/>
      </w:pPr>
      <w:r>
        <w:rPr>
          <w:rFonts w:hint="eastAsia" w:ascii="宋体" w:hAnsi="宋体" w:eastAsia="宋体" w:cs="宋体"/>
          <w:color w:val="auto"/>
          <w:spacing w:val="0"/>
          <w:sz w:val="28"/>
          <w:szCs w:val="28"/>
          <w:highlight w:val="none"/>
          <w:lang w:val="en-US" w:eastAsia="zh-CN"/>
        </w:rPr>
        <w:t xml:space="preserve">（1）</w:t>
      </w:r>
      <w:r>
        <w:rPr>
          <w:rFonts w:hint="eastAsia" w:ascii="宋体" w:hAnsi="宋体" w:eastAsia="宋体" w:cs="宋体"/>
          <w:color w:val="auto"/>
          <w:spacing w:val="0"/>
          <w:sz w:val="28"/>
          <w:szCs w:val="28"/>
          <w:highlight w:val="none"/>
        </w:rPr>
        <w:t xml:space="preserve">提交预付款保函的</w:t>
      </w:r>
      <w:r/>
    </w:p>
    <w:p>
      <w:pPr>
        <w:ind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rPr>
        <w:outlineLvl w:val="1"/>
      </w:pPr>
      <w:r>
        <w:rPr>
          <w:rFonts w:hint="eastAsia" w:ascii="宋体" w:hAnsi="宋体" w:eastAsia="宋体" w:cs="宋体"/>
          <w:color w:val="auto"/>
          <w:spacing w:val="0"/>
          <w:sz w:val="28"/>
          <w:szCs w:val="28"/>
          <w:highlight w:val="none"/>
        </w:rPr>
        <w:t xml:space="preserve">合同</w:t>
      </w:r>
      <w:r>
        <w:rPr>
          <w:rFonts w:hint="eastAsia" w:ascii="宋体" w:hAnsi="宋体" w:eastAsia="宋体" w:cs="宋体"/>
          <w:color w:val="auto"/>
          <w:spacing w:val="0"/>
          <w:sz w:val="28"/>
          <w:szCs w:val="28"/>
          <w:highlight w:val="none"/>
          <w:lang w:eastAsia="zh-CN"/>
        </w:rPr>
        <w:t xml:space="preserve">金额</w:t>
      </w:r>
      <w:r>
        <w:rPr>
          <w:rFonts w:hint="eastAsia" w:ascii="宋体" w:hAnsi="宋体" w:eastAsia="宋体" w:cs="宋体"/>
          <w:color w:val="auto"/>
          <w:spacing w:val="0"/>
          <w:sz w:val="28"/>
          <w:szCs w:val="28"/>
          <w:highlight w:val="none"/>
        </w:rPr>
        <w:t xml:space="preserve">的百分之</w:t>
      </w:r>
      <w:r>
        <w:rPr>
          <w:rFonts w:hint="eastAsia" w:ascii="宋体" w:hAnsi="宋体" w:eastAsia="宋体" w:cs="宋体"/>
          <w:color w:val="auto"/>
          <w:spacing w:val="0"/>
          <w:sz w:val="28"/>
          <w:szCs w:val="28"/>
          <w:highlight w:val="none"/>
          <w:lang w:val="en-US" w:eastAsia="zh-CN"/>
        </w:rPr>
        <w:t xml:space="preserve">伍</w:t>
      </w:r>
      <w:r>
        <w:rPr>
          <w:rFonts w:hint="eastAsia" w:ascii="宋体" w:hAnsi="宋体" w:eastAsia="宋体" w:cs="宋体"/>
          <w:color w:val="auto"/>
          <w:spacing w:val="0"/>
          <w:sz w:val="28"/>
          <w:szCs w:val="28"/>
          <w:highlight w:val="none"/>
        </w:rPr>
        <w:t xml:space="preserve">拾（</w:t>
      </w:r>
      <w:r>
        <w:rPr>
          <w:rFonts w:hint="eastAsia" w:ascii="宋体" w:hAnsi="宋体" w:eastAsia="宋体" w:cs="宋体"/>
          <w:color w:val="auto"/>
          <w:spacing w:val="0"/>
          <w:sz w:val="28"/>
          <w:szCs w:val="28"/>
          <w:highlight w:val="none"/>
          <w:lang w:val="en-US" w:eastAsia="zh-CN"/>
        </w:rPr>
        <w:t xml:space="preserve">50</w:t>
      </w:r>
      <w:r>
        <w:rPr>
          <w:rFonts w:hint="eastAsia" w:ascii="宋体" w:hAnsi="宋体" w:eastAsia="宋体" w:cs="宋体"/>
          <w:color w:val="auto"/>
          <w:spacing w:val="0"/>
          <w:sz w:val="28"/>
          <w:szCs w:val="28"/>
          <w:highlight w:val="none"/>
        </w:rPr>
        <w:t xml:space="preserve">%），小写￥</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rPr>
        <w:t xml:space="preserve">大写：人民币</w:t>
      </w:r>
      <w:r>
        <w:rPr>
          <w:rFonts w:hint="eastAsia" w:ascii="宋体" w:hAnsi="宋体" w:eastAsia="宋体" w:cs="宋体"/>
          <w:color w:val="auto"/>
          <w:spacing w:val="0"/>
          <w:sz w:val="28"/>
          <w:szCs w:val="28"/>
          <w:highlight w:val="none"/>
          <w:lang w:eastAsia="zh-CN"/>
        </w:rPr>
        <w:t xml:space="preserve">大写金额</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w:t>
      </w:r>
      <w:r>
        <w:rPr>
          <w:rFonts w:hint="eastAsia" w:ascii="宋体" w:hAnsi="宋体" w:eastAsia="宋体" w:cs="宋体"/>
          <w:color w:val="auto"/>
          <w:spacing w:val="0"/>
          <w:sz w:val="28"/>
          <w:szCs w:val="28"/>
          <w:highlight w:val="none"/>
          <w:lang w:val="en-US" w:eastAsia="zh-CN"/>
        </w:rPr>
        <w:t xml:space="preserve">在双方签订合同，乙方提供对应金额的增值税发票后15日内，办理政府采购资金结算手续支付给乙方</w:t>
      </w:r>
      <w:r>
        <w:rPr>
          <w:rFonts w:hint="eastAsia" w:ascii="宋体" w:hAnsi="宋体" w:eastAsia="宋体" w:cs="宋体"/>
          <w:color w:val="auto"/>
          <w:spacing w:val="0"/>
          <w:sz w:val="28"/>
          <w:szCs w:val="28"/>
          <w:highlight w:val="none"/>
        </w:rPr>
        <w:t xml:space="preserve">。</w:t>
      </w:r>
      <w:r/>
    </w:p>
    <w:p>
      <w:pPr>
        <w:pStyle w:val="943"/>
        <w:ind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bidi="ar-SA"/>
        </w:rPr>
        <w:t xml:space="preserve">合同金额的百分之伍拾（50%），</w:t>
      </w:r>
      <w:r>
        <w:rPr>
          <w:rFonts w:hint="eastAsia" w:ascii="宋体" w:hAnsi="宋体" w:eastAsia="宋体" w:cs="宋体"/>
          <w:color w:val="auto"/>
          <w:spacing w:val="0"/>
          <w:sz w:val="28"/>
          <w:szCs w:val="28"/>
          <w:highlight w:val="none"/>
        </w:rPr>
        <w:t xml:space="preserve">小写￥</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rPr>
        <w:t xml:space="preserve">大写：人民币</w:t>
      </w:r>
      <w:r>
        <w:rPr>
          <w:rFonts w:hint="eastAsia" w:ascii="宋体" w:hAnsi="宋体" w:eastAsia="宋体" w:cs="宋体"/>
          <w:color w:val="auto"/>
          <w:spacing w:val="0"/>
          <w:sz w:val="28"/>
          <w:szCs w:val="28"/>
          <w:highlight w:val="none"/>
          <w:lang w:eastAsia="zh-CN"/>
        </w:rPr>
        <w:t xml:space="preserve">大写额</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w:t>
      </w:r>
      <w:r/>
    </w:p>
    <w:p>
      <w:pPr>
        <w:ind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rPr>
        <w:outlineLvl w:val="1"/>
      </w:pPr>
      <w:r>
        <w:rPr>
          <w:rFonts w:hint="eastAsia" w:ascii="宋体" w:hAnsi="宋体" w:eastAsia="宋体" w:cs="宋体"/>
          <w:color w:val="auto"/>
          <w:spacing w:val="0"/>
          <w:sz w:val="28"/>
          <w:szCs w:val="28"/>
          <w:highlight w:val="none"/>
        </w:rPr>
        <w:t xml:space="preserve">根据甲方要求，乙方在</w:t>
      </w:r>
      <w:r>
        <w:rPr>
          <w:rFonts w:hint="eastAsia" w:ascii="宋体" w:hAnsi="宋体" w:eastAsia="宋体" w:cs="宋体"/>
          <w:color w:val="auto"/>
          <w:spacing w:val="0"/>
          <w:sz w:val="28"/>
          <w:szCs w:val="28"/>
          <w:highlight w:val="none"/>
          <w:lang w:eastAsia="zh-CN"/>
        </w:rPr>
        <w:t xml:space="preserve">完成</w:t>
      </w:r>
      <w:r>
        <w:rPr>
          <w:rFonts w:hint="eastAsia" w:ascii="宋体" w:hAnsi="宋体" w:eastAsia="宋体" w:cs="宋体"/>
          <w:color w:val="auto"/>
          <w:spacing w:val="0"/>
          <w:sz w:val="28"/>
          <w:szCs w:val="28"/>
          <w:highlight w:val="none"/>
        </w:rPr>
        <w:t xml:space="preserve">第贰轮</w:t>
      </w:r>
      <w:r>
        <w:rPr>
          <w:rFonts w:hint="eastAsia" w:ascii="宋体" w:hAnsi="宋体" w:eastAsia="宋体" w:cs="宋体"/>
          <w:color w:val="auto"/>
          <w:spacing w:val="0"/>
          <w:sz w:val="28"/>
          <w:szCs w:val="28"/>
          <w:highlight w:val="none"/>
          <w:lang w:val="en-US" w:eastAsia="zh-CN"/>
        </w:rPr>
        <w:t xml:space="preserve">排查</w:t>
      </w:r>
      <w:r>
        <w:rPr>
          <w:rFonts w:hint="eastAsia" w:ascii="宋体" w:hAnsi="宋体" w:eastAsia="宋体" w:cs="宋体"/>
          <w:color w:val="auto"/>
          <w:spacing w:val="0"/>
          <w:sz w:val="28"/>
          <w:szCs w:val="28"/>
          <w:highlight w:val="none"/>
        </w:rPr>
        <w:t xml:space="preserve">（针对首次</w:t>
      </w:r>
      <w:r>
        <w:rPr>
          <w:rFonts w:hint="eastAsia" w:ascii="宋体" w:hAnsi="宋体" w:eastAsia="宋体" w:cs="宋体"/>
          <w:color w:val="auto"/>
          <w:spacing w:val="0"/>
          <w:sz w:val="28"/>
          <w:szCs w:val="28"/>
          <w:highlight w:val="none"/>
          <w:lang w:val="en-US" w:eastAsia="zh-CN"/>
        </w:rPr>
        <w:t xml:space="preserve">排</w:t>
      </w:r>
      <w:r>
        <w:rPr>
          <w:rFonts w:hint="eastAsia" w:ascii="宋体" w:hAnsi="宋体" w:eastAsia="宋体" w:cs="宋体"/>
          <w:color w:val="auto"/>
          <w:spacing w:val="0"/>
          <w:sz w:val="28"/>
          <w:szCs w:val="28"/>
          <w:highlight w:val="none"/>
        </w:rPr>
        <w:t xml:space="preserve">查进行的复查），出具两照一表的整改报告、</w:t>
      </w:r>
      <w:r>
        <w:rPr>
          <w:rFonts w:hint="eastAsia" w:ascii="宋体" w:hAnsi="宋体" w:eastAsia="宋体" w:cs="宋体"/>
          <w:color w:val="auto"/>
          <w:spacing w:val="0"/>
          <w:sz w:val="28"/>
          <w:szCs w:val="28"/>
          <w:highlight w:val="none"/>
          <w:lang w:eastAsia="zh-CN"/>
        </w:rPr>
        <w:t xml:space="preserve">工作</w:t>
      </w:r>
      <w:r>
        <w:rPr>
          <w:rFonts w:hint="eastAsia" w:ascii="宋体" w:hAnsi="宋体" w:eastAsia="宋体" w:cs="宋体"/>
          <w:color w:val="auto"/>
          <w:spacing w:val="0"/>
          <w:sz w:val="28"/>
          <w:szCs w:val="28"/>
          <w:highlight w:val="none"/>
        </w:rPr>
        <w:t xml:space="preserve">记录</w:t>
      </w:r>
      <w:r>
        <w:rPr>
          <w:rFonts w:hint="eastAsia" w:ascii="宋体" w:hAnsi="宋体" w:eastAsia="宋体" w:cs="宋体"/>
          <w:color w:val="auto"/>
          <w:spacing w:val="0"/>
          <w:sz w:val="28"/>
          <w:szCs w:val="28"/>
          <w:highlight w:val="none"/>
          <w:lang w:eastAsia="zh-CN"/>
        </w:rPr>
        <w:t xml:space="preserve">和“一户一档”形式的排查治理档案，经考核符合</w:t>
      </w:r>
      <w:r>
        <w:rPr>
          <w:rFonts w:hint="eastAsia" w:ascii="宋体" w:hAnsi="宋体" w:eastAsia="宋体" w:cs="宋体"/>
          <w:color w:val="auto"/>
          <w:spacing w:val="0"/>
          <w:sz w:val="28"/>
          <w:szCs w:val="28"/>
          <w:highlight w:val="none"/>
          <w:lang w:val="en-US" w:eastAsia="zh-CN"/>
        </w:rPr>
        <w:t xml:space="preserve">要求，乙方提供对应金额的发票后15日内，由甲方办理政府采购资金结算手续，经审核后支付给乙方</w:t>
      </w:r>
      <w:r>
        <w:rPr>
          <w:rFonts w:hint="eastAsia" w:ascii="宋体" w:hAnsi="宋体" w:eastAsia="宋体" w:cs="宋体"/>
          <w:color w:val="auto"/>
          <w:spacing w:val="0"/>
          <w:sz w:val="28"/>
          <w:szCs w:val="28"/>
          <w:highlight w:val="none"/>
        </w:rPr>
        <w:t xml:space="preserve">。</w:t>
      </w:r>
      <w:r/>
    </w:p>
    <w:p>
      <w:pPr>
        <w:ind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lang w:val="en-US" w:eastAsia="zh-CN"/>
        </w:rPr>
        <w:outlineLvl w:val="1"/>
      </w:pPr>
      <w:r>
        <w:rPr>
          <w:rFonts w:hint="eastAsia" w:ascii="宋体" w:hAnsi="宋体" w:eastAsia="宋体" w:cs="宋体"/>
          <w:color w:val="auto"/>
          <w:spacing w:val="0"/>
          <w:sz w:val="28"/>
          <w:szCs w:val="28"/>
          <w:highlight w:val="none"/>
          <w:lang w:val="en-US" w:eastAsia="zh-CN"/>
        </w:rPr>
        <w:t xml:space="preserve">（2）</w:t>
      </w:r>
      <w:r>
        <w:rPr>
          <w:rFonts w:hint="eastAsia" w:ascii="宋体" w:hAnsi="宋体" w:eastAsia="宋体" w:cs="宋体"/>
          <w:color w:val="auto"/>
          <w:spacing w:val="0"/>
          <w:sz w:val="28"/>
          <w:szCs w:val="28"/>
          <w:highlight w:val="none"/>
        </w:rPr>
        <w:t xml:space="preserve">不提交预付款保函的</w:t>
      </w:r>
      <w:r/>
    </w:p>
    <w:p>
      <w:pPr>
        <w:ind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lang w:val="en-US" w:eastAsia="zh-CN"/>
        </w:rPr>
        <w:outlineLvl w:val="1"/>
      </w:pPr>
      <w:r>
        <w:rPr>
          <w:rFonts w:hint="eastAsia" w:ascii="宋体" w:hAnsi="宋体" w:eastAsia="宋体" w:cs="宋体"/>
          <w:color w:val="auto"/>
          <w:spacing w:val="0"/>
          <w:sz w:val="28"/>
          <w:szCs w:val="28"/>
          <w:highlight w:val="none"/>
          <w:lang w:val="en-US" w:eastAsia="zh-CN"/>
        </w:rPr>
        <w:t xml:space="preserve">合同签订后15日内，甲方应支付合同金额</w:t>
      </w:r>
      <w:r>
        <w:rPr>
          <w:rFonts w:hint="eastAsia" w:ascii="宋体" w:hAnsi="宋体" w:eastAsia="宋体" w:cs="宋体"/>
          <w:color w:val="auto"/>
          <w:spacing w:val="0"/>
          <w:sz w:val="28"/>
          <w:szCs w:val="28"/>
          <w:highlight w:val="none"/>
        </w:rPr>
        <w:t xml:space="preserve">的百分之</w:t>
      </w:r>
      <w:r>
        <w:rPr>
          <w:rFonts w:hint="eastAsia" w:ascii="宋体" w:hAnsi="宋体" w:eastAsia="宋体" w:cs="宋体"/>
          <w:color w:val="auto"/>
          <w:spacing w:val="0"/>
          <w:sz w:val="28"/>
          <w:szCs w:val="28"/>
          <w:highlight w:val="none"/>
          <w:lang w:val="en-US" w:eastAsia="zh-CN"/>
        </w:rPr>
        <w:t xml:space="preserve">叁</w:t>
      </w:r>
      <w:r>
        <w:rPr>
          <w:rFonts w:hint="eastAsia" w:ascii="宋体" w:hAnsi="宋体" w:eastAsia="宋体" w:cs="宋体"/>
          <w:color w:val="auto"/>
          <w:spacing w:val="0"/>
          <w:sz w:val="28"/>
          <w:szCs w:val="28"/>
          <w:highlight w:val="none"/>
        </w:rPr>
        <w:t xml:space="preserve">拾（</w:t>
      </w:r>
      <w:r>
        <w:rPr>
          <w:rFonts w:hint="eastAsia" w:ascii="宋体" w:hAnsi="宋体" w:eastAsia="宋体" w:cs="宋体"/>
          <w:color w:val="auto"/>
          <w:spacing w:val="0"/>
          <w:sz w:val="28"/>
          <w:szCs w:val="28"/>
          <w:highlight w:val="none"/>
          <w:lang w:val="en-US" w:eastAsia="zh-CN"/>
        </w:rPr>
        <w:t xml:space="preserve">3</w:t>
      </w:r>
      <w:r>
        <w:rPr>
          <w:rFonts w:hint="eastAsia" w:ascii="宋体" w:hAnsi="宋体" w:eastAsia="宋体" w:cs="宋体"/>
          <w:color w:val="auto"/>
          <w:spacing w:val="0"/>
          <w:sz w:val="28"/>
          <w:szCs w:val="28"/>
          <w:highlight w:val="none"/>
        </w:rPr>
        <w:t xml:space="preserve">0%），小写￥</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rPr>
        <w:t xml:space="preserve"> 大写：人民币</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rPr>
        <w:t xml:space="preserve">。</w:t>
      </w:r>
      <w:r>
        <w:rPr>
          <w:rFonts w:hint="eastAsia" w:ascii="宋体" w:hAnsi="宋体" w:eastAsia="宋体" w:cs="宋体"/>
          <w:color w:val="auto"/>
          <w:spacing w:val="0"/>
          <w:sz w:val="28"/>
          <w:szCs w:val="28"/>
          <w:highlight w:val="none"/>
          <w:lang w:val="en-US" w:eastAsia="zh-CN"/>
        </w:rPr>
        <w:t xml:space="preserve">由甲方办理政府采购资金结算手续，经审核后支付给乙方。</w:t>
      </w:r>
      <w:r/>
    </w:p>
    <w:p>
      <w:pPr>
        <w:ind w:left="0" w:firstLine="560"/>
        <w:keepLines w:val="0"/>
        <w:keepNext w:val="0"/>
        <w:pageBreakBefore w:val="0"/>
        <w:spacing w:line="440" w:lineRule="exact"/>
        <w:widowControl w:val="off"/>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根据甲方要求，乙方在</w:t>
      </w:r>
      <w:r>
        <w:rPr>
          <w:rFonts w:hint="eastAsia" w:ascii="宋体" w:hAnsi="宋体" w:eastAsia="宋体" w:cs="宋体"/>
          <w:color w:val="auto"/>
          <w:spacing w:val="0"/>
          <w:sz w:val="28"/>
          <w:szCs w:val="28"/>
          <w:highlight w:val="none"/>
          <w:lang w:eastAsia="zh-CN"/>
        </w:rPr>
        <w:t xml:space="preserve">完成</w:t>
      </w:r>
      <w:r>
        <w:rPr>
          <w:rFonts w:hint="eastAsia" w:ascii="宋体" w:hAnsi="宋体" w:eastAsia="宋体" w:cs="宋体"/>
          <w:color w:val="auto"/>
          <w:spacing w:val="0"/>
          <w:sz w:val="28"/>
          <w:szCs w:val="28"/>
          <w:highlight w:val="none"/>
        </w:rPr>
        <w:t xml:space="preserve">第贰轮</w:t>
      </w:r>
      <w:r>
        <w:rPr>
          <w:rFonts w:hint="eastAsia" w:ascii="宋体" w:hAnsi="宋体" w:eastAsia="宋体" w:cs="宋体"/>
          <w:color w:val="auto"/>
          <w:spacing w:val="0"/>
          <w:sz w:val="28"/>
          <w:szCs w:val="28"/>
          <w:highlight w:val="none"/>
          <w:lang w:eastAsia="zh-CN"/>
        </w:rPr>
        <w:t xml:space="preserve">排查</w:t>
      </w:r>
      <w:r>
        <w:rPr>
          <w:rFonts w:hint="eastAsia" w:ascii="宋体" w:hAnsi="宋体" w:eastAsia="宋体" w:cs="宋体"/>
          <w:color w:val="auto"/>
          <w:spacing w:val="0"/>
          <w:sz w:val="28"/>
          <w:szCs w:val="28"/>
          <w:highlight w:val="none"/>
        </w:rPr>
        <w:t xml:space="preserve">（针对首次</w:t>
      </w:r>
      <w:r>
        <w:rPr>
          <w:rFonts w:hint="eastAsia" w:ascii="宋体" w:hAnsi="宋体" w:eastAsia="宋体" w:cs="宋体"/>
          <w:color w:val="auto"/>
          <w:spacing w:val="0"/>
          <w:sz w:val="28"/>
          <w:szCs w:val="28"/>
          <w:highlight w:val="none"/>
          <w:lang w:eastAsia="zh-CN"/>
        </w:rPr>
        <w:t xml:space="preserve">排查</w:t>
      </w:r>
      <w:r>
        <w:rPr>
          <w:rFonts w:hint="eastAsia" w:ascii="宋体" w:hAnsi="宋体" w:eastAsia="宋体" w:cs="宋体"/>
          <w:color w:val="auto"/>
          <w:spacing w:val="0"/>
          <w:sz w:val="28"/>
          <w:szCs w:val="28"/>
          <w:highlight w:val="none"/>
        </w:rPr>
        <w:t xml:space="preserve">进行的复查），出具两照一表的整改报告、</w:t>
      </w:r>
      <w:r>
        <w:rPr>
          <w:rFonts w:hint="eastAsia" w:ascii="宋体" w:hAnsi="宋体" w:eastAsia="宋体" w:cs="宋体"/>
          <w:color w:val="auto"/>
          <w:spacing w:val="0"/>
          <w:sz w:val="28"/>
          <w:szCs w:val="28"/>
          <w:highlight w:val="none"/>
          <w:lang w:val="en-US" w:eastAsia="zh-CN"/>
        </w:rPr>
        <w:t xml:space="preserve">按规定次数完成的</w:t>
      </w:r>
      <w:r>
        <w:rPr>
          <w:rFonts w:hint="eastAsia" w:ascii="宋体" w:hAnsi="宋体" w:eastAsia="宋体" w:cs="宋体"/>
          <w:color w:val="auto"/>
          <w:spacing w:val="0"/>
          <w:sz w:val="28"/>
          <w:szCs w:val="28"/>
          <w:highlight w:val="none"/>
          <w:lang w:eastAsia="zh-CN"/>
        </w:rPr>
        <w:t xml:space="preserve">工作</w:t>
      </w:r>
      <w:r>
        <w:rPr>
          <w:rFonts w:hint="eastAsia" w:ascii="宋体" w:hAnsi="宋体" w:eastAsia="宋体" w:cs="宋体"/>
          <w:color w:val="auto"/>
          <w:spacing w:val="0"/>
          <w:sz w:val="28"/>
          <w:szCs w:val="28"/>
          <w:highlight w:val="none"/>
        </w:rPr>
        <w:t xml:space="preserve">记录</w:t>
      </w:r>
      <w:r>
        <w:rPr>
          <w:rFonts w:hint="eastAsia" w:ascii="宋体" w:hAnsi="宋体" w:eastAsia="宋体" w:cs="宋体"/>
          <w:color w:val="auto"/>
          <w:spacing w:val="0"/>
          <w:sz w:val="28"/>
          <w:szCs w:val="28"/>
          <w:highlight w:val="none"/>
          <w:lang w:eastAsia="zh-CN"/>
        </w:rPr>
        <w:t xml:space="preserve">和“一户一档”形式的排查治理档案并经考核符合</w:t>
      </w:r>
      <w:r>
        <w:rPr>
          <w:rFonts w:hint="eastAsia" w:ascii="宋体" w:hAnsi="宋体" w:eastAsia="宋体" w:cs="宋体"/>
          <w:color w:val="auto"/>
          <w:spacing w:val="0"/>
          <w:sz w:val="28"/>
          <w:szCs w:val="28"/>
          <w:highlight w:val="none"/>
          <w:lang w:val="en-US" w:eastAsia="zh-CN"/>
        </w:rPr>
        <w:t xml:space="preserve">要求出具考核报告后15日内，支付合同金额的百分之柒拾（70%），小写￥</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val="en-US" w:eastAsia="zh-CN"/>
        </w:rPr>
        <w:t xml:space="preserve"> 大写：人民币</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val="en-US" w:eastAsia="zh-CN"/>
        </w:rPr>
        <w:t xml:space="preserve"> 。</w:t>
      </w:r>
      <w:r/>
    </w:p>
    <w:p>
      <w:pPr>
        <w:ind w:left="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val="en-US" w:eastAsia="zh-CN"/>
        </w:rPr>
        <w:t xml:space="preserve">2</w:t>
      </w:r>
      <w:r>
        <w:rPr>
          <w:rFonts w:hint="eastAsia" w:ascii="宋体" w:hAnsi="宋体" w:eastAsia="宋体" w:cs="宋体"/>
          <w:color w:val="auto"/>
          <w:spacing w:val="0"/>
          <w:sz w:val="28"/>
          <w:szCs w:val="28"/>
          <w:highlight w:val="none"/>
        </w:rPr>
        <w:t xml:space="preserve">、乙方收取的上述款项已包含增值税金，乙方开具符合甲方要求的增值税发票后支付费用。</w:t>
      </w:r>
      <w:r/>
    </w:p>
    <w:p>
      <w:pPr>
        <w:ind w:firstLine="703"/>
        <w:spacing w:line="440" w:lineRule="exact"/>
        <w:tabs>
          <w:tab w:val="left" w:pos="900" w:leader="none"/>
        </w:tabs>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第七条  违约责任</w:t>
      </w:r>
      <w:r/>
    </w:p>
    <w:p>
      <w:pPr>
        <w:ind w:firstLine="560"/>
        <w:spacing w:line="440" w:lineRule="exact"/>
        <w:tabs>
          <w:tab w:val="left" w:pos="90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1、乙方提供的服务不符合本合同规定的，甲方有权拒收，并且乙方须向甲方支付本合同总价</w:t>
      </w:r>
      <w:r>
        <w:rPr>
          <w:rFonts w:hint="eastAsia" w:ascii="宋体" w:hAnsi="宋体" w:eastAsia="宋体" w:cs="宋体"/>
          <w:color w:val="auto"/>
          <w:spacing w:val="0"/>
          <w:sz w:val="28"/>
          <w:szCs w:val="28"/>
          <w:highlight w:val="none"/>
          <w:u w:val="single"/>
          <w:lang w:val="en-US" w:eastAsia="zh-CN"/>
        </w:rPr>
        <w:t xml:space="preserve">10</w:t>
      </w:r>
      <w:r>
        <w:rPr>
          <w:rFonts w:hint="eastAsia" w:ascii="宋体" w:hAnsi="宋体" w:eastAsia="宋体" w:cs="宋体"/>
          <w:color w:val="auto"/>
          <w:spacing w:val="0"/>
          <w:sz w:val="28"/>
          <w:szCs w:val="28"/>
          <w:highlight w:val="none"/>
          <w:u w:val="single"/>
        </w:rPr>
        <w:t xml:space="preserve">%</w:t>
      </w:r>
      <w:r>
        <w:rPr>
          <w:rFonts w:hint="eastAsia" w:ascii="宋体" w:hAnsi="宋体" w:eastAsia="宋体" w:cs="宋体"/>
          <w:color w:val="auto"/>
          <w:spacing w:val="0"/>
          <w:sz w:val="28"/>
          <w:szCs w:val="28"/>
          <w:highlight w:val="none"/>
        </w:rPr>
        <w:t xml:space="preserve">的违约金。</w:t>
      </w:r>
      <w:r/>
    </w:p>
    <w:p>
      <w:pPr>
        <w:ind w:right="210" w:firstLine="560"/>
        <w:spacing w:line="440" w:lineRule="exact"/>
        <w:tabs>
          <w:tab w:val="left" w:pos="720" w:leader="none"/>
          <w:tab w:val="left" w:pos="90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2、乙方未能按本合同规定的服务时间提供服务，从逾期之日起每日按本合同总价</w:t>
      </w:r>
      <w:r>
        <w:rPr>
          <w:rFonts w:hint="eastAsia" w:ascii="宋体" w:hAnsi="宋体" w:eastAsia="宋体" w:cs="宋体"/>
          <w:color w:val="auto"/>
          <w:spacing w:val="0"/>
          <w:sz w:val="28"/>
          <w:szCs w:val="28"/>
          <w:highlight w:val="none"/>
          <w:u w:val="single"/>
          <w:lang w:val="en-US" w:eastAsia="zh-CN"/>
        </w:rPr>
        <w:t xml:space="preserve">0.3</w:t>
      </w:r>
      <w:r>
        <w:rPr>
          <w:rFonts w:hint="eastAsia" w:ascii="宋体" w:hAnsi="宋体" w:eastAsia="宋体" w:cs="宋体"/>
          <w:color w:val="auto"/>
          <w:spacing w:val="0"/>
          <w:sz w:val="28"/>
          <w:szCs w:val="28"/>
          <w:highlight w:val="none"/>
          <w:u w:val="single"/>
        </w:rPr>
        <w:t xml:space="preserve">%</w:t>
      </w:r>
      <w:r>
        <w:rPr>
          <w:rFonts w:hint="eastAsia" w:ascii="宋体" w:hAnsi="宋体" w:eastAsia="宋体" w:cs="宋体"/>
          <w:color w:val="auto"/>
          <w:spacing w:val="0"/>
          <w:sz w:val="28"/>
          <w:szCs w:val="28"/>
          <w:highlight w:val="none"/>
        </w:rPr>
        <w:t xml:space="preserve">的数额向甲方支付违约金；逾期半个月以上的，甲方有权终止合同，由此造成的甲方经济损失由乙方承担。</w:t>
      </w:r>
      <w:r/>
    </w:p>
    <w:p>
      <w:pPr>
        <w:ind w:right="210" w:firstLine="560"/>
        <w:spacing w:line="440" w:lineRule="exact"/>
        <w:tabs>
          <w:tab w:val="left" w:pos="720" w:leader="none"/>
          <w:tab w:val="left" w:pos="90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3、乙方不得私自将该服务转包第三方完成。如私自转包，则处本合同总价</w:t>
      </w:r>
      <w:r>
        <w:rPr>
          <w:rFonts w:hint="eastAsia" w:ascii="宋体" w:hAnsi="宋体" w:eastAsia="宋体" w:cs="宋体"/>
          <w:color w:val="auto"/>
          <w:spacing w:val="0"/>
          <w:sz w:val="28"/>
          <w:szCs w:val="28"/>
          <w:highlight w:val="none"/>
          <w:u w:val="single"/>
          <w:lang w:val="en-US" w:eastAsia="zh-CN"/>
        </w:rPr>
        <w:t xml:space="preserve">15</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的违约金。</w:t>
      </w:r>
      <w:r/>
    </w:p>
    <w:p>
      <w:pPr>
        <w:ind w:firstLine="829"/>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第九条  知识产权归属</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1、本项目的技术成果、知识产权归甲方所有。</w:t>
      </w:r>
      <w:r/>
    </w:p>
    <w:p>
      <w:pPr>
        <w:ind w:firstLine="560"/>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color w:val="auto"/>
          <w:spacing w:val="0"/>
          <w:sz w:val="28"/>
          <w:szCs w:val="28"/>
          <w:highlight w:val="none"/>
        </w:rPr>
        <w:t xml:space="preserve">2、本项目所形成数据成果归甲方所有，乙方在本项目完成时应全部向甲方移交，乙方不享有使用权、处置权。</w:t>
      </w:r>
      <w:r/>
    </w:p>
    <w:p>
      <w:pPr>
        <w:ind w:firstLine="829"/>
        <w:spacing w:line="440" w:lineRule="exact"/>
        <w:tabs>
          <w:tab w:val="left" w:pos="900" w:leader="none"/>
        </w:tabs>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第十条  保密条款</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1、乙方对甲方提供的资料负有保密义务，未经甲方同意，不得向项目无关单位和个人提供有关资料及信息。如发生以上情况，甲方有权索赔。</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2、甲方有义务保护乙方的知识产权，未经乙方同意，甲方对工程咨询单位交付的成果文件、资料不得向第三方转让或用于本合同以外的项目。如发生以上情况，乙方有权索赔。</w:t>
      </w:r>
      <w:r/>
    </w:p>
    <w:p>
      <w:pPr>
        <w:ind w:firstLine="551"/>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第十一条  争议的解决</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1、本合同执行过程中发生的任何争议，如双方不能通过友好协商解决，由合同签订地法院处理。</w:t>
      </w:r>
      <w:r/>
    </w:p>
    <w:p>
      <w:pPr>
        <w:pStyle w:val="910"/>
        <w:ind w:firstLine="560"/>
        <w:spacing w:line="440" w:lineRule="exact"/>
        <w:rPr>
          <w:rFonts w:hint="eastAsia" w:ascii="宋体" w:hAnsi="宋体" w:eastAsia="宋体" w:cs="宋体"/>
          <w:color w:val="auto"/>
          <w:spacing w:val="0"/>
          <w:highlight w:val="none"/>
        </w:rPr>
      </w:pPr>
      <w:r>
        <w:rPr>
          <w:rFonts w:hint="eastAsia" w:ascii="宋体" w:hAnsi="宋体" w:eastAsia="宋体" w:cs="宋体"/>
          <w:bCs w:val="0"/>
          <w:color w:val="auto"/>
          <w:spacing w:val="0"/>
          <w:sz w:val="28"/>
          <w:szCs w:val="28"/>
          <w:highlight w:val="none"/>
          <w:lang w:val="en-US" w:eastAsia="zh-CN" w:bidi="ar-SA"/>
        </w:rPr>
        <w:t xml:space="preserve">2、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r>
        <w:rPr>
          <w:rFonts w:hint="eastAsia" w:ascii="宋体" w:hAnsi="宋体" w:eastAsia="宋体" w:cs="宋体"/>
          <w:bCs w:val="0"/>
          <w:color w:val="auto"/>
          <w:spacing w:val="0"/>
          <w:sz w:val="28"/>
          <w:szCs w:val="28"/>
          <w:highlight w:val="none"/>
          <w:lang w:val="en-US"/>
        </w:rPr>
        <w:t xml:space="preserve">。</w:t>
      </w:r>
      <w:r/>
    </w:p>
    <w:p>
      <w:pPr>
        <w:ind w:firstLine="551"/>
        <w:spacing w:line="440" w:lineRule="exact"/>
        <w:tabs>
          <w:tab w:val="left" w:pos="630" w:leader="none"/>
        </w:tabs>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第十二条  合同的终止</w:t>
      </w:r>
      <w:r/>
    </w:p>
    <w:p>
      <w:pPr>
        <w:ind w:firstLine="548"/>
        <w:spacing w:line="440" w:lineRule="exact"/>
        <w:tabs>
          <w:tab w:val="left" w:pos="63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1、合同期满，双方未续签的。</w:t>
      </w:r>
      <w:r/>
    </w:p>
    <w:p>
      <w:pPr>
        <w:ind w:firstLine="560"/>
        <w:spacing w:line="440" w:lineRule="exact"/>
        <w:tabs>
          <w:tab w:val="left" w:pos="63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2、乙方服务能力丧失，致使服务无法正常进行的，甲方有权解除合同，并追究乙方的违约责任。</w:t>
      </w:r>
      <w:r/>
    </w:p>
    <w:p>
      <w:pPr>
        <w:ind w:firstLine="560"/>
        <w:spacing w:line="440" w:lineRule="exact"/>
        <w:tabs>
          <w:tab w:val="left" w:pos="63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3、乙方服务成果经甲方考核不合格，经整改仍不合格，甲方有权解除合同，并追究乙方违约责任。</w:t>
      </w:r>
      <w:r/>
    </w:p>
    <w:p>
      <w:pPr>
        <w:ind w:firstLine="560"/>
        <w:spacing w:line="440" w:lineRule="exact"/>
        <w:tabs>
          <w:tab w:val="left" w:pos="630"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4、因不可抗力导致合同无法继续履行的，双方可以解除本合同，互不承担责任。</w:t>
      </w:r>
      <w:r/>
    </w:p>
    <w:p>
      <w:pPr>
        <w:ind w:firstLine="551"/>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第十三条  其它</w:t>
      </w:r>
      <w:r/>
    </w:p>
    <w:p>
      <w:pPr>
        <w:ind w:firstLine="560"/>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color w:val="auto"/>
          <w:spacing w:val="0"/>
          <w:sz w:val="28"/>
          <w:szCs w:val="28"/>
          <w:highlight w:val="none"/>
        </w:rPr>
        <w:t xml:space="preserve">1、本合同所有附件及招标文件均为合同的有效组成部分，与本合同具有同等法律效力。</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bCs/>
          <w:color w:val="auto"/>
          <w:spacing w:val="0"/>
          <w:sz w:val="28"/>
          <w:szCs w:val="28"/>
          <w:highlight w:val="none"/>
        </w:rPr>
        <w:t xml:space="preserve">2、</w:t>
      </w:r>
      <w:r>
        <w:rPr>
          <w:rFonts w:hint="eastAsia" w:ascii="宋体" w:hAnsi="宋体" w:eastAsia="宋体" w:cs="宋体"/>
          <w:color w:val="auto"/>
          <w:spacing w:val="0"/>
          <w:sz w:val="28"/>
          <w:szCs w:val="28"/>
          <w:highlight w:val="none"/>
        </w:rPr>
        <w:t xml:space="preserve">在执行本合同的过程中，所有经双方签署确认的文件（包括会议纪要、补充协议、往来信函）即成为本合同的有效组成部分。</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3、如一方地址、电话、传真号码有变更，应在变更当日内书面通知对方，否则，应承担相应责任。 </w:t>
      </w:r>
      <w:r/>
    </w:p>
    <w:p>
      <w:pPr>
        <w:ind w:firstLine="562"/>
        <w:spacing w:line="44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第十四条  合同生效</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1、本合同订立时间：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 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月 </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日</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2、本合同订立地点：</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                       </w:t>
      </w:r>
      <w:r/>
    </w:p>
    <w:p>
      <w:pPr>
        <w:ind w:firstLine="560"/>
        <w:spacing w:line="44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3、本合同在甲乙双方法人代表或其授权代表签字盖章后生效。</w:t>
      </w:r>
      <w:r/>
    </w:p>
    <w:p>
      <w:pPr>
        <w:ind w:firstLine="560"/>
        <w:spacing w:line="440" w:lineRule="exac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rPr>
        <w:t xml:space="preserve">4、本合同一式</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4</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份，</w:t>
      </w:r>
      <w:r>
        <w:rPr>
          <w:rFonts w:hint="eastAsia" w:ascii="宋体" w:hAnsi="宋体" w:eastAsia="宋体" w:cs="宋体"/>
          <w:color w:val="auto"/>
          <w:spacing w:val="0"/>
          <w:sz w:val="28"/>
          <w:szCs w:val="28"/>
          <w:highlight w:val="none"/>
          <w:lang w:val="en-US" w:eastAsia="zh-CN"/>
        </w:rPr>
        <w:t xml:space="preserve">甲</w:t>
      </w:r>
      <w:r>
        <w:rPr>
          <w:rFonts w:hint="eastAsia" w:ascii="宋体" w:hAnsi="宋体" w:eastAsia="宋体" w:cs="宋体"/>
          <w:color w:val="auto"/>
          <w:spacing w:val="0"/>
          <w:sz w:val="28"/>
          <w:szCs w:val="28"/>
          <w:highlight w:val="none"/>
        </w:rPr>
        <w:t xml:space="preserve">方执</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2</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份</w:t>
      </w:r>
      <w:r>
        <w:rPr>
          <w:rFonts w:hint="eastAsia" w:ascii="宋体" w:hAnsi="宋体" w:eastAsia="宋体" w:cs="宋体"/>
          <w:color w:val="auto"/>
          <w:spacing w:val="0"/>
          <w:sz w:val="28"/>
          <w:szCs w:val="28"/>
          <w:highlight w:val="none"/>
          <w:lang w:eastAsia="zh-CN"/>
        </w:rPr>
        <w:t xml:space="preserve">，</w:t>
      </w:r>
      <w:r>
        <w:rPr>
          <w:rFonts w:hint="eastAsia" w:ascii="宋体" w:hAnsi="宋体" w:eastAsia="宋体" w:cs="宋体"/>
          <w:color w:val="auto"/>
          <w:spacing w:val="0"/>
          <w:sz w:val="28"/>
          <w:szCs w:val="28"/>
          <w:highlight w:val="none"/>
          <w:lang w:val="en-US" w:eastAsia="zh-CN"/>
        </w:rPr>
        <w:t xml:space="preserve">乙</w:t>
      </w:r>
      <w:r>
        <w:rPr>
          <w:rFonts w:hint="eastAsia" w:ascii="宋体" w:hAnsi="宋体" w:eastAsia="宋体" w:cs="宋体"/>
          <w:color w:val="auto"/>
          <w:spacing w:val="0"/>
          <w:sz w:val="28"/>
          <w:szCs w:val="28"/>
          <w:highlight w:val="none"/>
        </w:rPr>
        <w:t xml:space="preserve">方执</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1</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份</w:t>
      </w:r>
      <w:r>
        <w:rPr>
          <w:rFonts w:hint="eastAsia" w:ascii="宋体" w:hAnsi="宋体" w:eastAsia="宋体" w:cs="宋体"/>
          <w:color w:val="auto"/>
          <w:spacing w:val="0"/>
          <w:sz w:val="28"/>
          <w:szCs w:val="28"/>
          <w:highlight w:val="none"/>
          <w:lang w:eastAsia="zh-CN"/>
        </w:rPr>
        <w:t xml:space="preserve">，</w:t>
      </w:r>
      <w:r>
        <w:rPr>
          <w:rFonts w:hint="eastAsia" w:ascii="宋体" w:hAnsi="宋体" w:eastAsia="宋体" w:cs="宋体"/>
          <w:color w:val="auto"/>
          <w:spacing w:val="0"/>
          <w:sz w:val="28"/>
          <w:szCs w:val="28"/>
          <w:highlight w:val="none"/>
          <w:lang w:val="en-US" w:eastAsia="zh-CN"/>
        </w:rPr>
        <w:t xml:space="preserve">代理机构留档备案</w:t>
      </w:r>
      <w:r>
        <w:rPr>
          <w:rFonts w:hint="eastAsia" w:ascii="宋体" w:hAnsi="宋体" w:eastAsia="宋体" w:cs="宋体"/>
          <w:color w:val="auto"/>
          <w:spacing w:val="0"/>
          <w:sz w:val="28"/>
          <w:szCs w:val="28"/>
          <w:highlight w:val="none"/>
        </w:rPr>
        <w:t xml:space="preserve">执</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u w:val="single"/>
          <w:lang w:val="en-US" w:eastAsia="zh-CN"/>
        </w:rPr>
        <w:t xml:space="preserve">1</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 xml:space="preserve">份</w:t>
      </w:r>
      <w:r>
        <w:rPr>
          <w:rFonts w:hint="eastAsia" w:ascii="宋体" w:hAnsi="宋体" w:eastAsia="宋体" w:cs="宋体"/>
          <w:color w:val="auto"/>
          <w:spacing w:val="0"/>
          <w:sz w:val="28"/>
          <w:szCs w:val="28"/>
          <w:highlight w:val="none"/>
          <w:lang w:eastAsia="zh-CN"/>
        </w:rPr>
        <w:t xml:space="preserve">。</w:t>
      </w:r>
      <w:r/>
    </w:p>
    <w:p>
      <w:pPr>
        <w:spacing w:line="60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r>
      <w:r/>
    </w:p>
    <w:p>
      <w:pPr>
        <w:spacing w:line="600" w:lineRule="exact"/>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甲方（盖章）：                          乙方（盖章）：</w:t>
      </w:r>
      <w:r/>
    </w:p>
    <w:p>
      <w:pPr>
        <w:spacing w:line="600" w:lineRule="exac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spacing w:line="600" w:lineRule="exact"/>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法定代表人（盖章或签字）：         法定代表人（盖章或签字）：</w:t>
      </w:r>
      <w:r/>
    </w:p>
    <w:p>
      <w:pPr>
        <w:spacing w:line="600" w:lineRule="exact"/>
        <w:tabs>
          <w:tab w:val="left" w:pos="525" w:leader="none"/>
          <w:tab w:val="left" w:pos="1155"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委托代理人（签字）：               委托代理人（签字）：</w:t>
      </w:r>
      <w:r/>
    </w:p>
    <w:p>
      <w:pPr>
        <w:spacing w:line="600" w:lineRule="exact"/>
        <w:tabs>
          <w:tab w:val="left" w:pos="525" w:leader="none"/>
          <w:tab w:val="left" w:pos="1155"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地  址：                           地  址：</w:t>
      </w:r>
      <w:r/>
    </w:p>
    <w:p>
      <w:pPr>
        <w:spacing w:line="600" w:lineRule="exact"/>
        <w:tabs>
          <w:tab w:val="left" w:pos="525" w:leader="none"/>
          <w:tab w:val="left" w:pos="1155"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电  话：                           电  话：</w:t>
      </w:r>
      <w:r/>
    </w:p>
    <w:p>
      <w:pPr>
        <w:spacing w:line="600" w:lineRule="exact"/>
        <w:tabs>
          <w:tab w:val="left" w:pos="525" w:leader="none"/>
          <w:tab w:val="left" w:pos="1155" w:leader="none"/>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传  真：                           传  真：</w:t>
      </w:r>
      <w:r/>
    </w:p>
    <w:p>
      <w:pPr>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日  期：   年 </w:t>
      </w:r>
      <w:r>
        <w:rPr>
          <w:rFonts w:hint="eastAsia" w:ascii="宋体" w:hAnsi="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月</w:t>
      </w:r>
      <w:r>
        <w:rPr>
          <w:rFonts w:hint="eastAsia" w:ascii="宋体" w:hAnsi="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日          </w:t>
      </w:r>
      <w:r>
        <w:rPr>
          <w:rFonts w:hint="eastAsia" w:ascii="宋体" w:hAnsi="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日  期：  </w:t>
      </w:r>
      <w:r>
        <w:rPr>
          <w:rFonts w:hint="eastAsia" w:ascii="宋体" w:hAnsi="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年</w:t>
      </w:r>
      <w:r>
        <w:rPr>
          <w:rFonts w:hint="eastAsia" w:ascii="宋体" w:hAnsi="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  月  </w:t>
      </w:r>
      <w:r>
        <w:rPr>
          <w:rFonts w:hint="eastAsia" w:ascii="宋体" w:hAnsi="宋体" w:cs="宋体"/>
          <w:color w:val="auto"/>
          <w:spacing w:val="0"/>
          <w:sz w:val="28"/>
          <w:szCs w:val="28"/>
          <w:highlight w:val="none"/>
          <w:lang w:val="en-US" w:eastAsia="zh-CN"/>
        </w:rPr>
        <w:t xml:space="preserve"> </w:t>
      </w:r>
      <w:r>
        <w:rPr>
          <w:rFonts w:hint="eastAsia" w:ascii="宋体" w:hAnsi="宋体" w:eastAsia="宋体" w:cs="宋体"/>
          <w:color w:val="auto"/>
          <w:spacing w:val="0"/>
          <w:sz w:val="28"/>
          <w:szCs w:val="28"/>
          <w:highlight w:val="none"/>
        </w:rPr>
        <w:t xml:space="preserve">日   </w:t>
      </w:r>
      <w:r/>
    </w:p>
    <w:p>
      <w:pPr>
        <w:pStyle w:val="943"/>
        <w:ind w:left="0" w:firstLine="0"/>
        <w:rPr>
          <w:rFonts w:hint="eastAsia" w:ascii="宋体" w:hAnsi="宋体" w:eastAsia="宋体" w:cs="宋体"/>
          <w:color w:val="000000"/>
          <w:spacing w:val="0"/>
          <w:sz w:val="30"/>
          <w:highlight w:val="none"/>
          <w:lang w:eastAsia="zh-CN"/>
        </w:rPr>
      </w:pPr>
      <w:r>
        <w:rPr>
          <w:rFonts w:hint="default" w:ascii="Times New Roman" w:hAnsi="Times New Roman" w:eastAsia="仿宋" w:cs="Times New Roman"/>
          <w:color w:val="auto"/>
          <w:spacing w:val="0"/>
          <w:sz w:val="28"/>
          <w:szCs w:val="28"/>
          <w:highlight w:val="none"/>
          <w:lang w:val="en-US"/>
        </w:rPr>
        <w:br w:type="page" w:clear="all"/>
      </w:r>
      <w:r>
        <w:rPr>
          <w:rFonts w:hint="eastAsia" w:ascii="宋体" w:hAnsi="宋体" w:eastAsia="宋体" w:cs="宋体"/>
          <w:color w:val="000000"/>
          <w:spacing w:val="0"/>
          <w:sz w:val="30"/>
          <w:highlight w:val="none"/>
        </w:rPr>
        <w:t xml:space="preserve">附件</w:t>
      </w:r>
      <w:r>
        <w:rPr>
          <w:rFonts w:hint="eastAsia" w:ascii="宋体" w:hAnsi="宋体" w:eastAsia="宋体" w:cs="宋体"/>
          <w:color w:val="000000"/>
          <w:spacing w:val="0"/>
          <w:sz w:val="30"/>
          <w:highlight w:val="none"/>
          <w:lang w:val="en-US" w:eastAsia="zh-CN"/>
        </w:rPr>
        <w:t xml:space="preserve">1</w:t>
      </w:r>
      <w:r/>
    </w:p>
    <w:p>
      <w:pPr>
        <w:ind w:left="0" w:right="0" w:firstLine="0"/>
        <w:jc w:val="center"/>
        <w:keepLines w:val="0"/>
        <w:keepNext w:val="0"/>
        <w:pageBreakBefore w:val="0"/>
        <w:spacing w:before="0" w:line="560" w:lineRule="exact"/>
        <w:widowControl w:val="off"/>
        <w:rPr>
          <w:rFonts w:hint="default" w:ascii="Times New Roman" w:hAnsi="Times New Roman" w:eastAsia="方正黑体_GBK" w:cs="Times New Roman"/>
          <w:color w:val="000000"/>
          <w:spacing w:val="0"/>
          <w:sz w:val="44"/>
          <w:highlight w:val="none"/>
        </w:rPr>
      </w:pPr>
      <w:r>
        <w:rPr>
          <w:rFonts w:hint="default" w:ascii="Times New Roman" w:hAnsi="Times New Roman" w:eastAsia="方正黑体_GBK" w:cs="Times New Roman"/>
          <w:color w:val="000000"/>
          <w:spacing w:val="0"/>
          <w:sz w:val="44"/>
          <w:highlight w:val="none"/>
        </w:rPr>
        <w:t xml:space="preserve">徐州经济技术开发区特种设备</w:t>
      </w:r>
      <w:r/>
    </w:p>
    <w:p>
      <w:pPr>
        <w:ind w:left="0" w:right="0" w:firstLine="0"/>
        <w:jc w:val="center"/>
        <w:keepLines w:val="0"/>
        <w:keepNext w:val="0"/>
        <w:pageBreakBefore w:val="0"/>
        <w:spacing w:before="0" w:line="560" w:lineRule="exact"/>
        <w:widowControl w:val="off"/>
        <w:rPr>
          <w:rFonts w:hint="default" w:ascii="Times New Roman" w:hAnsi="Times New Roman" w:eastAsia="仿宋" w:cs="Times New Roman"/>
          <w:color w:val="000000"/>
          <w:spacing w:val="0"/>
          <w:sz w:val="44"/>
          <w:highlight w:val="none"/>
        </w:rPr>
      </w:pPr>
      <w:r>
        <w:rPr>
          <w:rFonts w:hint="default" w:ascii="Times New Roman" w:hAnsi="Times New Roman" w:eastAsia="方正黑体_GBK" w:cs="Times New Roman"/>
          <w:color w:val="000000"/>
          <w:spacing w:val="0"/>
          <w:sz w:val="44"/>
          <w:highlight w:val="none"/>
        </w:rPr>
        <w:t xml:space="preserve">安全生产隐患排查治理考核办法</w:t>
      </w:r>
      <w:r/>
    </w:p>
    <w:p>
      <w:pPr>
        <w:ind w:left="0" w:right="0" w:firstLine="800"/>
        <w:keepLines w:val="0"/>
        <w:keepNext w:val="0"/>
        <w:pageBreakBefore w:val="0"/>
        <w:spacing w:before="0" w:after="200" w:line="240" w:lineRule="auto"/>
        <w:widowControl w:val="off"/>
        <w:tabs>
          <w:tab w:val="left" w:pos="4514" w:leader="none"/>
          <w:tab w:val="left" w:pos="5157" w:leader="none"/>
        </w:tabs>
        <w:rPr>
          <w:rFonts w:hint="default" w:ascii="Times New Roman" w:hAnsi="Times New Roman" w:eastAsia="仿宋" w:cs="Times New Roman"/>
          <w:color w:val="000000"/>
          <w:spacing w:val="0"/>
          <w:sz w:val="40"/>
          <w:szCs w:val="40"/>
          <w:highlight w:val="none"/>
          <w:lang w:val="en-US" w:eastAsia="zh-CN" w:bidi="ar-SA"/>
        </w:rPr>
        <w:outlineLvl w:val="0"/>
      </w:pPr>
      <w:r>
        <w:rPr>
          <w:rFonts w:hint="default" w:ascii="Times New Roman" w:hAnsi="Times New Roman" w:eastAsia="仿宋" w:cs="Times New Roman"/>
          <w:color w:val="000000"/>
          <w:spacing w:val="0"/>
          <w:sz w:val="40"/>
          <w:szCs w:val="40"/>
          <w:highlight w:val="none"/>
          <w:lang w:val="en-US" w:eastAsia="zh-CN" w:bidi="ar-SA"/>
        </w:rPr>
      </w:r>
      <w:r/>
    </w:p>
    <w:p>
      <w:pPr>
        <w:ind w:left="0" w:right="0" w:firstLine="0"/>
        <w:jc w:val="center"/>
        <w:keepLines w:val="0"/>
        <w:keepNext w:val="0"/>
        <w:pageBreakBefore w:val="0"/>
        <w:spacing w:before="0" w:after="0" w:line="480" w:lineRule="exact"/>
        <w:widowControl w:val="off"/>
        <w:tabs>
          <w:tab w:val="left" w:pos="4514" w:leader="none"/>
          <w:tab w:val="left" w:pos="5157" w:leader="none"/>
        </w:tabs>
        <w:rPr>
          <w:rFonts w:hint="eastAsia" w:ascii="宋体" w:hAnsi="宋体" w:eastAsia="宋体" w:cs="宋体"/>
          <w:color w:val="000000"/>
          <w:spacing w:val="0"/>
          <w:sz w:val="24"/>
          <w:szCs w:val="24"/>
          <w:highlight w:val="none"/>
          <w:lang w:val="en-US" w:eastAsia="zh-CN" w:bidi="ar-SA"/>
        </w:rPr>
        <w:outlineLvl w:val="0"/>
      </w:pPr>
      <w:r>
        <w:rPr>
          <w:rFonts w:hint="eastAsia" w:ascii="宋体" w:hAnsi="宋体" w:eastAsia="宋体" w:cs="宋体"/>
          <w:color w:val="000000"/>
          <w:spacing w:val="0"/>
          <w:sz w:val="24"/>
          <w:szCs w:val="24"/>
          <w:highlight w:val="none"/>
          <w:lang w:val="en-US" w:eastAsia="zh-CN" w:bidi="ar-SA"/>
        </w:rPr>
        <w:t xml:space="preserve">第一章 总 则</w:t>
      </w:r>
      <w:r/>
    </w:p>
    <w:p>
      <w:pPr>
        <w:ind w:left="0" w:right="0" w:firstLine="482"/>
        <w:jc w:val="left"/>
        <w:keepLines w:val="0"/>
        <w:keepNext w:val="0"/>
        <w:pageBreakBefore w:val="0"/>
        <w:spacing w:before="0" w:after="0" w:line="480" w:lineRule="exact"/>
        <w:widowControl w:val="off"/>
        <w:tabs>
          <w:tab w:val="left" w:pos="2109"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第一条 </w:t>
      </w:r>
      <w:r>
        <w:rPr>
          <w:rFonts w:hint="eastAsia" w:ascii="宋体" w:hAnsi="宋体" w:eastAsia="宋体" w:cs="宋体"/>
          <w:color w:val="000000"/>
          <w:spacing w:val="0"/>
          <w:sz w:val="24"/>
          <w:szCs w:val="24"/>
          <w:highlight w:val="none"/>
          <w:lang w:val="en-US" w:eastAsia="zh-CN" w:bidi="ar-SA"/>
        </w:rPr>
        <w:t xml:space="preserve">为考核安全技术服务机构是否按合同要求开展徐州经济技术开发区特种设备安全生产隐患排查治理工作，保证隐患排查治理服务的质量和进度，按合同有关规定，对安全技术服务机构进行履约考核，特制定本办法。</w:t>
      </w:r>
      <w:r/>
    </w:p>
    <w:p>
      <w:pPr>
        <w:ind w:left="0" w:right="0" w:firstLine="482"/>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第二条 </w:t>
      </w:r>
      <w:r>
        <w:rPr>
          <w:rFonts w:hint="eastAsia" w:ascii="宋体" w:hAnsi="宋体" w:eastAsia="宋体" w:cs="宋体"/>
          <w:color w:val="000000"/>
          <w:spacing w:val="0"/>
          <w:sz w:val="24"/>
          <w:szCs w:val="24"/>
          <w:highlight w:val="none"/>
          <w:lang w:val="en-US" w:eastAsia="zh-CN" w:bidi="ar-SA"/>
        </w:rPr>
        <w:t xml:space="preserve">按照合同约定，市场监管局将对安全技术服务机构开展特种设备安全生产隐患排查治理服务进行考评，考评合格的合同规定支付款项，不合格的要求限期整改，并按合同规定要求对安全技术服务机构进行违约处罚。</w:t>
      </w:r>
      <w:r/>
    </w:p>
    <w:p>
      <w:pPr>
        <w:ind w:left="0" w:right="0" w:firstLine="0"/>
        <w:jc w:val="center"/>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outlineLvl w:val="0"/>
      </w:pPr>
      <w:r>
        <w:rPr>
          <w:rFonts w:hint="eastAsia" w:ascii="宋体" w:hAnsi="宋体" w:eastAsia="宋体" w:cs="宋体"/>
          <w:color w:val="000000"/>
          <w:spacing w:val="0"/>
          <w:sz w:val="24"/>
          <w:szCs w:val="24"/>
          <w:highlight w:val="none"/>
          <w:lang w:val="en-US" w:eastAsia="zh-CN" w:bidi="ar-SA"/>
        </w:rPr>
        <w:t xml:space="preserve">第二章 组织机构</w:t>
      </w:r>
      <w:r/>
    </w:p>
    <w:p>
      <w:pPr>
        <w:ind w:left="0" w:right="0" w:firstLine="482"/>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第三条 </w:t>
      </w:r>
      <w:r>
        <w:rPr>
          <w:rFonts w:hint="eastAsia" w:ascii="宋体" w:hAnsi="宋体" w:eastAsia="宋体" w:cs="宋体"/>
          <w:color w:val="000000"/>
          <w:spacing w:val="0"/>
          <w:sz w:val="24"/>
          <w:szCs w:val="24"/>
          <w:highlight w:val="none"/>
          <w:lang w:val="en-US" w:eastAsia="zh-CN" w:bidi="ar-SA"/>
        </w:rPr>
        <w:t xml:space="preserve">为加强对特种设备安全生产隐患排查治理服务合同履约考核活动的领导，成立考核领导小组，人员组成如下：</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组 长：牛广东</w:t>
      </w:r>
      <w:r/>
    </w:p>
    <w:p>
      <w:pPr>
        <w:ind w:left="0" w:right="0" w:firstLine="480"/>
        <w:keepLines w:val="0"/>
        <w:keepNext w:val="0"/>
        <w:pageBreakBefore w:val="0"/>
        <w:spacing w:before="0" w:after="0" w:line="480" w:lineRule="exact"/>
        <w:widowControl w:val="off"/>
        <w:rPr>
          <w:rFonts w:hint="default"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副组长：赵丹宇</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成 员：商伟、韩皓、乔栗、吕晴、荣钰</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考核办公室设在特设科，统一组织考核工作，负责考核资料汇集整理工作。</w:t>
      </w:r>
      <w:r/>
    </w:p>
    <w:p>
      <w:pPr>
        <w:ind w:left="0" w:right="0" w:firstLine="0"/>
        <w:jc w:val="center"/>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outlineLvl w:val="0"/>
      </w:pPr>
      <w:r>
        <w:rPr>
          <w:rFonts w:hint="eastAsia" w:ascii="宋体" w:hAnsi="宋体" w:eastAsia="宋体" w:cs="宋体"/>
          <w:color w:val="000000"/>
          <w:spacing w:val="0"/>
          <w:sz w:val="24"/>
          <w:szCs w:val="24"/>
          <w:highlight w:val="none"/>
          <w:lang w:val="zh-CN" w:eastAsia="zh-CN" w:bidi="ar-SA"/>
        </w:rPr>
        <w:t xml:space="preserve">第三章</w:t>
      </w:r>
      <w:r>
        <w:rPr>
          <w:rFonts w:hint="eastAsia" w:ascii="宋体" w:hAnsi="宋体" w:eastAsia="宋体" w:cs="宋体"/>
          <w:color w:val="000000"/>
          <w:spacing w:val="0"/>
          <w:sz w:val="24"/>
          <w:szCs w:val="24"/>
          <w:highlight w:val="none"/>
          <w:lang w:val="en-US" w:eastAsia="zh-CN" w:bidi="ar-SA"/>
        </w:rPr>
        <w:t xml:space="preserve"> 考核依据</w:t>
      </w:r>
      <w:r/>
    </w:p>
    <w:p>
      <w:pPr>
        <w:numPr>
          <w:ilvl w:val="0"/>
          <w:numId w:val="0"/>
        </w:numPr>
        <w:ind w:right="0" w:firstLine="482"/>
        <w:jc w:val="both"/>
        <w:keepLines w:val="0"/>
        <w:keepNext w:val="0"/>
        <w:pageBreakBefore w:val="0"/>
        <w:spacing w:before="0" w:line="480" w:lineRule="exact"/>
        <w:widowControl w:val="off"/>
        <w:rPr>
          <w:rFonts w:hint="eastAsia" w:ascii="宋体" w:hAnsi="宋体" w:eastAsia="宋体" w:cs="宋体"/>
          <w:color w:val="000000"/>
          <w:spacing w:val="0"/>
          <w:sz w:val="24"/>
          <w:szCs w:val="24"/>
          <w:highlight w:val="none"/>
          <w:lang w:eastAsia="zh-CN"/>
        </w:rPr>
      </w:pPr>
      <w:r>
        <w:rPr>
          <w:rFonts w:hint="eastAsia" w:ascii="宋体" w:hAnsi="宋体" w:eastAsia="宋体" w:cs="宋体"/>
          <w:b/>
          <w:color w:val="000000"/>
          <w:spacing w:val="0"/>
          <w:sz w:val="24"/>
          <w:szCs w:val="24"/>
          <w:highlight w:val="none"/>
        </w:rPr>
        <w:t xml:space="preserve">第四条 </w:t>
      </w:r>
      <w:r>
        <w:rPr>
          <w:rFonts w:hint="eastAsia" w:ascii="宋体" w:hAnsi="宋体" w:eastAsia="宋体" w:cs="宋体"/>
          <w:color w:val="000000"/>
          <w:spacing w:val="0"/>
          <w:sz w:val="24"/>
          <w:szCs w:val="24"/>
          <w:highlight w:val="none"/>
        </w:rPr>
        <w:t xml:space="preserve">考核依据</w:t>
      </w:r>
      <w:r>
        <w:rPr>
          <w:rFonts w:hint="eastAsia" w:ascii="宋体" w:hAnsi="宋体" w:eastAsia="宋体" w:cs="宋体"/>
          <w:color w:val="000000"/>
          <w:spacing w:val="0"/>
          <w:sz w:val="24"/>
          <w:szCs w:val="24"/>
          <w:highlight w:val="none"/>
          <w:lang w:eastAsia="zh-CN"/>
        </w:rPr>
        <w:t xml:space="preserve">：</w:t>
      </w:r>
      <w:r/>
    </w:p>
    <w:p>
      <w:pPr>
        <w:ind w:right="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《徐州经济技术开发区特种设备安全生产隐患排查治理服务技术服务合同》、《特种设备监督检查办法》、《特种设备使用管理规则》、《特种设备作业人员管理办法》等。</w:t>
      </w:r>
      <w:r/>
    </w:p>
    <w:p>
      <w:pPr>
        <w:ind w:left="0" w:right="0" w:firstLine="0"/>
        <w:jc w:val="center"/>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zh-CN" w:eastAsia="zh-CN" w:bidi="ar-SA"/>
        </w:rPr>
        <w:outlineLvl w:val="0"/>
      </w:pPr>
      <w:r>
        <w:rPr>
          <w:rFonts w:hint="eastAsia" w:ascii="宋体" w:hAnsi="宋体" w:eastAsia="宋体" w:cs="宋体"/>
          <w:color w:val="000000"/>
          <w:spacing w:val="0"/>
          <w:sz w:val="24"/>
          <w:szCs w:val="24"/>
          <w:highlight w:val="none"/>
          <w:lang w:val="zh-CN" w:eastAsia="zh-CN" w:bidi="ar-SA"/>
        </w:rPr>
        <w:t xml:space="preserve">第四章 考核的内容</w:t>
      </w:r>
      <w:r/>
    </w:p>
    <w:p>
      <w:pPr>
        <w:ind w:left="0" w:right="0" w:firstLine="482"/>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第五条 </w:t>
      </w:r>
      <w:r>
        <w:rPr>
          <w:rFonts w:hint="eastAsia" w:ascii="宋体" w:hAnsi="宋体" w:eastAsia="宋体" w:cs="宋体"/>
          <w:color w:val="000000"/>
          <w:spacing w:val="0"/>
          <w:sz w:val="24"/>
          <w:szCs w:val="24"/>
          <w:highlight w:val="none"/>
          <w:lang w:val="en-US" w:eastAsia="zh-CN" w:bidi="ar-SA"/>
        </w:rPr>
        <w:t xml:space="preserve">考核项目包括：（一）安全技术服务机构进入特种设备使用单位排查选定安全专家的专业、职称和人数；（二）对特种设备使用单位安全管理状况、主体责任落实、作业人员、现场运行管理情况、现场危害因素、违章作业情况及执行国家安全技术规范和强制安全标准情况等进行现场检查分析情况；（三）《隐患排查报告》的内容情况。</w:t>
      </w:r>
      <w:r/>
    </w:p>
    <w:p>
      <w:pPr>
        <w:ind w:left="0" w:right="0" w:firstLine="482"/>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第六条 </w:t>
      </w:r>
      <w:r>
        <w:rPr>
          <w:rFonts w:hint="eastAsia" w:ascii="宋体" w:hAnsi="宋体" w:eastAsia="宋体" w:cs="宋体"/>
          <w:color w:val="000000"/>
          <w:spacing w:val="0"/>
          <w:sz w:val="24"/>
          <w:szCs w:val="24"/>
          <w:highlight w:val="none"/>
          <w:lang w:val="en-US" w:eastAsia="zh-CN" w:bidi="ar-SA"/>
        </w:rPr>
        <w:t xml:space="preserve">安全技术服务机构进入特种设备使用单位排查选定安全专家的专业、职称和人数指安全技术服务机构选定的安全专家的专业是否符合该单位实际情况；排查专家组长须具备中级级以上职称，原则上应是市级专家库资深专家，具备丰富的安全管理经验；是否按排查工作需要，现场派出足够人员，并按要求开展现场核查。</w:t>
      </w:r>
      <w:r/>
    </w:p>
    <w:p>
      <w:pPr>
        <w:ind w:left="0" w:right="0" w:firstLine="482"/>
        <w:keepLines w:val="0"/>
        <w:keepNext w:val="0"/>
        <w:pageBreakBefore w:val="0"/>
        <w:spacing w:before="0" w:after="0" w:line="480" w:lineRule="exact"/>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第七条 </w:t>
      </w:r>
      <w:r>
        <w:rPr>
          <w:rFonts w:hint="eastAsia" w:ascii="宋体" w:hAnsi="宋体" w:eastAsia="宋体" w:cs="宋体"/>
          <w:b w:val="0"/>
          <w:bCs/>
          <w:color w:val="000000"/>
          <w:spacing w:val="0"/>
          <w:sz w:val="24"/>
          <w:szCs w:val="24"/>
          <w:highlight w:val="none"/>
          <w:lang w:val="en-US" w:eastAsia="zh-CN" w:bidi="ar-SA"/>
        </w:rPr>
        <w:t xml:space="preserve">对特种设备使用单位安全管理状况、主体责任落实、作业人员、现场运行管理情况、现场危害因素、违章作业情况及执行国家安全技术规范和强制安全标准情况等进行现场检查分析情况，指排查工作是否覆盖《特种设备安全隐患排查推荐内容》，并将发现问题和隐患依据相关安全技术规范和强制安全标准的要求提出整改要求和措施；是否根据单位安全管理和运行的实际情况，提出有针对性的提升建议和防范性措施。</w:t>
      </w:r>
      <w:r/>
    </w:p>
    <w:p>
      <w:pPr>
        <w:ind w:left="0" w:right="0" w:firstLine="482"/>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第八条 </w:t>
      </w:r>
      <w:r>
        <w:rPr>
          <w:rFonts w:hint="eastAsia" w:ascii="宋体" w:hAnsi="宋体" w:eastAsia="宋体" w:cs="宋体"/>
          <w:color w:val="000000"/>
          <w:spacing w:val="0"/>
          <w:sz w:val="24"/>
          <w:szCs w:val="24"/>
          <w:highlight w:val="none"/>
          <w:lang w:val="en-US" w:eastAsia="zh-CN" w:bidi="ar-SA"/>
        </w:rPr>
        <w:t xml:space="preserve">《隐患排查报告》的内容情况指《隐患排查报告》内容是否由存在的安全隐患或问题、法律法规和规范标准依据、整改建议和措施组成，是否附有呈现安全隐患状况的图片和相应的文字说明，是否有企业基本情况和安全管理人员及联系电话，是否有专家签字和安全技术服务机构盖章；是否对隐患的情况进行整改，整改结果是否符合安全技术规范和强制安全标准的要求，并与专家提出的整改完成后效果相一致；是否按照专家提出的提升建议和防范性措施，做出有针对性的整改和防范，完善相应制度和管理预防措施。</w:t>
      </w:r>
      <w:r/>
    </w:p>
    <w:p>
      <w:pPr>
        <w:ind w:left="0" w:right="0" w:firstLine="0"/>
        <w:jc w:val="center"/>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zh-CN" w:eastAsia="zh-CN" w:bidi="ar-SA"/>
        </w:rPr>
        <w:outlineLvl w:val="0"/>
      </w:pPr>
      <w:r>
        <w:rPr>
          <w:rFonts w:hint="eastAsia" w:ascii="宋体" w:hAnsi="宋体" w:eastAsia="宋体" w:cs="宋体"/>
          <w:color w:val="000000"/>
          <w:spacing w:val="0"/>
          <w:sz w:val="24"/>
          <w:szCs w:val="24"/>
          <w:highlight w:val="none"/>
          <w:lang w:val="zh-CN" w:eastAsia="zh-CN" w:bidi="ar-SA"/>
        </w:rPr>
        <w:t xml:space="preserve">第五章 考核标准与办法</w:t>
      </w:r>
      <w:r/>
    </w:p>
    <w:p>
      <w:pPr>
        <w:ind w:left="0" w:right="0" w:firstLine="482"/>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第九条 </w:t>
      </w:r>
      <w:r>
        <w:rPr>
          <w:rFonts w:hint="eastAsia" w:ascii="宋体" w:hAnsi="宋体" w:eastAsia="宋体" w:cs="宋体"/>
          <w:color w:val="000000"/>
          <w:spacing w:val="0"/>
          <w:sz w:val="24"/>
          <w:szCs w:val="24"/>
          <w:highlight w:val="none"/>
          <w:lang w:val="en-US" w:eastAsia="zh-CN" w:bidi="ar-SA"/>
        </w:rPr>
        <w:t xml:space="preserve">安全技术服务机构进入特种设备使用单位排查选定安全专家的专业、职称和人数；对特种设备使用单位安全管理状况、主体责任落实、作业人员、现场运行管理情况、现场危害因素、违章作业情况及执行国家安全技术规范和强制安全标准情况进行现场检查分析情况；《隐患排查报告》的内容情况，三项内容按百分制进行综合考核评分，其权值依次为20、65、15。</w:t>
      </w:r>
      <w:r/>
    </w:p>
    <w:p>
      <w:pPr>
        <w:ind w:left="0" w:right="0" w:firstLine="482"/>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第十条 </w:t>
      </w:r>
      <w:r>
        <w:rPr>
          <w:rFonts w:hint="eastAsia" w:ascii="宋体" w:hAnsi="宋体" w:eastAsia="宋体" w:cs="宋体"/>
          <w:color w:val="000000"/>
          <w:spacing w:val="0"/>
          <w:sz w:val="24"/>
          <w:szCs w:val="24"/>
          <w:highlight w:val="none"/>
          <w:lang w:val="en-US" w:eastAsia="zh-CN" w:bidi="ar-SA"/>
        </w:rPr>
        <w:t xml:space="preserve">安全技术服务机构进入企业检查选定安全专家的人数、专业、职称的评分标准。</w:t>
      </w:r>
      <w:r/>
    </w:p>
    <w:p>
      <w:pPr>
        <w:ind w:left="0" w:right="0" w:firstLine="456"/>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1、安全专家人数考核按照每个单位至少三名专家（包括检查组组长），每少一人检查扣2分，共计5分，扣完为止。</w:t>
      </w:r>
      <w:r/>
    </w:p>
    <w:p>
      <w:pPr>
        <w:ind w:left="0" w:right="0" w:firstLine="456"/>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2、安全专家专业考核按照每个单位至少配备两名具备特种设备安全知识人员，每发现一次未配备扣5分，共计5分，扣完为止。</w:t>
      </w:r>
      <w:r/>
    </w:p>
    <w:p>
      <w:pPr>
        <w:ind w:left="0" w:right="0" w:firstLine="456"/>
        <w:jc w:val="both"/>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3、安全专家资质考核（排查专家组长须具备中级及以上职称，原则上应是市级专家库资深专家，具备丰富的安全管理工作经验）按照每个单位每发现一次专家专家组长不具备资质扣5分，共计5分，扣完为止。</w:t>
      </w:r>
      <w:r/>
    </w:p>
    <w:p>
      <w:pPr>
        <w:ind w:left="0" w:right="0" w:firstLine="456"/>
        <w:jc w:val="both"/>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4、排查和复查工作不符合要求的（未按照被排查单位实际情况合理安排排查时间，排查时间明显不足的），每发现一次扣5分，共计5分，扣完为止。</w:t>
      </w:r>
      <w:r/>
    </w:p>
    <w:p>
      <w:pPr>
        <w:ind w:left="0" w:right="0" w:firstLine="482"/>
        <w:jc w:val="both"/>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第十一条 </w:t>
      </w:r>
      <w:r>
        <w:rPr>
          <w:rFonts w:hint="eastAsia" w:ascii="宋体" w:hAnsi="宋体" w:eastAsia="宋体" w:cs="宋体"/>
          <w:color w:val="000000"/>
          <w:spacing w:val="0"/>
          <w:sz w:val="24"/>
          <w:szCs w:val="24"/>
          <w:highlight w:val="none"/>
          <w:lang w:val="en-US" w:eastAsia="zh-CN" w:bidi="ar-SA"/>
        </w:rPr>
        <w:t xml:space="preserve">对特种设备使用单位安全管理状况、主体责任落实、作业人员、现场运行管理情况、现场危害因素、违章作业情况及执行国家安全技术规范和强制安全标准情况等进行现场检查分析情况评分标准（结合隐患排查报告开展抽查）。</w:t>
      </w:r>
      <w:r/>
    </w:p>
    <w:p>
      <w:pPr>
        <w:ind w:left="0" w:right="0" w:firstLine="480"/>
        <w:jc w:val="both"/>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outlineLvl w:val="0"/>
      </w:pPr>
      <w:r>
        <w:rPr>
          <w:rFonts w:hint="eastAsia" w:ascii="宋体" w:hAnsi="宋体" w:eastAsia="宋体" w:cs="宋体"/>
          <w:color w:val="000000"/>
          <w:spacing w:val="0"/>
          <w:sz w:val="24"/>
          <w:szCs w:val="24"/>
          <w:highlight w:val="none"/>
          <w:lang w:val="en-US" w:eastAsia="zh-CN" w:bidi="ar-SA"/>
        </w:rPr>
        <w:t xml:space="preserve">使用单位安全管理状况（共计15分）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1、管理机构和管理制度（共计4分，扣完为止）</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1.1</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未按要求排查特种设备安全管理机构、安全管理人员情况，每发现一次扣1分；排查特种设备安全管理机构、安全管理人员情况未发现不符合要求，每发现一项扣0.5分。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1.2</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未按要求排查特种设备安全管理制度和岗位安全责任制度；排查特种设备安全管理机构、安全管理人员情况未发现不符合要求，每发现一项扣0.5分。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1.3</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未按要求排查特种设备采取全寿命安全管理，并留存记录的，每发现一次扣1分。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1.4</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未按要求排查特种设备安全操作规程和发布实施情况的，每发现一次扣1分；排查特种设备安全操作规程和发布实施情况，未发现不符合要求的，每发现一项扣0.5分。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1.5</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未按要求排查特种设备事故应急专项预案制定、培训教育和演练情况的，每发现一项扣1分；排查发现不符合要求的，每发现一项扣0.5分。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2、特种设备档案管理（共计4分，扣完为止）</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2.1</w:t>
      </w:r>
      <w:r>
        <w:rPr>
          <w:rFonts w:hint="eastAsia" w:ascii="宋体" w:hAnsi="宋体" w:eastAsia="宋体" w:cs="宋体"/>
          <w:color w:val="000000"/>
          <w:spacing w:val="0"/>
          <w:sz w:val="24"/>
          <w:szCs w:val="24"/>
          <w:highlight w:val="none"/>
          <w:lang w:val="en-US" w:eastAsia="zh-CN" w:bidi="ar-SA"/>
        </w:rPr>
        <w:t xml:space="preserve">未按要求排查特种设备档案建立情况的，每发现一次扣1分；排查未发现不符合要求的，每发现一项扣0.5分。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37"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2.2</w:t>
      </w:r>
      <w:r>
        <w:rPr>
          <w:rFonts w:hint="eastAsia" w:ascii="宋体" w:hAnsi="宋体" w:eastAsia="宋体" w:cs="宋体"/>
          <w:color w:val="000000"/>
          <w:spacing w:val="0"/>
          <w:sz w:val="24"/>
          <w:szCs w:val="24"/>
          <w:highlight w:val="none"/>
          <w:lang w:val="en-US" w:eastAsia="zh-CN" w:bidi="ar-SA"/>
        </w:rPr>
        <w:t xml:space="preserve">未按要求排查特种设备检验台账情况的，每发现一次扣1分；排查未发现不符合要求的，每发现一项扣0.5分。未按照要求排查3吨以下起重机设备档案情况的，每发现一次扣1分；排查未发现不符合要求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37"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2.3</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未按要求排查特种设备安全附件和仪表台账情况的，每发现一次扣1分；排查未发现不符合要求的，每发现一项扣0.5分。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2.4</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未按要求排查特种设备进行日常维护保养或者定期自行检查情况的，每发现一次扣1分；排查未发现不符合要求的，每发现一项扣0.5分。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3、特种设备作业人员档案（共计2分，扣完为止）。</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3.1</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未按要求排查特种设备作业人员档案建立情况的，每发现一次扣1分；排查未发现不符合要求的，每发现一项扣0.5分。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3.2</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未按要求排查特种设备作业人员教育培训情况的，每发现一次扣1分；排查未发现不符合要求的，每发现一项扣0.5分。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4、安全管理主体责任落实（共计5分，扣完为止）</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4.1</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未按要求排查特种设备安全管理公示情况的，每发现一次扣1分；排查未发现公示情况与实际不符或弄虚作假的，每发现一项扣0.5分。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4.2</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未按要求排查特种设备安全管理责任逐级分解落实情况的，每发现一次扣1分；排查未发现与实际情况不符或存在弄虚作假的，每发现一项扣0.5分。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未按要求排查按照“三个必须”原则落实特种设备安全相关责任情况的，每发现一次扣1分；排查未发现与实际情况不符或存在弄虚作假的，每发现一项扣0.5分。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4.3</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未按要求排查因违反特种设备安全管理制度而被处理情况的，每发现一次扣1分；排查未发现与实际情况不符或存在弄虚作假的，每发现一项扣0.5分。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4.4</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未按要求排查特种设备安全异常情况处理的，每发现一次扣1分；排查未发现与实际情况不符或存在弄虚作假的，每发现一项扣0.5分。</w:t>
      </w:r>
      <w:r/>
    </w:p>
    <w:p>
      <w:pPr>
        <w:numPr>
          <w:ilvl w:val="1"/>
          <w:numId w:val="0"/>
        </w:numPr>
        <w:contextualSpacing/>
        <w:ind w:left="0" w:right="0" w:firstLine="474"/>
        <w:jc w:val="both"/>
        <w:keepLines w:val="0"/>
        <w:keepNext w:val="0"/>
        <w:pageBreakBefore w:val="0"/>
        <w:spacing w:before="0" w:line="480" w:lineRule="exact"/>
        <w:widowControl w:val="off"/>
        <w:tabs>
          <w:tab w:val="left" w:pos="1323"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zh-CN" w:eastAsia="zh-CN" w:bidi="zh-CN"/>
        </w:rPr>
        <w:t xml:space="preserve">4.5</w:t>
      </w:r>
      <w:r>
        <w:rPr>
          <w:rFonts w:hint="eastAsia" w:ascii="宋体" w:hAnsi="宋体" w:eastAsia="宋体" w:cs="宋体"/>
          <w:color w:val="000000"/>
          <w:spacing w:val="0"/>
          <w:sz w:val="24"/>
          <w:szCs w:val="24"/>
          <w:highlight w:val="none"/>
          <w:lang w:val="en-US" w:eastAsia="zh-CN" w:bidi="zh-CN"/>
        </w:rPr>
        <w:t xml:space="preserve"> </w:t>
      </w:r>
      <w:r>
        <w:rPr>
          <w:rFonts w:hint="eastAsia" w:ascii="宋体" w:hAnsi="宋体" w:eastAsia="宋体" w:cs="宋体"/>
          <w:color w:val="000000"/>
          <w:spacing w:val="0"/>
          <w:sz w:val="24"/>
          <w:szCs w:val="24"/>
          <w:highlight w:val="none"/>
          <w:lang w:val="en-US" w:eastAsia="zh-CN" w:bidi="ar-SA"/>
        </w:rPr>
        <w:t xml:space="preserve">未按要求排查特种设备安全事件处理情况的，每发现一次扣1分；排查未发现不按“四不放过”原则严格依规处理的，每发现一项扣0.5分。</w:t>
      </w:r>
      <w:r/>
    </w:p>
    <w:p>
      <w:pPr>
        <w:ind w:firstLine="480"/>
        <w:keepLines w:val="0"/>
        <w:keepNext w:val="0"/>
        <w:pageBreakBefore w:val="0"/>
        <w:spacing w:line="48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现场管理状况（共计35分，扣完为止）</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1、未按照使用单位实际情况对特种设备开展现场管理状况排查的，每发现少一类扣10分。</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2、现场抽查设备台数过少的，每发现少抽1台扣2分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（每类设备小于5台的全部抽查，每类设备6-20台的至少</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抽查5台，每类设备大于20台的至少抽查10台）。</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3、未按照要求开展现场抽查设备检查的，每少一项扣3分；排查情况与实际情况不符或存在弄虚作假的，每发现一项扣1分。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4、未按安全技术规范、强制安全标准和《特种设备安全隐患排查推荐内容》进行排查的，每发现一项扣3分；排</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查未发现与实际情况不符或存在弄虚作假情况的，每发现一项扣1分。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5、未对现场违章作业情况进行排查的，每发现一次扣5分；排查不深入未发现明显存在的重大违章作业情况或存在弄虚作假情况的，每发现一项扣3分。</w:t>
      </w:r>
      <w:r/>
    </w:p>
    <w:p>
      <w:pPr>
        <w:ind w:left="0" w:right="0" w:firstLine="480"/>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6、对现场重大违规违法行为不及时通知监管部门的，每发现一次扣5分；排查不仔细和履职不到位造成漏报、迟报（发现后5个工作日内未通知）的，每发现一次扣5分。</w:t>
      </w:r>
      <w:r/>
    </w:p>
    <w:p>
      <w:pPr>
        <w:ind w:left="0" w:right="0" w:firstLine="480"/>
        <w:keepLines w:val="0"/>
        <w:keepNext w:val="0"/>
        <w:pageBreakBefore w:val="0"/>
        <w:spacing w:before="0" w:after="0" w:line="480" w:lineRule="exact"/>
        <w:widowControl w:val="off"/>
        <w:rPr>
          <w:rFonts w:hint="eastAsia" w:ascii="宋体" w:hAnsi="宋体" w:eastAsia="宋体" w:cs="宋体"/>
          <w:b/>
          <w:color w:val="000000"/>
          <w:spacing w:val="0"/>
          <w:sz w:val="24"/>
          <w:szCs w:val="24"/>
          <w:highlight w:val="none"/>
          <w:lang w:val="en-US" w:eastAsia="zh-CN" w:bidi="ar-SA"/>
        </w:rPr>
        <w:outlineLvl w:val="0"/>
      </w:pPr>
      <w:r>
        <w:rPr>
          <w:rFonts w:hint="eastAsia" w:ascii="宋体" w:hAnsi="宋体" w:eastAsia="宋体" w:cs="宋体"/>
          <w:color w:val="000000"/>
          <w:spacing w:val="0"/>
          <w:sz w:val="24"/>
          <w:szCs w:val="24"/>
          <w:highlight w:val="none"/>
          <w:lang w:val="en-US" w:eastAsia="zh-CN" w:bidi="ar-SA"/>
        </w:rPr>
        <w:t xml:space="preserve">管理提升状况（共计15分，每发现一项加1分，满分</w:t>
      </w:r>
      <w:r>
        <w:rPr>
          <w:rFonts w:hint="eastAsia" w:ascii="宋体" w:hAnsi="宋体" w:eastAsia="宋体" w:cs="宋体"/>
          <w:b/>
          <w:color w:val="000000"/>
          <w:spacing w:val="0"/>
          <w:sz w:val="24"/>
          <w:szCs w:val="24"/>
          <w:highlight w:val="none"/>
          <w:lang w:val="en-US" w:eastAsia="zh-CN" w:bidi="ar-SA"/>
        </w:rPr>
        <w:t xml:space="preserve">15分）</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1、特种设备本身设计、制造、安装存在安全风险和隐患。</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2、特种设备受周围环境因素或其他设备设施影响存在风险和隐患。</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3、由于认识不到位或者管理缺陷，对违章作业习以为常而产生的风险和隐患。</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4、由于历史原因和现场实际情况限制，对特种设备产生的风险和隐患。</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5、未认真吸取同类事故教训，相同的风险和隐患未及时彻底整改。</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6、安全操作规程与实际情况不符，存在事故风险和隐患。</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7、专项应急预案由于编写不清、信息不准确、未开展培训演练等因素，致使无法发挥实效。</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8、由于管理能力不足，导致特种设备管理未覆盖全部特种设备，存在部分特种设备未纳入管理、安全附件未校验、安全仪表未检定、现场设置不合理不规范等风险和隐患</w:t>
      </w:r>
      <w:r/>
    </w:p>
    <w:p>
      <w:pPr>
        <w:ind w:left="0" w:right="0" w:firstLine="482"/>
        <w:jc w:val="left"/>
        <w:keepLines w:val="0"/>
        <w:keepNext w:val="0"/>
        <w:pageBreakBefore w:val="0"/>
        <w:spacing w:before="0" w:line="480" w:lineRule="exact"/>
        <w:widowControl w:val="off"/>
        <w:rPr>
          <w:rFonts w:hint="eastAsia" w:ascii="宋体" w:hAnsi="宋体" w:eastAsia="宋体" w:cs="宋体"/>
          <w:color w:val="000000"/>
          <w:spacing w:val="0"/>
          <w:sz w:val="24"/>
          <w:szCs w:val="24"/>
          <w:highlight w:val="none"/>
        </w:rPr>
      </w:pPr>
      <w:r>
        <w:rPr>
          <w:rFonts w:hint="eastAsia" w:ascii="宋体" w:hAnsi="宋体" w:eastAsia="宋体" w:cs="宋体"/>
          <w:b/>
          <w:color w:val="000000"/>
          <w:spacing w:val="0"/>
          <w:sz w:val="24"/>
          <w:szCs w:val="24"/>
          <w:highlight w:val="none"/>
        </w:rPr>
        <w:t xml:space="preserve">第十二条 </w:t>
      </w:r>
      <w:r>
        <w:rPr>
          <w:rFonts w:hint="eastAsia" w:ascii="宋体" w:hAnsi="宋体" w:eastAsia="宋体" w:cs="宋体"/>
          <w:color w:val="000000"/>
          <w:spacing w:val="0"/>
          <w:sz w:val="24"/>
          <w:szCs w:val="24"/>
          <w:highlight w:val="none"/>
        </w:rPr>
        <w:t xml:space="preserve">《隐患排查报告》的内容情况评分标准。</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1、《隐患排查报告》内容未填写依据法律法规和规范标准的，每家企业扣2分；无整改建议的措施的，每家企业扣2分；共计5分，扣完为止。</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2、《隐患排查报告》未附有呈现安全隐患状况的图片的，每家企业扣2分；未对图片进行相应的文字说明的，每家企业扣2分；共计5分，扣完为止。</w:t>
      </w:r>
      <w:r/>
    </w:p>
    <w:p>
      <w:pPr>
        <w:ind w:left="0" w:right="0" w:firstLine="456"/>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3、《隐患排查报告》中没有企业基本情况和安全管理人员及联系电话的，每家企业扣2分；没有专家签字的，每家企业扣2分；没有安全技术服务机构盖章，每家企业扣1分；共计5分，扣完为止。</w:t>
      </w:r>
      <w:r/>
    </w:p>
    <w:p>
      <w:pPr>
        <w:ind w:left="0" w:right="0" w:firstLine="0"/>
        <w:jc w:val="center"/>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outlineLvl w:val="0"/>
      </w:pPr>
      <w:r>
        <w:rPr>
          <w:rFonts w:hint="eastAsia" w:ascii="宋体" w:hAnsi="宋体" w:eastAsia="宋体" w:cs="宋体"/>
          <w:color w:val="000000"/>
          <w:spacing w:val="0"/>
          <w:sz w:val="24"/>
          <w:szCs w:val="24"/>
          <w:highlight w:val="none"/>
          <w:lang w:val="zh-CN" w:eastAsia="zh-CN" w:bidi="ar-SA"/>
        </w:rPr>
        <w:t xml:space="preserve">第六章</w:t>
      </w:r>
      <w:r>
        <w:rPr>
          <w:rFonts w:hint="eastAsia" w:ascii="宋体" w:hAnsi="宋体" w:eastAsia="宋体" w:cs="宋体"/>
          <w:color w:val="000000"/>
          <w:spacing w:val="0"/>
          <w:sz w:val="24"/>
          <w:szCs w:val="24"/>
          <w:highlight w:val="none"/>
          <w:lang w:val="en-US" w:eastAsia="zh-CN" w:bidi="ar-SA"/>
        </w:rPr>
        <w:t xml:space="preserve"> </w:t>
      </w:r>
      <w:r>
        <w:rPr>
          <w:rFonts w:hint="eastAsia" w:ascii="宋体" w:hAnsi="宋体" w:eastAsia="宋体" w:cs="宋体"/>
          <w:color w:val="000000"/>
          <w:spacing w:val="0"/>
          <w:sz w:val="24"/>
          <w:szCs w:val="24"/>
          <w:highlight w:val="none"/>
          <w:lang w:val="zh-CN" w:eastAsia="zh-CN" w:bidi="ar-SA"/>
        </w:rPr>
        <w:t xml:space="preserve">罚</w:t>
      </w:r>
      <w:r>
        <w:rPr>
          <w:rFonts w:hint="eastAsia" w:ascii="宋体" w:hAnsi="宋体" w:eastAsia="宋体" w:cs="宋体"/>
          <w:color w:val="000000"/>
          <w:spacing w:val="0"/>
          <w:sz w:val="24"/>
          <w:szCs w:val="24"/>
          <w:highlight w:val="none"/>
          <w:lang w:val="en-US" w:eastAsia="zh-CN" w:bidi="ar-SA"/>
        </w:rPr>
        <w:t xml:space="preserve"> 则</w:t>
      </w:r>
      <w:r/>
    </w:p>
    <w:p>
      <w:pPr>
        <w:ind w:left="0" w:right="0" w:firstLine="482"/>
        <w:jc w:val="left"/>
        <w:keepLines w:val="0"/>
        <w:keepNext w:val="0"/>
        <w:pageBreakBefore w:val="0"/>
        <w:spacing w:before="0" w:after="0" w:line="480" w:lineRule="exact"/>
        <w:widowControl w:val="off"/>
        <w:rPr>
          <w:rFonts w:hint="default"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第十三条 </w:t>
      </w:r>
      <w:r>
        <w:rPr>
          <w:rFonts w:hint="eastAsia" w:ascii="宋体" w:hAnsi="宋体" w:eastAsia="宋体" w:cs="宋体"/>
          <w:color w:val="000000"/>
          <w:spacing w:val="0"/>
          <w:sz w:val="24"/>
          <w:szCs w:val="24"/>
          <w:highlight w:val="none"/>
          <w:lang w:val="en-US" w:eastAsia="zh-CN" w:bidi="ar-SA"/>
        </w:rPr>
        <w:t xml:space="preserve">根据考核结果，开发区市场监管局将向安全技术服务机构支付服务费用。具体考核标准为：总分达85分及以上者为考核合格，依据合同文件有关规定,支付100%的剩余合同款（剩余合同款为总合同款的70%）；总分达为70分-85分者，先支付50%的剩余合同款，要求限期整改，整改直至验收合格后，再支付50%的剩余合同款；70分以下者，不支付剩余合同款，要求限期整改，整改直至验收合格后，支付100%进度剩余合同款。如若合同期限内未完成甲方考核要求，按上述标准扣除相应的剩余合同款。</w:t>
      </w:r>
      <w:r/>
    </w:p>
    <w:p>
      <w:pPr>
        <w:ind w:left="0" w:right="0" w:firstLine="482"/>
        <w:jc w:val="left"/>
        <w:keepLines w:val="0"/>
        <w:keepNext w:val="0"/>
        <w:pageBreakBefore w:val="0"/>
        <w:spacing w:before="0" w:after="0" w:line="480" w:lineRule="exact"/>
        <w:widowControl w:val="off"/>
        <w:tabs>
          <w:tab w:val="left" w:pos="2109"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第十四条 </w:t>
      </w:r>
      <w:r>
        <w:rPr>
          <w:rFonts w:hint="eastAsia" w:ascii="宋体" w:hAnsi="宋体" w:eastAsia="宋体" w:cs="宋体"/>
          <w:color w:val="000000"/>
          <w:spacing w:val="0"/>
          <w:sz w:val="24"/>
          <w:szCs w:val="24"/>
          <w:highlight w:val="none"/>
          <w:lang w:val="en-US" w:eastAsia="zh-CN" w:bidi="ar-SA"/>
        </w:rPr>
        <w:t xml:space="preserve">安全技术服务机构应按照合同要求的时限内完成安全隐患排查工作或未按照合同要求次数完成隐患排查工作，未按照合同要求对被排查单位开展检查的（被排查单位有特殊情况除外），每发现一家/次扣5分。如因安全技术服务机构原因未完成，将依照合同规定扣减服务费用。按照未完成隐患排查企业个数占总合同内企业数比例从合同额中扣除相应合同金额。</w:t>
      </w:r>
      <w:r/>
    </w:p>
    <w:p>
      <w:pPr>
        <w:ind w:left="0" w:right="0" w:firstLine="482"/>
        <w:jc w:val="left"/>
        <w:keepLines w:val="0"/>
        <w:keepNext w:val="0"/>
        <w:pageBreakBefore w:val="0"/>
        <w:spacing w:before="0" w:after="0" w:line="480" w:lineRule="exact"/>
        <w:widowControl w:val="off"/>
        <w:tabs>
          <w:tab w:val="left" w:pos="2109" w:leader="none"/>
        </w:tabs>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第十五 </w:t>
      </w:r>
      <w:r>
        <w:rPr>
          <w:rFonts w:hint="eastAsia" w:ascii="宋体" w:hAnsi="宋体" w:eastAsia="宋体" w:cs="宋体"/>
          <w:color w:val="000000"/>
          <w:spacing w:val="0"/>
          <w:sz w:val="24"/>
          <w:szCs w:val="24"/>
          <w:highlight w:val="none"/>
          <w:lang w:val="en-US" w:eastAsia="zh-CN" w:bidi="ar-SA"/>
        </w:rPr>
        <w:t xml:space="preserve">安全技术服务机构在技术服务过程中因未认真履行职责、检查不到位，造成已排查企业发生特种设备安全事故的，将依照合同规定扣除相关费用，并追究相关责任；如被排查企业未按安全隐患排查报告要求整改或因企业违章等原因造成生产安全事故等不属于安全技术服务机构责任。</w:t>
      </w:r>
      <w:r/>
    </w:p>
    <w:p>
      <w:pPr>
        <w:ind w:left="0" w:right="0" w:firstLine="0"/>
        <w:jc w:val="center"/>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zh-CN" w:eastAsia="zh-CN" w:bidi="ar-SA"/>
        </w:rPr>
        <w:outlineLvl w:val="0"/>
      </w:pPr>
      <w:r>
        <w:rPr>
          <w:rFonts w:hint="eastAsia" w:ascii="宋体" w:hAnsi="宋体" w:eastAsia="宋体" w:cs="宋体"/>
          <w:color w:val="000000"/>
          <w:spacing w:val="0"/>
          <w:sz w:val="24"/>
          <w:szCs w:val="24"/>
          <w:highlight w:val="none"/>
          <w:lang w:val="zh-CN" w:eastAsia="zh-CN" w:bidi="ar-SA"/>
        </w:rPr>
        <w:t xml:space="preserve">第七章</w:t>
      </w:r>
      <w:r>
        <w:rPr>
          <w:rFonts w:hint="eastAsia" w:ascii="宋体" w:hAnsi="宋体" w:eastAsia="宋体" w:cs="宋体"/>
          <w:color w:val="000000"/>
          <w:spacing w:val="0"/>
          <w:sz w:val="24"/>
          <w:szCs w:val="24"/>
          <w:highlight w:val="none"/>
          <w:lang w:val="en-US" w:eastAsia="zh-CN" w:bidi="ar-SA"/>
        </w:rPr>
        <w:t xml:space="preserve"> </w:t>
      </w:r>
      <w:r>
        <w:rPr>
          <w:rFonts w:hint="eastAsia" w:ascii="宋体" w:hAnsi="宋体" w:eastAsia="宋体" w:cs="宋体"/>
          <w:color w:val="000000"/>
          <w:spacing w:val="0"/>
          <w:sz w:val="24"/>
          <w:szCs w:val="24"/>
          <w:highlight w:val="none"/>
          <w:lang w:val="zh-CN" w:eastAsia="zh-CN" w:bidi="ar-SA"/>
        </w:rPr>
        <w:t xml:space="preserve">附</w:t>
      </w:r>
      <w:r>
        <w:rPr>
          <w:rFonts w:hint="eastAsia" w:ascii="宋体" w:hAnsi="宋体" w:eastAsia="宋体" w:cs="宋体"/>
          <w:color w:val="000000"/>
          <w:spacing w:val="0"/>
          <w:sz w:val="24"/>
          <w:szCs w:val="24"/>
          <w:highlight w:val="none"/>
          <w:lang w:val="en-US" w:eastAsia="zh-CN" w:bidi="ar-SA"/>
        </w:rPr>
        <w:t xml:space="preserve"> </w:t>
      </w:r>
      <w:r>
        <w:rPr>
          <w:rFonts w:hint="eastAsia" w:ascii="宋体" w:hAnsi="宋体" w:eastAsia="宋体" w:cs="宋体"/>
          <w:color w:val="000000"/>
          <w:spacing w:val="0"/>
          <w:sz w:val="24"/>
          <w:szCs w:val="24"/>
          <w:highlight w:val="none"/>
          <w:lang w:val="zh-CN" w:eastAsia="zh-CN" w:bidi="ar-SA"/>
        </w:rPr>
        <w:t xml:space="preserve">则</w:t>
      </w:r>
      <w:r/>
    </w:p>
    <w:p>
      <w:pPr>
        <w:ind w:left="0" w:right="0" w:firstLine="458"/>
        <w:jc w:val="left"/>
        <w:keepLines w:val="0"/>
        <w:keepNext w:val="0"/>
        <w:pageBreakBefore w:val="0"/>
        <w:spacing w:before="0" w:after="0" w:line="480" w:lineRule="exact"/>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第十六条 </w:t>
      </w:r>
      <w:r>
        <w:rPr>
          <w:rFonts w:hint="eastAsia" w:ascii="宋体" w:hAnsi="宋体" w:eastAsia="宋体" w:cs="宋体"/>
          <w:color w:val="000000"/>
          <w:spacing w:val="0"/>
          <w:sz w:val="24"/>
          <w:szCs w:val="24"/>
          <w:highlight w:val="none"/>
          <w:lang w:val="en-US" w:eastAsia="zh-CN" w:bidi="ar-SA"/>
        </w:rPr>
        <w:t xml:space="preserve">本办法由徐州经济技术开发区市场监督管理局负责解释。</w:t>
      </w:r>
      <w:r/>
    </w:p>
    <w:p>
      <w:pPr>
        <w:ind w:left="0" w:right="0" w:firstLine="482"/>
        <w:jc w:val="left"/>
        <w:keepLines w:val="0"/>
        <w:keepNext w:val="0"/>
        <w:pageBreakBefore w:val="0"/>
        <w:spacing w:before="0" w:line="240" w:lineRule="auto"/>
        <w:widowControl w:val="off"/>
        <w:tabs>
          <w:tab w:val="left" w:pos="2363" w:leader="none"/>
        </w:tabs>
        <w:rPr>
          <w:rFonts w:hint="default" w:ascii="Times New Roman" w:hAnsi="Times New Roman" w:eastAsia="仿宋" w:cs="Times New Roman"/>
          <w:color w:val="auto"/>
          <w:spacing w:val="0"/>
          <w:sz w:val="24"/>
          <w:szCs w:val="24"/>
          <w:highlight w:val="none"/>
        </w:rPr>
      </w:pPr>
      <w:r>
        <w:rPr>
          <w:rFonts w:hint="eastAsia" w:ascii="宋体" w:hAnsi="宋体" w:eastAsia="宋体" w:cs="宋体"/>
          <w:b/>
          <w:color w:val="000000"/>
          <w:spacing w:val="0"/>
          <w:sz w:val="24"/>
          <w:szCs w:val="24"/>
          <w:highlight w:val="none"/>
        </w:rPr>
        <w:t xml:space="preserve">第十七条</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本办法自发布之日起执行。</w:t>
      </w:r>
      <w:r/>
    </w:p>
    <w:p>
      <w:pPr>
        <w:rPr>
          <w:rFonts w:hint="default" w:ascii="Times New Roman" w:hAnsi="Times New Roman" w:eastAsia="仿宋" w:cs="Times New Roman"/>
          <w:color w:val="auto"/>
          <w:spacing w:val="0"/>
          <w:highlight w:val="none"/>
          <w:lang w:val="en-US"/>
        </w:rPr>
      </w:pPr>
      <w:r>
        <w:rPr>
          <w:rFonts w:hint="default" w:ascii="Times New Roman" w:hAnsi="Times New Roman" w:eastAsia="仿宋" w:cs="Times New Roman"/>
          <w:color w:val="auto"/>
          <w:spacing w:val="0"/>
          <w:highlight w:val="none"/>
          <w:lang w:val="en-US"/>
        </w:rPr>
      </w:r>
      <w:r/>
    </w:p>
    <w:p>
      <w:pPr>
        <w:rPr>
          <w:color w:val="auto"/>
          <w:highlight w:val="none"/>
        </w:rPr>
      </w:pPr>
      <w:r>
        <w:rPr>
          <w:color w:val="auto"/>
          <w:highlight w:val="none"/>
        </w:rPr>
      </w:r>
      <w:r/>
    </w:p>
    <w:p>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clear="all"/>
      </w:r>
      <w:r/>
    </w:p>
    <w:p>
      <w:pPr>
        <w:jc w:val="center"/>
        <w:rPr>
          <w:rFonts w:ascii="宋体" w:hAnsi="宋体" w:cs="宋体"/>
          <w:color w:val="auto"/>
          <w:sz w:val="24"/>
          <w:szCs w:val="24"/>
          <w:highlight w:val="none"/>
        </w:rPr>
      </w:pPr>
      <w:r>
        <w:rPr>
          <w:rFonts w:hint="eastAsia" w:asciiTheme="minorEastAsia" w:hAnsiTheme="minorEastAsia" w:eastAsiaTheme="minorEastAsia" w:cstheme="minorEastAsia"/>
          <w:b/>
          <w:color w:val="auto"/>
          <w:sz w:val="36"/>
          <w:highlight w:val="none"/>
        </w:rPr>
        <w:t xml:space="preserve">7.承诺书</w:t>
      </w:r>
      <w:r/>
    </w:p>
    <w:p>
      <w:pPr>
        <w:pStyle w:val="918"/>
        <w:jc w:val="center"/>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致</w:t>
      </w:r>
      <w:r>
        <w:rPr>
          <w:rFonts w:hint="eastAsia" w:asciiTheme="minorEastAsia" w:hAnsiTheme="minorEastAsia" w:eastAsiaTheme="minorEastAsia" w:cstheme="minorEastAsia"/>
          <w:color w:val="auto"/>
          <w:sz w:val="24"/>
          <w:highlight w:val="none"/>
          <w:lang w:eastAsia="zh-CN"/>
        </w:rPr>
        <w:t xml:space="preserve">江苏誉尔威建筑咨询有限公司</w:t>
      </w:r>
      <w:r>
        <w:rPr>
          <w:rFonts w:hint="eastAsia" w:asciiTheme="minorEastAsia" w:hAnsiTheme="minorEastAsia" w:eastAsiaTheme="minorEastAsia" w:cstheme="minorEastAsia"/>
          <w:color w:val="auto"/>
          <w:sz w:val="24"/>
          <w:highlight w:val="none"/>
        </w:rPr>
        <w:t xml:space="preserve">：</w:t>
      </w:r>
      <w:r/>
    </w:p>
    <w:p>
      <w:pPr>
        <w:pStyle w:val="918"/>
        <w:ind w:right="29" w:firstLine="480"/>
        <w:rPr>
          <w:rFonts w:ascii="宋体" w:hAnsi="宋体" w:cs="宋体"/>
          <w:color w:val="auto"/>
          <w:sz w:val="24"/>
          <w:highlight w:val="none"/>
        </w:rPr>
      </w:pPr>
      <w:r>
        <w:rPr>
          <w:rFonts w:ascii="宋体" w:hAnsi="宋体" w:cs="宋体"/>
          <w:color w:val="auto"/>
          <w:sz w:val="24"/>
          <w:highlight w:val="none"/>
        </w:rPr>
      </w:r>
      <w:r/>
    </w:p>
    <w:p>
      <w:pPr>
        <w:pStyle w:val="1177"/>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根据贵方《</w:t>
      </w:r>
      <w:r>
        <w:rPr>
          <w:rFonts w:hint="eastAsia" w:asciiTheme="minorEastAsia" w:hAnsiTheme="minorEastAsia" w:eastAsiaTheme="minorEastAsia" w:cstheme="minorEastAsia"/>
          <w:bCs/>
          <w:color w:val="auto"/>
          <w:sz w:val="24"/>
          <w:highlight w:val="none"/>
        </w:rPr>
        <w:t xml:space="preserve">磋商文件</w:t>
      </w: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rPr>
          <w:rFonts w:hint="eastAsia" w:asciiTheme="minorEastAsia" w:hAnsiTheme="minorEastAsia" w:eastAsiaTheme="minorEastAsia" w:cstheme="minorEastAsia"/>
          <w:color w:val="auto"/>
          <w:sz w:val="24"/>
          <w:highlight w:val="none"/>
        </w:rPr>
        <w:t xml:space="preserve">）要求，本供应商正式提交以下首次响应文件。</w:t>
      </w:r>
      <w:r/>
    </w:p>
    <w:p>
      <w:pPr>
        <w:pStyle w:val="1177"/>
        <w:ind w:firstLine="480"/>
        <w:spacing w:line="0" w:lineRule="atLeast"/>
        <w:rPr>
          <w:rFonts w:ascii="宋体" w:hAnsi="宋体" w:cs="宋体"/>
          <w:color w:val="auto"/>
          <w:sz w:val="24"/>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highlight w:val="none"/>
        </w:rPr>
        <w:t xml:space="preserve">（1）承诺书； </w:t>
      </w:r>
      <w:r/>
    </w:p>
    <w:p>
      <w:pPr>
        <w:pStyle w:val="1177"/>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（2）磋商报价表； </w:t>
      </w:r>
      <w:r/>
    </w:p>
    <w:p>
      <w:pPr>
        <w:pStyle w:val="1177"/>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（3）分项价格表；</w:t>
      </w:r>
      <w:r/>
    </w:p>
    <w:p>
      <w:pPr>
        <w:pStyle w:val="1177"/>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（4）磋商</w:t>
      </w:r>
      <w:r>
        <w:rPr>
          <w:rFonts w:hint="eastAsia" w:asciiTheme="minorEastAsia" w:hAnsiTheme="minorEastAsia" w:eastAsiaTheme="minorEastAsia" w:cstheme="minorEastAsia"/>
          <w:bCs/>
          <w:color w:val="auto"/>
          <w:sz w:val="24"/>
          <w:highlight w:val="none"/>
        </w:rPr>
        <w:t xml:space="preserve">文件</w:t>
      </w:r>
      <w:r>
        <w:rPr>
          <w:rFonts w:hint="eastAsia" w:asciiTheme="minorEastAsia" w:hAnsiTheme="minorEastAsia" w:eastAsiaTheme="minorEastAsia" w:cstheme="minorEastAsia"/>
          <w:color w:val="auto"/>
          <w:sz w:val="24"/>
          <w:highlight w:val="none"/>
        </w:rPr>
        <w:t xml:space="preserve">要求提供的其他响应文件。</w:t>
      </w:r>
      <w:r/>
    </w:p>
    <w:p>
      <w:pPr>
        <w:pStyle w:val="1177"/>
        <w:ind w:firstLine="482"/>
        <w:rPr>
          <w:rFonts w:ascii="宋体" w:hAnsi="宋体" w:cs="宋体"/>
          <w:color w:val="auto"/>
          <w:sz w:val="24"/>
          <w:highlight w:val="none"/>
        </w:rPr>
      </w:pPr>
      <w:r>
        <w:rPr>
          <w:rFonts w:ascii="宋体" w:hAnsi="宋体" w:cs="宋体"/>
          <w:color w:val="auto"/>
          <w:sz w:val="24"/>
          <w:highlight w:val="none"/>
        </w:rPr>
      </w:r>
      <w:r/>
    </w:p>
    <w:p>
      <w:pPr>
        <w:pStyle w:val="1177"/>
        <w:ind w:firstLine="4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我单位符合《中华人民共和国政府采购法》第二十二条的规定，符合本项目供应商资格要求。</w:t>
      </w:r>
      <w:r/>
    </w:p>
    <w:p>
      <w:pPr>
        <w:pStyle w:val="1177"/>
        <w:ind w:firstLine="4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我单位按照磋商文件的要求编制响应文件，并对其提交的响应文件的真实性、合法性承担法律责任。</w:t>
      </w:r>
      <w:r/>
    </w:p>
    <w:p>
      <w:pPr>
        <w:pStyle w:val="1177"/>
        <w:ind w:firstLine="480"/>
        <w:spacing w:line="0" w:lineRule="atLeast"/>
        <w:rPr>
          <w:rFonts w:ascii="宋体" w:hAnsi="宋体" w:cs="宋体"/>
          <w:color w:val="auto"/>
          <w:sz w:val="24"/>
          <w:highlight w:val="none"/>
        </w:rPr>
      </w:pPr>
      <w:r>
        <w:rPr>
          <w:rFonts w:ascii="宋体" w:hAnsi="宋体" w:cs="宋体"/>
          <w:color w:val="auto"/>
          <w:sz w:val="24"/>
          <w:highlight w:val="none"/>
        </w:rPr>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供应商兹宣布同意如下: </w:t>
      </w:r>
      <w:r/>
    </w:p>
    <w:p>
      <w:pPr>
        <w:pStyle w:val="1177"/>
        <w:ind w:firstLine="480"/>
        <w:spacing w:line="0" w:lineRule="atLeast"/>
        <w:rPr>
          <w:rFonts w:ascii="宋体" w:hAnsi="宋体" w:cs="宋体"/>
          <w:color w:val="auto"/>
          <w:sz w:val="24"/>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296545</wp:posOffset>
                </wp:positionV>
                <wp:extent cx="635" cy="0"/>
                <wp:effectExtent l="0" t="0" r="0" b="0"/>
                <wp:wrapNone/>
                <wp:docPr id="7"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3pt" to="246.8pt,23.3pt" fillcolor="#FFFFFF" strokecolor="#000000"/>
            </w:pict>
          </mc:Fallback>
        </mc:AlternateContent>
      </w: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593725</wp:posOffset>
                </wp:positionV>
                <wp:extent cx="635" cy="0"/>
                <wp:effectExtent l="0" t="0" r="0" b="0"/>
                <wp:wrapNone/>
                <wp:docPr id="8"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highlight w:val="none"/>
        </w:rPr>
        <w:t xml:space="preserve">一、完全承担根据《磋商文件》规定完成合同的责任和义务（如有偏离，将全部填写在偏离表中）。</w:t>
      </w:r>
      <w:r/>
    </w:p>
    <w:p>
      <w:pPr>
        <w:pStyle w:val="1177"/>
        <w:ind w:firstLine="480"/>
        <w:spacing w:line="0" w:lineRule="atLeast"/>
        <w:rPr>
          <w:rFonts w:ascii="宋体" w:hAnsi="宋体" w:cs="宋体"/>
          <w:color w:val="auto"/>
          <w:sz w:val="24"/>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9"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9.4pt" to="210.1pt,19.4pt" fillcolor="#FFFFFF" strokecolor="#000000"/>
            </w:pict>
          </mc:Fallback>
        </mc:AlternateContent>
      </w: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0"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4pt" to="210.1pt,19.4pt" fillcolor="#FFFFFF" strokecolor="#000000"/>
            </w:pict>
          </mc:Fallback>
        </mc:AlternateContent>
      </w:r>
      <w:r>
        <w:rPr>
          <w:rFonts w:hint="eastAsia" w:asciiTheme="minorEastAsia" w:hAnsiTheme="minorEastAsia" w:eastAsiaTheme="minorEastAsia" w:cstheme="minorEastAsia"/>
          <w:color w:val="auto"/>
          <w:sz w:val="24"/>
          <w:highlight w:val="none"/>
        </w:rPr>
        <w:t xml:space="preserve">二、保证所提供的响应文件及所有材料的真实、合法、有效，并对其负责。</w:t>
      </w:r>
      <w:r/>
    </w:p>
    <w:p>
      <w:pPr>
        <w:pStyle w:val="918"/>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三、已详细审核竞争性磋商文件（含竞争性磋商文件的澄清或者修改），本供应商完全理解并同意放弃对这方面不明及误解的权利。</w:t>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四、所供货物保证符合国家有关产品质量、性能和安全标准，无权利瑕疵。</w:t>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五、报价有效期为30个工作日。</w:t>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六、同意向贵方提供贵方可能要求的与本次磋商采购有关的任何证据或资料。</w:t>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七、完全理解贵方不一定要接受最低的报价或收到的任何报价。</w:t>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八、</w:t>
      </w:r>
      <w:r>
        <w:rPr>
          <w:rFonts w:hint="eastAsia" w:asciiTheme="minorEastAsia" w:hAnsiTheme="minorEastAsia" w:eastAsiaTheme="minorEastAsia" w:cstheme="minorEastAsia"/>
          <w:color w:val="auto"/>
          <w:sz w:val="24"/>
          <w:highlight w:val="none"/>
          <w:lang w:eastAsia="zh-CN"/>
        </w:rPr>
        <w:t xml:space="preserve">江苏誉尔威建筑咨询有限公司</w:t>
      </w:r>
      <w:r>
        <w:rPr>
          <w:rFonts w:hint="eastAsia" w:asciiTheme="minorEastAsia" w:hAnsiTheme="minorEastAsia" w:eastAsiaTheme="minorEastAsia" w:cstheme="minorEastAsia"/>
          <w:color w:val="auto"/>
          <w:sz w:val="24"/>
          <w:highlight w:val="none"/>
        </w:rPr>
        <w:t xml:space="preserve">有权将我单位本项目响应文件中的《磋商报价表》和《分项价格表》予以公示，公示的方式由</w:t>
      </w:r>
      <w:r>
        <w:rPr>
          <w:rFonts w:hint="eastAsia" w:asciiTheme="minorEastAsia" w:hAnsiTheme="minorEastAsia" w:eastAsiaTheme="minorEastAsia" w:cstheme="minorEastAsia"/>
          <w:color w:val="auto"/>
          <w:sz w:val="24"/>
          <w:highlight w:val="none"/>
          <w:lang w:eastAsia="zh-CN"/>
        </w:rPr>
        <w:t xml:space="preserve">江苏誉尔威建筑咨询有限公司</w:t>
      </w:r>
      <w:r>
        <w:rPr>
          <w:rFonts w:hint="eastAsia" w:asciiTheme="minorEastAsia" w:hAnsiTheme="minorEastAsia" w:eastAsiaTheme="minorEastAsia" w:cstheme="minorEastAsia"/>
          <w:color w:val="auto"/>
          <w:sz w:val="24"/>
          <w:highlight w:val="none"/>
        </w:rPr>
        <w:t xml:space="preserve">确定。如我单位被确定为中标、成交供应商，</w:t>
      </w:r>
      <w:r>
        <w:rPr>
          <w:rFonts w:hint="eastAsia" w:asciiTheme="minorEastAsia" w:hAnsiTheme="minorEastAsia" w:eastAsiaTheme="minorEastAsia" w:cstheme="minorEastAsia"/>
          <w:color w:val="auto"/>
          <w:sz w:val="24"/>
          <w:highlight w:val="none"/>
          <w:lang w:eastAsia="zh-CN"/>
        </w:rPr>
        <w:t xml:space="preserve">江苏誉尔威建筑咨询有限公司</w:t>
      </w:r>
      <w:r>
        <w:rPr>
          <w:rFonts w:hint="eastAsia" w:asciiTheme="minorEastAsia" w:hAnsiTheme="minorEastAsia" w:eastAsiaTheme="minorEastAsia" w:cstheme="minorEastAsia"/>
          <w:color w:val="auto"/>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18"/>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8"/>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供应商（电子签章）：</w:t>
      </w:r>
      <w:r/>
    </w:p>
    <w:p>
      <w:pPr>
        <w:pStyle w:val="918"/>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联系电话：</w:t>
      </w:r>
      <w:r/>
    </w:p>
    <w:p>
      <w:pPr>
        <w:pStyle w:val="918"/>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移动电话：</w:t>
      </w:r>
      <w:r/>
    </w:p>
    <w:p>
      <w:pPr>
        <w:pStyle w:val="918"/>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日期：</w:t>
      </w:r>
      <w:r/>
    </w:p>
    <w:p>
      <w:pPr>
        <w:pStyle w:val="918"/>
        <w:jc w:val="center"/>
        <w:rPr>
          <w:rFonts w:asciiTheme="minorEastAsia" w:hAnsiTheme="minorEastAsia" w:eastAsiaTheme="minorEastAsia" w:cstheme="minorEastAsia"/>
          <w:b/>
          <w:color w:val="auto"/>
          <w:sz w:val="36"/>
          <w:highlight w:val="none"/>
        </w:rPr>
      </w:pPr>
      <w:r>
        <w:rPr>
          <w:rFonts w:asciiTheme="minorEastAsia" w:hAnsiTheme="minorEastAsia" w:eastAsiaTheme="minorEastAsia" w:cstheme="minorEastAsia"/>
          <w:b/>
          <w:color w:val="auto"/>
          <w:sz w:val="36"/>
          <w:highlight w:val="none"/>
        </w:rPr>
      </w:r>
      <w:r/>
    </w:p>
    <w:p>
      <w:pPr>
        <w:pStyle w:val="918"/>
        <w:jc w:val="center"/>
        <w:rPr>
          <w:rFonts w:asciiTheme="minorEastAsia" w:hAnsiTheme="minorEastAsia" w:eastAsiaTheme="minorEastAsia" w:cstheme="minorEastAsia"/>
          <w:b/>
          <w:color w:val="auto"/>
          <w:sz w:val="36"/>
          <w:highlight w:val="none"/>
        </w:rPr>
      </w:pPr>
      <w:r>
        <w:rPr>
          <w:rFonts w:asciiTheme="minorEastAsia" w:hAnsiTheme="minorEastAsia" w:eastAsiaTheme="minorEastAsia" w:cstheme="minorEastAsia"/>
          <w:b/>
          <w:color w:val="auto"/>
          <w:sz w:val="36"/>
          <w:highlight w:val="none"/>
        </w:rPr>
      </w:r>
      <w:r/>
    </w:p>
    <w:p>
      <w:pPr>
        <w:pStyle w:val="918"/>
        <w:jc w:val="center"/>
        <w:rPr>
          <w:rFonts w:ascii="宋体" w:hAnsi="宋体" w:cs="宋体"/>
          <w:b/>
          <w:color w:val="auto"/>
          <w:sz w:val="36"/>
          <w:highlight w:val="none"/>
        </w:rPr>
      </w:pPr>
      <w:r>
        <w:rPr>
          <w:rFonts w:hint="eastAsia" w:asciiTheme="minorEastAsia" w:hAnsiTheme="minorEastAsia" w:eastAsiaTheme="minorEastAsia" w:cstheme="minorEastAsia"/>
          <w:b/>
          <w:color w:val="auto"/>
          <w:sz w:val="36"/>
          <w:highlight w:val="none"/>
        </w:rPr>
        <w:t xml:space="preserve">8.授权委托书</w:t>
      </w:r>
      <w:r/>
    </w:p>
    <w:p>
      <w:pPr>
        <w:pStyle w:val="918"/>
        <w:spacing w:line="500" w:lineRule="exact"/>
        <w:rPr>
          <w:rFonts w:ascii="宋体" w:hAnsi="宋体" w:cs="宋体"/>
          <w:color w:val="auto"/>
          <w:sz w:val="32"/>
          <w:highlight w:val="none"/>
        </w:rPr>
      </w:pPr>
      <w:r>
        <w:rPr>
          <w:rFonts w:ascii="宋体" w:hAnsi="宋体" w:cs="宋体"/>
          <w:color w:val="auto"/>
          <w:sz w:val="32"/>
          <w:highlight w:val="none"/>
        </w:rPr>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委托人（全称）：</w:t>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地  址：</w:t>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法定代表人：               </w:t>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统一社会信用代码：</w:t>
      </w:r>
      <w:r/>
    </w:p>
    <w:p>
      <w:pPr>
        <w:pStyle w:val="918"/>
        <w:spacing w:line="500" w:lineRule="exact"/>
        <w:rPr>
          <w:rFonts w:ascii="宋体" w:hAnsi="宋体" w:cs="宋体"/>
          <w:color w:val="auto"/>
          <w:sz w:val="24"/>
          <w:highlight w:val="none"/>
        </w:rPr>
      </w:pPr>
      <w:r>
        <w:rPr>
          <w:rFonts w:ascii="宋体" w:hAnsi="宋体" w:cs="宋体"/>
          <w:color w:val="auto"/>
          <w:sz w:val="24"/>
          <w:highlight w:val="none"/>
        </w:rPr>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受托人：                  先生（女士）</w:t>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身份证号：</w:t>
      </w:r>
      <w:r/>
    </w:p>
    <w:p>
      <w:pPr>
        <w:pStyle w:val="918"/>
        <w:jc w:val="center"/>
        <w:spacing w:line="0" w:lineRule="atLeast"/>
        <w:rPr>
          <w:rFonts w:ascii="宋体" w:hAnsi="宋体" w:cs="宋体"/>
          <w:color w:val="auto"/>
          <w:sz w:val="24"/>
          <w:highlight w:val="none"/>
        </w:rPr>
      </w:pPr>
      <w:r>
        <w:rPr>
          <w:rFonts w:ascii="宋体" w:hAnsi="宋体" w:cs="宋体"/>
          <w:color w:val="auto"/>
          <w:sz w:val="24"/>
          <w:highlight w:val="none"/>
        </w:rPr>
      </w:r>
      <w:r/>
    </w:p>
    <w:p>
      <w:pPr>
        <w:pStyle w:val="918"/>
        <w:spacing w:line="500" w:lineRule="exact"/>
        <w:rPr>
          <w:rFonts w:ascii="宋体" w:hAnsi="宋体" w:cs="宋体"/>
          <w:color w:val="auto"/>
          <w:sz w:val="24"/>
          <w:highlight w:val="none"/>
        </w:rPr>
      </w:pPr>
      <w:r>
        <w:rPr>
          <w:rFonts w:ascii="宋体" w:hAnsi="宋体" w:cs="宋体"/>
          <w:color w:val="auto"/>
          <w:sz w:val="24"/>
          <w:highlight w:val="none"/>
        </w:rPr>
      </w:r>
      <w:r/>
    </w:p>
    <w:p>
      <w:pPr>
        <w:pStyle w:val="918"/>
        <w:ind w:firstLine="630"/>
        <w:spacing w:line="36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兹委托（            ）全权代表我企业（公司）参与</w:t>
      </w:r>
      <w:r>
        <w:rPr>
          <w:rFonts w:hint="eastAsia" w:asciiTheme="minorEastAsia" w:hAnsiTheme="minorEastAsia" w:eastAsiaTheme="minorEastAsia" w:cstheme="minorEastAsia"/>
          <w:color w:val="auto"/>
          <w:sz w:val="24"/>
          <w:highlight w:val="none"/>
          <w:u w:val="single"/>
          <w:lang w:eastAsia="zh-CN"/>
        </w:rPr>
        <w:t xml:space="preserve">徐州经开区2026年特种设备安全生产隐患排查治理项目</w:t>
      </w: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rPr>
          <w:rFonts w:hint="eastAsia" w:asciiTheme="minorEastAsia" w:hAnsiTheme="minorEastAsia" w:eastAsiaTheme="minorEastAsia" w:cstheme="minorEastAsia"/>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18"/>
        <w:spacing w:line="360" w:lineRule="auto"/>
        <w:rPr>
          <w:rFonts w:ascii="宋体" w:hAnsi="宋体" w:cs="宋体"/>
          <w:color w:val="auto"/>
          <w:sz w:val="24"/>
          <w:highlight w:val="none"/>
        </w:rPr>
      </w:pPr>
      <w:r>
        <w:rPr>
          <w:rFonts w:ascii="宋体" w:hAnsi="宋体" w:cs="宋体"/>
          <w:color w:val="auto"/>
          <w:sz w:val="24"/>
          <w:highlight w:val="none"/>
        </w:rPr>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委托人（公章）：</w:t>
      </w:r>
      <w:r/>
    </w:p>
    <w:p>
      <w:pPr>
        <w:pStyle w:val="918"/>
        <w:spacing w:line="500" w:lineRule="exact"/>
        <w:rPr>
          <w:rFonts w:ascii="宋体" w:hAnsi="宋体" w:cs="宋体"/>
          <w:color w:val="auto"/>
          <w:sz w:val="24"/>
          <w:highlight w:val="none"/>
        </w:rPr>
      </w:pPr>
      <w:r>
        <w:rPr>
          <w:rFonts w:ascii="宋体" w:hAnsi="宋体" w:cs="宋体"/>
          <w:color w:val="auto"/>
          <w:sz w:val="24"/>
          <w:highlight w:val="none"/>
        </w:rPr>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法定代表人（签字）：</w:t>
      </w:r>
      <w:r/>
    </w:p>
    <w:p>
      <w:pPr>
        <w:pStyle w:val="918"/>
        <w:spacing w:line="500" w:lineRule="exact"/>
        <w:rPr>
          <w:rFonts w:ascii="宋体" w:hAnsi="宋体" w:cs="宋体"/>
          <w:color w:val="auto"/>
          <w:sz w:val="24"/>
          <w:highlight w:val="none"/>
        </w:rPr>
      </w:pPr>
      <w:r>
        <w:rPr>
          <w:rFonts w:ascii="宋体" w:hAnsi="宋体" w:cs="宋体"/>
          <w:color w:val="auto"/>
          <w:sz w:val="24"/>
          <w:highlight w:val="none"/>
        </w:rPr>
      </w:r>
      <w:r/>
    </w:p>
    <w:p>
      <w:pPr>
        <w:pStyle w:val="918"/>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受托人（签字）：</w:t>
      </w:r>
      <w:r/>
    </w:p>
    <w:p>
      <w:pPr>
        <w:pStyle w:val="918"/>
        <w:ind w:firstLine="522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年   月   日</w:t>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(受托人身份证原件扫描件附后)</w:t>
      </w:r>
      <w:r/>
    </w:p>
    <w:p>
      <w:pPr>
        <w:pStyle w:val="918"/>
        <w:jc w:val="center"/>
        <w:spacing w:before="100" w:beforeAutospacing="1" w:after="100" w:afterAutospacing="1" w:line="450" w:lineRule="atLeast"/>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919"/>
        <w:jc w:val="center"/>
        <w:rPr>
          <w:rFonts w:ascii="宋体" w:hAnsi="宋体"/>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9、</w:t>
      </w:r>
      <w:r>
        <w:rPr>
          <w:rFonts w:asciiTheme="minorEastAsia" w:hAnsiTheme="minorEastAsia" w:eastAsiaTheme="minorEastAsia" w:cstheme="minorEastAsia"/>
          <w:b/>
          <w:color w:val="auto"/>
          <w:sz w:val="36"/>
          <w:szCs w:val="36"/>
          <w:highlight w:val="none"/>
        </w:rPr>
        <w:t xml:space="preserve">具备履行合同所必需的设备和专业技术能力的</w:t>
      </w:r>
      <w:r/>
    </w:p>
    <w:p>
      <w:pPr>
        <w:pStyle w:val="919"/>
        <w:jc w:val="center"/>
        <w:rPr>
          <w:rFonts w:ascii="宋体" w:hAnsi="宋体"/>
          <w:b/>
          <w:color w:val="auto"/>
          <w:sz w:val="36"/>
          <w:szCs w:val="36"/>
          <w:highlight w:val="none"/>
        </w:rPr>
      </w:pPr>
      <w:r>
        <w:rPr>
          <w:rFonts w:asciiTheme="minorEastAsia" w:hAnsiTheme="minorEastAsia" w:eastAsiaTheme="minorEastAsia" w:cstheme="minorEastAsia"/>
          <w:b/>
          <w:color w:val="auto"/>
          <w:sz w:val="36"/>
          <w:szCs w:val="36"/>
          <w:highlight w:val="none"/>
        </w:rPr>
        <w:t xml:space="preserve">书面声明</w:t>
      </w:r>
      <w:r/>
    </w:p>
    <w:p>
      <w:pPr>
        <w:pStyle w:val="919"/>
        <w:jc w:val="center"/>
        <w:spacing w:line="360" w:lineRule="auto"/>
        <w:rPr>
          <w:rFonts w:ascii="宋体" w:hAnsi="宋体"/>
          <w:b/>
          <w:color w:val="auto"/>
          <w:sz w:val="36"/>
          <w:szCs w:val="36"/>
          <w:highlight w:val="none"/>
        </w:rPr>
      </w:pPr>
      <w:r>
        <w:rPr>
          <w:rFonts w:asciiTheme="minorEastAsia" w:hAnsiTheme="minorEastAsia" w:eastAsiaTheme="minorEastAsia" w:cstheme="minorEastAsia"/>
          <w:color w:val="auto"/>
          <w:sz w:val="28"/>
          <w:szCs w:val="28"/>
          <w:highlight w:val="none"/>
        </w:rPr>
        <w:t xml:space="preserve">（附证明材料扫描件）</w:t>
      </w:r>
      <w:r/>
    </w:p>
    <w:p>
      <w:pPr>
        <w:pStyle w:val="919"/>
        <w:ind w:firstLine="480"/>
        <w:spacing w:line="360" w:lineRule="auto"/>
        <w:rPr>
          <w:rFonts w:ascii="宋体" w:hAnsi="宋体"/>
          <w:color w:val="auto"/>
          <w:sz w:val="24"/>
          <w:highlight w:val="none"/>
          <w:u w:val="single"/>
        </w:rPr>
      </w:pPr>
      <w:r>
        <w:rPr>
          <w:rFonts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rPr>
          <w:rFonts w:asciiTheme="minorEastAsia" w:hAnsiTheme="minorEastAsia" w:eastAsiaTheme="minorEastAsia" w:cstheme="minorEastAsia"/>
          <w:color w:val="auto"/>
          <w:sz w:val="24"/>
          <w:szCs w:val="21"/>
          <w:highlight w:val="none"/>
        </w:rPr>
        <w:t xml:space="preserve">  </w:t>
      </w:r>
      <w:r/>
    </w:p>
    <w:p>
      <w:pPr>
        <w:pStyle w:val="919"/>
        <w:ind w:firstLine="480"/>
        <w:spacing w:line="360" w:lineRule="auto"/>
        <w:rPr>
          <w:rFonts w:hint="eastAsia" w:ascii="宋体" w:hAnsi="宋体" w:eastAsiaTheme="minorEastAsia"/>
          <w:color w:val="auto"/>
          <w:sz w:val="24"/>
          <w:highlight w:val="none"/>
          <w:u w:val="single"/>
          <w:lang w:eastAsia="zh-CN"/>
        </w:rPr>
      </w:pPr>
      <w:r>
        <w:rPr>
          <w:rFonts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徐州经开区2026年特种设备安全生产隐患排查治理项目</w:t>
      </w:r>
      <w:r/>
    </w:p>
    <w:p>
      <w:pPr>
        <w:pStyle w:val="919"/>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  </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供应商郑重声明：供应商具备履行合同（项目名称：</w:t>
      </w:r>
      <w:r>
        <w:rPr>
          <w:rFonts w:hint="eastAsia" w:asciiTheme="minorEastAsia" w:hAnsiTheme="minorEastAsia" w:eastAsiaTheme="minorEastAsia" w:cstheme="minorEastAsia"/>
          <w:color w:val="auto"/>
          <w:sz w:val="24"/>
          <w:highlight w:val="none"/>
          <w:lang w:eastAsia="zh-CN"/>
        </w:rPr>
        <w:t xml:space="preserve">徐州经开区2026年特种设备安全生产隐患排查治理项目</w:t>
      </w:r>
      <w:r>
        <w:rPr>
          <w:rFonts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rPr>
          <w:rFonts w:asciiTheme="minorEastAsia" w:hAnsiTheme="minorEastAsia" w:eastAsiaTheme="minorEastAsia" w:cstheme="minorEastAsia"/>
          <w:color w:val="auto"/>
          <w:sz w:val="24"/>
          <w:szCs w:val="21"/>
          <w:highlight w:val="none"/>
        </w:rPr>
        <w:t xml:space="preserve"> </w:t>
      </w:r>
      <w:r>
        <w:rPr>
          <w:rFonts w:asciiTheme="minorEastAsia" w:hAnsiTheme="minorEastAsia" w:eastAsiaTheme="minorEastAsia" w:cstheme="minorEastAsia"/>
          <w:color w:val="auto"/>
          <w:sz w:val="24"/>
          <w:highlight w:val="none"/>
        </w:rPr>
        <w:t xml:space="preserve">）所必需的设备和专业技术能力，具体为：</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设备：</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1、 （证明材料扫描件附后）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2、 （证明材料扫描件附后）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3、 （证明材料扫描件附后）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w:t>
      </w:r>
      <w:r/>
    </w:p>
    <w:p>
      <w:pPr>
        <w:pStyle w:val="919"/>
        <w:ind w:firstLine="480"/>
        <w:spacing w:line="360" w:lineRule="auto"/>
        <w:rPr>
          <w:rFonts w:ascii="宋体" w:hAnsi="宋体"/>
          <w:color w:val="auto"/>
          <w:sz w:val="24"/>
          <w:highlight w:val="none"/>
        </w:rPr>
      </w:pPr>
      <w:r>
        <w:rPr>
          <w:rFonts w:ascii="宋体" w:hAnsi="宋体"/>
          <w:color w:val="auto"/>
          <w:sz w:val="24"/>
          <w:highlight w:val="none"/>
        </w:rPr>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专业技术能力：</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1、 （证明材料扫描件附后）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2、 （证明材料扫描件附后）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3、 （证明材料扫描件附后）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w:t>
      </w:r>
      <w:r/>
    </w:p>
    <w:p>
      <w:pPr>
        <w:pStyle w:val="919"/>
        <w:ind w:firstLine="480"/>
        <w:spacing w:line="360" w:lineRule="auto"/>
        <w:rPr>
          <w:rFonts w:ascii="宋体" w:hAnsi="宋体"/>
          <w:color w:val="auto"/>
          <w:sz w:val="24"/>
          <w:highlight w:val="none"/>
        </w:rPr>
      </w:pPr>
      <w:r>
        <w:rPr>
          <w:rFonts w:ascii="宋体" w:hAnsi="宋体"/>
          <w:color w:val="auto"/>
          <w:sz w:val="24"/>
          <w:highlight w:val="none"/>
        </w:rPr>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特此声明。</w:t>
      </w:r>
      <w:r/>
    </w:p>
    <w:p>
      <w:pPr>
        <w:pStyle w:val="919"/>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供应商对上述声明的真实性负责。如有虚假，将依法承担相应责任。</w:t>
      </w:r>
      <w:r/>
    </w:p>
    <w:p>
      <w:pPr>
        <w:pStyle w:val="919"/>
        <w:spacing w:line="360" w:lineRule="auto"/>
        <w:rPr>
          <w:rFonts w:ascii="宋体" w:hAnsi="宋体"/>
          <w:color w:val="auto"/>
          <w:sz w:val="24"/>
          <w:highlight w:val="none"/>
        </w:rPr>
      </w:pPr>
      <w:r>
        <w:rPr>
          <w:rFonts w:ascii="宋体" w:hAnsi="宋体"/>
          <w:color w:val="auto"/>
          <w:sz w:val="24"/>
          <w:highlight w:val="none"/>
        </w:rPr>
      </w:r>
      <w:r/>
    </w:p>
    <w:p>
      <w:pPr>
        <w:pStyle w:val="919"/>
        <w:ind w:firstLine="3600"/>
        <w:spacing w:line="30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w:t>
      </w:r>
      <w:r>
        <w:rPr>
          <w:rFonts w:asciiTheme="minorEastAsia" w:hAnsiTheme="minorEastAsia" w:eastAsiaTheme="minorEastAsia" w:cstheme="minorEastAsia"/>
          <w:color w:val="auto"/>
          <w:sz w:val="24"/>
          <w:highlight w:val="none"/>
          <w:u w:val="single"/>
        </w:rPr>
        <w:t xml:space="preserve">           </w:t>
      </w:r>
      <w:r>
        <w:rPr>
          <w:rFonts w:asciiTheme="minorEastAsia" w:hAnsiTheme="minorEastAsia" w:eastAsiaTheme="minorEastAsia" w:cstheme="minorEastAsia"/>
          <w:color w:val="auto"/>
          <w:sz w:val="24"/>
          <w:highlight w:val="none"/>
        </w:rPr>
        <w:t xml:space="preserve">（盖单位公章）</w:t>
      </w:r>
      <w:r/>
    </w:p>
    <w:p>
      <w:pPr>
        <w:pStyle w:val="919"/>
        <w:ind w:firstLine="3600"/>
        <w:spacing w:line="30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供应商授权代表：</w:t>
      </w:r>
      <w:r>
        <w:rPr>
          <w:rFonts w:asciiTheme="minorEastAsia" w:hAnsiTheme="minorEastAsia" w:eastAsiaTheme="minorEastAsia" w:cstheme="minorEastAsia"/>
          <w:color w:val="auto"/>
          <w:sz w:val="24"/>
          <w:highlight w:val="none"/>
          <w:u w:val="single"/>
        </w:rPr>
        <w:t xml:space="preserve">           </w:t>
      </w:r>
      <w:r>
        <w:rPr>
          <w:rFonts w:asciiTheme="minorEastAsia" w:hAnsiTheme="minorEastAsia" w:eastAsiaTheme="minorEastAsia" w:cstheme="minorEastAsia"/>
          <w:color w:val="auto"/>
          <w:sz w:val="24"/>
          <w:highlight w:val="none"/>
        </w:rPr>
        <w:t xml:space="preserve">（签字或盖章）  </w:t>
      </w:r>
      <w:r/>
    </w:p>
    <w:p>
      <w:pPr>
        <w:pStyle w:val="919"/>
        <w:ind w:firstLine="3600"/>
        <w:spacing w:line="300" w:lineRule="auto"/>
        <w:rPr>
          <w:rFonts w:asciiTheme="minorEastAsia" w:hAnsiTheme="minorEastAsia" w:eastAsiaTheme="minorEastAsia" w:cstheme="minorEastAsia"/>
          <w:color w:val="auto"/>
          <w:sz w:val="24"/>
          <w:highlight w:val="none"/>
        </w:rPr>
        <w:sectPr>
          <w:headerReference w:type="default" r:id="rId12"/>
          <w:footerReference w:type="default" r:id="rId16"/>
          <w:footerReference w:type="first" r:id="rId17"/>
          <w:footnotePr/>
          <w:endnotePr/>
          <w:type w:val="nextPage"/>
          <w:pgSz w:w="11906" w:h="16838" w:orient="portrait"/>
          <w:pgMar w:top="1440" w:right="1800" w:bottom="1440" w:left="1800" w:header="851" w:footer="992" w:gutter="0"/>
          <w:cols w:num="1" w:sep="0" w:space="720" w:equalWidth="1"/>
          <w:docGrid w:linePitch="360"/>
          <w:titlePg/>
        </w:sectPr>
      </w:pPr>
      <w:r>
        <w:rPr>
          <w:rFonts w:asciiTheme="minorEastAsia" w:hAnsiTheme="minorEastAsia" w:eastAsiaTheme="minorEastAsia" w:cstheme="minorEastAsia"/>
          <w:color w:val="auto"/>
          <w:sz w:val="24"/>
          <w:highlight w:val="none"/>
        </w:rPr>
        <w:t xml:space="preserve">日期：   年  月  日</w:t>
      </w:r>
      <w:r/>
    </w:p>
    <w:p>
      <w:pPr>
        <w:pStyle w:val="918"/>
        <w:jc w:val="center"/>
        <w:rPr>
          <w:rFonts w:ascii="宋体" w:hAnsi="宋体" w:cs="宋体"/>
          <w:b/>
          <w:color w:val="auto"/>
          <w:sz w:val="36"/>
          <w:highlight w:val="none"/>
        </w:rPr>
      </w:pPr>
      <w:r>
        <w:rPr>
          <w:rFonts w:hint="eastAsia" w:asciiTheme="minorEastAsia" w:hAnsiTheme="minorEastAsia" w:eastAsiaTheme="minorEastAsia" w:cstheme="minorEastAsia"/>
          <w:b/>
          <w:color w:val="auto"/>
          <w:sz w:val="36"/>
          <w:highlight w:val="none"/>
        </w:rPr>
        <w:t xml:space="preserve">10.中小企业声明函</w:t>
      </w:r>
      <w:r/>
    </w:p>
    <w:p>
      <w:pPr>
        <w:pStyle w:val="918"/>
        <w:rPr>
          <w:rFonts w:ascii="宋体" w:hAnsi="宋体" w:cs="宋体"/>
          <w:color w:val="auto"/>
          <w:sz w:val="24"/>
          <w:highlight w:val="none"/>
        </w:rPr>
      </w:pPr>
      <w:r>
        <w:rPr>
          <w:rFonts w:ascii="宋体" w:hAnsi="宋体" w:cs="宋体"/>
          <w:color w:val="auto"/>
          <w:sz w:val="24"/>
          <w:highlight w:val="none"/>
        </w:rPr>
      </w:r>
      <w:r/>
    </w:p>
    <w:p>
      <w:pPr>
        <w:pStyle w:val="918"/>
        <w:rPr>
          <w:rFonts w:hint="eastAsia" w:ascii="宋体" w:hAnsi="宋体" w:cs="宋体" w:eastAsiaTheme="minorEastAsia"/>
          <w:color w:val="auto"/>
          <w:spacing w:val="6"/>
          <w:sz w:val="24"/>
          <w:highlight w:val="none"/>
          <w:lang w:eastAsia="zh-CN"/>
        </w:rPr>
      </w:pPr>
      <w:r>
        <w:rPr>
          <w:rFonts w:hint="eastAsia"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pacing w:val="6"/>
          <w:sz w:val="24"/>
          <w:highlight w:val="none"/>
          <w:lang w:eastAsia="zh-CN"/>
        </w:rPr>
        <w:t xml:space="preserve">徐州经开区2026年特种设备安全生产隐患排查治理项目</w:t>
      </w:r>
      <w:r/>
    </w:p>
    <w:p>
      <w:pPr>
        <w:pStyle w:val="918"/>
        <w:rPr>
          <w:rFonts w:hint="eastAsia" w:ascii="宋体" w:hAnsi="宋体" w:cs="宋体" w:eastAsia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p>
    <w:p>
      <w:pPr>
        <w:pStyle w:val="918"/>
        <w:jc w:val="center"/>
        <w:spacing w:line="380" w:lineRule="exact"/>
        <w:widowControl/>
        <w:rPr>
          <w:rFonts w:ascii="宋体" w:hAnsi="宋体" w:cs="宋体"/>
          <w:b/>
          <w:color w:val="auto"/>
          <w:sz w:val="24"/>
          <w:highlight w:val="none"/>
        </w:rPr>
      </w:pPr>
      <w:r>
        <w:rPr>
          <w:rFonts w:ascii="宋体" w:hAnsi="宋体" w:cs="宋体"/>
          <w:b/>
          <w:color w:val="auto"/>
          <w:sz w:val="24"/>
          <w:highlight w:val="none"/>
        </w:rPr>
      </w:r>
      <w:r/>
    </w:p>
    <w:p>
      <w:pPr>
        <w:pStyle w:val="918"/>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highlight w:val="none"/>
          <w:lang w:eastAsia="zh-CN"/>
        </w:rPr>
        <w:t xml:space="preserve">徐州经济技术开发区市场监督管理局</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eastAsia="zh-CN"/>
        </w:rPr>
        <w:t xml:space="preserve">徐州经开区2026年特种设备安全生产隐患排查治理项目</w:t>
      </w:r>
      <w:r>
        <w:rPr>
          <w:rFonts w:hint="eastAsia" w:asciiTheme="minorEastAsia" w:hAnsiTheme="minorEastAsia" w:eastAsiaTheme="minorEastAsia" w:cstheme="minorEastAsia"/>
          <w:color w:val="auto"/>
          <w:sz w:val="24"/>
          <w:highlight w:val="none"/>
        </w:rPr>
        <w:t xml:space="preserve">）采购活动，服务全部由符合政策要求的中小企业承接。相关企业的具体情况如下：</w:t>
      </w:r>
      <w:r/>
    </w:p>
    <w:p>
      <w:pPr>
        <w:pStyle w:val="918"/>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asciiTheme="minorEastAsia" w:hAnsiTheme="minorEastAsia" w:eastAsiaTheme="minorEastAsia" w:cstheme="majorBidi"/>
          <w:color w:val="auto"/>
          <w:sz w:val="24"/>
          <w:szCs w:val="24"/>
          <w:highlight w:val="none"/>
          <w:u w:val="single"/>
        </w:rPr>
        <w:t xml:space="preserve">专业技术服务</w:t>
      </w:r>
      <w:r>
        <w:rPr>
          <w:rFonts w:hint="eastAsia" w:asciiTheme="minorEastAsia" w:hAnsiTheme="minorEastAsia" w:eastAsiaTheme="minorEastAsia" w:cstheme="minorEastAsia"/>
          <w:color w:val="auto"/>
          <w:sz w:val="24"/>
          <w:highlight w:val="none"/>
        </w:rPr>
        <w:t xml:space="preserve">）；承建（承接）企业为（企业名称），从业人员人，营业收入为万元，资产总额为万元，属于（□中型企业、□小型企业、□微型企业，</w:t>
      </w:r>
      <w:r>
        <w:rPr>
          <w:rFonts w:hint="eastAsia" w:asciiTheme="minorEastAsia" w:hAnsiTheme="minorEastAsia" w:eastAsiaTheme="minorEastAsia" w:cstheme="minorEastAsia"/>
          <w:b/>
          <w:color w:val="auto"/>
          <w:sz w:val="32"/>
          <w:highlight w:val="none"/>
        </w:rPr>
        <w:t xml:space="preserve">请勾选打√</w:t>
      </w:r>
      <w:r>
        <w:rPr>
          <w:rFonts w:hint="eastAsia" w:asciiTheme="minorEastAsia" w:hAnsiTheme="minorEastAsia" w:eastAsiaTheme="minorEastAsia" w:cstheme="minorEastAsia"/>
          <w:color w:val="auto"/>
          <w:sz w:val="24"/>
          <w:highlight w:val="none"/>
        </w:rPr>
        <w:t xml:space="preserve">）；</w:t>
      </w:r>
      <w:r/>
    </w:p>
    <w:p>
      <w:pPr>
        <w:pStyle w:val="918"/>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以上企业，不属于大企业的分支机构，不存在控股股东为大企业的情形，也不存在与大企业的负责人为同一人的情形。</w:t>
      </w:r>
      <w:r/>
    </w:p>
    <w:p>
      <w:pPr>
        <w:pStyle w:val="918"/>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pStyle w:val="918"/>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pStyle w:val="918"/>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pStyle w:val="918"/>
        <w:ind w:left="420"/>
        <w:spacing w:after="12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w:t>
      </w:r>
      <w:r/>
    </w:p>
    <w:p>
      <w:pPr>
        <w:pStyle w:val="9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w:t>
      </w:r>
      <w:r/>
    </w:p>
    <w:p>
      <w:pPr>
        <w:pStyle w:val="982"/>
        <w:ind w:left="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不存在与大企业的负责人为同一人的情形。</w:t>
      </w:r>
      <w:r/>
    </w:p>
    <w:p>
      <w:pPr>
        <w:pStyle w:val="9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pStyle w:val="982"/>
        <w:ind w:right="480" w:firstLine="360"/>
        <w:rPr>
          <w:rFonts w:ascii="宋体" w:hAnsi="宋体" w:cs="宋体"/>
          <w:color w:val="auto"/>
          <w:sz w:val="24"/>
          <w:highlight w:val="none"/>
        </w:rPr>
      </w:pPr>
      <w:r>
        <w:rPr>
          <w:rFonts w:ascii="宋体" w:hAnsi="宋体" w:cs="宋体"/>
          <w:color w:val="auto"/>
          <w:sz w:val="24"/>
          <w:highlight w:val="none"/>
        </w:rPr>
      </w:r>
      <w:r/>
    </w:p>
    <w:p>
      <w:pPr>
        <w:pStyle w:val="982"/>
        <w:ind w:right="480" w:firstLine="2640"/>
        <w:rPr>
          <w:rFonts w:ascii="宋体" w:hAnsi="宋体" w:cs="宋体"/>
          <w:color w:val="auto"/>
          <w:sz w:val="24"/>
          <w:highlight w:val="none"/>
        </w:rPr>
      </w:pPr>
      <w:r>
        <w:rPr>
          <w:rFonts w:ascii="宋体" w:hAnsi="宋体" w:cs="宋体"/>
          <w:color w:val="auto"/>
          <w:sz w:val="24"/>
          <w:highlight w:val="none"/>
        </w:rPr>
      </w:r>
      <w:r/>
    </w:p>
    <w:p>
      <w:pPr>
        <w:pStyle w:val="918"/>
        <w:ind w:firstLine="3120"/>
        <w:spacing w:line="30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企业名称（电子签章）：</w:t>
      </w:r>
      <w:r/>
    </w:p>
    <w:p>
      <w:pPr>
        <w:pStyle w:val="918"/>
        <w:ind w:firstLine="3600"/>
        <w:spacing w:line="36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pStyle w:val="982"/>
        <w:ind w:right="480" w:firstLine="3240"/>
        <w:rPr>
          <w:rFonts w:ascii="宋体" w:hAnsi="宋体" w:cs="宋体"/>
          <w:color w:val="auto"/>
          <w:sz w:val="24"/>
          <w:highlight w:val="none"/>
        </w:rPr>
      </w:pPr>
      <w:r>
        <w:rPr>
          <w:rFonts w:ascii="宋体" w:hAnsi="宋体" w:cs="宋体"/>
          <w:color w:val="auto"/>
          <w:sz w:val="24"/>
          <w:highlight w:val="none"/>
        </w:rPr>
      </w:r>
      <w:r/>
    </w:p>
    <w:p>
      <w:pPr>
        <w:pStyle w:val="9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注：本项目采购项目属性为：</w:t>
      </w:r>
      <w:r>
        <w:rPr>
          <w:rFonts w:asciiTheme="minorEastAsia" w:hAnsiTheme="minorEastAsia" w:eastAsiaTheme="minorEastAsia" w:cstheme="majorBidi"/>
          <w:color w:val="auto"/>
          <w:sz w:val="24"/>
          <w:szCs w:val="24"/>
          <w:highlight w:val="none"/>
          <w:u w:val="single"/>
        </w:rPr>
        <w:t xml:space="preserve">专业技术服务</w:t>
      </w:r>
      <w:r>
        <w:rPr>
          <w:rFonts w:hint="eastAsia" w:asciiTheme="minorEastAsia" w:hAnsiTheme="minorEastAsia" w:eastAsiaTheme="minorEastAsia" w:cstheme="majorBidi"/>
          <w:color w:val="auto"/>
          <w:sz w:val="24"/>
          <w:szCs w:val="24"/>
          <w:highlight w:val="none"/>
          <w:u w:val="none"/>
          <w:lang w:val="en-US" w:eastAsia="zh-CN"/>
        </w:rPr>
        <w:t xml:space="preserve">行业</w:t>
      </w:r>
      <w:r>
        <w:rPr>
          <w:rFonts w:hint="eastAsia" w:asciiTheme="minorEastAsia" w:hAnsiTheme="minorEastAsia" w:eastAsiaTheme="minorEastAsia" w:cstheme="minorEastAsia"/>
          <w:color w:val="auto"/>
          <w:sz w:val="24"/>
          <w:highlight w:val="none"/>
        </w:rPr>
        <w:t xml:space="preserve">。</w:t>
      </w:r>
      <w:r/>
    </w:p>
    <w:p>
      <w:pPr>
        <w:pStyle w:val="982"/>
        <w:rPr>
          <w:rFonts w:ascii="宋体" w:hAnsi="宋体" w:cs="宋体"/>
          <w:color w:val="auto"/>
          <w:sz w:val="24"/>
          <w:highlight w:val="none"/>
        </w:rPr>
      </w:pPr>
      <w:r>
        <w:rPr>
          <w:rFonts w:ascii="宋体" w:hAnsi="宋体" w:cs="宋体"/>
          <w:color w:val="auto"/>
          <w:sz w:val="24"/>
          <w:highlight w:val="none"/>
        </w:rPr>
      </w:r>
      <w:r/>
    </w:p>
    <w:p>
      <w:pPr>
        <w:pStyle w:val="9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备注：</w:t>
      </w:r>
      <w:r/>
    </w:p>
    <w:p>
      <w:pPr>
        <w:pStyle w:val="9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1.从业人员、营业收入、资产总额填报上一年度数据，无上一年度数据的新成立企业可不填报。</w:t>
      </w:r>
      <w:r/>
    </w:p>
    <w:p>
      <w:pPr>
        <w:pStyle w:val="9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2.《中小企业声明函》查询渠道</w:t>
      </w:r>
      <w:r>
        <w:rPr>
          <w:rFonts w:hint="eastAsia" w:asciiTheme="minorEastAsia" w:hAnsiTheme="minorEastAsia" w:eastAsiaTheme="minorEastAsia" w:cstheme="minorEastAsia"/>
          <w:color w:val="auto"/>
          <w:sz w:val="24"/>
          <w:highlight w:val="none"/>
          <w:lang w:val="en-US" w:eastAsia="en-US"/>
        </w:rPr>
        <w:t xml:space="preserve">用微信搜索“中小企业规模类型自测小程序”</w:t>
      </w:r>
      <w:r>
        <w:rPr>
          <w:rFonts w:hint="eastAsia" w:asciiTheme="minorEastAsia" w:hAnsiTheme="minorEastAsia" w:eastAsiaTheme="minorEastAsia" w:cstheme="minorEastAsia"/>
          <w:color w:val="auto"/>
          <w:sz w:val="24"/>
          <w:highlight w:val="none"/>
        </w:rPr>
        <w:t xml:space="preserve">。</w:t>
      </w:r>
      <w:r/>
    </w:p>
    <w:p>
      <w:pPr>
        <w:jc w:val="center"/>
        <w:rPr>
          <w:rFonts w:ascii="宋体" w:hAnsi="宋体" w:cs="宋体"/>
          <w:color w:val="auto"/>
          <w:highlight w:val="none"/>
        </w:rPr>
      </w:pPr>
      <w:r>
        <w:rPr>
          <w:rFonts w:ascii="宋体" w:hAnsi="宋体" w:cs="宋体"/>
          <w:color w:val="auto"/>
          <w:highlight w:val="none"/>
        </w:rPr>
      </w:r>
      <w:r/>
    </w:p>
    <w:p>
      <w:pPr>
        <w:ind w:firstLine="602"/>
        <w:jc w:val="left"/>
        <w:rPr>
          <w:rFonts w:cs="宋体" w:asciiTheme="minorEastAsia" w:hAnsiTheme="minorEastAsia"/>
          <w:color w:val="auto"/>
          <w:sz w:val="24"/>
          <w:highlight w:val="none"/>
        </w:rPr>
      </w:pPr>
      <w:r>
        <w:rPr>
          <w:rFonts w:hint="eastAsia" w:ascii="宋体" w:hAnsi="宋体" w:eastAsia="宋体" w:cs="宋体"/>
          <w:b/>
          <w:bCs/>
          <w:color w:val="auto"/>
          <w:sz w:val="30"/>
          <w:szCs w:val="30"/>
          <w:lang w:val="en-US" w:eastAsia="zh-CN" w:bidi="ar-SA"/>
        </w:rPr>
        <w:t xml:space="preserve">“中小企业声明函”查询渠道用微信搜索“中小企业规模类型自测小程序”。看下列截图。</w:t>
      </w:r>
      <w:r/>
    </w:p>
    <w:p>
      <w:pPr>
        <w:pStyle w:val="979"/>
        <w:rPr>
          <w:rFonts w:cs="宋体" w:asciiTheme="minorEastAsia" w:hAnsiTheme="minorEastAsia"/>
          <w:color w:val="auto"/>
          <w:sz w:val="24"/>
          <w:highlight w:val="none"/>
        </w:rPr>
      </w:pPr>
      <w:r>
        <w:rPr>
          <w:rFonts w:cs="宋体" w:asciiTheme="minorEastAsia" w:hAnsiTheme="minorEastAsia"/>
          <w:color w:val="auto"/>
          <w:sz w:val="24"/>
          <w:highlight w:val="none"/>
        </w:rPr>
      </w:r>
      <w:r/>
    </w:p>
    <w:p>
      <w:pPr>
        <w:pStyle w:val="979"/>
        <w:rPr>
          <w:rFonts w:cs="宋体" w:asciiTheme="minorEastAsia" w:hAnsiTheme="minorEastAsia"/>
          <w:color w:val="auto"/>
          <w:sz w:val="24"/>
          <w:highlight w:val="none"/>
        </w:rPr>
      </w:pPr>
      <w:r>
        <w:rPr>
          <w:rFonts w:cs="宋体" w:asciiTheme="minorEastAsia" w:hAnsiTheme="minorEastAsia"/>
          <w:color w:val="auto"/>
          <w:sz w:val="24"/>
          <w:highlight w:val="none"/>
        </w:rPr>
      </w:r>
      <w:r/>
    </w:p>
    <w:p>
      <w:pPr>
        <w:jc w:val="center"/>
        <w:rPr>
          <w:rFonts w:ascii="宋体" w:hAnsi="宋体" w:cs="宋体"/>
          <w:color w:val="auto"/>
          <w:sz w:val="36"/>
          <w:szCs w:val="36"/>
          <w:highlight w:val="none"/>
        </w:rPr>
      </w:pPr>
      <w:r>
        <w:rPr>
          <w:rFonts w:hint="eastAsia" w:ascii="宋体" w:hAnsi="宋体" w:eastAsia="宋体" w:cs="宋体"/>
          <w:sz w:val="24"/>
          <w:szCs w:val="24"/>
          <w:highlight w:val="none"/>
          <w:lang w:eastAsia="en-US"/>
        </w:rPr>
        <mc:AlternateContent>
          <mc:Choice Requires="wpg">
            <w:drawing>
              <wp:inline xmlns:wp="http://schemas.openxmlformats.org/drawingml/2006/wordprocessingDrawing" distT="0" distB="0" distL="0" distR="0">
                <wp:extent cx="2736215" cy="5634355"/>
                <wp:effectExtent l="0" t="0" r="6985" b="4445"/>
                <wp:docPr id="11" name="图片 1"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D:\Tencent\微信\WeChat Files\wxid_1c6io8gl77vj22\FileStorage\Temp\912730e80772119968377d556d5bbbe.jpg"/>
                        <pic:cNvPicPr>
                          <a:picLocks noChangeAspect="1"/>
                        </pic:cNvPicPr>
                        <pic:nvPr/>
                      </pic:nvPicPr>
                      <pic:blipFill>
                        <a:blip r:embed="rId25"/>
                        <a:srcRect l="0" t="4825" r="0" b="0"/>
                        <a:stretch/>
                      </pic:blipFill>
                      <pic:spPr bwMode="auto">
                        <a:xfrm>
                          <a:off x="0" y="0"/>
                          <a:ext cx="2736215"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4pt;height:443.6pt;mso-wrap-distance-left:0.0pt;mso-wrap-distance-top:0.0pt;mso-wrap-distance-right:0.0pt;mso-wrap-distance-bottom:0.0pt;" stroked="f">
                <v:path textboxrect="0,0,0,0"/>
                <v:imagedata r:id="rId25" o:title=""/>
              </v:shape>
            </w:pict>
          </mc:Fallback>
        </mc:AlternateContent>
      </w:r>
      <w:r/>
    </w:p>
    <w:p>
      <w:pPr>
        <w:rPr>
          <w:rFonts w:cs="宋体" w:asciiTheme="minorEastAsia" w:hAnsi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clear="all"/>
      </w:r>
      <w:r/>
    </w:p>
    <w:p>
      <w:pPr>
        <w:pStyle w:val="918"/>
        <w:jc w:val="center"/>
        <w:rPr>
          <w:rFonts w:ascii="宋体" w:hAnsi="宋体" w:cs="宋体"/>
          <w:b/>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11.</w:t>
      </w:r>
      <w:r>
        <w:rPr>
          <w:rFonts w:hint="eastAsia" w:asciiTheme="minorEastAsia" w:hAnsiTheme="minorEastAsia" w:eastAsiaTheme="minorEastAsia" w:cstheme="minorEastAsia"/>
          <w:b/>
          <w:color w:val="auto"/>
          <w:sz w:val="36"/>
          <w:szCs w:val="36"/>
          <w:highlight w:val="none"/>
        </w:rPr>
        <w:t xml:space="preserve">供应商参加政府采购活动前3年内在经营活动中没有重大违法记录的书面声明</w:t>
      </w:r>
      <w:r/>
    </w:p>
    <w:p>
      <w:pPr>
        <w:pStyle w:val="918"/>
        <w:rPr>
          <w:rFonts w:ascii="宋体" w:hAnsi="宋体" w:cs="宋体"/>
          <w:color w:val="auto"/>
          <w:sz w:val="24"/>
          <w:highlight w:val="none"/>
        </w:rPr>
      </w:pPr>
      <w:r>
        <w:rPr>
          <w:rFonts w:ascii="宋体" w:hAnsi="宋体" w:cs="宋体"/>
          <w:color w:val="auto"/>
          <w:sz w:val="24"/>
          <w:highlight w:val="none"/>
        </w:rPr>
      </w:r>
      <w:r/>
    </w:p>
    <w:p>
      <w:pPr>
        <w:pStyle w:val="918"/>
        <w:ind w:firstLine="720"/>
        <w:jc w:val="left"/>
        <w:spacing w:before="100" w:beforeAutospacing="1" w:after="100" w:afterAutospacing="1" w:line="360" w:lineRule="auto"/>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我单位在参加</w:t>
      </w:r>
      <w:r>
        <w:rPr>
          <w:rFonts w:hint="eastAsia" w:asciiTheme="minorEastAsia" w:hAnsiTheme="minorEastAsia" w:eastAsiaTheme="minorEastAsia" w:cstheme="minorEastAsia"/>
          <w:color w:val="auto"/>
          <w:sz w:val="24"/>
          <w:highlight w:val="none"/>
          <w:u w:val="single"/>
          <w:lang w:eastAsia="zh-CN"/>
        </w:rPr>
        <w:t xml:space="preserve">徐州经开区2026年特种设备安全生产隐患排查治理项目</w:t>
      </w: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rPr>
          <w:rFonts w:hint="eastAsia" w:asciiTheme="minorEastAsia" w:hAnsiTheme="minorEastAsia" w:eastAsiaTheme="minorEastAsia" w:cstheme="minorEastAsia"/>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18"/>
        <w:ind w:firstLine="720"/>
        <w:jc w:val="left"/>
        <w:spacing w:before="100" w:beforeAutospacing="1" w:after="100" w:afterAutospacing="1" w:line="360" w:lineRule="auto"/>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我单位对上述声明的真实性负责。如有虚假，将依法承担相应责任。</w:t>
      </w:r>
      <w:r/>
    </w:p>
    <w:p>
      <w:pPr>
        <w:pStyle w:val="918"/>
        <w:ind w:right="29"/>
        <w:rPr>
          <w:rFonts w:ascii="宋体" w:hAnsi="宋体" w:cs="宋体"/>
          <w:color w:val="auto"/>
          <w:sz w:val="24"/>
          <w:highlight w:val="none"/>
        </w:rPr>
      </w:pPr>
      <w:r>
        <w:rPr>
          <w:rFonts w:ascii="宋体" w:hAnsi="宋体" w:cs="宋体"/>
          <w:color w:val="auto"/>
          <w:sz w:val="24"/>
          <w:highlight w:val="none"/>
        </w:rPr>
      </w:r>
      <w:r/>
    </w:p>
    <w:p>
      <w:pPr>
        <w:pStyle w:val="918"/>
        <w:ind w:right="29"/>
        <w:rPr>
          <w:rFonts w:ascii="宋体" w:hAnsi="宋体" w:cs="宋体"/>
          <w:color w:val="auto"/>
          <w:sz w:val="24"/>
          <w:highlight w:val="none"/>
        </w:rPr>
      </w:pPr>
      <w:r>
        <w:rPr>
          <w:rFonts w:ascii="宋体" w:hAnsi="宋体" w:cs="宋体"/>
          <w:color w:val="auto"/>
          <w:sz w:val="24"/>
          <w:highlight w:val="none"/>
        </w:rPr>
      </w:r>
      <w:r/>
    </w:p>
    <w:p>
      <w:pPr>
        <w:pStyle w:val="918"/>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供应商（电子签章）：</w:t>
      </w:r>
      <w:r/>
    </w:p>
    <w:p>
      <w:pPr>
        <w:pStyle w:val="918"/>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日期：</w:t>
      </w:r>
      <w:r/>
    </w:p>
    <w:p>
      <w:pPr>
        <w:rPr>
          <w:rFonts w:ascii="宋体" w:hAnsi="宋体" w:cs="宋体"/>
          <w:b/>
          <w:color w:val="auto"/>
          <w:spacing w:val="6"/>
          <w:sz w:val="36"/>
          <w:szCs w:val="36"/>
          <w:highlight w:val="none"/>
        </w:rPr>
      </w:pPr>
      <w:r>
        <w:rPr>
          <w:rFonts w:hint="eastAsia" w:asciiTheme="minorEastAsia" w:hAnsiTheme="minorEastAsia" w:eastAsiaTheme="minorEastAsia" w:cstheme="minorEastAsia"/>
          <w:b/>
          <w:color w:val="auto"/>
          <w:spacing w:val="6"/>
          <w:sz w:val="36"/>
          <w:szCs w:val="36"/>
          <w:highlight w:val="none"/>
        </w:rPr>
        <w:br w:type="page" w:clear="all"/>
      </w:r>
      <w:r/>
    </w:p>
    <w:p>
      <w:pPr>
        <w:pStyle w:val="918"/>
        <w:jc w:val="center"/>
        <w:spacing w:line="588" w:lineRule="exact"/>
        <w:rPr>
          <w:rFonts w:hint="eastAsia" w:ascii="宋体" w:hAnsi="宋体" w:cs="宋体" w:eastAsiaTheme="minorEastAsia"/>
          <w:b/>
          <w:color w:val="auto"/>
          <w:spacing w:val="6"/>
          <w:sz w:val="36"/>
          <w:szCs w:val="36"/>
          <w:highlight w:val="none"/>
          <w:lang w:eastAsia="zh-CN"/>
        </w:rPr>
      </w:pPr>
      <w:r>
        <w:rPr>
          <w:rFonts w:hint="eastAsia" w:asciiTheme="minorEastAsia" w:hAnsiTheme="minorEastAsia" w:eastAsiaTheme="minorEastAsia" w:cstheme="minorEastAsia"/>
          <w:b/>
          <w:color w:val="auto"/>
          <w:sz w:val="36"/>
          <w:szCs w:val="36"/>
          <w:highlight w:val="none"/>
        </w:rPr>
        <w:t xml:space="preserve">12.</w:t>
      </w:r>
      <w:bookmarkStart w:id="0" w:name="OLE_LINK14"/>
      <w:r/>
      <w:bookmarkStart w:id="1" w:name="OLE_LINK13"/>
      <w:r>
        <w:rPr>
          <w:rFonts w:hint="eastAsia" w:asciiTheme="minorEastAsia" w:hAnsiTheme="minorEastAsia" w:eastAsiaTheme="minorEastAsia" w:cstheme="minorEastAsia"/>
          <w:b/>
          <w:color w:val="auto"/>
          <w:spacing w:val="6"/>
          <w:sz w:val="36"/>
          <w:szCs w:val="36"/>
          <w:highlight w:val="none"/>
        </w:rPr>
        <w:t xml:space="preserve"> 残疾人福利性单位声明函</w:t>
      </w:r>
      <w:bookmarkEnd w:id="0"/>
      <w:r/>
      <w:bookmarkEnd w:id="1"/>
      <w:r>
        <w:rPr>
          <w:rFonts w:hint="eastAsia" w:asciiTheme="minorEastAsia" w:hAnsiTheme="minorEastAsia" w:eastAsiaTheme="minorEastAsia" w:cstheme="minorEastAsia"/>
          <w:b/>
          <w:color w:val="auto"/>
          <w:spacing w:val="6"/>
          <w:sz w:val="36"/>
          <w:szCs w:val="36"/>
          <w:highlight w:val="none"/>
          <w:lang w:eastAsia="zh-CN"/>
        </w:rPr>
        <w:t xml:space="preserve">（</w:t>
      </w:r>
      <w:r>
        <w:rPr>
          <w:rFonts w:hint="eastAsia" w:asciiTheme="minorEastAsia" w:hAnsiTheme="minorEastAsia" w:eastAsiaTheme="minorEastAsia" w:cstheme="minorEastAsia"/>
          <w:b/>
          <w:color w:val="auto"/>
          <w:spacing w:val="6"/>
          <w:sz w:val="36"/>
          <w:szCs w:val="36"/>
          <w:highlight w:val="none"/>
          <w:lang w:val="en-US" w:eastAsia="zh-CN"/>
        </w:rPr>
        <w:t xml:space="preserve">如有</w:t>
      </w:r>
      <w:r>
        <w:rPr>
          <w:rFonts w:hint="eastAsia" w:asciiTheme="minorEastAsia" w:hAnsiTheme="minorEastAsia" w:eastAsiaTheme="minorEastAsia" w:cstheme="minorEastAsia"/>
          <w:b/>
          <w:color w:val="auto"/>
          <w:spacing w:val="6"/>
          <w:sz w:val="36"/>
          <w:szCs w:val="36"/>
          <w:highlight w:val="none"/>
          <w:lang w:eastAsia="zh-CN"/>
        </w:rPr>
        <w:t xml:space="preserve">）</w:t>
      </w:r>
      <w:r/>
    </w:p>
    <w:p>
      <w:pPr>
        <w:pStyle w:val="918"/>
        <w:jc w:val="center"/>
        <w:spacing w:line="0" w:lineRule="atLeast"/>
        <w:rPr>
          <w:rFonts w:ascii="宋体" w:hAnsi="宋体" w:cs="宋体"/>
          <w:b/>
          <w:color w:val="auto"/>
          <w:sz w:val="36"/>
          <w:szCs w:val="36"/>
          <w:highlight w:val="none"/>
        </w:rPr>
      </w:pPr>
      <w:r>
        <w:rPr>
          <w:rFonts w:ascii="宋体" w:hAnsi="宋体" w:cs="宋体"/>
          <w:b/>
          <w:color w:val="auto"/>
          <w:sz w:val="36"/>
          <w:szCs w:val="36"/>
          <w:highlight w:val="none"/>
        </w:rPr>
      </w:r>
      <w:r/>
    </w:p>
    <w:p>
      <w:pPr>
        <w:pStyle w:val="918"/>
        <w:jc w:val="center"/>
        <w:spacing w:line="0" w:lineRule="atLeas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EastAsia"/>
          <w:color w:val="auto"/>
          <w:spacing w:val="6"/>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JSZC-320390-JSYE-C2026-0003</w:t>
      </w:r>
      <w:r/>
    </w:p>
    <w:p>
      <w:pPr>
        <w:pStyle w:val="918"/>
        <w:spacing w:line="588" w:lineRule="exact"/>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pStyle w:val="918"/>
        <w:ind w:firstLine="504"/>
        <w:spacing w:line="588" w:lineRule="exact"/>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highlight w:val="none"/>
        </w:rPr>
        <w:t xml:space="preserve">〔2017〕141</w:t>
      </w:r>
      <w:r>
        <w:rPr>
          <w:rFonts w:hint="eastAsia" w:asciiTheme="minorEastAsia" w:hAnsiTheme="minorEastAsia" w:eastAsiaTheme="minorEastAsia" w:cstheme="minorEastAsia"/>
          <w:color w:val="auto"/>
          <w:spacing w:val="6"/>
          <w:sz w:val="24"/>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4"/>
          <w:highlight w:val="none"/>
          <w:lang w:eastAsia="zh-CN"/>
        </w:rPr>
        <w:t xml:space="preserve">徐州经济技术开发区市场监督管理局</w:t>
      </w:r>
      <w:r>
        <w:rPr>
          <w:rFonts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pacing w:val="6"/>
          <w:sz w:val="24"/>
          <w:highlight w:val="none"/>
        </w:rPr>
        <w:t xml:space="preserve">单位的</w:t>
      </w:r>
      <w:r>
        <w:rPr>
          <w:rFonts w:hint="eastAsia" w:asciiTheme="minorEastAsia" w:hAnsiTheme="minorEastAsia" w:eastAsiaTheme="minorEastAsia" w:cstheme="minorEastAsia"/>
          <w:color w:val="auto"/>
          <w:spacing w:val="6"/>
          <w:sz w:val="24"/>
          <w:highlight w:val="none"/>
          <w:u w:val="single"/>
          <w:lang w:eastAsia="zh-CN"/>
        </w:rPr>
        <w:t xml:space="preserve">徐州经开区2026年特种设备安全生产隐患排查治理项目</w:t>
      </w:r>
      <w:r>
        <w:rPr>
          <w:rFonts w:hint="eastAsia" w:asciiTheme="minorEastAsia" w:hAnsiTheme="minorEastAsia" w:eastAsiaTheme="minorEastAsia" w:cstheme="minorEastAsia"/>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8"/>
        <w:ind w:firstLine="504"/>
        <w:spacing w:line="588" w:lineRule="exact"/>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本单位对上述声明的真实性负责。如有虚假，将依法承担相应责任。</w:t>
      </w:r>
      <w:r/>
    </w:p>
    <w:p>
      <w:pPr>
        <w:pStyle w:val="918"/>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pStyle w:val="918"/>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pStyle w:val="918"/>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               单位名称（电子签章）：</w:t>
      </w:r>
      <w:r/>
    </w:p>
    <w:p>
      <w:pPr>
        <w:pStyle w:val="918"/>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       日  期：</w:t>
      </w:r>
      <w:r/>
    </w:p>
    <w:p>
      <w:pPr>
        <w:pStyle w:val="918"/>
        <w:spacing w:line="360" w:lineRule="auto"/>
        <w:rPr>
          <w:rFonts w:ascii="宋体" w:hAnsi="宋体" w:cs="宋体"/>
          <w:color w:val="auto"/>
          <w:sz w:val="24"/>
          <w:highlight w:val="none"/>
        </w:rPr>
      </w:pPr>
      <w:r>
        <w:rPr>
          <w:rFonts w:ascii="宋体" w:hAnsi="宋体" w:cs="宋体"/>
          <w:color w:val="auto"/>
          <w:sz w:val="24"/>
          <w:highlight w:val="none"/>
        </w:rPr>
      </w:r>
      <w:r/>
    </w:p>
    <w:p>
      <w:pPr>
        <w:pStyle w:val="918"/>
        <w:jc w:val="left"/>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说明：</w:t>
      </w:r>
      <w:r/>
    </w:p>
    <w:p>
      <w:pPr>
        <w:pStyle w:val="918"/>
        <w:ind w:firstLine="480"/>
        <w:jc w:val="left"/>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18"/>
        <w:ind w:firstLine="480"/>
        <w:jc w:val="left"/>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供应商提供的《残疾人福利性单位声明函》与事实不符的，依照《政府采购法》第七十七条第一款的规定追究法律责任。</w:t>
      </w:r>
      <w:r/>
    </w:p>
    <w:p>
      <w:pPr>
        <w:rPr>
          <w:rFonts w:ascii="宋体" w:hAnsi="宋体" w:cs="宋体"/>
          <w:b/>
          <w:color w:val="auto"/>
          <w:sz w:val="36"/>
          <w:szCs w:val="36"/>
          <w:highlight w:val="none"/>
        </w:rPr>
      </w:pPr>
      <w:r>
        <w:rPr>
          <w:rFonts w:asciiTheme="minorEastAsia" w:hAnsiTheme="minorEastAsia" w:eastAsiaTheme="minorEastAsia" w:cstheme="minorEastAsia"/>
          <w:b/>
          <w:color w:val="auto"/>
          <w:sz w:val="36"/>
          <w:szCs w:val="36"/>
          <w:highlight w:val="none"/>
        </w:rPr>
        <w:br w:type="page" w:clear="all"/>
      </w:r>
      <w:r/>
    </w:p>
    <w:p>
      <w:pPr>
        <w:jc w:val="center"/>
        <w:spacing w:line="520" w:lineRule="exact"/>
        <w:widowControl/>
        <w:rPr>
          <w:rFonts w:hint="eastAsia" w:ascii="宋体" w:hAnsi="宋体" w:cs="宋体"/>
          <w:b/>
          <w:sz w:val="28"/>
          <w:szCs w:val="28"/>
        </w:rPr>
      </w:pPr>
      <w:r>
        <w:rPr>
          <w:rFonts w:hint="eastAsia" w:asciiTheme="minorEastAsia" w:hAnsiTheme="minorEastAsia" w:eastAsiaTheme="minorEastAsia" w:cstheme="minorEastAsia"/>
          <w:b/>
          <w:color w:val="auto"/>
          <w:sz w:val="36"/>
          <w:szCs w:val="36"/>
          <w:highlight w:val="none"/>
        </w:rPr>
        <w:t xml:space="preserve">13、代理服务收费标准</w:t>
      </w:r>
      <w:r/>
    </w:p>
    <w:tbl>
      <w:tblPr>
        <w:tblStyle w:val="945"/>
        <w:tblW w:w="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6"/>
        <w:gridCol w:w="2387"/>
      </w:tblGrid>
      <w:tr>
        <w:trPr>
          <w:jc w:val="center"/>
          <w:trHeight w:val="62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2.代理服务费按差额定率累进法计算。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5.定点类等无金额或事先不能计算出价格总额的项目，按中标(成交)金额 100万元计算。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6.有分包(分标段)的按一个项目计算。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7.以上价格为协会指导价，双方可根据项目难易程度和优质优价原则协商确定。</w:t>
      </w:r>
      <w:r/>
    </w:p>
    <w:p>
      <w:pPr>
        <w:ind w:firstLine="565"/>
        <w:jc w:val="center"/>
        <w:rPr>
          <w:rFonts w:ascii="宋体" w:hAnsi="宋体" w:cs="宋体"/>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rPr>
          <w:rFonts w:hint="eastAsia" w:asciiTheme="minorEastAsia" w:hAnsiTheme="minorEastAsia" w:eastAsiaTheme="minorEastAsia" w:cstheme="minorEastAsia"/>
          <w:b/>
          <w:color w:val="auto"/>
          <w:sz w:val="36"/>
          <w:szCs w:val="36"/>
          <w:highlight w:val="none"/>
        </w:rPr>
        <w:t xml:space="preserve">14、预付款保函支付条款模板</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本合同总金额为人民币大写金额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元），经双方协商一致，选择以下第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种付款方式</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ind w:firstLine="480"/>
        <w:rPr>
          <w:rFonts w:ascii="宋体" w:hAnsi="宋体" w:cs="宋体"/>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符合条件二：不提交预付款保函的</w:t>
      </w:r>
      <w:r/>
    </w:p>
    <w:p>
      <w:pPr>
        <w:ind w:firstLine="480"/>
        <w:rPr>
          <w:rFonts w:ascii="宋体" w:hAnsi="宋体" w:cs="宋体"/>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（1）合同签订后个工作日内，甲方应支付合同价款的百分之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ind w:firstLine="480"/>
        <w:rPr>
          <w:rFonts w:ascii="宋体" w:hAnsi="宋体" w:cs="宋体"/>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ind w:firstLine="400"/>
        <w:rPr>
          <w:rFonts w:ascii="宋体" w:hAnsi="宋体" w:cs="宋体"/>
          <w:color w:val="auto"/>
          <w:highlight w:val="none"/>
        </w:rPr>
      </w:pPr>
      <w:r>
        <w:rPr>
          <w:rFonts w:ascii="宋体" w:hAnsi="宋体" w:cs="宋体"/>
          <w:color w:val="auto"/>
          <w:highlight w:val="none"/>
        </w:rPr>
      </w:r>
      <w:r/>
    </w:p>
    <w:p>
      <w:pPr>
        <w:pStyle w:val="921"/>
        <w:ind w:left="400"/>
        <w:rPr>
          <w:rFonts w:ascii="宋体" w:hAnsi="宋体" w:cs="宋体"/>
          <w:color w:val="auto"/>
          <w:highlight w:val="none"/>
        </w:rPr>
      </w:pPr>
      <w:r>
        <w:rPr>
          <w:rFonts w:ascii="宋体" w:hAnsi="宋体" w:cs="宋体"/>
          <w:color w:val="auto"/>
          <w:highlight w:val="none"/>
        </w:rPr>
      </w:r>
      <w:r/>
    </w:p>
    <w:p>
      <w:pPr>
        <w:pStyle w:val="918"/>
        <w:ind w:right="29" w:firstLine="3960"/>
        <w:rPr>
          <w:rFonts w:ascii="宋体" w:hAnsi="宋体" w:cs="宋体"/>
          <w:color w:val="auto"/>
          <w:sz w:val="24"/>
          <w:highlight w:val="none"/>
        </w:rPr>
      </w:pPr>
      <w:r>
        <w:rPr>
          <w:rFonts w:ascii="宋体" w:hAnsi="宋体" w:cs="宋体"/>
          <w:color w:val="auto"/>
          <w:sz w:val="24"/>
          <w:highlight w:val="none"/>
        </w:rPr>
      </w:r>
      <w:r/>
    </w:p>
    <w:sectPr>
      <w:footerReference w:type="default" r:id="rId18"/>
      <w:footerReference w:type="first" r:id="rId19"/>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Tahoma">
    <w:panose1 w:val="020B0604030504040204"/>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华文仿宋">
    <w:panose1 w:val="0201060004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87"/>
      </w:rPr>
      <w:framePr w:wrap="around" w:vAnchor="text" w:hAnchor="margin" w:xAlign="center" w:y="1"/>
    </w:pPr>
    <w:r>
      <w:fldChar w:fldCharType="begin"/>
    </w:r>
    <w:r>
      <w:rPr>
        <w:rStyle w:val="1187"/>
      </w:rPr>
      <w:instrText xml:space="preserve">PAGE  </w:instrText>
    </w:r>
    <w:r>
      <w:fldChar w:fldCharType="separate"/>
    </w:r>
    <w:r>
      <w:rPr>
        <w:rStyle w:val="1187"/>
      </w:rPr>
      <w:t xml:space="preserve">8</w:t>
    </w:r>
    <w:r>
      <w:fldChar w:fldCharType="end"/>
    </w:r>
    <w:r/>
  </w:p>
  <w:p>
    <w:pPr>
      <w:pStyle w:val="11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87"/>
      </w:rPr>
      <w:framePr w:wrap="around" w:vAnchor="text" w:hAnchor="margin" w:xAlign="center" w:y="1"/>
    </w:pPr>
    <w:r>
      <w:fldChar w:fldCharType="begin"/>
    </w:r>
    <w:r>
      <w:rPr>
        <w:rStyle w:val="1187"/>
      </w:rPr>
      <w:instrText xml:space="preserve">PAGE  </w:instrText>
    </w:r>
    <w:r>
      <w:fldChar w:fldCharType="end"/>
    </w:r>
    <w:r/>
  </w:p>
  <w:p>
    <w:pPr>
      <w:pStyle w:val="11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tabs>
                              <w:tab w:val="center" w:pos="4153" w:leader="none"/>
                              <w:tab w:val="clear" w:pos="7143" w:leader="none"/>
                              <w:tab w:val="right" w:pos="8306" w:leader="none"/>
                              <w:tab w:val="clear" w:pos="14287" w:leader="none"/>
                            </w:tabs>
                            <w:rPr>
                              <w:rStyle w:val="947"/>
                            </w:rPr>
                          </w:pPr>
                          <w:r>
                            <w:fldChar w:fldCharType="begin"/>
                          </w:r>
                          <w:r>
                            <w:rPr>
                              <w:rStyle w:val="947"/>
                            </w:rPr>
                            <w:instrText xml:space="preserve">PAGE  </w:instrText>
                          </w:r>
                          <w:r>
                            <w:fldChar w:fldCharType="separate"/>
                          </w:r>
                          <w:r>
                            <w:rPr>
                              <w:rStyle w:val="947"/>
                            </w:rP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tabs>
                        <w:tab w:val="center" w:pos="4153" w:leader="none"/>
                        <w:tab w:val="clear" w:pos="7143" w:leader="none"/>
                        <w:tab w:val="right" w:pos="8306" w:leader="none"/>
                        <w:tab w:val="clear" w:pos="14287" w:leader="none"/>
                      </w:tabs>
                      <w:rPr>
                        <w:rStyle w:val="947"/>
                      </w:rPr>
                    </w:pPr>
                    <w:r>
                      <w:fldChar w:fldCharType="begin"/>
                    </w:r>
                    <w:r>
                      <w:rPr>
                        <w:rStyle w:val="947"/>
                      </w:rPr>
                      <w:instrText xml:space="preserve">PAGE  </w:instrText>
                    </w:r>
                    <w:r>
                      <w:fldChar w:fldCharType="separate"/>
                    </w:r>
                    <w:r>
                      <w:rPr>
                        <w:rStyle w:val="947"/>
                      </w:rP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7"/>
                            <w:rPr>
                              <w:rStyle w:val="1187"/>
                            </w:rPr>
                          </w:pPr>
                          <w:r>
                            <w:fldChar w:fldCharType="begin"/>
                          </w:r>
                          <w:r>
                            <w:rPr>
                              <w:rStyle w:val="1187"/>
                            </w:rPr>
                            <w:instrText xml:space="preserve">PAGE  </w:instrText>
                          </w:r>
                          <w:r>
                            <w:fldChar w:fldCharType="separate"/>
                          </w:r>
                          <w:r>
                            <w:rPr>
                              <w:rStyle w:val="1187"/>
                            </w:rP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7"/>
                      <w:rPr>
                        <w:rStyle w:val="1187"/>
                      </w:rPr>
                    </w:pPr>
                    <w:r>
                      <w:fldChar w:fldCharType="begin"/>
                    </w:r>
                    <w:r>
                      <w:rPr>
                        <w:rStyle w:val="1187"/>
                      </w:rPr>
                      <w:instrText xml:space="preserve">PAGE  </w:instrText>
                    </w:r>
                    <w:r>
                      <w:fldChar w:fldCharType="separate"/>
                    </w:r>
                    <w:r>
                      <w:rPr>
                        <w:rStyle w:val="1187"/>
                      </w:rPr>
                      <w:t xml:space="preserve">45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7"/>
                            <w:rPr>
                              <w:rStyle w:val="1187"/>
                            </w:rPr>
                          </w:pPr>
                          <w:r>
                            <w:fldChar w:fldCharType="begin"/>
                          </w:r>
                          <w:r>
                            <w:rPr>
                              <w:rStyle w:val="1187"/>
                            </w:rPr>
                            <w:instrText xml:space="preserve">PAGE  </w:instrText>
                          </w:r>
                          <w:r>
                            <w:fldChar w:fldCharType="separate"/>
                          </w:r>
                          <w:r>
                            <w:rPr>
                              <w:rStyle w:val="1187"/>
                            </w:rPr>
                            <w:t xml:space="preserve">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7"/>
                      <w:rPr>
                        <w:rStyle w:val="1187"/>
                      </w:rPr>
                    </w:pPr>
                    <w:r>
                      <w:fldChar w:fldCharType="begin"/>
                    </w:r>
                    <w:r>
                      <w:rPr>
                        <w:rStyle w:val="1187"/>
                      </w:rPr>
                      <w:instrText xml:space="preserve">PAGE  </w:instrText>
                    </w:r>
                    <w:r>
                      <w:fldChar w:fldCharType="separate"/>
                    </w:r>
                    <w:r>
                      <w:rPr>
                        <w:rStyle w:val="1187"/>
                      </w:rPr>
                      <w:t xml:space="preserve">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lef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rPr>
        <w:rFonts w:hint="eastAsia"/>
        <w:lang w:val="en-US" w:eastAsia="zh-CN"/>
      </w:rPr>
      <w:pBdr>
        <w:bottom w:val="none" w:color="auto" w:sz="0" w:space="1"/>
      </w:pBdr>
    </w:pPr>
    <w:r>
      <w:rPr>
        <w:rFonts w:hint="eastAsia"/>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rPr>
        <w:rFonts w:hint="eastAsia"/>
        <w:lang w:val="en-US" w:eastAsia="zh-CN"/>
      </w:rPr>
      <w:pBdr>
        <w:bottom w:val="none" w:color="auto" w:sz="0" w:space="1"/>
      </w:pBd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0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default="1">
    <w:name w:val="Normal"/>
    <w:uiPriority w:val="0"/>
    <w:qFormat/>
    <w:rPr>
      <w:rFonts w:hint="default" w:ascii="Times New Roman" w:hAnsi="Times New Roman" w:eastAsia="宋体" w:cs="Times New Roman"/>
      <w:lang w:val="en-US" w:eastAsia="zh-CN" w:bidi="ar-SA"/>
    </w:rPr>
  </w:style>
  <w:style w:type="paragraph" w:styleId="898">
    <w:name w:val="Heading 1"/>
    <w:basedOn w:val="897"/>
    <w:next w:val="897"/>
    <w:link w:val="1026"/>
    <w:uiPriority w:val="9"/>
    <w:qFormat/>
    <w:pPr>
      <w:keepLines/>
      <w:keepNext/>
      <w:spacing w:before="480" w:after="200"/>
      <w:outlineLvl w:val="0"/>
    </w:pPr>
    <w:rPr>
      <w:rFonts w:ascii="Arial" w:hAnsi="Arial" w:eastAsia="Arial" w:cs="Arial"/>
      <w:sz w:val="40"/>
      <w:szCs w:val="40"/>
    </w:rPr>
  </w:style>
  <w:style w:type="paragraph" w:styleId="899">
    <w:name w:val="Heading 2"/>
    <w:basedOn w:val="897"/>
    <w:next w:val="900"/>
    <w:link w:val="1027"/>
    <w:uiPriority w:val="9"/>
    <w:unhideWhenUsed/>
    <w:qFormat/>
    <w:pPr>
      <w:keepLines/>
      <w:keepNext/>
      <w:spacing w:before="360" w:after="200"/>
      <w:outlineLvl w:val="1"/>
    </w:pPr>
    <w:rPr>
      <w:rFonts w:ascii="Arial" w:hAnsi="Arial" w:eastAsia="Arial" w:cs="Arial"/>
      <w:sz w:val="34"/>
    </w:rPr>
  </w:style>
  <w:style w:type="paragraph" w:styleId="900">
    <w:name w:val="Heading 3"/>
    <w:basedOn w:val="897"/>
    <w:next w:val="897"/>
    <w:link w:val="1028"/>
    <w:uiPriority w:val="9"/>
    <w:unhideWhenUsed/>
    <w:qFormat/>
    <w:pPr>
      <w:keepLines/>
      <w:keepNext/>
      <w:spacing w:before="320" w:after="200"/>
      <w:outlineLvl w:val="2"/>
    </w:pPr>
    <w:rPr>
      <w:rFonts w:ascii="Arial" w:hAnsi="Arial" w:eastAsia="Arial" w:cs="Arial"/>
      <w:sz w:val="30"/>
      <w:szCs w:val="30"/>
    </w:rPr>
  </w:style>
  <w:style w:type="paragraph" w:styleId="901">
    <w:name w:val="Heading 4"/>
    <w:basedOn w:val="897"/>
    <w:next w:val="897"/>
    <w:link w:val="1029"/>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next w:val="897"/>
    <w:link w:val="103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903">
    <w:name w:val="Heading 6"/>
    <w:next w:val="897"/>
    <w:link w:val="103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904">
    <w:name w:val="Heading 7"/>
    <w:next w:val="897"/>
    <w:link w:val="103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905">
    <w:name w:val="Heading 8"/>
    <w:next w:val="897"/>
    <w:link w:val="103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906">
    <w:name w:val="Heading 9"/>
    <w:next w:val="897"/>
    <w:link w:val="103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toc 7"/>
    <w:next w:val="897"/>
    <w:uiPriority w:val="39"/>
    <w:unhideWhenUsed/>
    <w:qFormat/>
    <w:pPr>
      <w:ind w:left="1701"/>
      <w:spacing w:after="57"/>
    </w:pPr>
    <w:rPr>
      <w:rFonts w:hint="default" w:ascii="Times New Roman" w:hAnsi="Times New Roman" w:eastAsia="宋体" w:cs="Times New Roman"/>
      <w:lang w:val="en-US" w:eastAsia="zh-CN" w:bidi="ar-SA"/>
    </w:rPr>
  </w:style>
  <w:style w:type="paragraph" w:styleId="910">
    <w:name w:val="Normal Indent"/>
    <w:basedOn w:val="897"/>
    <w:uiPriority w:val="99"/>
    <w:unhideWhenUsed/>
    <w:qFormat/>
    <w:pPr>
      <w:ind w:firstLine="420"/>
    </w:pPr>
  </w:style>
  <w:style w:type="paragraph" w:styleId="911">
    <w:name w:val="Caption"/>
    <w:next w:val="897"/>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12">
    <w:name w:val="index 5"/>
    <w:basedOn w:val="897"/>
    <w:next w:val="897"/>
    <w:uiPriority w:val="0"/>
    <w:qFormat/>
    <w:pPr>
      <w:ind w:left="798"/>
    </w:pPr>
    <w:rPr>
      <w:rFonts w:ascii="Calibri" w:hAnsi="Calibri"/>
    </w:rPr>
  </w:style>
  <w:style w:type="paragraph" w:styleId="913">
    <w:name w:val="annotation text"/>
    <w:basedOn w:val="897"/>
    <w:link w:val="1213"/>
    <w:uiPriority w:val="99"/>
    <w:semiHidden/>
    <w:unhideWhenUsed/>
    <w:qFormat/>
  </w:style>
  <w:style w:type="paragraph" w:styleId="914">
    <w:name w:val="Body Text"/>
    <w:basedOn w:val="897"/>
    <w:next w:val="915"/>
    <w:uiPriority w:val="99"/>
    <w:qFormat/>
    <w:pPr>
      <w:spacing w:after="120"/>
    </w:pPr>
  </w:style>
  <w:style w:type="paragraph" w:styleId="915" w:customStyle="1">
    <w:name w:val="一级条标题"/>
    <w:basedOn w:val="916"/>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next w:val="89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7" w:customStyle="1">
    <w:name w:val="段"/>
    <w:basedOn w:val="918"/>
    <w:next w:val="897"/>
    <w:uiPriority w:val="0"/>
    <w:qFormat/>
    <w:pPr>
      <w:ind w:firstLine="200"/>
      <w:widowControl/>
    </w:pPr>
    <w:rPr>
      <w:rFonts w:ascii="宋体"/>
      <w:sz w:val="20"/>
      <w:szCs w:val="20"/>
    </w:rPr>
  </w:style>
  <w:style w:type="paragraph" w:styleId="918" w:customStyle="1">
    <w:name w:val="正文1"/>
    <w:basedOn w:val="919"/>
    <w:next w:val="920"/>
    <w:link w:val="1207"/>
    <w:uiPriority w:val="0"/>
    <w:qFormat/>
  </w:style>
  <w:style w:type="paragraph" w:styleId="919" w:customStyle="1">
    <w:name w:val="正文111"/>
    <w:next w:val="897"/>
    <w:link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文本1"/>
    <w:basedOn w:val="918"/>
    <w:next w:val="915"/>
    <w:uiPriority w:val="0"/>
    <w:qFormat/>
    <w:pPr>
      <w:spacing w:after="120"/>
    </w:pPr>
  </w:style>
  <w:style w:type="paragraph" w:styleId="921">
    <w:name w:val="Body Text Indent"/>
    <w:basedOn w:val="897"/>
    <w:next w:val="922"/>
    <w:uiPriority w:val="0"/>
    <w:qFormat/>
    <w:pPr>
      <w:ind w:left="420"/>
      <w:spacing w:after="120"/>
    </w:pPr>
  </w:style>
  <w:style w:type="paragraph" w:styleId="922">
    <w:name w:val="envelope return"/>
    <w:basedOn w:val="897"/>
    <w:uiPriority w:val="0"/>
    <w:qFormat/>
    <w:rPr>
      <w:rFonts w:ascii="Arial" w:hAnsi="Arial"/>
    </w:rPr>
  </w:style>
  <w:style w:type="paragraph" w:styleId="923">
    <w:name w:val="Block Text"/>
    <w:basedOn w:val="897"/>
    <w:uiPriority w:val="0"/>
    <w:unhideWhenUsed/>
    <w:qFormat/>
    <w:pPr>
      <w:ind w:left="420" w:right="33"/>
    </w:pPr>
    <w:rPr>
      <w:sz w:val="24"/>
    </w:rPr>
  </w:style>
  <w:style w:type="paragraph" w:styleId="924">
    <w:name w:val="toc 5"/>
    <w:next w:val="897"/>
    <w:uiPriority w:val="39"/>
    <w:unhideWhenUsed/>
    <w:qFormat/>
    <w:pPr>
      <w:ind w:left="1134"/>
      <w:spacing w:after="57"/>
    </w:pPr>
    <w:rPr>
      <w:rFonts w:hint="default" w:ascii="Times New Roman" w:hAnsi="Times New Roman" w:eastAsia="宋体" w:cs="Times New Roman"/>
      <w:lang w:val="en-US" w:eastAsia="zh-CN" w:bidi="ar-SA"/>
    </w:rPr>
  </w:style>
  <w:style w:type="paragraph" w:styleId="925">
    <w:name w:val="toc 3"/>
    <w:next w:val="897"/>
    <w:uiPriority w:val="39"/>
    <w:unhideWhenUsed/>
    <w:qFormat/>
    <w:pPr>
      <w:ind w:left="567"/>
      <w:spacing w:after="57"/>
    </w:pPr>
    <w:rPr>
      <w:rFonts w:hint="default" w:ascii="Times New Roman" w:hAnsi="Times New Roman" w:eastAsia="宋体" w:cs="Times New Roman"/>
      <w:lang w:val="en-US" w:eastAsia="zh-CN" w:bidi="ar-SA"/>
    </w:rPr>
  </w:style>
  <w:style w:type="paragraph" w:styleId="926">
    <w:name w:val="Plain Text"/>
    <w:basedOn w:val="897"/>
    <w:uiPriority w:val="0"/>
    <w:qFormat/>
    <w:rPr>
      <w:rFonts w:ascii="宋体" w:hAnsi="Courier New"/>
      <w:sz w:val="21"/>
      <w:szCs w:val="21"/>
    </w:rPr>
  </w:style>
  <w:style w:type="paragraph" w:styleId="927">
    <w:name w:val="toc 8"/>
    <w:next w:val="897"/>
    <w:uiPriority w:val="39"/>
    <w:unhideWhenUsed/>
    <w:qFormat/>
    <w:pPr>
      <w:ind w:left="1984"/>
      <w:spacing w:after="57"/>
    </w:pPr>
    <w:rPr>
      <w:rFonts w:hint="default" w:ascii="Times New Roman" w:hAnsi="Times New Roman" w:eastAsia="宋体" w:cs="Times New Roman"/>
      <w:lang w:val="en-US" w:eastAsia="zh-CN" w:bidi="ar-SA"/>
    </w:rPr>
  </w:style>
  <w:style w:type="paragraph" w:styleId="928">
    <w:name w:val="endnote text"/>
    <w:link w:val="1153"/>
    <w:uiPriority w:val="99"/>
    <w:semiHidden/>
    <w:unhideWhenUsed/>
    <w:qFormat/>
    <w:rPr>
      <w:rFonts w:hint="default" w:ascii="Times New Roman" w:hAnsi="Times New Roman" w:eastAsia="宋体" w:cs="Times New Roman"/>
      <w:lang w:val="en-US" w:eastAsia="zh-CN" w:bidi="ar-SA"/>
    </w:rPr>
  </w:style>
  <w:style w:type="paragraph" w:styleId="929">
    <w:name w:val="Balloon Text"/>
    <w:basedOn w:val="897"/>
    <w:link w:val="1212"/>
    <w:uiPriority w:val="99"/>
    <w:semiHidden/>
    <w:unhideWhenUsed/>
    <w:qFormat/>
    <w:rPr>
      <w:sz w:val="18"/>
      <w:szCs w:val="18"/>
    </w:rPr>
  </w:style>
  <w:style w:type="paragraph" w:styleId="930">
    <w:name w:val="Footer"/>
    <w:basedOn w:val="897"/>
    <w:link w:val="1045"/>
    <w:uiPriority w:val="99"/>
    <w:unhideWhenUsed/>
    <w:qFormat/>
    <w:pPr>
      <w:tabs>
        <w:tab w:val="center" w:pos="7143" w:leader="none"/>
        <w:tab w:val="right" w:pos="14287" w:leader="none"/>
      </w:tabs>
    </w:pPr>
  </w:style>
  <w:style w:type="paragraph" w:styleId="931">
    <w:name w:val="Header"/>
    <w:basedOn w:val="897"/>
    <w:link w:val="1043"/>
    <w:uiPriority w:val="99"/>
    <w:unhideWhenUsed/>
    <w:qFormat/>
    <w:pPr>
      <w:tabs>
        <w:tab w:val="center" w:pos="7143" w:leader="none"/>
        <w:tab w:val="right" w:pos="14287" w:leader="none"/>
      </w:tabs>
    </w:pPr>
  </w:style>
  <w:style w:type="paragraph" w:styleId="932">
    <w:name w:val="toc 1"/>
    <w:basedOn w:val="897"/>
    <w:next w:val="897"/>
    <w:uiPriority w:val="39"/>
    <w:unhideWhenUsed/>
    <w:qFormat/>
    <w:pPr>
      <w:spacing w:after="57"/>
    </w:pPr>
  </w:style>
  <w:style w:type="paragraph" w:styleId="933">
    <w:name w:val="toc 4"/>
    <w:next w:val="897"/>
    <w:uiPriority w:val="39"/>
    <w:unhideWhenUsed/>
    <w:qFormat/>
    <w:pPr>
      <w:ind w:left="850"/>
      <w:spacing w:after="57"/>
    </w:pPr>
    <w:rPr>
      <w:rFonts w:hint="default" w:ascii="Times New Roman" w:hAnsi="Times New Roman" w:eastAsia="宋体" w:cs="Times New Roman"/>
      <w:lang w:val="en-US" w:eastAsia="zh-CN" w:bidi="ar-SA"/>
    </w:rPr>
  </w:style>
  <w:style w:type="paragraph" w:styleId="934">
    <w:name w:val="Subtitle"/>
    <w:link w:val="103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35">
    <w:name w:val="footnote text"/>
    <w:basedOn w:val="897"/>
    <w:link w:val="1152"/>
    <w:uiPriority w:val="99"/>
    <w:semiHidden/>
    <w:unhideWhenUsed/>
    <w:qFormat/>
    <w:pPr>
      <w:spacing w:after="40"/>
    </w:pPr>
    <w:rPr>
      <w:sz w:val="18"/>
    </w:rPr>
  </w:style>
  <w:style w:type="paragraph" w:styleId="936">
    <w:name w:val="toc 6"/>
    <w:next w:val="897"/>
    <w:uiPriority w:val="39"/>
    <w:unhideWhenUsed/>
    <w:qFormat/>
    <w:pPr>
      <w:ind w:left="1417"/>
      <w:spacing w:after="57"/>
    </w:pPr>
    <w:rPr>
      <w:rFonts w:hint="default" w:ascii="Times New Roman" w:hAnsi="Times New Roman" w:eastAsia="宋体" w:cs="Times New Roman"/>
      <w:lang w:val="en-US" w:eastAsia="zh-CN" w:bidi="ar-SA"/>
    </w:rPr>
  </w:style>
  <w:style w:type="paragraph" w:styleId="937">
    <w:name w:val="table of figures"/>
    <w:next w:val="897"/>
    <w:uiPriority w:val="99"/>
    <w:unhideWhenUsed/>
    <w:qFormat/>
    <w:rPr>
      <w:rFonts w:hint="default" w:ascii="Times New Roman" w:hAnsi="Times New Roman" w:eastAsia="宋体" w:cs="Times New Roman"/>
      <w:lang w:val="en-US" w:eastAsia="zh-CN" w:bidi="ar-SA"/>
    </w:rPr>
  </w:style>
  <w:style w:type="paragraph" w:styleId="938">
    <w:name w:val="toc 2"/>
    <w:next w:val="897"/>
    <w:uiPriority w:val="39"/>
    <w:unhideWhenUsed/>
    <w:qFormat/>
    <w:pPr>
      <w:ind w:left="283"/>
      <w:spacing w:after="57"/>
    </w:pPr>
    <w:rPr>
      <w:rFonts w:hint="default" w:ascii="Times New Roman" w:hAnsi="Times New Roman" w:eastAsia="宋体" w:cs="Times New Roman"/>
      <w:lang w:val="en-US" w:eastAsia="zh-CN" w:bidi="ar-SA"/>
    </w:rPr>
  </w:style>
  <w:style w:type="paragraph" w:styleId="939">
    <w:name w:val="toc 9"/>
    <w:next w:val="897"/>
    <w:uiPriority w:val="39"/>
    <w:unhideWhenUsed/>
    <w:qFormat/>
    <w:pPr>
      <w:ind w:left="2268"/>
      <w:spacing w:after="57"/>
    </w:pPr>
    <w:rPr>
      <w:rFonts w:hint="default" w:ascii="Times New Roman" w:hAnsi="Times New Roman" w:eastAsia="宋体" w:cs="Times New Roman"/>
      <w:lang w:val="en-US" w:eastAsia="zh-CN" w:bidi="ar-SA"/>
    </w:rPr>
  </w:style>
  <w:style w:type="paragraph" w:styleId="940">
    <w:name w:val="Normal (Web)"/>
    <w:basedOn w:val="897"/>
    <w:uiPriority w:val="99"/>
    <w:qFormat/>
    <w:pPr>
      <w:spacing w:before="100" w:beforeAutospacing="1" w:after="100" w:afterAutospacing="1"/>
    </w:pPr>
    <w:rPr>
      <w:rFonts w:ascii="宋体" w:hAnsi="宋体" w:cs="宋体"/>
      <w:sz w:val="24"/>
    </w:rPr>
  </w:style>
  <w:style w:type="paragraph" w:styleId="941">
    <w:name w:val="Title"/>
    <w:link w:val="103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42">
    <w:name w:val="annotation subject"/>
    <w:basedOn w:val="913"/>
    <w:next w:val="913"/>
    <w:link w:val="1214"/>
    <w:uiPriority w:val="99"/>
    <w:semiHidden/>
    <w:unhideWhenUsed/>
    <w:qFormat/>
    <w:rPr>
      <w:b/>
      <w:bCs/>
    </w:rPr>
  </w:style>
  <w:style w:type="paragraph" w:styleId="943">
    <w:name w:val="Body Text First Indent"/>
    <w:basedOn w:val="914"/>
    <w:next w:val="944"/>
    <w:uiPriority w:val="0"/>
    <w:qFormat/>
    <w:pPr>
      <w:ind w:firstLine="420"/>
      <w:spacing w:after="0"/>
    </w:pPr>
    <w:rPr>
      <w:sz w:val="28"/>
      <w:szCs w:val="28"/>
    </w:rPr>
  </w:style>
  <w:style w:type="paragraph" w:styleId="944">
    <w:name w:val="Body Text First Indent 2"/>
    <w:basedOn w:val="921"/>
    <w:next w:val="897"/>
    <w:uiPriority w:val="99"/>
    <w:unhideWhenUsed/>
    <w:qFormat/>
  </w:style>
  <w:style w:type="table" w:styleId="9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page number"/>
    <w:basedOn w:val="907"/>
    <w:uiPriority w:val="0"/>
    <w:qFormat/>
  </w:style>
  <w:style w:type="character" w:styleId="948">
    <w:name w:val="FollowedHyperlink"/>
    <w:uiPriority w:val="99"/>
    <w:semiHidden/>
    <w:unhideWhenUsed/>
    <w:qFormat/>
    <w:rPr>
      <w:color w:val="333333"/>
      <w:u w:val="none"/>
    </w:rPr>
  </w:style>
  <w:style w:type="character" w:styleId="949">
    <w:name w:val="Hyperlink"/>
    <w:uiPriority w:val="99"/>
    <w:unhideWhenUsed/>
    <w:qFormat/>
    <w:rPr>
      <w:color w:val="0000ff"/>
      <w:u w:val="single"/>
    </w:rPr>
  </w:style>
  <w:style w:type="character" w:styleId="950">
    <w:name w:val="annotation reference"/>
    <w:basedOn w:val="907"/>
    <w:uiPriority w:val="99"/>
    <w:semiHidden/>
    <w:unhideWhenUsed/>
    <w:qFormat/>
    <w:rPr>
      <w:sz w:val="21"/>
      <w:szCs w:val="21"/>
    </w:rPr>
  </w:style>
  <w:style w:type="character" w:styleId="951">
    <w:name w:val="footnote reference"/>
    <w:uiPriority w:val="99"/>
    <w:unhideWhenUsed/>
    <w:qFormat/>
    <w:rPr>
      <w:vertAlign w:val="superscript"/>
    </w:rPr>
  </w:style>
  <w:style w:type="paragraph" w:styleId="952" w:customStyle="1">
    <w:name w:val="脚注文本11"/>
    <w:basedOn w:val="919"/>
    <w:next w:val="953"/>
    <w:uiPriority w:val="0"/>
    <w:qFormat/>
    <w:pPr>
      <w:jc w:val="left"/>
    </w:pPr>
    <w:rPr>
      <w:rFonts w:ascii="宋体" w:eastAsia="Times New Roman"/>
      <w:sz w:val="18"/>
      <w:szCs w:val="18"/>
    </w:rPr>
  </w:style>
  <w:style w:type="paragraph" w:styleId="953" w:customStyle="1">
    <w:name w:val="索引 511"/>
    <w:basedOn w:val="919"/>
    <w:next w:val="919"/>
    <w:uiPriority w:val="0"/>
    <w:qFormat/>
    <w:pPr>
      <w:ind w:left="798"/>
      <w:jc w:val="left"/>
    </w:pPr>
    <w:rPr>
      <w:rFonts w:ascii="Calibri" w:hAnsi="Calibri"/>
    </w:rPr>
  </w:style>
  <w:style w:type="paragraph" w:styleId="954" w:customStyle="1">
    <w:name w:val="文本块1"/>
    <w:basedOn w:val="918"/>
    <w:next w:val="955"/>
    <w:uiPriority w:val="0"/>
    <w:qFormat/>
    <w:pPr>
      <w:ind w:left="1440" w:right="1440"/>
      <w:spacing w:after="120"/>
    </w:pPr>
  </w:style>
  <w:style w:type="paragraph" w:styleId="955" w:customStyle="1">
    <w:name w:val="标题 41"/>
    <w:basedOn w:val="918"/>
    <w:next w:val="956"/>
    <w:link w:val="1164"/>
    <w:uiPriority w:val="0"/>
    <w:qFormat/>
    <w:pPr>
      <w:keepLines/>
      <w:keepNext/>
      <w:spacing w:before="280" w:after="290" w:line="376" w:lineRule="auto"/>
      <w:outlineLvl w:val="3"/>
    </w:pPr>
    <w:rPr>
      <w:rFonts w:ascii="Cambria" w:hAnsi="Cambria"/>
      <w:b/>
      <w:bCs/>
      <w:sz w:val="28"/>
      <w:szCs w:val="28"/>
    </w:rPr>
  </w:style>
  <w:style w:type="paragraph" w:styleId="956"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11"/>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缩进1"/>
    <w:basedOn w:val="918"/>
    <w:link w:val="1165"/>
    <w:uiPriority w:val="0"/>
    <w:qFormat/>
    <w:pPr>
      <w:ind w:firstLine="420"/>
    </w:pPr>
    <w:rPr>
      <w:lang w:eastAsia="en-US"/>
    </w:rPr>
  </w:style>
  <w:style w:type="table" w:styleId="959" w:customStyle="1">
    <w:name w:val="Plain Table 1"/>
    <w:basedOn w:val="9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9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9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9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9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9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9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3"/>
    <w:basedOn w:val="9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9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5 Dark"/>
    <w:basedOn w:val="9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6 Colorful"/>
    <w:basedOn w:val="9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7 Colorful"/>
    <w:basedOn w:val="9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1 Light"/>
    <w:basedOn w:val="9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2"/>
    <w:basedOn w:val="9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3"/>
    <w:basedOn w:val="9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w:basedOn w:val="9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5 Dark"/>
    <w:basedOn w:val="9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9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7 Colorful"/>
    <w:basedOn w:val="9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BlockQuote"/>
    <w:basedOn w:val="919"/>
    <w:uiPriority w:val="0"/>
    <w:qFormat/>
    <w:pPr>
      <w:ind w:left="256" w:right="6" w:firstLine="624"/>
    </w:pPr>
    <w:rPr>
      <w:rFonts w:eastAsia="仿宋_GB2312"/>
      <w:sz w:val="28"/>
    </w:rPr>
  </w:style>
  <w:style w:type="paragraph" w:styleId="980" w:customStyle="1">
    <w:name w:val="正文首行缩进1"/>
    <w:basedOn w:val="920"/>
    <w:next w:val="981"/>
    <w:uiPriority w:val="0"/>
    <w:qFormat/>
    <w:pPr>
      <w:ind w:firstLine="200"/>
      <w:spacing w:line="360" w:lineRule="auto"/>
    </w:pPr>
    <w:rPr>
      <w:rFonts w:ascii="仿宋_GB2312" w:eastAsia="仿宋_GB2312"/>
      <w:sz w:val="30"/>
      <w:szCs w:val="30"/>
    </w:rPr>
  </w:style>
  <w:style w:type="paragraph" w:styleId="981" w:customStyle="1">
    <w:name w:val="正文首行缩进 21"/>
    <w:basedOn w:val="982"/>
    <w:next w:val="918"/>
    <w:uiPriority w:val="0"/>
    <w:qFormat/>
    <w:pPr>
      <w:ind w:firstLine="420"/>
    </w:pPr>
  </w:style>
  <w:style w:type="paragraph" w:styleId="982" w:customStyle="1">
    <w:name w:val="正文文本缩进1"/>
    <w:basedOn w:val="957"/>
    <w:next w:val="983"/>
    <w:uiPriority w:val="0"/>
    <w:qFormat/>
    <w:pPr>
      <w:ind w:left="420"/>
      <w:spacing w:after="120"/>
    </w:pPr>
  </w:style>
  <w:style w:type="paragraph" w:styleId="983" w:customStyle="1">
    <w:name w:val="寄信人地址1"/>
    <w:basedOn w:val="957"/>
    <w:uiPriority w:val="0"/>
    <w:qFormat/>
    <w:rPr>
      <w:rFonts w:ascii="Arial" w:hAnsi="Arial"/>
    </w:rPr>
  </w:style>
  <w:style w:type="paragraph" w:styleId="984" w:customStyle="1">
    <w:name w:val="文本块11"/>
    <w:basedOn w:val="985"/>
    <w:uiPriority w:val="0"/>
    <w:qFormat/>
    <w:pPr>
      <w:ind w:left="256" w:right="6" w:firstLine="624"/>
    </w:pPr>
    <w:rPr>
      <w:rFonts w:ascii="Times New Roman" w:hAnsi="Times New Roman" w:eastAsia="仿宋_GB2312"/>
      <w:sz w:val="28"/>
      <w:szCs w:val="20"/>
    </w:rPr>
  </w:style>
  <w:style w:type="paragraph" w:styleId="985" w:customStyle="1">
    <w:name w:val="正文12"/>
    <w:next w:val="986"/>
    <w:uiPriority w:val="0"/>
    <w:qFormat/>
    <w:pPr>
      <w:jc w:val="both"/>
      <w:widowControl w:val="off"/>
    </w:pPr>
    <w:rPr>
      <w:rFonts w:hint="default" w:ascii="Calibri" w:hAnsi="Calibri" w:eastAsia="Calibri" w:cs="Times New Roman"/>
      <w:sz w:val="21"/>
      <w:szCs w:val="24"/>
      <w:lang w:val="en-US" w:eastAsia="zh-CN" w:bidi="ar-SA"/>
    </w:rPr>
  </w:style>
  <w:style w:type="paragraph" w:styleId="986" w:customStyle="1">
    <w:name w:val="Default"/>
    <w:uiPriority w:val="99"/>
    <w:qFormat/>
    <w:pPr>
      <w:widowControl w:val="off"/>
    </w:pPr>
    <w:rPr>
      <w:rFonts w:hint="default" w:ascii="宋体" w:hAnsi="Times New Roman" w:eastAsia="宋体" w:cs="Times New Roman"/>
      <w:color w:val="000000"/>
      <w:sz w:val="24"/>
      <w:lang w:val="en-US" w:eastAsia="zh-CN" w:bidi="ar-SA"/>
    </w:rPr>
  </w:style>
  <w:style w:type="paragraph" w:styleId="987" w:customStyle="1">
    <w:name w:val="TOC 标题1"/>
    <w:uiPriority w:val="39"/>
    <w:unhideWhenUsed/>
    <w:qFormat/>
    <w:rPr>
      <w:rFonts w:hint="default" w:ascii="Times New Roman" w:hAnsi="Times New Roman" w:eastAsia="宋体" w:cs="Times New Roman"/>
      <w:lang w:val="en-US" w:eastAsia="zh-CN" w:bidi="ar-SA"/>
    </w:rPr>
  </w:style>
  <w:style w:type="paragraph" w:styleId="988" w:customStyle="1">
    <w:name w:val="列表段落1"/>
    <w:basedOn w:val="918"/>
    <w:next w:val="897"/>
    <w:uiPriority w:val="0"/>
    <w:qFormat/>
    <w:pPr>
      <w:ind w:firstLine="420"/>
    </w:pPr>
  </w:style>
  <w:style w:type="character" w:styleId="989" w:customStyle="1">
    <w:name w:val="Heading 1 Char"/>
    <w:basedOn w:val="907"/>
    <w:uiPriority w:val="9"/>
    <w:qFormat/>
    <w:rPr>
      <w:rFonts w:ascii="Arial" w:hAnsi="Arial" w:eastAsia="Arial" w:cs="Arial"/>
      <w:sz w:val="40"/>
      <w:szCs w:val="40"/>
    </w:rPr>
  </w:style>
  <w:style w:type="character" w:styleId="990" w:customStyle="1">
    <w:name w:val="Heading 2 Char"/>
    <w:basedOn w:val="907"/>
    <w:uiPriority w:val="9"/>
    <w:qFormat/>
    <w:rPr>
      <w:rFonts w:ascii="Arial" w:hAnsi="Arial" w:eastAsia="Arial" w:cs="Arial"/>
      <w:sz w:val="34"/>
    </w:rPr>
  </w:style>
  <w:style w:type="character" w:styleId="991" w:customStyle="1">
    <w:name w:val="Heading 3 Char"/>
    <w:basedOn w:val="907"/>
    <w:uiPriority w:val="9"/>
    <w:qFormat/>
    <w:rPr>
      <w:rFonts w:ascii="Arial" w:hAnsi="Arial" w:eastAsia="Arial" w:cs="Arial"/>
      <w:sz w:val="30"/>
      <w:szCs w:val="30"/>
    </w:rPr>
  </w:style>
  <w:style w:type="character" w:styleId="992" w:customStyle="1">
    <w:name w:val="Heading 4 Char"/>
    <w:basedOn w:val="907"/>
    <w:uiPriority w:val="9"/>
    <w:qFormat/>
    <w:rPr>
      <w:rFonts w:ascii="Arial" w:hAnsi="Arial" w:eastAsia="Arial" w:cs="Arial"/>
      <w:b/>
      <w:bCs/>
      <w:sz w:val="26"/>
      <w:szCs w:val="26"/>
    </w:rPr>
  </w:style>
  <w:style w:type="character" w:styleId="993" w:customStyle="1">
    <w:name w:val="Heading 5 Char"/>
    <w:basedOn w:val="907"/>
    <w:uiPriority w:val="9"/>
    <w:qFormat/>
    <w:rPr>
      <w:rFonts w:ascii="Arial" w:hAnsi="Arial" w:eastAsia="Arial" w:cs="Arial"/>
      <w:b/>
      <w:bCs/>
      <w:sz w:val="24"/>
      <w:szCs w:val="24"/>
    </w:rPr>
  </w:style>
  <w:style w:type="character" w:styleId="994" w:customStyle="1">
    <w:name w:val="Heading 6 Char"/>
    <w:basedOn w:val="907"/>
    <w:uiPriority w:val="9"/>
    <w:qFormat/>
    <w:rPr>
      <w:rFonts w:ascii="Arial" w:hAnsi="Arial" w:eastAsia="Arial" w:cs="Arial"/>
      <w:b/>
      <w:bCs/>
      <w:sz w:val="22"/>
      <w:szCs w:val="22"/>
    </w:rPr>
  </w:style>
  <w:style w:type="character" w:styleId="995" w:customStyle="1">
    <w:name w:val="Heading 7 Char"/>
    <w:basedOn w:val="907"/>
    <w:uiPriority w:val="9"/>
    <w:qFormat/>
    <w:rPr>
      <w:rFonts w:ascii="Arial" w:hAnsi="Arial" w:eastAsia="Arial" w:cs="Arial"/>
      <w:b/>
      <w:bCs/>
      <w:i/>
      <w:iCs/>
      <w:sz w:val="22"/>
      <w:szCs w:val="22"/>
    </w:rPr>
  </w:style>
  <w:style w:type="character" w:styleId="996" w:customStyle="1">
    <w:name w:val="Heading 8 Char"/>
    <w:basedOn w:val="907"/>
    <w:uiPriority w:val="9"/>
    <w:qFormat/>
    <w:rPr>
      <w:rFonts w:ascii="Arial" w:hAnsi="Arial" w:eastAsia="Arial" w:cs="Arial"/>
      <w:i/>
      <w:iCs/>
      <w:sz w:val="22"/>
      <w:szCs w:val="22"/>
    </w:rPr>
  </w:style>
  <w:style w:type="character" w:styleId="997" w:customStyle="1">
    <w:name w:val="Heading 9 Char"/>
    <w:basedOn w:val="907"/>
    <w:uiPriority w:val="9"/>
    <w:qFormat/>
    <w:rPr>
      <w:rFonts w:ascii="Arial" w:hAnsi="Arial" w:eastAsia="Arial" w:cs="Arial"/>
      <w:i/>
      <w:iCs/>
      <w:sz w:val="21"/>
      <w:szCs w:val="21"/>
    </w:rPr>
  </w:style>
  <w:style w:type="character" w:styleId="998" w:customStyle="1">
    <w:name w:val="Title Char"/>
    <w:basedOn w:val="907"/>
    <w:uiPriority w:val="10"/>
    <w:qFormat/>
    <w:rPr>
      <w:sz w:val="48"/>
      <w:szCs w:val="48"/>
    </w:rPr>
  </w:style>
  <w:style w:type="character" w:styleId="999" w:customStyle="1">
    <w:name w:val="Subtitle Char"/>
    <w:basedOn w:val="907"/>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907"/>
    <w:uiPriority w:val="99"/>
    <w:qFormat/>
  </w:style>
  <w:style w:type="character" w:styleId="1003" w:customStyle="1">
    <w:name w:val="Caption Char"/>
    <w:uiPriority w:val="99"/>
    <w:qFormat/>
  </w:style>
  <w:style w:type="table" w:styleId="1004" w:customStyle="1">
    <w:name w:val="无格式表格 11"/>
    <w:basedOn w:val="9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21"/>
    <w:basedOn w:val="90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3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无格式表格 4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无格式表格 5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网格表 1 浅色1"/>
    <w:basedOn w:val="90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网格表 21"/>
    <w:basedOn w:val="9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网格表 31"/>
    <w:basedOn w:val="9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basedOn w:val="90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网格表 5 深色1"/>
    <w:basedOn w:val="9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网格表 6 彩色1"/>
    <w:basedOn w:val="90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网格表 7 彩色1"/>
    <w:basedOn w:val="90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清单表 1 浅色1"/>
    <w:basedOn w:val="90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清单表 21"/>
    <w:basedOn w:val="90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清单表 31"/>
    <w:basedOn w:val="90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清单表 41"/>
    <w:basedOn w:val="90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清单表 5 深色1"/>
    <w:basedOn w:val="90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清单表 6 彩色1"/>
    <w:basedOn w:val="90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清单表 7 彩色1"/>
    <w:basedOn w:val="908"/>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11"/>
    <w:uiPriority w:val="39"/>
    <w:unhideWhenUsed/>
    <w:qFormat/>
    <w:rPr>
      <w:rFonts w:hint="default" w:ascii="Times New Roman" w:hAnsi="Times New Roman" w:eastAsia="宋体" w:cs="Times New Roman"/>
      <w:lang w:val="en-US" w:eastAsia="zh-CN" w:bidi="ar-SA"/>
    </w:rPr>
  </w:style>
  <w:style w:type="character" w:styleId="1026" w:customStyle="1">
    <w:name w:val="标题 1 字符"/>
    <w:link w:val="898"/>
    <w:uiPriority w:val="9"/>
    <w:qFormat/>
    <w:rPr>
      <w:rFonts w:ascii="Arial" w:hAnsi="Arial" w:eastAsia="Arial" w:cs="Arial"/>
      <w:sz w:val="40"/>
      <w:szCs w:val="40"/>
    </w:rPr>
  </w:style>
  <w:style w:type="character" w:styleId="1027" w:customStyle="1">
    <w:name w:val="标题 2 字符"/>
    <w:link w:val="899"/>
    <w:uiPriority w:val="9"/>
    <w:qFormat/>
    <w:rPr>
      <w:rFonts w:ascii="Arial" w:hAnsi="Arial" w:eastAsia="Arial" w:cs="Arial"/>
      <w:sz w:val="34"/>
    </w:rPr>
  </w:style>
  <w:style w:type="character" w:styleId="1028" w:customStyle="1">
    <w:name w:val="标题 3 字符"/>
    <w:link w:val="900"/>
    <w:uiPriority w:val="9"/>
    <w:qFormat/>
    <w:rPr>
      <w:rFonts w:ascii="Arial" w:hAnsi="Arial" w:eastAsia="Arial" w:cs="Arial"/>
      <w:sz w:val="30"/>
      <w:szCs w:val="30"/>
    </w:rPr>
  </w:style>
  <w:style w:type="character" w:styleId="1029" w:customStyle="1">
    <w:name w:val="标题 4 字符"/>
    <w:link w:val="901"/>
    <w:uiPriority w:val="9"/>
    <w:qFormat/>
    <w:rPr>
      <w:rFonts w:ascii="Arial" w:hAnsi="Arial" w:eastAsia="Arial" w:cs="Arial"/>
      <w:b/>
      <w:bCs/>
      <w:sz w:val="26"/>
      <w:szCs w:val="26"/>
    </w:rPr>
  </w:style>
  <w:style w:type="character" w:styleId="1030" w:customStyle="1">
    <w:name w:val="标题 5 字符"/>
    <w:link w:val="902"/>
    <w:uiPriority w:val="9"/>
    <w:qFormat/>
    <w:rPr>
      <w:rFonts w:ascii="Arial" w:hAnsi="Arial" w:eastAsia="Arial" w:cs="Arial"/>
      <w:b/>
      <w:bCs/>
      <w:sz w:val="24"/>
      <w:szCs w:val="24"/>
    </w:rPr>
  </w:style>
  <w:style w:type="character" w:styleId="1031" w:customStyle="1">
    <w:name w:val="标题 6 字符"/>
    <w:link w:val="903"/>
    <w:uiPriority w:val="9"/>
    <w:qFormat/>
    <w:rPr>
      <w:rFonts w:ascii="Arial" w:hAnsi="Arial" w:eastAsia="Arial" w:cs="Arial"/>
      <w:b/>
      <w:bCs/>
      <w:sz w:val="22"/>
      <w:szCs w:val="22"/>
    </w:rPr>
  </w:style>
  <w:style w:type="character" w:styleId="1032" w:customStyle="1">
    <w:name w:val="标题 7 字符"/>
    <w:link w:val="904"/>
    <w:uiPriority w:val="9"/>
    <w:qFormat/>
    <w:rPr>
      <w:rFonts w:ascii="Arial" w:hAnsi="Arial" w:eastAsia="Arial" w:cs="Arial"/>
      <w:b/>
      <w:bCs/>
      <w:i/>
      <w:iCs/>
      <w:sz w:val="22"/>
      <w:szCs w:val="22"/>
    </w:rPr>
  </w:style>
  <w:style w:type="character" w:styleId="1033" w:customStyle="1">
    <w:name w:val="标题 8 字符"/>
    <w:link w:val="905"/>
    <w:uiPriority w:val="9"/>
    <w:qFormat/>
    <w:rPr>
      <w:rFonts w:ascii="Arial" w:hAnsi="Arial" w:eastAsia="Arial" w:cs="Arial"/>
      <w:i/>
      <w:iCs/>
      <w:sz w:val="22"/>
      <w:szCs w:val="22"/>
    </w:rPr>
  </w:style>
  <w:style w:type="character" w:styleId="1034" w:customStyle="1">
    <w:name w:val="标题 9 字符"/>
    <w:link w:val="906"/>
    <w:uiPriority w:val="9"/>
    <w:qFormat/>
    <w:rPr>
      <w:rFonts w:ascii="Arial" w:hAnsi="Arial" w:eastAsia="Arial" w:cs="Arial"/>
      <w:i/>
      <w:iCs/>
      <w:sz w:val="21"/>
      <w:szCs w:val="21"/>
    </w:rPr>
  </w:style>
  <w:style w:type="paragraph" w:styleId="1035">
    <w:name w:val="List Paragraph"/>
    <w:basedOn w:val="897"/>
    <w:uiPriority w:val="34"/>
    <w:qFormat/>
    <w:pPr>
      <w:contextualSpacing/>
      <w:ind w:left="720"/>
    </w:pPr>
  </w:style>
  <w:style w:type="paragraph" w:styleId="1036">
    <w:name w:val="No Spacing"/>
    <w:uiPriority w:val="1"/>
    <w:qFormat/>
    <w:rPr>
      <w:rFonts w:hint="default" w:ascii="Times New Roman" w:hAnsi="Times New Roman" w:eastAsia="宋体" w:cs="Times New Roman"/>
      <w:lang w:val="en-US" w:eastAsia="zh-CN" w:bidi="ar-SA"/>
    </w:rPr>
  </w:style>
  <w:style w:type="character" w:styleId="1037" w:customStyle="1">
    <w:name w:val="标题 字符"/>
    <w:link w:val="941"/>
    <w:uiPriority w:val="10"/>
    <w:qFormat/>
    <w:rPr>
      <w:sz w:val="48"/>
      <w:szCs w:val="48"/>
    </w:rPr>
  </w:style>
  <w:style w:type="character" w:styleId="1038" w:customStyle="1">
    <w:name w:val="副标题 字符"/>
    <w:link w:val="934"/>
    <w:uiPriority w:val="11"/>
    <w:qFormat/>
    <w:rPr>
      <w:sz w:val="24"/>
      <w:szCs w:val="24"/>
    </w:rPr>
  </w:style>
  <w:style w:type="paragraph" w:styleId="1039">
    <w:name w:val="Quote"/>
    <w:link w:val="1040"/>
    <w:uiPriority w:val="29"/>
    <w:qFormat/>
    <w:pPr>
      <w:ind w:left="720" w:right="720"/>
    </w:pPr>
    <w:rPr>
      <w:rFonts w:hint="default" w:ascii="Times New Roman" w:hAnsi="Times New Roman" w:eastAsia="宋体" w:cs="Times New Roman"/>
      <w:i/>
      <w:lang w:val="en-US" w:eastAsia="zh-CN" w:bidi="ar-SA"/>
    </w:rPr>
  </w:style>
  <w:style w:type="character" w:styleId="1040" w:customStyle="1">
    <w:name w:val="引用 字符"/>
    <w:link w:val="1039"/>
    <w:uiPriority w:val="29"/>
    <w:qFormat/>
    <w:rPr>
      <w:i/>
    </w:rPr>
  </w:style>
  <w:style w:type="paragraph" w:styleId="1041">
    <w:name w:val="Intense Quote"/>
    <w:link w:val="10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42" w:customStyle="1">
    <w:name w:val="明显引用 字符"/>
    <w:link w:val="1041"/>
    <w:uiPriority w:val="30"/>
    <w:qFormat/>
    <w:rPr>
      <w:i/>
    </w:rPr>
  </w:style>
  <w:style w:type="character" w:styleId="1043" w:customStyle="1">
    <w:name w:val="页眉 字符"/>
    <w:link w:val="931"/>
    <w:uiPriority w:val="99"/>
    <w:qFormat/>
  </w:style>
  <w:style w:type="character" w:styleId="1044" w:customStyle="1">
    <w:name w:val="Footer Char"/>
    <w:uiPriority w:val="99"/>
    <w:qFormat/>
  </w:style>
  <w:style w:type="character" w:styleId="1045" w:customStyle="1">
    <w:name w:val="页脚 字符"/>
    <w:link w:val="930"/>
    <w:uiPriority w:val="99"/>
    <w:qFormat/>
  </w:style>
  <w:style w:type="table" w:styleId="10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9" w:customStyle="1">
    <w:name w:val="List Table 1 Light - Accent 1"/>
    <w:uiPriority w:val="99"/>
    <w:qFormat/>
    <w:tblPr>
      <w:tblCellMar>
        <w:left w:w="0" w:type="dxa"/>
        <w:top w:w="0" w:type="dxa"/>
        <w:right w:w="0" w:type="dxa"/>
        <w:bottom w:w="0" w:type="dxa"/>
      </w:tblCellMar>
    </w:tblPr>
  </w:style>
  <w:style w:type="table" w:styleId="1090" w:customStyle="1">
    <w:name w:val="List Table 1 Light - Accent 2"/>
    <w:uiPriority w:val="99"/>
    <w:qFormat/>
    <w:tblPr>
      <w:tblCellMar>
        <w:left w:w="0" w:type="dxa"/>
        <w:top w:w="0" w:type="dxa"/>
        <w:right w:w="0" w:type="dxa"/>
        <w:bottom w:w="0" w:type="dxa"/>
      </w:tblCellMar>
    </w:tblPr>
  </w:style>
  <w:style w:type="table" w:styleId="1091" w:customStyle="1">
    <w:name w:val="List Table 1 Light - Accent 3"/>
    <w:uiPriority w:val="99"/>
    <w:qFormat/>
    <w:tblPr>
      <w:tblCellMar>
        <w:left w:w="0" w:type="dxa"/>
        <w:top w:w="0" w:type="dxa"/>
        <w:right w:w="0" w:type="dxa"/>
        <w:bottom w:w="0" w:type="dxa"/>
      </w:tblCellMar>
    </w:tblPr>
  </w:style>
  <w:style w:type="table" w:styleId="1092" w:customStyle="1">
    <w:name w:val="List Table 1 Light - Accent 4"/>
    <w:uiPriority w:val="99"/>
    <w:qFormat/>
    <w:tblPr>
      <w:tblCellMar>
        <w:left w:w="0" w:type="dxa"/>
        <w:top w:w="0" w:type="dxa"/>
        <w:right w:w="0" w:type="dxa"/>
        <w:bottom w:w="0" w:type="dxa"/>
      </w:tblCellMar>
    </w:tblPr>
  </w:style>
  <w:style w:type="table" w:styleId="1093" w:customStyle="1">
    <w:name w:val="List Table 1 Light - Accent 5"/>
    <w:uiPriority w:val="99"/>
    <w:qFormat/>
    <w:tblPr>
      <w:tblCellMar>
        <w:left w:w="0" w:type="dxa"/>
        <w:top w:w="0" w:type="dxa"/>
        <w:right w:w="0" w:type="dxa"/>
        <w:bottom w:w="0" w:type="dxa"/>
      </w:tblCellMar>
    </w:tblPr>
  </w:style>
  <w:style w:type="table" w:styleId="1094" w:customStyle="1">
    <w:name w:val="List Table 1 Light - Accent 6"/>
    <w:uiPriority w:val="99"/>
    <w:qFormat/>
    <w:tblPr>
      <w:tblCellMar>
        <w:left w:w="0" w:type="dxa"/>
        <w:top w:w="0" w:type="dxa"/>
        <w:right w:w="0" w:type="dxa"/>
        <w:bottom w:w="0" w:type="dxa"/>
      </w:tblCellMar>
    </w:tblPr>
  </w:style>
  <w:style w:type="table" w:styleId="10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1" w:customStyle="1">
    <w:name w:val="Lined - Accent"/>
    <w:uiPriority w:val="99"/>
    <w:qFormat/>
    <w:rPr>
      <w:color w:val="404040"/>
    </w:rPr>
    <w:tblPr>
      <w:tblCellMar>
        <w:left w:w="0" w:type="dxa"/>
        <w:top w:w="0" w:type="dxa"/>
        <w:right w:w="0" w:type="dxa"/>
        <w:bottom w:w="0" w:type="dxa"/>
      </w:tblCellMar>
    </w:tblPr>
  </w:style>
  <w:style w:type="table" w:styleId="1132" w:customStyle="1">
    <w:name w:val="Lined - Accent 1"/>
    <w:uiPriority w:val="99"/>
    <w:qFormat/>
    <w:rPr>
      <w:color w:val="404040"/>
    </w:rPr>
    <w:tblPr>
      <w:tblCellMar>
        <w:left w:w="0" w:type="dxa"/>
        <w:top w:w="0" w:type="dxa"/>
        <w:right w:w="0" w:type="dxa"/>
        <w:bottom w:w="0" w:type="dxa"/>
      </w:tblCellMar>
    </w:tblPr>
  </w:style>
  <w:style w:type="table" w:styleId="1133" w:customStyle="1">
    <w:name w:val="Lined - Accent 2"/>
    <w:uiPriority w:val="99"/>
    <w:qFormat/>
    <w:rPr>
      <w:color w:val="404040"/>
    </w:rPr>
    <w:tblPr>
      <w:tblCellMar>
        <w:left w:w="0" w:type="dxa"/>
        <w:top w:w="0" w:type="dxa"/>
        <w:right w:w="0" w:type="dxa"/>
        <w:bottom w:w="0" w:type="dxa"/>
      </w:tblCellMar>
    </w:tblPr>
  </w:style>
  <w:style w:type="table" w:styleId="1134" w:customStyle="1">
    <w:name w:val="Lined - Accent 3"/>
    <w:uiPriority w:val="99"/>
    <w:qFormat/>
    <w:rPr>
      <w:color w:val="404040"/>
    </w:rPr>
    <w:tblPr>
      <w:tblCellMar>
        <w:left w:w="0" w:type="dxa"/>
        <w:top w:w="0" w:type="dxa"/>
        <w:right w:w="0" w:type="dxa"/>
        <w:bottom w:w="0" w:type="dxa"/>
      </w:tblCellMar>
    </w:tblPr>
  </w:style>
  <w:style w:type="table" w:styleId="1135" w:customStyle="1">
    <w:name w:val="Lined - Accent 4"/>
    <w:uiPriority w:val="99"/>
    <w:qFormat/>
    <w:rPr>
      <w:color w:val="404040"/>
    </w:rPr>
    <w:tblPr>
      <w:tblCellMar>
        <w:left w:w="0" w:type="dxa"/>
        <w:top w:w="0" w:type="dxa"/>
        <w:right w:w="0" w:type="dxa"/>
        <w:bottom w:w="0" w:type="dxa"/>
      </w:tblCellMar>
    </w:tblPr>
  </w:style>
  <w:style w:type="table" w:styleId="1136" w:customStyle="1">
    <w:name w:val="Lined - Accent 5"/>
    <w:uiPriority w:val="99"/>
    <w:qFormat/>
    <w:rPr>
      <w:color w:val="404040"/>
    </w:rPr>
    <w:tblPr>
      <w:tblCellMar>
        <w:left w:w="0" w:type="dxa"/>
        <w:top w:w="0" w:type="dxa"/>
        <w:right w:w="0" w:type="dxa"/>
        <w:bottom w:w="0" w:type="dxa"/>
      </w:tblCellMar>
    </w:tblPr>
  </w:style>
  <w:style w:type="table" w:styleId="1137" w:customStyle="1">
    <w:name w:val="Lined - Accent 6"/>
    <w:uiPriority w:val="99"/>
    <w:qFormat/>
    <w:rPr>
      <w:color w:val="404040"/>
    </w:rPr>
    <w:tblPr>
      <w:tblCellMar>
        <w:left w:w="0" w:type="dxa"/>
        <w:top w:w="0" w:type="dxa"/>
        <w:right w:w="0" w:type="dxa"/>
        <w:bottom w:w="0" w:type="dxa"/>
      </w:tblCellMar>
    </w:tblPr>
  </w:style>
  <w:style w:type="table" w:styleId="11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2" w:customStyle="1">
    <w:name w:val="脚注文本 字符"/>
    <w:link w:val="935"/>
    <w:uiPriority w:val="99"/>
    <w:qFormat/>
    <w:rPr>
      <w:sz w:val="18"/>
    </w:rPr>
  </w:style>
  <w:style w:type="character" w:styleId="1153" w:customStyle="1">
    <w:name w:val="尾注文本 字符"/>
    <w:link w:val="928"/>
    <w:uiPriority w:val="99"/>
    <w:qFormat/>
    <w:rPr>
      <w:sz w:val="20"/>
    </w:rPr>
  </w:style>
  <w:style w:type="paragraph" w:styleId="1154" w:customStyle="1">
    <w:name w:val="TOC 标题11"/>
    <w:uiPriority w:val="39"/>
    <w:unhideWhenUsed/>
    <w:qFormat/>
    <w:rPr>
      <w:rFonts w:hint="default" w:ascii="Times New Roman" w:hAnsi="Times New Roman" w:eastAsia="宋体" w:cs="Times New Roman"/>
      <w:lang w:val="en-US" w:eastAsia="zh-CN" w:bidi="ar-SA"/>
    </w:rPr>
  </w:style>
  <w:style w:type="paragraph" w:styleId="1155" w:customStyle="1">
    <w:name w:val="标题 11"/>
    <w:basedOn w:val="918"/>
    <w:next w:val="1156"/>
    <w:link w:val="1161"/>
    <w:uiPriority w:val="0"/>
    <w:qFormat/>
    <w:pPr>
      <w:jc w:val="center"/>
      <w:keepLines/>
      <w:keepNext/>
      <w:spacing w:line="578" w:lineRule="auto"/>
      <w:outlineLvl w:val="0"/>
    </w:pPr>
    <w:rPr>
      <w:rFonts w:eastAsia="新宋体"/>
      <w:b/>
      <w:bCs/>
      <w:sz w:val="30"/>
      <w:szCs w:val="44"/>
    </w:rPr>
  </w:style>
  <w:style w:type="paragraph" w:styleId="1156" w:customStyle="1">
    <w:name w:val="普通(网站)1"/>
    <w:basedOn w:val="918"/>
    <w:uiPriority w:val="0"/>
    <w:qFormat/>
    <w:pPr>
      <w:jc w:val="left"/>
      <w:spacing w:before="100" w:beforeAutospacing="1" w:after="100" w:afterAutospacing="1"/>
      <w:widowControl/>
    </w:pPr>
    <w:rPr>
      <w:rFonts w:ascii="宋体" w:hAnsi="宋体"/>
      <w:sz w:val="24"/>
    </w:rPr>
  </w:style>
  <w:style w:type="paragraph" w:styleId="1157" w:customStyle="1">
    <w:name w:val="标题 21"/>
    <w:basedOn w:val="918"/>
    <w:next w:val="918"/>
    <w:link w:val="1162"/>
    <w:uiPriority w:val="0"/>
    <w:qFormat/>
    <w:pPr>
      <w:jc w:val="left"/>
      <w:keepLines/>
      <w:keepNext/>
      <w:spacing w:line="360" w:lineRule="auto"/>
      <w:outlineLvl w:val="1"/>
    </w:pPr>
    <w:rPr>
      <w:rFonts w:eastAsia="仿宋"/>
      <w:b/>
      <w:bCs/>
      <w:sz w:val="24"/>
      <w:szCs w:val="32"/>
    </w:rPr>
  </w:style>
  <w:style w:type="paragraph" w:styleId="1158" w:customStyle="1">
    <w:name w:val="标题 31"/>
    <w:basedOn w:val="918"/>
    <w:next w:val="918"/>
    <w:link w:val="1163"/>
    <w:uiPriority w:val="0"/>
    <w:qFormat/>
    <w:pPr>
      <w:keepLines/>
      <w:keepNext/>
      <w:spacing w:before="260" w:after="260" w:line="413" w:lineRule="auto"/>
      <w:outlineLvl w:val="2"/>
    </w:pPr>
    <w:rPr>
      <w:b/>
      <w:sz w:val="32"/>
    </w:rPr>
  </w:style>
  <w:style w:type="character" w:styleId="1159" w:customStyle="1">
    <w:name w:val="默认段落字体1"/>
    <w:uiPriority w:val="0"/>
    <w:semiHidden/>
    <w:qFormat/>
  </w:style>
  <w:style w:type="table" w:styleId="1160" w:customStyle="1">
    <w:name w:val="普通表格1"/>
    <w:uiPriority w:val="0"/>
    <w:semiHidden/>
    <w:qFormat/>
    <w:tblPr>
      <w:tblCellMar>
        <w:left w:w="0" w:type="dxa"/>
        <w:top w:w="0" w:type="dxa"/>
        <w:right w:w="0" w:type="dxa"/>
        <w:bottom w:w="0" w:type="dxa"/>
      </w:tblCellMar>
    </w:tblPr>
  </w:style>
  <w:style w:type="character" w:styleId="1161" w:customStyle="1">
    <w:name w:val="标题 1 Char"/>
    <w:link w:val="1155"/>
    <w:uiPriority w:val="0"/>
    <w:qFormat/>
    <w:rPr>
      <w:rFonts w:eastAsia="新宋体"/>
      <w:b/>
      <w:bCs/>
      <w:sz w:val="30"/>
      <w:szCs w:val="44"/>
    </w:rPr>
  </w:style>
  <w:style w:type="character" w:styleId="1162" w:customStyle="1">
    <w:name w:val="标题 2 Char"/>
    <w:link w:val="1157"/>
    <w:uiPriority w:val="0"/>
    <w:qFormat/>
    <w:rPr>
      <w:rFonts w:eastAsia="仿宋"/>
      <w:b/>
      <w:bCs/>
      <w:sz w:val="24"/>
      <w:szCs w:val="32"/>
    </w:rPr>
  </w:style>
  <w:style w:type="character" w:styleId="1163" w:customStyle="1">
    <w:name w:val="标题 3 Char"/>
    <w:link w:val="1158"/>
    <w:uiPriority w:val="0"/>
    <w:qFormat/>
    <w:rPr>
      <w:b/>
      <w:sz w:val="32"/>
      <w:szCs w:val="24"/>
    </w:rPr>
  </w:style>
  <w:style w:type="character" w:styleId="1164" w:customStyle="1">
    <w:name w:val="标题 4 Char"/>
    <w:link w:val="955"/>
    <w:uiPriority w:val="0"/>
    <w:qFormat/>
    <w:rPr>
      <w:rFonts w:ascii="Cambria" w:hAnsi="Cambria"/>
      <w:b/>
      <w:bCs/>
      <w:sz w:val="28"/>
      <w:szCs w:val="28"/>
    </w:rPr>
  </w:style>
  <w:style w:type="character" w:styleId="1165" w:customStyle="1">
    <w:name w:val="正文缩进 Char"/>
    <w:link w:val="958"/>
    <w:uiPriority w:val="0"/>
    <w:qFormat/>
    <w:rPr>
      <w:sz w:val="21"/>
      <w:szCs w:val="24"/>
    </w:rPr>
  </w:style>
  <w:style w:type="paragraph" w:styleId="1166" w:customStyle="1">
    <w:name w:val="索引 51"/>
    <w:basedOn w:val="918"/>
    <w:next w:val="918"/>
    <w:uiPriority w:val="0"/>
    <w:qFormat/>
    <w:pPr>
      <w:ind w:left="798"/>
      <w:jc w:val="left"/>
    </w:pPr>
    <w:rPr>
      <w:rFonts w:ascii="Calibri" w:hAnsi="Calibri"/>
    </w:rPr>
  </w:style>
  <w:style w:type="paragraph" w:styleId="1167" w:customStyle="1">
    <w:name w:val="批注文字1"/>
    <w:basedOn w:val="918"/>
    <w:link w:val="1168"/>
    <w:uiPriority w:val="0"/>
    <w:qFormat/>
    <w:pPr>
      <w:jc w:val="left"/>
    </w:pPr>
    <w:rPr>
      <w:lang w:eastAsia="en-US"/>
    </w:rPr>
  </w:style>
  <w:style w:type="character" w:styleId="1168" w:customStyle="1">
    <w:name w:val="批注文字 Char"/>
    <w:link w:val="1167"/>
    <w:uiPriority w:val="0"/>
    <w:qFormat/>
    <w:rPr>
      <w:sz w:val="21"/>
      <w:szCs w:val="24"/>
    </w:rPr>
  </w:style>
  <w:style w:type="paragraph" w:styleId="1169" w:customStyle="1">
    <w:name w:val="纯文本1"/>
    <w:basedOn w:val="918"/>
    <w:link w:val="1170"/>
    <w:uiPriority w:val="0"/>
    <w:qFormat/>
    <w:rPr>
      <w:rFonts w:ascii="宋体" w:hAnsi="Courier New"/>
      <w:szCs w:val="21"/>
      <w:lang w:eastAsia="en-US"/>
    </w:rPr>
  </w:style>
  <w:style w:type="character" w:styleId="1170" w:customStyle="1">
    <w:name w:val="纯文本 Char"/>
    <w:link w:val="1169"/>
    <w:uiPriority w:val="0"/>
    <w:qFormat/>
    <w:rPr>
      <w:rFonts w:ascii="宋体" w:hAnsi="Courier New" w:eastAsia="宋体"/>
      <w:sz w:val="21"/>
      <w:szCs w:val="21"/>
      <w:lang w:bidi="ar-SA"/>
    </w:rPr>
  </w:style>
  <w:style w:type="paragraph" w:styleId="1171" w:customStyle="1">
    <w:name w:val="日期1"/>
    <w:basedOn w:val="918"/>
    <w:next w:val="918"/>
    <w:link w:val="1172"/>
    <w:uiPriority w:val="0"/>
    <w:qFormat/>
    <w:rPr>
      <w:rFonts w:eastAsia="仿宋_GB2312"/>
      <w:sz w:val="28"/>
      <w:szCs w:val="20"/>
    </w:rPr>
  </w:style>
  <w:style w:type="character" w:styleId="1172" w:customStyle="1">
    <w:name w:val="日期 Char"/>
    <w:link w:val="1171"/>
    <w:uiPriority w:val="0"/>
    <w:qFormat/>
    <w:rPr>
      <w:rFonts w:eastAsia="仿宋_GB2312"/>
      <w:sz w:val="28"/>
    </w:rPr>
  </w:style>
  <w:style w:type="paragraph" w:styleId="1173" w:customStyle="1">
    <w:name w:val="正文文本缩进 21"/>
    <w:basedOn w:val="918"/>
    <w:link w:val="1174"/>
    <w:uiPriority w:val="0"/>
    <w:qFormat/>
    <w:pPr>
      <w:ind w:left="420"/>
      <w:spacing w:after="120" w:line="480" w:lineRule="auto"/>
    </w:pPr>
    <w:rPr>
      <w:lang w:eastAsia="en-US"/>
    </w:rPr>
  </w:style>
  <w:style w:type="character" w:styleId="1174" w:customStyle="1">
    <w:name w:val="正文文本缩进 2 Char"/>
    <w:link w:val="1173"/>
    <w:uiPriority w:val="0"/>
    <w:qFormat/>
    <w:rPr>
      <w:sz w:val="21"/>
      <w:szCs w:val="24"/>
    </w:rPr>
  </w:style>
  <w:style w:type="paragraph" w:styleId="1175" w:customStyle="1">
    <w:name w:val="批注框文本1"/>
    <w:basedOn w:val="918"/>
    <w:link w:val="1176"/>
    <w:uiPriority w:val="0"/>
    <w:qFormat/>
    <w:rPr>
      <w:sz w:val="18"/>
      <w:szCs w:val="18"/>
      <w:lang w:eastAsia="en-US"/>
    </w:rPr>
  </w:style>
  <w:style w:type="character" w:styleId="1176" w:customStyle="1">
    <w:name w:val="批注框文本 Char"/>
    <w:link w:val="1175"/>
    <w:uiPriority w:val="0"/>
    <w:qFormat/>
    <w:rPr>
      <w:sz w:val="18"/>
      <w:szCs w:val="18"/>
    </w:rPr>
  </w:style>
  <w:style w:type="paragraph" w:styleId="1177" w:customStyle="1">
    <w:name w:val="页脚1"/>
    <w:basedOn w:val="918"/>
    <w:uiPriority w:val="0"/>
    <w:qFormat/>
    <w:pPr>
      <w:jc w:val="left"/>
      <w:tabs>
        <w:tab w:val="center" w:pos="4153" w:leader="none"/>
        <w:tab w:val="right" w:pos="8306" w:leader="none"/>
      </w:tabs>
    </w:pPr>
    <w:rPr>
      <w:sz w:val="18"/>
      <w:szCs w:val="18"/>
    </w:rPr>
  </w:style>
  <w:style w:type="paragraph" w:styleId="1178" w:customStyle="1">
    <w:name w:val="页眉1"/>
    <w:basedOn w:val="918"/>
    <w:uiPriority w:val="0"/>
    <w:qFormat/>
    <w:pPr>
      <w:jc w:val="center"/>
      <w:tabs>
        <w:tab w:val="center" w:pos="4153" w:leader="none"/>
        <w:tab w:val="right" w:pos="8306" w:leader="none"/>
      </w:tabs>
      <w:pBdr>
        <w:bottom w:val="single" w:color="000000" w:sz="6" w:space="1"/>
      </w:pBdr>
    </w:pPr>
    <w:rPr>
      <w:sz w:val="18"/>
      <w:szCs w:val="18"/>
    </w:rPr>
  </w:style>
  <w:style w:type="paragraph" w:styleId="1179" w:customStyle="1">
    <w:name w:val="目录 11"/>
    <w:basedOn w:val="918"/>
    <w:next w:val="918"/>
    <w:uiPriority w:val="0"/>
    <w:qFormat/>
    <w:pPr>
      <w:jc w:val="left"/>
      <w:spacing w:after="100" w:line="259" w:lineRule="auto"/>
      <w:widowControl/>
    </w:pPr>
    <w:rPr>
      <w:rFonts w:ascii="Calibri" w:hAnsi="Calibri"/>
      <w:sz w:val="22"/>
      <w:szCs w:val="22"/>
    </w:rPr>
  </w:style>
  <w:style w:type="paragraph" w:styleId="1180" w:customStyle="1">
    <w:name w:val="脚注文本1"/>
    <w:basedOn w:val="918"/>
    <w:next w:val="1166"/>
    <w:link w:val="1181"/>
    <w:uiPriority w:val="0"/>
    <w:qFormat/>
    <w:rPr>
      <w:sz w:val="18"/>
      <w:szCs w:val="18"/>
    </w:rPr>
  </w:style>
  <w:style w:type="character" w:styleId="1181" w:customStyle="1">
    <w:name w:val="脚注文本 Char"/>
    <w:link w:val="1180"/>
    <w:uiPriority w:val="0"/>
    <w:qFormat/>
    <w:rPr>
      <w:sz w:val="18"/>
      <w:szCs w:val="18"/>
    </w:rPr>
  </w:style>
  <w:style w:type="paragraph" w:styleId="1182" w:customStyle="1">
    <w:name w:val="标题1"/>
    <w:basedOn w:val="918"/>
    <w:next w:val="918"/>
    <w:link w:val="1183"/>
    <w:uiPriority w:val="0"/>
    <w:qFormat/>
    <w:pPr>
      <w:jc w:val="center"/>
      <w:spacing w:before="240" w:after="60"/>
      <w:outlineLvl w:val="0"/>
    </w:pPr>
    <w:rPr>
      <w:rFonts w:ascii="Cambria" w:hAnsi="Cambria"/>
      <w:b/>
      <w:bCs/>
      <w:sz w:val="32"/>
      <w:szCs w:val="32"/>
    </w:rPr>
  </w:style>
  <w:style w:type="character" w:styleId="1183" w:customStyle="1">
    <w:name w:val="标题 Char"/>
    <w:link w:val="1182"/>
    <w:uiPriority w:val="0"/>
    <w:qFormat/>
    <w:rPr>
      <w:rFonts w:ascii="Cambria" w:hAnsi="Cambria"/>
      <w:b/>
      <w:bCs/>
      <w:sz w:val="32"/>
      <w:szCs w:val="32"/>
    </w:rPr>
  </w:style>
  <w:style w:type="paragraph" w:styleId="1184" w:customStyle="1">
    <w:name w:val="批注主题1"/>
    <w:basedOn w:val="1167"/>
    <w:next w:val="1167"/>
    <w:link w:val="1185"/>
    <w:uiPriority w:val="0"/>
    <w:qFormat/>
    <w:rPr>
      <w:b/>
      <w:bCs/>
    </w:rPr>
  </w:style>
  <w:style w:type="character" w:styleId="1185" w:customStyle="1">
    <w:name w:val="批注主题 Char"/>
    <w:link w:val="1184"/>
    <w:uiPriority w:val="0"/>
    <w:qFormat/>
    <w:rPr>
      <w:b/>
      <w:bCs/>
      <w:sz w:val="21"/>
      <w:szCs w:val="24"/>
    </w:rPr>
  </w:style>
  <w:style w:type="character" w:styleId="1186" w:customStyle="1">
    <w:name w:val="要点1"/>
    <w:uiPriority w:val="0"/>
    <w:qFormat/>
    <w:rPr>
      <w:b/>
      <w:bCs/>
    </w:rPr>
  </w:style>
  <w:style w:type="character" w:styleId="1187" w:customStyle="1">
    <w:name w:val="页码1"/>
    <w:basedOn w:val="1159"/>
    <w:uiPriority w:val="0"/>
    <w:qFormat/>
  </w:style>
  <w:style w:type="character" w:styleId="1188" w:customStyle="1">
    <w:name w:val="已访问的超链接1"/>
    <w:uiPriority w:val="0"/>
    <w:qFormat/>
    <w:rPr>
      <w:color w:val="800080"/>
      <w:u w:val="single"/>
    </w:rPr>
  </w:style>
  <w:style w:type="character" w:styleId="1189" w:customStyle="1">
    <w:name w:val="超链接1"/>
    <w:uiPriority w:val="0"/>
    <w:qFormat/>
    <w:rPr>
      <w:color w:val="0000ff"/>
      <w:u w:val="single"/>
    </w:rPr>
  </w:style>
  <w:style w:type="character" w:styleId="1190" w:customStyle="1">
    <w:name w:val="批注引用1"/>
    <w:uiPriority w:val="0"/>
    <w:qFormat/>
    <w:rPr>
      <w:sz w:val="21"/>
      <w:szCs w:val="21"/>
    </w:rPr>
  </w:style>
  <w:style w:type="character" w:styleId="1191" w:customStyle="1">
    <w:name w:val="大汉方案正文 Char1"/>
    <w:link w:val="1192"/>
    <w:uiPriority w:val="0"/>
    <w:qFormat/>
    <w:rPr>
      <w:rFonts w:ascii="Arial" w:hAnsi="Arial"/>
      <w:sz w:val="24"/>
      <w:szCs w:val="24"/>
    </w:rPr>
  </w:style>
  <w:style w:type="paragraph" w:styleId="1192" w:customStyle="1">
    <w:name w:val="大汉方案正文"/>
    <w:basedOn w:val="918"/>
    <w:link w:val="1191"/>
    <w:uiPriority w:val="0"/>
    <w:qFormat/>
    <w:pPr>
      <w:ind w:firstLine="200"/>
      <w:spacing w:line="360" w:lineRule="auto"/>
    </w:pPr>
    <w:rPr>
      <w:rFonts w:ascii="Arial" w:hAnsi="Arial"/>
      <w:sz w:val="24"/>
      <w:lang w:eastAsia="en-US"/>
    </w:rPr>
  </w:style>
  <w:style w:type="paragraph" w:styleId="1193" w:customStyle="1">
    <w:name w:val="Char"/>
    <w:basedOn w:val="918"/>
    <w:uiPriority w:val="0"/>
    <w:qFormat/>
    <w:pPr>
      <w:tabs>
        <w:tab w:val="left" w:pos="360" w:leader="none"/>
      </w:tabs>
    </w:pPr>
    <w:rPr>
      <w:sz w:val="24"/>
    </w:rPr>
  </w:style>
  <w:style w:type="paragraph" w:styleId="1194" w:customStyle="1">
    <w:name w:val="p0"/>
    <w:basedOn w:val="957"/>
    <w:uiPriority w:val="0"/>
    <w:qFormat/>
    <w:pPr>
      <w:widowControl/>
    </w:pPr>
    <w:rPr>
      <w:szCs w:val="21"/>
    </w:rPr>
  </w:style>
  <w:style w:type="paragraph" w:styleId="1195" w:customStyle="1">
    <w:name w:val="表格3"/>
    <w:basedOn w:val="918"/>
    <w:uiPriority w:val="0"/>
    <w:qFormat/>
    <w:pPr>
      <w:jc w:val="center"/>
    </w:pPr>
  </w:style>
  <w:style w:type="paragraph" w:styleId="1196" w:customStyle="1">
    <w:name w:val="默认段落字体 Para Char Char Char Char Char Char Char"/>
    <w:basedOn w:val="918"/>
    <w:uiPriority w:val="0"/>
    <w:qFormat/>
    <w:rPr>
      <w:rFonts w:ascii="Tahoma" w:hAnsi="Tahoma"/>
      <w:sz w:val="24"/>
      <w:szCs w:val="20"/>
    </w:rPr>
  </w:style>
  <w:style w:type="paragraph" w:styleId="1197" w:customStyle="1">
    <w:name w:val="列出段落1"/>
    <w:basedOn w:val="918"/>
    <w:uiPriority w:val="0"/>
    <w:qFormat/>
    <w:pPr>
      <w:ind w:firstLine="420"/>
    </w:pPr>
  </w:style>
  <w:style w:type="character" w:styleId="1198" w:customStyle="1">
    <w:name w:val="font61"/>
    <w:basedOn w:val="907"/>
    <w:uiPriority w:val="0"/>
    <w:qFormat/>
    <w:rPr>
      <w:rFonts w:ascii="宋体" w:hAnsi="宋体" w:eastAsia="宋体"/>
      <w:color w:val="000000"/>
      <w:sz w:val="20"/>
      <w:szCs w:val="20"/>
      <w:u w:val="none"/>
      <w:vertAlign w:val="superscript"/>
    </w:rPr>
  </w:style>
  <w:style w:type="paragraph" w:styleId="1199" w:customStyle="1">
    <w:name w:val="列出段落11"/>
    <w:basedOn w:val="918"/>
    <w:next w:val="988"/>
    <w:uiPriority w:val="0"/>
    <w:qFormat/>
    <w:pPr>
      <w:ind w:firstLine="420"/>
    </w:pPr>
    <w:rPr>
      <w:rFonts w:ascii="Calibri" w:hAnsi="Calibri"/>
    </w:rPr>
  </w:style>
  <w:style w:type="paragraph" w:styleId="1200" w:customStyle="1">
    <w:name w:val="正文格式"/>
    <w:basedOn w:val="918"/>
    <w:uiPriority w:val="0"/>
    <w:qFormat/>
    <w:pPr>
      <w:ind w:firstLine="200"/>
      <w:tabs>
        <w:tab w:val="center" w:pos="4201" w:leader="none"/>
        <w:tab w:val="right" w:pos="9298" w:leader="dot"/>
      </w:tabs>
    </w:pPr>
    <w:rPr>
      <w:rFonts w:ascii="黑体" w:hAnsi="黑体"/>
      <w:sz w:val="20"/>
      <w:szCs w:val="20"/>
    </w:rPr>
  </w:style>
  <w:style w:type="paragraph" w:styleId="1201" w:customStyle="1">
    <w:name w:val="Item List in Table"/>
    <w:basedOn w:val="918"/>
    <w:uiPriority w:val="0"/>
    <w:qFormat/>
    <w:pPr>
      <w:numPr>
        <w:ilvl w:val="0"/>
        <w:numId w:val="1"/>
      </w:numPr>
      <w:jc w:val="left"/>
      <w:spacing w:before="80" w:after="80" w:line="240" w:lineRule="atLeast"/>
      <w:widowControl/>
    </w:pPr>
    <w:rPr>
      <w:szCs w:val="21"/>
    </w:rPr>
  </w:style>
  <w:style w:type="character" w:styleId="1202" w:customStyle="1">
    <w:name w:val="font31"/>
    <w:basedOn w:val="907"/>
    <w:uiPriority w:val="0"/>
    <w:qFormat/>
    <w:rPr>
      <w:rFonts w:ascii="微软雅黑" w:hAnsi="微软雅黑" w:eastAsia="微软雅黑"/>
      <w:color w:val="000000"/>
      <w:sz w:val="20"/>
      <w:szCs w:val="20"/>
      <w:u w:val="none"/>
    </w:rPr>
  </w:style>
  <w:style w:type="paragraph" w:styleId="1203" w:customStyle="1">
    <w:name w:val="列出段落51"/>
    <w:basedOn w:val="918"/>
    <w:uiPriority w:val="0"/>
    <w:qFormat/>
    <w:pPr>
      <w:ind w:firstLine="420"/>
    </w:pPr>
    <w:rPr>
      <w:rFonts w:ascii="Calibri" w:hAnsi="Calibri"/>
      <w:sz w:val="24"/>
    </w:rPr>
  </w:style>
  <w:style w:type="paragraph" w:styleId="1204" w:customStyle="1">
    <w:name w:val="列出段落5"/>
    <w:basedOn w:val="918"/>
    <w:uiPriority w:val="0"/>
    <w:qFormat/>
    <w:pPr>
      <w:ind w:firstLine="420"/>
    </w:pPr>
    <w:rPr>
      <w:rFonts w:ascii="Calibri" w:hAnsi="Calibri"/>
      <w:sz w:val="24"/>
    </w:rPr>
  </w:style>
  <w:style w:type="character" w:styleId="1205" w:customStyle="1">
    <w:name w:val="font81"/>
    <w:basedOn w:val="907"/>
    <w:uiPriority w:val="0"/>
    <w:qFormat/>
    <w:rPr>
      <w:rFonts w:ascii="宋体" w:hAnsi="宋体" w:eastAsia="宋体"/>
      <w:color w:val="000000"/>
      <w:sz w:val="20"/>
      <w:szCs w:val="20"/>
      <w:u w:val="none"/>
    </w:rPr>
  </w:style>
  <w:style w:type="character" w:styleId="1206" w:customStyle="1">
    <w:name w:val="font11"/>
    <w:uiPriority w:val="0"/>
    <w:qFormat/>
    <w:rPr>
      <w:rFonts w:ascii="宋体" w:hAnsi="宋体" w:eastAsia="宋体"/>
      <w:color w:val="000000"/>
      <w:sz w:val="20"/>
      <w:szCs w:val="20"/>
      <w:u w:val="none"/>
    </w:rPr>
  </w:style>
  <w:style w:type="character" w:styleId="1207" w:customStyle="1">
    <w:name w:val="font91"/>
    <w:basedOn w:val="907"/>
    <w:link w:val="918"/>
    <w:uiPriority w:val="0"/>
    <w:qFormat/>
    <w:rPr>
      <w:rFonts w:ascii="宋体" w:hAnsi="宋体" w:eastAsia="宋体"/>
      <w:color w:val="ff0000"/>
      <w:sz w:val="20"/>
      <w:szCs w:val="20"/>
      <w:u w:val="none"/>
    </w:rPr>
  </w:style>
  <w:style w:type="paragraph" w:styleId="1208" w:customStyle="1">
    <w:name w:val="_HT_正文"/>
    <w:basedOn w:val="918"/>
    <w:uiPriority w:val="0"/>
    <w:qFormat/>
    <w:pPr>
      <w:ind w:firstLine="200"/>
      <w:spacing w:line="360" w:lineRule="auto"/>
    </w:pPr>
    <w:rPr>
      <w:sz w:val="24"/>
    </w:rPr>
  </w:style>
  <w:style w:type="paragraph" w:styleId="1209" w:customStyle="1">
    <w:name w:val="样式 宋体 小四 行距: 1.5 倍行距1"/>
    <w:basedOn w:val="918"/>
    <w:uiPriority w:val="0"/>
    <w:qFormat/>
    <w:pPr>
      <w:ind w:firstLine="540"/>
      <w:spacing w:line="360" w:lineRule="auto"/>
    </w:pPr>
    <w:rPr>
      <w:rFonts w:ascii="宋体" w:hAnsi="宋体"/>
      <w:sz w:val="24"/>
      <w:szCs w:val="22"/>
    </w:rPr>
  </w:style>
  <w:style w:type="character" w:styleId="1210" w:customStyle="1">
    <w:name w:val="bsharetext"/>
    <w:basedOn w:val="907"/>
    <w:uiPriority w:val="0"/>
    <w:qFormat/>
  </w:style>
  <w:style w:type="paragraph" w:styleId="1211" w:customStyle="1">
    <w:name w:val="正文＋小四＋缩进2字符"/>
    <w:basedOn w:val="897"/>
    <w:uiPriority w:val="0"/>
    <w:qFormat/>
    <w:pPr>
      <w:ind w:firstLine="200"/>
      <w:spacing w:line="360" w:lineRule="auto"/>
    </w:pPr>
    <w:rPr>
      <w:sz w:val="24"/>
    </w:rPr>
  </w:style>
  <w:style w:type="character" w:styleId="1212" w:customStyle="1">
    <w:name w:val="批注框文本 字符"/>
    <w:link w:val="929"/>
    <w:uiPriority w:val="99"/>
    <w:semiHidden/>
    <w:qFormat/>
    <w:rPr>
      <w:sz w:val="18"/>
      <w:szCs w:val="18"/>
    </w:rPr>
  </w:style>
  <w:style w:type="character" w:styleId="1213" w:customStyle="1">
    <w:name w:val="批注文字 字符"/>
    <w:basedOn w:val="907"/>
    <w:link w:val="913"/>
    <w:uiPriority w:val="99"/>
    <w:semiHidden/>
    <w:qFormat/>
  </w:style>
  <w:style w:type="character" w:styleId="1214" w:customStyle="1">
    <w:name w:val="批注主题 字符"/>
    <w:basedOn w:val="1213"/>
    <w:link w:val="942"/>
    <w:uiPriority w:val="99"/>
    <w:semiHidden/>
    <w:qFormat/>
    <w:rPr>
      <w:b/>
      <w:bCs/>
    </w:rPr>
  </w:style>
  <w:style w:type="paragraph" w:styleId="1215" w:customStyle="1">
    <w:name w:val="修订1"/>
    <w:hidden/>
    <w:uiPriority w:val="99"/>
    <w:semiHidden/>
    <w:qFormat/>
    <w:rPr>
      <w:rFonts w:hint="default" w:ascii="Times New Roman" w:hAnsi="Times New Roman" w:eastAsia="宋体" w:cs="Times New Roman"/>
      <w:lang w:val="en-US" w:eastAsia="zh-CN" w:bidi="ar-SA"/>
    </w:rPr>
  </w:style>
  <w:style w:type="character" w:styleId="1216" w:customStyle="1">
    <w:name w:val="NormalCharacter"/>
    <w:link w:val="919"/>
    <w:uiPriority w:val="0"/>
    <w:qFormat/>
    <w:rPr>
      <w:rFonts w:hint="default" w:ascii="Times New Roman" w:hAnsi="Times New Roman" w:eastAsia="宋体" w:cs="Times New Roman"/>
      <w:sz w:val="21"/>
      <w:szCs w:val="24"/>
      <w:lang w:val="en-US" w:eastAsia="zh-CN" w:bidi="ar-SA"/>
    </w:rPr>
  </w:style>
  <w:style w:type="paragraph" w:styleId="1217" w:customStyle="1">
    <w:name w:val="样式 样式 标题 2H2PIM2Heading 2 Hidden2nd levelh22Header 2l2Titr... + ..."/>
    <w:basedOn w:val="897"/>
    <w:uiPriority w:val="0"/>
    <w:qFormat/>
    <w:pPr>
      <w:ind w:left="-256"/>
      <w:keepLines/>
      <w:keepNext/>
      <w:spacing w:line="360" w:lineRule="auto"/>
      <w:outlineLvl w:val="1"/>
    </w:pPr>
    <w:rPr>
      <w:rFonts w:ascii="宋体" w:hAnsi="宋体" w:cs="宋体"/>
      <w:b/>
      <w:bCs/>
      <w:sz w:val="28"/>
    </w:rPr>
  </w:style>
  <w:style w:type="character" w:styleId="1218" w:customStyle="1">
    <w:name w:val="*正文-表格 Char"/>
    <w:link w:val="1219"/>
    <w:uiPriority w:val="0"/>
    <w:qFormat/>
    <w:rPr>
      <w:sz w:val="22"/>
      <w:szCs w:val="22"/>
    </w:rPr>
  </w:style>
  <w:style w:type="paragraph" w:styleId="1219" w:customStyle="1">
    <w:name w:val="*正文-表格"/>
    <w:basedOn w:val="897"/>
    <w:link w:val="1218"/>
    <w:uiPriority w:val="0"/>
    <w:qFormat/>
    <w:rPr>
      <w:sz w:val="22"/>
      <w:szCs w:val="22"/>
    </w:rPr>
  </w:style>
  <w:style w:type="paragraph" w:styleId="1220" w:customStyle="1">
    <w:name w:val="样式10"/>
    <w:basedOn w:val="897"/>
    <w:uiPriority w:val="0"/>
    <w:qFormat/>
    <w:pPr>
      <w:ind w:firstLine="560"/>
    </w:pPr>
    <w:rPr>
      <w:rFonts w:ascii="华文仿宋" w:hAnsi="华文仿宋" w:eastAsia="华文仿宋"/>
      <w:sz w:val="28"/>
      <w:szCs w:val="28"/>
      <w:lang w:val="zh-CN"/>
    </w:rPr>
  </w:style>
  <w:style w:type="paragraph" w:styleId="1221" w:customStyle="1">
    <w:name w:val="正文文本11"/>
    <w:basedOn w:val="957"/>
    <w:next w:val="915"/>
    <w:uiPriority w:val="0"/>
    <w:qFormat/>
    <w:pPr>
      <w:spacing w:after="120"/>
    </w:pPr>
  </w:style>
  <w:style w:type="paragraph" w:styleId="1222" w:customStyle="1">
    <w:name w:val="Body text|1"/>
    <w:basedOn w:val="897"/>
    <w:uiPriority w:val="0"/>
    <w:qFormat/>
    <w:pPr>
      <w:ind w:firstLine="400"/>
      <w:spacing w:line="412" w:lineRule="auto"/>
      <w:widowControl w:val="off"/>
    </w:pPr>
    <w:rPr>
      <w:rFonts w:ascii="宋体" w:hAnsi="宋体"/>
      <w:color w:val="000000"/>
      <w:sz w:val="30"/>
      <w:szCs w:val="30"/>
    </w:rPr>
  </w:style>
  <w:style w:type="paragraph" w:styleId="1223" w:customStyle="1">
    <w:name w:val="Table Paragraph"/>
    <w:basedOn w:val="897"/>
    <w:uiPriority w:val="1"/>
    <w:qFormat/>
    <w:pPr>
      <w:ind w:left="107"/>
      <w:spacing w:before="2"/>
    </w:pPr>
    <w:rPr>
      <w:rFonts w:ascii="宋体" w:hAnsi="宋体" w:cs="宋体"/>
      <w:lang w:val="zh-CN" w:bidi="zh-CN"/>
    </w:rPr>
  </w:style>
  <w:style w:type="paragraph" w:styleId="1224" w:customStyle="1">
    <w:name w:val="文本块{858D7CFB-ED40-4347-BF05-701D383B685F}{858D7CFB-ED40-4347-BF05-701D383B685F}"/>
    <w:basedOn w:val="897"/>
    <w:uiPriority w:val="99"/>
    <w:unhideWhenUsed/>
    <w:qFormat/>
    <w:pPr>
      <w:ind w:left="256" w:right="6" w:firstLine="624"/>
    </w:pPr>
    <w:rPr>
      <w:rFonts w:hint="default" w:eastAsia="仿宋_GB2312"/>
      <w:sz w:val="28"/>
    </w:rPr>
  </w:style>
  <w:style w:type="table" w:styleId="1225" w:customStyle="1">
    <w:name w:val="网格型1"/>
    <w:basedOn w:val="1226"/>
    <w:uiPriority w:val="0"/>
    <w:qFormat/>
    <w:pPr>
      <w:jc w:val="both"/>
      <w:widowControl w:val="off"/>
    </w:pPr>
    <w:tblPr>
      <w:tblCellMar>
        <w:left w:w="0" w:type="dxa"/>
        <w:top w:w="0" w:type="dxa"/>
        <w:right w:w="0" w:type="dxa"/>
        <w:bottom w:w="0" w:type="dxa"/>
      </w:tblCellMar>
    </w:tblPr>
  </w:style>
  <w:style w:type="table" w:styleId="1226" w:customStyle="1">
    <w:name w:val="普通表格11"/>
    <w:uiPriority w:val="0"/>
    <w:qFormat/>
    <w:tblPr>
      <w:tblCellMar>
        <w:left w:w="0" w:type="dxa"/>
        <w:top w:w="0" w:type="dxa"/>
        <w:right w:w="0" w:type="dxa"/>
        <w:bottom w:w="0" w:type="dxa"/>
      </w:tblCellMar>
    </w:tbl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马梦楠</cp:lastModifiedBy>
  <cp:revision>6</cp:revision>
  <dcterms:created xsi:type="dcterms:W3CDTF">2023-03-08T02:34:00Z</dcterms:created>
  <dcterms:modified xsi:type="dcterms:W3CDTF">2026-05-12T03:30:59Z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D555C3DBEC7C407BAA0272C4FA2C1FA0</vt:lpwstr>
  </property>
  <property fmtid="{D5CDD505-2E9C-101B-9397-08002B2CF9AE}" pid="4" name="KSOTemplateDocerSaveRecord">
    <vt:lpwstr>eyJoZGlkIjoiNDA0ODA4OGZmYTNjNDZiNjg2MzI4M2QzYjgwOTlkZWMiLCJ1c2VySWQiOiIxNDAxMTIwNzk4In0=</vt:lpwstr>
  </property>
</Properties>
</file>