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both"/>
        <w:spacing w:after="120"/>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widowControl/>
        <w:rPr>
          <w:rFonts w:hint="eastAsia" w:ascii="楷体_GB2312" w:hAnsi="Times New Roman" w:eastAsia="楷体_GB2312" w:cs="Times New Roman"/>
          <w:sz w:val="28"/>
          <w:szCs w:val="28"/>
          <w:lang w:val="en-US" w:eastAsia="zh-CN" w:bidi="ar-SA"/>
        </w:rPr>
      </w:pPr>
      <w:r>
        <w:rPr>
          <w:rFonts w:hint="eastAsia" w:ascii="楷体_GB2312" w:hAnsi="Times New Roman" w:eastAsia="楷体_GB2312" w:cs="Times New Roman"/>
          <w:sz w:val="28"/>
          <w:szCs w:val="28"/>
          <w:lang w:val="en-US" w:eastAsia="zh-CN" w:bidi="ar-SA"/>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mc:AlternateContent>
          <mc:Choice Requires="wpg">
            <w:drawing>
              <wp:inline xmlns:wp="http://schemas.openxmlformats.org/drawingml/2006/wordprocessingDrawing" distT="0" distB="0" distL="0" distR="0">
                <wp:extent cx="2103120" cy="1678940"/>
                <wp:effectExtent l="0" t="0" r="11430" b="16510"/>
                <wp:docPr id="6" name="图片 1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1"/>
                        <pic:cNvPicPr>
                          <a:picLocks noChangeAspect="1"/>
                        </pic:cNvPicPr>
                        <pic:nvPr/>
                      </pic:nvPicPr>
                      <pic:blipFill>
                        <a:blip r:embed="rId18"/>
                        <a:stretch/>
                      </pic:blipFill>
                      <pic:spPr bwMode="auto">
                        <a:xfrm>
                          <a:off x="0" y="0"/>
                          <a:ext cx="2103120" cy="1678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5.6pt;height:132.2pt;mso-wrap-distance-left:0.0pt;mso-wrap-distance-top:0.0pt;mso-wrap-distance-right:0.0pt;mso-wrap-distance-bottom:0.0pt;" stroked="false">
                <v:path textboxrect="0,0,0,0"/>
                <v:imagedata r:id="rId18" o:title=""/>
              </v:shape>
            </w:pict>
          </mc:Fallback>
        </mc:AlternateContent>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项目名称：2026年沛县村级公益事业一事一议财政奖补项目（鹿楼镇陈新庄村、杜桥村）</w:t>
      </w:r>
      <w:r/>
    </w:p>
    <w:p>
      <w:pPr>
        <w:ind w:left="0" w:firstLine="320"/>
        <w:jc w:val="both"/>
        <w:spacing w:line="480" w:lineRule="auto"/>
        <w:widowControl w:val="off"/>
        <w:rPr>
          <w:rFonts w:hint="default" w:ascii="Times New Roman" w:hAnsi="Times New Roman" w:eastAsia="宋体" w:cs="Times New Roman"/>
          <w:color w:val="000000" w:themeColor="text1"/>
          <w:sz w:val="21"/>
          <w:szCs w:val="24"/>
          <w:highlight w:val="yellow"/>
        </w:rPr>
      </w:pPr>
      <w:r>
        <w:rPr>
          <w:rFonts w:hint="eastAsia" w:ascii="宋体" w:hAnsi="宋体" w:eastAsia="宋体" w:cs="宋体"/>
          <w:b w:val="0"/>
          <w:bCs w:val="0"/>
          <w:color w:val="auto"/>
          <w:sz w:val="32"/>
          <w:szCs w:val="32"/>
          <w:highlight w:val="none"/>
          <w:lang w:val="en-US" w:eastAsia="zh-CN" w:bidi="ar-SA"/>
        </w:rPr>
        <w:t xml:space="preserve">项目</w:t>
      </w:r>
      <w:r>
        <w:rPr>
          <w:rFonts w:hint="eastAsia" w:ascii="宋体" w:hAnsi="宋体" w:eastAsia="宋体" w:cs="宋体"/>
          <w:b w:val="0"/>
          <w:bCs w:val="0"/>
          <w:color w:val="000000" w:themeColor="text1"/>
          <w:sz w:val="32"/>
          <w:szCs w:val="32"/>
          <w:highlight w:val="none"/>
          <w:lang w:val="en-US" w:eastAsia="zh-CN" w:bidi="ar-SA"/>
        </w:rPr>
        <w:t xml:space="preserve">编号：</w:t>
      </w:r>
      <w:r>
        <w:rPr>
          <w:rFonts w:hint="eastAsia" w:ascii="宋体" w:hAnsi="宋体" w:eastAsia="宋体" w:cs="宋体"/>
          <w:b w:val="0"/>
          <w:bCs w:val="0"/>
          <w:color w:val="000000" w:themeColor="text1"/>
          <w:sz w:val="32"/>
          <w:szCs w:val="32"/>
          <w:highlight w:val="none"/>
          <w:lang w:val="en-US" w:eastAsia="zh-CN" w:bidi="ar-SA"/>
        </w:rPr>
        <w:t xml:space="preserve">JSZC-320322043-XZCT-C2026-0014</w:t>
      </w:r>
      <w:r>
        <w:rPr>
          <w:color w:val="000000" w:themeColor="text1"/>
        </w:rP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eastAsia="宋体" w:cs="宋体"/>
          <w:b w:val="0"/>
          <w:bCs w:val="0"/>
          <w:color w:val="auto"/>
          <w:sz w:val="32"/>
          <w:szCs w:val="32"/>
          <w:highlight w:val="none"/>
          <w:lang w:val="en-US" w:eastAsia="zh-CN"/>
        </w:rPr>
        <w:t xml:space="preserve">沛县鹿楼镇人民政府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eastAsia="宋体" w:cs="宋体"/>
          <w:b w:val="0"/>
          <w:bCs w:val="0"/>
          <w:color w:val="auto"/>
          <w:sz w:val="32"/>
          <w:szCs w:val="32"/>
          <w:highlight w:val="none"/>
          <w:lang w:eastAsia="zh-CN"/>
        </w:rPr>
        <w:t xml:space="preserve">江苏辰拓招标代理有限公司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eastAsia="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eastAsia="宋体" w:cs="宋体"/>
          <w:b w:val="0"/>
          <w:bCs w:val="0"/>
          <w:color w:val="auto"/>
          <w:sz w:val="32"/>
          <w:szCs w:val="32"/>
          <w:highlight w:val="none"/>
          <w:lang w:val="en-US" w:eastAsia="zh-CN"/>
        </w:rPr>
        <w:t xml:space="preserve">五月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2026年沛县村级公益事业一事一议财政奖补项目（鹿楼镇陈新庄村、杜桥村）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人：沛县鹿楼镇人民政府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eastAsia="宋体" w:cs="宋体"/>
          <w:color w:val="auto"/>
          <w:sz w:val="24"/>
          <w:szCs w:val="24"/>
          <w:highlight w:val="none"/>
          <w:lang w:eastAsia="zh-CN"/>
        </w:rPr>
        <w:t xml:space="preserve">2026年沛县村级公益事业一事一议财政奖补项目（鹿楼镇陈新庄村、杜桥村）</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项目编号：JSZC-320322043-XZCT-C2026-0014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right="-334"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highlight w:val="none"/>
        </w:rPr>
        <w:t xml:space="preserve">供应商资质类别和等级：</w:t>
      </w:r>
      <w:r>
        <w:rPr>
          <w:rFonts w:hint="eastAsia" w:ascii="宋体" w:hAnsi="宋体" w:eastAsia="宋体" w:cs="宋体"/>
          <w:b/>
          <w:bCs/>
          <w:color w:val="auto"/>
          <w:sz w:val="24"/>
          <w:highlight w:val="none"/>
        </w:rPr>
        <w:t xml:space="preserve">具备市政公用工程施工总承包叁级及以上资质；且具有有效的安全生产许可证</w:t>
      </w:r>
      <w:r>
        <w:rPr>
          <w:rFonts w:hint="eastAsia" w:ascii="宋体" w:hAnsi="宋体" w:eastAsia="宋体" w:cs="宋体"/>
          <w:color w:val="auto"/>
          <w:sz w:val="24"/>
          <w:highlight w:val="none"/>
        </w:rPr>
        <w:t xml:space="preserve">，提供扫描件并加盖电子签章；</w:t>
      </w:r>
      <w:r/>
    </w:p>
    <w:p>
      <w:pPr>
        <w:ind w:right="-334" w:firstLine="482"/>
        <w:spacing w:line="360" w:lineRule="auto"/>
        <w:rPr>
          <w:rFonts w:hint="eastAsia" w:ascii="宋体" w:hAnsi="宋体" w:eastAsia="宋体" w:cs="宋体"/>
          <w:b/>
          <w:bCs w:val="0"/>
          <w:color w:val="000000"/>
          <w:sz w:val="24"/>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highlight w:val="none"/>
        </w:rPr>
        <w:t xml:space="preserve">供应商拟选派</w:t>
      </w:r>
      <w:r>
        <w:rPr>
          <w:rFonts w:hint="default" w:ascii="宋体" w:hAnsi="宋体" w:eastAsia="宋体" w:cs="宋体"/>
          <w:color w:val="auto"/>
          <w:sz w:val="24"/>
          <w:highlight w:val="none"/>
        </w:rPr>
        <w:t xml:space="preserve">项目负责人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注册建造师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资质等级</w:t>
      </w:r>
      <w:r>
        <w:rPr>
          <w:rFonts w:hint="eastAsia" w:ascii="宋体" w:hAnsi="宋体" w:eastAsia="宋体" w:cs="宋体"/>
          <w:color w:val="auto"/>
          <w:sz w:val="24"/>
          <w:highlight w:val="none"/>
          <w:lang w:eastAsia="zh-CN"/>
        </w:rPr>
        <w:t xml:space="preserve">：</w:t>
      </w:r>
      <w:r>
        <w:rPr>
          <w:rFonts w:hint="eastAsia" w:ascii="宋体" w:hAnsi="宋体" w:eastAsia="宋体" w:cs="宋体"/>
          <w:b/>
          <w:color w:val="auto"/>
          <w:sz w:val="24"/>
          <w:szCs w:val="24"/>
          <w:highlight w:val="none"/>
          <w:u w:val="single"/>
          <w:lang w:eastAsia="zh-CN"/>
        </w:rPr>
        <w:t xml:space="preserve">市政</w:t>
      </w:r>
      <w:r>
        <w:rPr>
          <w:rFonts w:hint="eastAsia" w:ascii="宋体" w:hAnsi="宋体" w:eastAsia="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eastAsia="宋体" w:cs="宋体"/>
          <w:b/>
          <w:color w:val="auto"/>
          <w:sz w:val="24"/>
          <w:szCs w:val="24"/>
          <w:highlight w:val="none"/>
          <w:u w:val="single"/>
          <w:lang w:val="en-US" w:eastAsia="zh-CN"/>
        </w:rPr>
        <w:t xml:space="preserve">及以上注册建造师（资格）</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eastAsia="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eastAsia="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334"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Cs/>
          <w:color w:val="000000"/>
          <w:sz w:val="24"/>
          <w:highlight w:val="none"/>
          <w:lang w:val="en-US" w:eastAsia="zh-CN"/>
        </w:rPr>
        <w:t xml:space="preserve">安全员：</w:t>
      </w:r>
      <w:r>
        <w:rPr>
          <w:rFonts w:hint="eastAsia" w:ascii="宋体" w:hAnsi="宋体" w:eastAsia="宋体" w:cs="宋体"/>
          <w:bCs/>
          <w:color w:val="000000"/>
          <w:sz w:val="24"/>
          <w:highlight w:val="none"/>
        </w:rPr>
        <w:t xml:space="preserve">必须设置独立的专职安全员，专职安全员具备有效的《安全生产考核合格证书》</w:t>
      </w:r>
      <w:r>
        <w:rPr>
          <w:rFonts w:hint="eastAsia" w:ascii="宋体" w:hAnsi="宋体" w:eastAsia="宋体" w:cs="宋体"/>
          <w:bCs/>
          <w:color w:val="000000"/>
          <w:sz w:val="24"/>
          <w:highlight w:val="none"/>
          <w:lang w:val="en-US" w:eastAsia="zh-CN"/>
        </w:rPr>
        <w:t xml:space="preserve">C证</w:t>
      </w:r>
      <w:r>
        <w:rPr>
          <w:rFonts w:hint="eastAsia" w:ascii="宋体" w:hAnsi="宋体" w:eastAsia="宋体" w:cs="宋体"/>
          <w:bCs/>
          <w:color w:val="000000"/>
          <w:sz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1、本项目不接受联合体参与采购活动，本项目成交后不得转让或分包。</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2、单位负责人为同一人或者存在直接控股、管理关系的不同供应商，不得参加同一合同项下的采购活动。</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3、查询及使用供应商信用记录：</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⑴由采购人查询信用信息。</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⑵查询渠道包括：</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①“信用中国”网（</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"http://www.creditchina.gov.cn/"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sz w:val="24"/>
          <w:szCs w:val="24"/>
          <w:lang w:val="en-US" w:eastAsia="zh-CN" w:bidi="ar-SA"/>
        </w:rPr>
        <w:t xml:space="preserve">www.creditchina.gov.cn</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②中国政府采购网（</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"http://www.ccgp.gov.cn/"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sz w:val="24"/>
          <w:szCs w:val="24"/>
          <w:lang w:val="en-US" w:eastAsia="zh-CN" w:bidi="ar-SA"/>
        </w:rPr>
        <w:t xml:space="preserve">www.ccgp.gov.cn</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③</w:t>
      </w:r>
      <w:r>
        <w:rPr>
          <w:rFonts w:hint="eastAsia" w:ascii="宋体" w:hAnsi="宋体" w:eastAsia="宋体" w:cs="宋体"/>
          <w:sz w:val="24"/>
          <w:szCs w:val="24"/>
          <w:highlight w:val="none"/>
          <w:lang w:val="en-US" w:eastAsia="zh-CN" w:bidi="ar-SA"/>
        </w:rPr>
        <w:t xml:space="preserve">“信用江苏”网（http://credit.jiangsu.gov.cn/）；</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color w:val="000000"/>
          <w:sz w:val="24"/>
          <w:szCs w:val="24"/>
          <w:highlight w:val="none"/>
          <w:lang w:val="en-US" w:eastAsia="zh-CN" w:bidi="ar-SA"/>
        </w:rPr>
        <w:t xml:space="preserve">“信用中国(江苏徐州)”网</w:t>
      </w:r>
      <w:r>
        <w:rPr>
          <w:rFonts w:hint="eastAsia" w:ascii="宋体" w:hAnsi="宋体" w:eastAsia="宋体" w:cs="宋体"/>
          <w:sz w:val="24"/>
          <w:szCs w:val="24"/>
          <w:highlight w:val="none"/>
          <w:lang w:val="en-US" w:eastAsia="zh-CN" w:bidi="ar-SA"/>
        </w:rPr>
        <w:t xml:space="preserve">（ www.xuzhoucredit.gov.cn）。</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⑶截止时点（查询环节）：资格审查结束前。</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⑷信用信息查询记录和证据留存的具体方式：</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网页截屏打印，与其他采购文件一并保存。</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⑸信用信息的使用规则：</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认为必要时可重新进行竞争性磋商采购或</w:t>
      </w:r>
      <w:r>
        <w:rPr>
          <w:rFonts w:hint="eastAsia" w:ascii="宋体" w:hAnsi="宋体" w:eastAsia="宋体" w:cs="宋体"/>
          <w:color w:val="auto"/>
          <w:sz w:val="24"/>
          <w:szCs w:val="24"/>
          <w:highlight w:val="none"/>
          <w:lang w:eastAsia="zh-CN"/>
        </w:rPr>
        <w:t xml:space="preserve">采取其他方式</w:t>
      </w:r>
      <w:r>
        <w:rPr>
          <w:rFonts w:hint="eastAsia" w:ascii="宋体" w:hAnsi="宋体" w:eastAsia="宋体" w:cs="宋体"/>
          <w:color w:val="auto"/>
          <w:sz w:val="24"/>
          <w:szCs w:val="24"/>
          <w:highlight w:val="none"/>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十一、供应商提交磋商保证金</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因“苏采云”系统导致解密失败的除外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w:t>
      </w:r>
      <w:r>
        <w:rPr>
          <w:rFonts w:hint="eastAsia" w:ascii="宋体" w:hAnsi="宋体" w:eastAsia="宋体" w:cs="宋体"/>
          <w:color w:val="auto"/>
          <w:sz w:val="24"/>
          <w:highlight w:val="none"/>
          <w:lang w:eastAsia="zh-CN"/>
        </w:rPr>
        <w:t xml:space="preserve">政务</w:t>
      </w:r>
      <w:r>
        <w:rPr>
          <w:rFonts w:hint="eastAsia" w:ascii="宋体" w:hAnsi="宋体" w:eastAsia="宋体" w:cs="宋体"/>
          <w:color w:val="auto"/>
          <w:sz w:val="24"/>
          <w:highlight w:val="none"/>
        </w:rPr>
        <w:t xml:space="preserve">CA，省内各地区办理的“苏采云”系统下的</w:t>
      </w:r>
      <w:r>
        <w:rPr>
          <w:rFonts w:hint="eastAsia" w:ascii="宋体" w:hAnsi="宋体" w:eastAsia="宋体" w:cs="宋体"/>
          <w:color w:val="auto"/>
          <w:sz w:val="24"/>
          <w:highlight w:val="none"/>
          <w:lang w:eastAsia="zh-CN"/>
        </w:rPr>
        <w:t xml:space="preserve">政务</w:t>
      </w:r>
      <w:r>
        <w:rPr>
          <w:rFonts w:hint="eastAsia" w:ascii="宋体" w:hAnsi="宋体" w:eastAsia="宋体" w:cs="宋体"/>
          <w:color w:val="auto"/>
          <w:sz w:val="24"/>
          <w:highlight w:val="none"/>
        </w:rPr>
        <w:t xml:space="preserve">CA全省通用。“CA数字证书”的办理方法详见“徐州政府采购网-</w:t>
      </w:r>
      <w:r>
        <w:rPr>
          <w:rFonts w:hint="eastAsia" w:ascii="宋体" w:hAnsi="宋体" w:eastAsia="宋体" w:cs="宋体"/>
          <w:color w:val="auto"/>
          <w:sz w:val="24"/>
          <w:highlight w:val="none"/>
          <w:lang w:val="en-US" w:eastAsia="zh-CN"/>
        </w:rPr>
        <w:t xml:space="preserve">办事指南</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资料下载</w:t>
      </w:r>
      <w:r>
        <w:rPr>
          <w:rFonts w:hint="eastAsia" w:ascii="宋体" w:hAnsi="宋体" w:eastAsia="宋体" w:cs="宋体"/>
          <w:color w:val="auto"/>
          <w:sz w:val="24"/>
          <w:highlight w:val="none"/>
        </w:rPr>
        <w:t xml:space="preserve">”《“苏采云”系统政务CA办理材料、操作手册及控件下载》。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"http://jszfcg.jsczt.cn/"</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；或进入徐州政府采购网（网址：</w:t>
      </w:r>
      <w:r>
        <w:rPr>
          <w:rFonts w:hint="eastAsia" w:ascii="宋体" w:hAnsi="宋体" w:eastAsia="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）点击“苏采云”进入系统），按照要求通过互联网方式提交首次响应文件。</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“苏采云”系统使用要求：</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1.使用谷歌浏览器参与不见面开标及磋商环节。</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2.电脑需提前准备好麦克风、音箱，摄像头，提前检查保证能够正常使用。</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eastAsia="宋体" w:cs="宋体"/>
          <w:b/>
          <w:color w:val="000000"/>
          <w:sz w:val="24"/>
          <w:highlight w:val="none"/>
          <w:lang w:val="en-US" w:eastAsia="zh-CN"/>
        </w:rPr>
        <w:t xml:space="preserve">2026</w:t>
      </w:r>
      <w:r>
        <w:rPr>
          <w:rFonts w:hint="eastAsia" w:ascii="宋体" w:hAnsi="宋体" w:eastAsia="宋体" w:cs="宋体"/>
          <w:b/>
          <w:color w:val="000000"/>
          <w:sz w:val="24"/>
          <w:highlight w:val="none"/>
          <w:lang w:eastAsia="zh-CN"/>
        </w:rPr>
        <w:t xml:space="preserve">年</w:t>
      </w:r>
      <w:r>
        <w:rPr>
          <w:rFonts w:hint="eastAsia" w:ascii="宋体" w:hAnsi="宋体" w:eastAsia="宋体" w:cs="宋体"/>
          <w:b/>
          <w:color w:val="000000"/>
          <w:sz w:val="24"/>
          <w:highlight w:val="none"/>
          <w:lang w:val="en-US" w:eastAsia="zh-CN"/>
        </w:rPr>
        <w:t xml:space="preserve"> 6 </w:t>
      </w:r>
      <w:r>
        <w:rPr>
          <w:rFonts w:hint="eastAsia" w:ascii="宋体" w:hAnsi="宋体" w:eastAsia="宋体" w:cs="宋体"/>
          <w:b/>
          <w:color w:val="000000"/>
          <w:sz w:val="24"/>
          <w:highlight w:val="none"/>
          <w:lang w:eastAsia="zh-CN"/>
        </w:rPr>
        <w:t xml:space="preserve">月</w:t>
      </w:r>
      <w:r>
        <w:rPr>
          <w:rFonts w:hint="eastAsia" w:ascii="宋体" w:hAnsi="宋体" w:eastAsia="宋体" w:cs="宋体"/>
          <w:b/>
          <w:color w:val="000000"/>
          <w:sz w:val="24"/>
          <w:highlight w:val="none"/>
          <w:lang w:val="en-US" w:eastAsia="zh-CN"/>
        </w:rPr>
        <w:t xml:space="preserve">10</w:t>
      </w:r>
      <w:r>
        <w:rPr>
          <w:rFonts w:hint="eastAsia" w:ascii="宋体" w:hAnsi="宋体" w:eastAsia="宋体" w:cs="宋体"/>
          <w:b/>
          <w:color w:val="000000"/>
          <w:sz w:val="24"/>
          <w:highlight w:val="none"/>
          <w:lang w:eastAsia="zh-CN"/>
        </w:rPr>
        <w:t xml:space="preserve">日上午09:</w:t>
      </w:r>
      <w:r>
        <w:rPr>
          <w:rFonts w:hint="eastAsia" w:ascii="宋体" w:hAnsi="宋体" w:eastAsia="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（三）首次响应文件提交时间、地点：</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1.首次响应文件提交的截止时间：</w:t>
      </w:r>
      <w:r>
        <w:rPr>
          <w:rFonts w:hint="eastAsia" w:ascii="宋体" w:hAnsi="宋体" w:eastAsia="宋体" w:cs="宋体"/>
          <w:b/>
          <w:color w:val="000000"/>
          <w:sz w:val="24"/>
          <w:szCs w:val="24"/>
          <w:highlight w:val="none"/>
          <w:lang w:val="en-US" w:eastAsia="zh-CN" w:bidi="ar-SA"/>
        </w:rPr>
        <w:t xml:space="preserve">2026年 6月 10日</w:t>
      </w:r>
      <w:r>
        <w:rPr>
          <w:rFonts w:hint="eastAsia" w:ascii="宋体" w:hAnsi="宋体" w:eastAsia="宋体" w:cs="宋体"/>
          <w:b/>
          <w:bCs/>
          <w:sz w:val="24"/>
          <w:szCs w:val="24"/>
          <w:highlight w:val="none"/>
          <w:lang w:val="en-US" w:eastAsia="zh-CN" w:bidi="ar-SA"/>
        </w:rPr>
        <w:t xml:space="preserve">北京时间09:30前。</w:t>
      </w:r>
      <w:r/>
    </w:p>
    <w:p>
      <w:pPr>
        <w:ind w:firstLine="480"/>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bCs/>
          <w:sz w:val="24"/>
          <w:szCs w:val="24"/>
          <w:highlight w:val="none"/>
          <w:lang w:val="en-US" w:eastAsia="zh-CN" w:bidi="ar-SA"/>
        </w:rPr>
        <w:t xml:space="preserve">提交首次响应文件地点：“苏采云”系统（网址：http://jszfcg.jsczt.cn/）“开标大厅”或进入徐州政府采购网（网址：https://czj.xz.gov.cn/zfcg/index.html）点击“苏采云”进入系统“开标大厅”。</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3.首次响应文件开启时间：</w:t>
      </w:r>
      <w:r>
        <w:rPr>
          <w:rFonts w:hint="eastAsia" w:ascii="宋体" w:hAnsi="宋体" w:eastAsia="宋体" w:cs="宋体"/>
          <w:b/>
          <w:color w:val="000000"/>
          <w:sz w:val="24"/>
          <w:szCs w:val="24"/>
          <w:highlight w:val="none"/>
          <w:lang w:val="en-US" w:eastAsia="zh-CN" w:bidi="ar-SA"/>
        </w:rPr>
        <w:t xml:space="preserve">2026年6月10日</w:t>
      </w:r>
      <w:r>
        <w:rPr>
          <w:rFonts w:hint="eastAsia" w:ascii="宋体" w:hAnsi="宋体" w:eastAsia="宋体" w:cs="宋体"/>
          <w:b/>
          <w:bCs/>
          <w:sz w:val="24"/>
          <w:szCs w:val="24"/>
          <w:highlight w:val="none"/>
          <w:lang w:val="en-US" w:eastAsia="zh-CN" w:bidi="ar-SA"/>
        </w:rPr>
        <w:t xml:space="preserve">北京时间09:30。</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bCs/>
          <w:sz w:val="24"/>
          <w:szCs w:val="24"/>
          <w:lang w:val="en-US" w:eastAsia="zh-CN" w:bidi="ar-SA"/>
        </w:rPr>
        <w:t xml:space="preserve">首次响应文件开启地点：</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“苏采云”系统（网址：http://jszfcg.jsczt.cn/）“开标大厅”或进入徐州政府采购网（网址：https://czj.xz.gov.cn/zfcg/index.html）点击“苏采云”进入系统“开标大厅”。</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6.不接受不按要求加盖电子签章（电子签章）的首次响应文件。电子签章相关要求见“苏采云”系统。</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lang w:val="en-US" w:eastAsia="zh-CN" w:bidi="ar-SA"/>
        </w:rPr>
        <w:t xml:space="preserve">开启时间后30分钟内，</w:t>
      </w:r>
      <w:r>
        <w:rPr>
          <w:rFonts w:hint="eastAsia" w:ascii="宋体" w:hAnsi="宋体" w:eastAsia="宋体" w:cs="宋体"/>
          <w:bCs/>
          <w:sz w:val="24"/>
          <w:szCs w:val="24"/>
          <w:lang w:val="en-US" w:eastAsia="zh-CN" w:bidi="ar-SA"/>
        </w:rPr>
        <w:t xml:space="preserve">通过“苏采云”系统（使用“CA数字证书”）解密。</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8.采购文件（后缀名为“.kedt”）、供应商操作手册及政府采购客户端工具可通过“苏采云”系统（网址：</w:t>
      </w: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HYPERLINK "http://jszfcg.jsczt.cn/"</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lang w:val="en-US" w:eastAsia="zh-CN" w:bidi="ar-SA"/>
        </w:rPr>
        <w:t xml:space="preserve">http://jszfcg.jsczt.cn/</w:t>
      </w:r>
      <w:r>
        <w:rPr>
          <w:rFonts w:hint="eastAsia" w:ascii="宋体" w:hAnsi="宋体" w:eastAsia="宋体" w:cs="宋体"/>
          <w:bCs/>
          <w:sz w:val="24"/>
          <w:szCs w:val="24"/>
          <w:lang w:val="en-US" w:eastAsia="zh-CN" w:bidi="ar-SA"/>
        </w:rPr>
        <w:fldChar w:fldCharType="end"/>
      </w:r>
      <w:r>
        <w:rPr>
          <w:rFonts w:hint="eastAsia" w:ascii="宋体" w:hAnsi="宋体" w:eastAsia="宋体" w:cs="宋体"/>
          <w:bCs/>
          <w:sz w:val="24"/>
          <w:szCs w:val="24"/>
          <w:lang w:val="en-US" w:eastAsia="zh-CN" w:bidi="ar-SA"/>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常见问题及解决办法》，进行下载。</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9.相关说明: 供应商在“苏采云”系统中提交首次响应文件的时间即为数据电文（响应文件，下同）的发送时间和接收时间。</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
          <w:sz w:val="24"/>
          <w:szCs w:val="24"/>
          <w:lang w:val="en-US" w:eastAsia="zh-CN" w:bidi="ar-SA"/>
        </w:rPr>
        <w:t xml:space="preserve">有下列情形之一的，其投标无效：</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1.供应商资格条件不符合国家有关规定或磋商文件要求的；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2.响应报价低于成本或者高于磋商文件设定的最高限价的；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3.与磋商文件规定的暂估价、暂列金额及甲供材料价格不一致的；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4.与磋商文件提供的工程量清单中的项目编码、项目名称、项目特征、计量单位、工程量不一致的；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5.响应文件载明的招标项目完成期限超过磋商文件规定的期限的；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6.明显不符合技术规范、技术标准的要求的；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7.响应文件载明的货物包装方式、检验标准和方法等不符合磋商文件的要求的；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8.响应文件提出了不能满足磋商文件要求或采购人不能接受的工程验收、计量、价款结算和支付办法的；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9.不同供应商的响应文件以及响应文件制作过程出现了评标委员会认为不应当雷同的情况的；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10.以他人的名义投标、串通投标、以行贿手段谋取成交或者以其他弄虚作假方式投标的；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firstLine="482"/>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color w:val="000000"/>
          <w:sz w:val="24"/>
          <w:szCs w:val="24"/>
          <w:lang w:val="en-US" w:eastAsia="zh-CN" w:bidi="ar-SA"/>
        </w:rPr>
        <w:t xml:space="preserve">（二）资格条件</w:t>
      </w:r>
      <w:r>
        <w:rPr>
          <w:rFonts w:hint="eastAsia" w:ascii="宋体" w:hAnsi="宋体" w:eastAsia="宋体" w:cs="宋体"/>
          <w:b/>
          <w:bCs/>
          <w:sz w:val="24"/>
          <w:szCs w:val="24"/>
          <w:lang w:val="en-US" w:eastAsia="zh-CN" w:bidi="ar-SA"/>
        </w:rPr>
        <w:t xml:space="preserve">（1～6项必须提供，否则响应无效）</w:t>
      </w:r>
      <w:r>
        <w:rPr>
          <w:rFonts w:hint="eastAsia" w:ascii="宋体" w:hAnsi="宋体" w:eastAsia="宋体" w:cs="宋体"/>
          <w:sz w:val="24"/>
          <w:szCs w:val="24"/>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1、提供合法有效的法人的营业执照或事业法人证或其他组织应提供合法证明文件或自然人提供身份证明，以上证明文件的扫描件； </w:t>
      </w:r>
      <w:r/>
    </w:p>
    <w:p>
      <w:pPr>
        <w:ind w:firstLine="482"/>
        <w:jc w:val="both"/>
        <w:keepLines w:val="0"/>
        <w:keepNext w:val="0"/>
        <w:pageBreakBefore w:val="0"/>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sz w:val="24"/>
          <w:szCs w:val="24"/>
          <w:lang w:val="en-US" w:eastAsia="zh-CN" w:bidi="ar-SA"/>
        </w:rPr>
        <w:t xml:space="preserve">财务状况报告，至少提供： </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（1）供应商的“首次响应文件提交的截止时间”前6个月内任何1月（不含“首次响应文件提交的截止时间”当月）的资产负债表的扫描件1份；</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（2）供应商的“首次响应文件提交的截止时间”前6个月内任何1月（不含“首次响应文件提交的截止时间”当月）的利润表月报表的扫描件1份。</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或合法有效的经第三方机构审计的年度财务审计报告（复印件）（2025年度，应包括审计报告正文、资产负债表、现金流量表、利润表）。</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sz w:val="24"/>
          <w:szCs w:val="24"/>
          <w:lang w:val="en-US" w:eastAsia="zh-CN" w:bidi="ar-SA"/>
        </w:rPr>
        <w:t xml:space="preserve">3、供应商</w:t>
      </w:r>
      <w:r>
        <w:rPr>
          <w:rFonts w:hint="eastAsia" w:ascii="宋体" w:hAnsi="宋体" w:eastAsia="宋体" w:cs="宋体"/>
          <w:color w:val="000000"/>
          <w:sz w:val="24"/>
          <w:szCs w:val="24"/>
          <w:highlight w:val="none"/>
          <w:lang w:val="en-US" w:eastAsia="zh-CN" w:bidi="ar-SA"/>
        </w:rPr>
        <w:t xml:space="preserve">提交首次响应文件时间前6个月内（不含开标当月）任何1月的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w:t>
      </w:r>
      <w:r>
        <w:rPr>
          <w:rFonts w:hint="eastAsia" w:ascii="宋体" w:hAnsi="宋体" w:eastAsia="宋体" w:cs="宋体"/>
          <w:color w:val="000000"/>
          <w:sz w:val="24"/>
          <w:szCs w:val="24"/>
          <w:lang w:val="en-US" w:eastAsia="zh-CN" w:bidi="ar-SA"/>
        </w:rPr>
        <w:t xml:space="preserve">具备履行合同所必需的设备和专业技术能力的书面声明，并附证明材料扫描件，即提供：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eastAsia="宋体" w:cs="宋体"/>
          <w:b/>
          <w:bCs w:val="0"/>
          <w:color w:val="000000"/>
          <w:sz w:val="24"/>
        </w:rPr>
        <w:t xml:space="preserve">具备市政公用工程施工总承包叁级及以上资质；且具有有效的安全生产许可证</w:t>
      </w:r>
      <w:r>
        <w:rPr>
          <w:rFonts w:hint="eastAsia" w:ascii="宋体" w:hAnsi="宋体" w:eastAsia="宋体" w:cs="宋体"/>
          <w:b w:val="0"/>
          <w:bCs/>
          <w:color w:val="000000"/>
          <w:sz w:val="24"/>
        </w:rPr>
        <w:t xml:space="preserve">，提供扫描件并加盖电子签章；</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eastAsia="宋体" w:cs="宋体"/>
          <w:b/>
          <w:color w:val="auto"/>
          <w:sz w:val="24"/>
          <w:szCs w:val="24"/>
          <w:highlight w:val="none"/>
          <w:u w:val="none"/>
          <w:lang w:eastAsia="zh-CN"/>
        </w:rPr>
        <w:t xml:space="preserve">市政</w:t>
      </w:r>
      <w:r>
        <w:rPr>
          <w:rFonts w:hint="eastAsia" w:ascii="宋体" w:hAnsi="宋体" w:eastAsia="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eastAsia="宋体" w:cs="宋体"/>
          <w:b/>
          <w:color w:val="auto"/>
          <w:sz w:val="24"/>
          <w:szCs w:val="24"/>
          <w:highlight w:val="none"/>
          <w:u w:val="none"/>
          <w:lang w:val="en-US" w:eastAsia="zh-CN"/>
        </w:rPr>
        <w:t xml:space="preserve">及以上注册建造师（资格）</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eastAsia="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eastAsia="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其余提供扫描件并加盖电子签章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ind w:right="-334" w:firstLine="482"/>
        <w:spacing w:line="360" w:lineRule="auto"/>
        <w:rPr>
          <w:rFonts w:hint="eastAsia" w:ascii="宋体" w:hAnsi="宋体" w:eastAsia="宋体" w:cs="宋体"/>
          <w:b/>
          <w:bCs w:val="0"/>
          <w:color w:val="000000"/>
          <w:sz w:val="24"/>
        </w:rPr>
      </w:pPr>
      <w:r>
        <w:rPr>
          <w:rFonts w:hint="eastAsia" w:ascii="宋体" w:hAnsi="宋体" w:eastAsia="宋体" w:cs="宋体"/>
          <w:bCs/>
          <w:color w:val="000000"/>
          <w:sz w:val="24"/>
          <w:highlight w:val="none"/>
        </w:rPr>
        <w:t xml:space="preserve">③</w:t>
      </w:r>
      <w:r>
        <w:rPr>
          <w:rFonts w:hint="eastAsia" w:ascii="宋体" w:hAnsi="宋体" w:eastAsia="宋体" w:cs="宋体"/>
          <w:bCs/>
          <w:color w:val="000000"/>
          <w:sz w:val="24"/>
          <w:highlight w:val="none"/>
          <w:lang w:val="en-US" w:eastAsia="zh-CN"/>
        </w:rPr>
        <w:t xml:space="preserve">安全员：</w:t>
      </w:r>
      <w:r>
        <w:rPr>
          <w:rFonts w:hint="eastAsia" w:ascii="宋体" w:hAnsi="宋体" w:eastAsia="宋体" w:cs="宋体"/>
          <w:bCs/>
          <w:color w:val="000000"/>
          <w:sz w:val="24"/>
          <w:highlight w:val="none"/>
        </w:rPr>
        <w:t xml:space="preserve"> </w:t>
      </w:r>
      <w:r>
        <w:rPr>
          <w:rFonts w:hint="eastAsia" w:ascii="宋体" w:hAnsi="宋体" w:eastAsia="宋体" w:cs="宋体"/>
          <w:b/>
          <w:bCs w:val="0"/>
          <w:color w:val="000000"/>
          <w:sz w:val="24"/>
          <w:highlight w:val="none"/>
        </w:rPr>
        <w:t xml:space="preserve">必须设置独立的专职安全员，专职安全员具备有效的《安全生产考核合格证书》</w:t>
      </w:r>
      <w:r>
        <w:rPr>
          <w:rFonts w:hint="eastAsia" w:ascii="宋体" w:hAnsi="宋体" w:eastAsia="宋体" w:cs="宋体"/>
          <w:b/>
          <w:bCs w:val="0"/>
          <w:color w:val="000000"/>
          <w:sz w:val="24"/>
          <w:highlight w:val="none"/>
          <w:lang w:val="en-US" w:eastAsia="zh-CN"/>
        </w:rPr>
        <w:t xml:space="preserve">C证</w:t>
      </w:r>
      <w:r>
        <w:rPr>
          <w:rFonts w:hint="eastAsia" w:ascii="宋体" w:hAnsi="宋体" w:eastAsia="宋体" w:cs="宋体"/>
          <w:b/>
          <w:bCs w:val="0"/>
          <w:color w:val="000000"/>
          <w:sz w:val="24"/>
          <w:highlight w:val="none"/>
        </w:rPr>
        <w:t xml:space="preserve">；</w:t>
      </w:r>
      <w:r/>
    </w:p>
    <w:p>
      <w:pPr>
        <w:ind w:firstLine="482"/>
        <w:jc w:val="both"/>
        <w:pageBreakBefore w:val="0"/>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highlight w:val="none"/>
          <w:lang w:val="en-US" w:eastAsia="zh-CN" w:bidi="ar-SA"/>
        </w:rPr>
        <w:t xml:space="preserve">5、</w:t>
      </w:r>
      <w:r>
        <w:rPr>
          <w:rFonts w:hint="eastAsia" w:ascii="宋体" w:hAnsi="宋体" w:eastAsia="宋体" w:cs="宋体"/>
          <w:b w:val="0"/>
          <w:bCs/>
          <w:sz w:val="24"/>
          <w:szCs w:val="24"/>
          <w:lang w:val="en-US" w:eastAsia="zh-CN" w:bidi="ar-SA"/>
        </w:rPr>
        <w:t xml:space="preserve">供应商参加政府采购活动前3年内在经营活动中没有重大违法记录的书面声明（加盖电子签章，格式见《磋商文件》附件）；</w:t>
      </w:r>
      <w:r/>
    </w:p>
    <w:p>
      <w:pPr>
        <w:ind w:right="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6、供应商须提供《中小企业声明函》（加盖电子签章，填写完整，格式见《磋商文件》附件），《中小企业声明函》查询渠道参考工业和信息化部发布的中小企业规模自测小程序。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hint="default" w:ascii="宋体" w:hAnsi="宋体" w:eastAsia="宋体" w:cs="Times New Roman"/>
          <w:b w:val="0"/>
          <w:bCs/>
          <w:color w:val="auto"/>
          <w:sz w:val="24"/>
          <w:highlight w:val="none"/>
        </w:rPr>
        <w:t xml:space="preserve">《分项价格表》（具有标价的工程量清单与报价表）（</w:t>
      </w:r>
      <w:r>
        <w:rPr>
          <w:rFonts w:hint="eastAsia" w:ascii="宋体" w:hAnsi="宋体" w:eastAsia="宋体" w:cs="Times New Roman"/>
          <w:b w:val="0"/>
          <w:bCs/>
          <w:color w:val="auto"/>
          <w:sz w:val="24"/>
          <w:highlight w:val="none"/>
          <w:lang w:val="en-US" w:eastAsia="zh-CN"/>
        </w:rPr>
        <w:t xml:space="preserve">加盖</w:t>
      </w:r>
      <w:r>
        <w:rPr>
          <w:rFonts w:hint="default" w:ascii="宋体" w:hAnsi="宋体" w:eastAsia="宋体" w:cs="Times New Roman"/>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hint="default" w:ascii="宋体" w:hAnsi="宋体" w:eastAsia="宋体" w:cs="Times New Roman"/>
          <w:b w:val="0"/>
          <w:bCs/>
          <w:color w:val="auto"/>
          <w:sz w:val="24"/>
          <w:szCs w:val="24"/>
          <w:highlight w:val="none"/>
        </w:rPr>
        <w:t xml:space="preserve">《授权委托书》（加盖电子签章，格式见《磋商文件》附件</w:t>
      </w:r>
      <w:r>
        <w:rPr>
          <w:rFonts w:hint="eastAsia" w:ascii="宋体" w:hAnsi="宋体" w:eastAsia="宋体" w:cs="Times New Roman"/>
          <w:b w:val="0"/>
          <w:bCs/>
          <w:color w:val="auto"/>
          <w:sz w:val="24"/>
          <w:szCs w:val="24"/>
          <w:highlight w:val="none"/>
          <w:lang w:eastAsia="zh-CN"/>
        </w:rPr>
        <w:t xml:space="preserve">，提供</w:t>
      </w:r>
      <w:r>
        <w:rPr>
          <w:rFonts w:hint="eastAsia" w:ascii="宋体" w:hAnsi="宋体" w:eastAsia="宋体" w:cs="Times New Roman"/>
          <w:b w:val="0"/>
          <w:bCs/>
          <w:color w:val="auto"/>
          <w:sz w:val="24"/>
          <w:szCs w:val="24"/>
          <w:highlight w:val="none"/>
        </w:rPr>
        <w:t xml:space="preserve">授权委托书中受托人身份证扫描件</w:t>
      </w:r>
      <w:r>
        <w:rPr>
          <w:rFonts w:hint="default" w:ascii="宋体" w:hAnsi="宋体" w:eastAsia="宋体" w:cs="Times New Roman"/>
          <w:b w:val="0"/>
          <w:bCs/>
          <w:color w:val="auto"/>
          <w:sz w:val="24"/>
          <w:szCs w:val="24"/>
          <w:highlight w:val="none"/>
        </w:rPr>
        <w:t xml:space="preserve">）</w:t>
      </w:r>
      <w:r>
        <w:rPr>
          <w:rFonts w:hint="eastAsia" w:ascii="宋体" w:hAnsi="宋体" w:eastAsia="宋体" w:cs="Times New Roman"/>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5、《承诺书》（加盖电子签章，格式见《磋商文件》附件）；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6、《偏离表》（加盖电子签章，格式见《磋商文件》附件）；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ind w:firstLine="482"/>
        <w:jc w:val="both"/>
        <w:keepLines w:val="0"/>
        <w:keepNext w:val="0"/>
        <w:pageBreakBefore w:val="0"/>
        <w:spacing w:after="0"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b/>
          <w:color w:val="000000"/>
          <w:sz w:val="24"/>
          <w:szCs w:val="24"/>
          <w:lang w:val="en-US" w:eastAsia="zh-CN" w:bidi="ar-SA"/>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eastAsia="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Times New Roman"/>
          <w:color w:val="auto"/>
          <w:sz w:val="24"/>
          <w:highlight w:val="none"/>
        </w:rPr>
        <w:t xml:space="preserve">供应商成交后，须向代理机构提供</w:t>
      </w:r>
      <w:bookmarkStart w:id="3" w:name="_Hlk105221193"/>
      <w:r>
        <w:rPr>
          <w:rFonts w:hint="eastAsia" w:ascii="宋体" w:hAnsi="宋体" w:eastAsia="宋体" w:cs="Times New Roman"/>
          <w:color w:val="auto"/>
          <w:sz w:val="24"/>
          <w:highlight w:val="none"/>
        </w:rPr>
        <w:t xml:space="preserve">纸质版响应文件一正</w:t>
      </w:r>
      <w:r>
        <w:rPr>
          <w:rFonts w:hint="eastAsia" w:ascii="宋体" w:hAnsi="宋体" w:eastAsia="宋体" w:cs="Times New Roman"/>
          <w:color w:val="auto"/>
          <w:sz w:val="24"/>
          <w:highlight w:val="none"/>
          <w:lang w:val="en-US" w:eastAsia="zh-CN"/>
        </w:rPr>
        <w:t xml:space="preserve">叁</w:t>
      </w:r>
      <w:r>
        <w:rPr>
          <w:rFonts w:hint="eastAsia" w:ascii="宋体" w:hAnsi="宋体" w:eastAsia="宋体" w:cs="Times New Roman"/>
          <w:color w:val="auto"/>
          <w:sz w:val="24"/>
          <w:highlight w:val="none"/>
        </w:rPr>
        <w:t xml:space="preserve">副及电子响应文件（U盘）</w:t>
      </w:r>
      <w:bookmarkEnd w:id="3"/>
      <w:r>
        <w:rPr>
          <w:rFonts w:hint="eastAsia" w:ascii="宋体" w:hAnsi="宋体" w:eastAsia="宋体" w:cs="Times New Roman"/>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ind w:firstLine="480"/>
        <w:jc w:val="left"/>
        <w:keepLines w:val="0"/>
        <w:keepNext w:val="0"/>
        <w:pageBreakBefore w:val="0"/>
        <w:spacing w:line="360" w:lineRule="auto"/>
        <w:widowControl w:val="off"/>
        <w:rPr>
          <w:rFonts w:hint="default" w:ascii="宋体" w:hAnsi="宋体" w:eastAsia="Arial" w:cs="宋体"/>
          <w:bCs/>
          <w:color w:val="auto"/>
          <w:sz w:val="24"/>
          <w:szCs w:val="20"/>
          <w:highlight w:val="none"/>
          <w:lang w:val="en-US" w:eastAsia="zh-CN" w:bidi="ar-SA"/>
        </w:rPr>
      </w:pPr>
      <w:r>
        <w:rPr>
          <w:rFonts w:hint="eastAsia" w:ascii="宋体" w:hAnsi="宋体" w:eastAsia="宋体" w:cs="宋体"/>
          <w:sz w:val="24"/>
          <w:szCs w:val="24"/>
          <w:lang w:val="en-US" w:eastAsia="zh-CN" w:bidi="ar-SA"/>
        </w:rPr>
        <w:t xml:space="preserve">1、被邀请参与磋商的供应商需按本竞争性磋商文件要求的截止时间、方式（地点）提交首次响应文件，</w:t>
      </w:r>
      <w:r>
        <w:rPr>
          <w:rFonts w:hint="eastAsia" w:ascii="宋体" w:hAnsi="宋体" w:eastAsia="Arial" w:cs="宋体"/>
          <w:bCs/>
          <w:color w:val="auto"/>
          <w:sz w:val="24"/>
          <w:szCs w:val="20"/>
          <w:highlight w:val="none"/>
          <w:lang w:val="en-US" w:eastAsia="zh-CN" w:bidi="ar-SA"/>
        </w:rPr>
        <w:t xml:space="preserve">同时派人通过“苏采云”系统在“开标大厅”等待磋商。</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2、供应商可通过CA数字证书，在首次响应文件开启时间后，使用CA数字证书在规定时间内解密各自响应文件。</w:t>
      </w:r>
      <w:r/>
    </w:p>
    <w:p>
      <w:pPr>
        <w:ind w:firstLine="480"/>
        <w:jc w:val="both"/>
        <w:keepLines w:val="0"/>
        <w:keepNext w:val="0"/>
        <w:pageBreakBefore w:val="0"/>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4、磋商顺序按照电子标书解密先后时间进行，解密时间相同的，不分先后顺序。</w:t>
      </w:r>
      <w:r/>
    </w:p>
    <w:p>
      <w:pPr>
        <w:ind w:firstLine="482"/>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6、未在规定时间内进行答疑澄清的，视同放弃澄清。</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7、未在规定时间内进行报价的，视为响应无效。</w:t>
      </w:r>
      <w:r/>
    </w:p>
    <w:p>
      <w:pPr>
        <w:ind w:left="0" w:firstLine="422"/>
        <w:jc w:val="left"/>
        <w:spacing w:after="120" w:line="360"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注：各供应商在未进行第二次报价前，请不要离开开标系统，随时接受磋商小组发起的二次报价，因供应商未能及时二次报价而引起的废标及损失，由供应商自行承担。</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8、被邀请参与磋商的供应商如未按上述磋商要求执行，视同放弃磋商的权利。</w:t>
      </w:r>
      <w:r/>
    </w:p>
    <w:p>
      <w:pPr>
        <w:ind w:firstLine="48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rPr>
          <w:rFonts w:hint="default" w:ascii="宋体" w:hAnsi="宋体" w:eastAsia="宋体" w:cs="Times New Roman"/>
          <w:b/>
          <w:bCs/>
          <w:color w:val="auto"/>
          <w:sz w:val="24"/>
          <w:szCs w:val="24"/>
          <w:highlight w:val="none"/>
          <w:lang w:val="en-US" w:eastAsia="zh-CN" w:bidi="ar-SA"/>
        </w:rPr>
        <w:t xml:space="preserve">本项目二次报价为最后报价</w:t>
      </w:r>
      <w:r>
        <w:rPr>
          <w:rFonts w:hint="eastAsia" w:ascii="宋体" w:hAnsi="宋体" w:eastAsia="宋体" w:cs="Times New Roman"/>
          <w:b/>
          <w:bCs/>
          <w:color w:val="auto"/>
          <w:sz w:val="24"/>
          <w:szCs w:val="24"/>
          <w:highlight w:val="none"/>
          <w:lang w:val="en-US" w:eastAsia="zh-CN" w:bidi="ar-SA"/>
        </w:rPr>
        <w:t xml:space="preserve">。</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采用竞争性</w:t>
      </w:r>
      <w:r>
        <w:rPr>
          <w:rFonts w:hint="eastAsia" w:ascii="宋体" w:hAnsi="宋体" w:eastAsia="宋体" w:cs="宋体"/>
          <w:sz w:val="24"/>
          <w:szCs w:val="24"/>
          <w:lang w:val="en-US" w:eastAsia="zh-CN" w:bidi="ar-SA"/>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r>
        <w:rPr>
          <w:rFonts w:hint="default" w:ascii="宋体" w:hAnsi="宋体" w:eastAsia="宋体" w:cs="宋体"/>
          <w:sz w:val="24"/>
          <w:szCs w:val="24"/>
          <w:lang w:val="en-US" w:eastAsia="zh-CN" w:bidi="ar-SA"/>
        </w:rPr>
        <w:t xml:space="preserve">评标委员会启动异常低价投标审查的情形和具体要求，包括:</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9.1.评审过程中出现下列情形之一的，评标委员会应当启动异常低价投标审查程序：</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（1）投标报价低于采购项目预算50%的，即投标报价&lt;采购项目预算×50%；</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（2）投标报价低于采购项目最高限价45%的，即投标报价&lt;采购项目最高限价×45%；</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（3）评标委员会认定的投标人报价过低、有可能影响产品质量或者不能诚信履约的其他情形。</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9.2.启动异常</w:t>
      </w:r>
      <w:r>
        <w:rPr>
          <w:rFonts w:hint="default" w:ascii="宋体" w:hAnsi="宋体" w:eastAsia="宋体" w:cs="宋体"/>
          <w:sz w:val="24"/>
          <w:szCs w:val="24"/>
          <w:lang w:val="en-US" w:eastAsia="zh-CN" w:bidi="ar-SA"/>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（二）评审程序</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eastAsia="宋体" w:cs="宋体"/>
          <w:color w:val="000000"/>
          <w:sz w:val="24"/>
          <w:szCs w:val="24"/>
          <w:lang w:eastAsia="zh-CN"/>
        </w:rPr>
        <w:t xml:space="preserve">，</w:t>
      </w:r>
      <w:r>
        <w:rPr>
          <w:rFonts w:hint="default" w:ascii="宋体" w:hAnsi="宋体" w:eastAsia="宋体" w:cs="Times New Roman"/>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eastAsia="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eastAsia="宋体" w:cs="宋体"/>
          <w:color w:val="000000"/>
          <w:sz w:val="24"/>
          <w:szCs w:val="24"/>
          <w:lang w:eastAsia="zh-CN"/>
        </w:rPr>
        <w:t xml:space="preserve">江苏辰拓招标代理有限公司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吴璇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0516-89670199</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沛县沛公路检察院南门对过</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eastAsia="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default" w:ascii="宋体" w:hAnsi="宋体" w:eastAsia="宋体" w:cs="Times New Roman"/>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名称：沛县鹿楼镇人民政府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址：沛县鹿楼镇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联系方式：刘静  </w:t>
      </w:r>
      <w:r>
        <w:rPr>
          <w:rFonts w:hint="eastAsia" w:ascii="宋体" w:hAnsi="宋体" w:eastAsia="宋体" w:cs="宋体"/>
          <w:color w:val="auto"/>
          <w:sz w:val="24"/>
          <w:szCs w:val="24"/>
          <w:lang w:val="en-US" w:eastAsia="zh-CN"/>
        </w:rPr>
        <w:t xml:space="preserve">15295497707</w:t>
      </w:r>
      <w:r/>
    </w:p>
    <w:p>
      <w:pPr>
        <w:numPr>
          <w:ilvl w:val="0"/>
          <w:numId w:val="1"/>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名称：江苏辰拓招标代理有限公司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地址：沛县沛公路检察院南门对过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：吴璇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话：0516-89670199</w:t>
      </w:r>
      <w:bookmarkStart w:id="18" w:name="_GoBack"/>
      <w:r/>
      <w:bookmarkEnd w:id="18"/>
      <w:r/>
      <w:r/>
    </w:p>
    <w:p>
      <w:pPr>
        <w:numPr>
          <w:ilvl w:val="0"/>
          <w:numId w:val="2"/>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、本项目代理服务费由中标（成交）人支付，费用包含在投标报价中。具体如下：</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费用金额：本工程招标代理费按照苏政采协[2024]20号《江苏省政府采购代理服务收费指导意见》收费标准计取，由中标（成交）单位支付。此项费用含在投标报价中并不单独列支，投标人编制投标文件时考虑到投标报价中。</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支付时间：中标（成交）人在领取中标（成交）通知书前，向代理机构一次性付清。</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16、</w:t>
      </w:r>
      <w:r>
        <w:rPr>
          <w:rFonts w:hint="default" w:ascii="宋体" w:hAnsi="宋体" w:eastAsia="宋体" w:cs="Times New Roman"/>
          <w:color w:val="auto"/>
          <w:sz w:val="24"/>
          <w:highlight w:val="none"/>
        </w:rPr>
        <w:t xml:space="preserve">《预付款保函支付条款模板》</w:t>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1032"/>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评审因素</w:t>
            </w:r>
            <w:r/>
          </w:p>
        </w:tc>
        <w:tc>
          <w:tcPr>
            <w:tcW w:w="71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评审因素细化和量化</w:t>
            </w:r>
            <w:r/>
          </w:p>
        </w:tc>
      </w:tr>
      <w:tr>
        <w:trPr>
          <w:jc w:val="center"/>
          <w:trHeight w:val="1619"/>
        </w:trPr>
        <w:tc>
          <w:tcPr>
            <w:tcW w:w="12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价格部分</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（30分）</w:t>
            </w:r>
            <w:r/>
          </w:p>
        </w:tc>
        <w:tc>
          <w:tcPr>
            <w:tcW w:w="19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（30分）</w:t>
            </w:r>
            <w:r/>
          </w:p>
        </w:tc>
        <w:tc>
          <w:tcPr>
            <w:tcW w:w="71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采用低价优先法计算，即满足磋商文件要求且最后报价最低的供应商的价格为磋商基准价，其价格分为满分。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其他供应商的价格分统一按照下列公式计算：</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磋商报价得分=（磋商基准价/最后磋商报价）×30，得分四舍五入保留小数点后2位。</w:t>
            </w:r>
            <w:r/>
          </w:p>
        </w:tc>
      </w:tr>
      <w:tr>
        <w:trPr>
          <w:cantSplit/>
          <w:jc w:val="center"/>
          <w:trHeight w:val="2240"/>
        </w:trPr>
        <w:tc>
          <w:tcPr>
            <w:tcW w:w="1263"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技术部分（施工方案）</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（66分）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tcBorders>
              <w:bottom w:val="single" w:color="auto" w:sz="4" w:space="0"/>
            </w:tcBorders>
            <w:tcW w:w="7155" w:type="dxa"/>
            <w:vAlign w:val="center"/>
            <w:textDirection w:val="lrTb"/>
            <w:noWrap w:val="false"/>
          </w:tcPr>
          <w:p>
            <w:pPr>
              <w:rPr>
                <w:rFonts w:hint="default" w:ascii="宋体" w:hAnsi="宋体" w:eastAsia="宋体" w:cs="宋体"/>
                <w:sz w:val="24"/>
              </w:rPr>
            </w:pPr>
            <w:r>
              <w:rPr>
                <w:rFonts w:hint="eastAsia" w:ascii="宋体" w:hAnsi="宋体" w:eastAsia="宋体" w:cs="宋体"/>
                <w:sz w:val="24"/>
              </w:rPr>
              <w:t xml:space="preserve">依据响应文件中的总体施工方案，对工程总体及重点部分施工方案及工艺方法进行综合评分。</w:t>
            </w:r>
            <w:r/>
          </w:p>
          <w:p>
            <w:pPr>
              <w:rPr>
                <w:rFonts w:hint="default" w:ascii="宋体" w:hAnsi="宋体" w:eastAsia="宋体" w:cs="宋体"/>
                <w:sz w:val="24"/>
              </w:rPr>
            </w:pPr>
            <w:r>
              <w:rPr>
                <w:rFonts w:hint="eastAsia" w:ascii="宋体" w:hAnsi="宋体" w:eastAsia="宋体" w:cs="宋体"/>
                <w:sz w:val="24"/>
              </w:rPr>
              <w:t xml:space="preserve">合理性(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分)：合理得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分；较合理得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分；不太合理的得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rPr>
                <w:rFonts w:hint="default" w:ascii="宋体" w:hAnsi="宋体" w:eastAsia="宋体" w:cs="宋体"/>
                <w:sz w:val="24"/>
              </w:rPr>
            </w:pPr>
            <w:r>
              <w:rPr>
                <w:rFonts w:hint="eastAsia" w:ascii="宋体" w:hAnsi="宋体" w:eastAsia="宋体" w:cs="宋体"/>
                <w:sz w:val="24"/>
              </w:rPr>
              <w:t xml:space="preserve">针对性（4分)：针对性强得4分；针对性较强得3分；针对性一般的得2分，欠缺针对性的得1分。</w:t>
            </w:r>
            <w:r/>
          </w:p>
          <w:p>
            <w:pPr>
              <w:rPr>
                <w:rFonts w:hint="default" w:ascii="宋体" w:hAnsi="宋体" w:eastAsia="宋体" w:cs="宋体"/>
                <w:sz w:val="24"/>
              </w:rPr>
            </w:pP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分；可行性欠缺得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eastAsia="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hint="default" w:ascii="宋体" w:hAnsi="宋体" w:eastAsia="宋体" w:cs="宋体"/>
                <w:sz w:val="24"/>
              </w:rPr>
            </w:pPr>
            <w:r>
              <w:rPr>
                <w:rFonts w:hint="eastAsia" w:ascii="宋体" w:hAnsi="宋体" w:eastAsia="宋体" w:cs="宋体"/>
                <w:sz w:val="24"/>
              </w:rPr>
              <w:t xml:space="preserve">合理性(3分)：合理得3分；较合理得2分；不太合理的得1分。</w:t>
            </w:r>
            <w:r/>
          </w:p>
          <w:p>
            <w:pPr>
              <w:rPr>
                <w:rFonts w:hint="default" w:ascii="宋体" w:hAnsi="宋体" w:eastAsia="宋体" w:cs="宋体"/>
                <w:sz w:val="24"/>
              </w:rPr>
            </w:pPr>
            <w:r>
              <w:rPr>
                <w:rFonts w:hint="eastAsia" w:ascii="宋体" w:hAnsi="宋体" w:eastAsia="宋体" w:cs="宋体"/>
                <w:sz w:val="24"/>
              </w:rPr>
              <w:t xml:space="preserve">针对性（4分)：针对性强得4分；针对性较强得3分；针对性一般的得2分，欠缺针对性的得1分。</w:t>
            </w:r>
            <w:r/>
          </w:p>
          <w:p>
            <w:pPr>
              <w:rPr>
                <w:rFonts w:hint="default" w:ascii="宋体" w:hAnsi="宋体" w:eastAsia="宋体" w:cs="宋体"/>
                <w:sz w:val="24"/>
              </w:rPr>
            </w:pPr>
            <w:r>
              <w:rPr>
                <w:rFonts w:hint="eastAsia" w:ascii="宋体" w:hAnsi="宋体" w:eastAsia="宋体" w:cs="宋体"/>
                <w:sz w:val="24"/>
              </w:rPr>
              <w:t xml:space="preserve">可行性（3分)：符合实际切实可行得3分；较切实可行得2分；可行性欠缺得1分；</w:t>
            </w:r>
            <w:r/>
          </w:p>
          <w:p>
            <w:pPr>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（10分）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eastAsia="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eastAsia="宋体" w:cs="宋体"/>
                <w:sz w:val="24"/>
                <w:highlight w:val="none"/>
                <w:lang w:eastAsia="zh-CN"/>
              </w:rPr>
              <w:t xml:space="preserve">：</w:t>
            </w:r>
            <w:r/>
          </w:p>
          <w:p>
            <w:pPr>
              <w:rPr>
                <w:rFonts w:hint="default" w:ascii="宋体" w:hAnsi="宋体" w:eastAsia="宋体" w:cs="宋体"/>
                <w:sz w:val="24"/>
              </w:rPr>
            </w:pPr>
            <w:r>
              <w:rPr>
                <w:rFonts w:hint="eastAsia" w:ascii="宋体" w:hAnsi="宋体" w:eastAsia="宋体" w:cs="宋体"/>
                <w:sz w:val="24"/>
              </w:rPr>
              <w:t xml:space="preserve">合理性(3分)：合理得3分；较合理得2分；不太合理的得1分。</w:t>
            </w:r>
            <w:r/>
          </w:p>
          <w:p>
            <w:pPr>
              <w:rPr>
                <w:rFonts w:hint="default" w:ascii="宋体" w:hAnsi="宋体" w:eastAsia="宋体" w:cs="宋体"/>
                <w:sz w:val="24"/>
              </w:rPr>
            </w:pPr>
            <w:r>
              <w:rPr>
                <w:rFonts w:hint="eastAsia" w:ascii="宋体" w:hAnsi="宋体" w:eastAsia="宋体" w:cs="宋体"/>
                <w:sz w:val="24"/>
              </w:rPr>
              <w:t xml:space="preserve">针对性（4分)：针对性强得4分；针对性较强得3分；针对性一般的得2分，欠缺针对性的得1分。</w:t>
            </w:r>
            <w:r/>
          </w:p>
          <w:p>
            <w:pPr>
              <w:rPr>
                <w:rFonts w:hint="default" w:ascii="宋体" w:hAnsi="宋体" w:eastAsia="宋体" w:cs="宋体"/>
                <w:sz w:val="24"/>
              </w:rPr>
            </w:pPr>
            <w:r>
              <w:rPr>
                <w:rFonts w:hint="eastAsia" w:ascii="宋体" w:hAnsi="宋体" w:eastAsia="宋体" w:cs="宋体"/>
                <w:sz w:val="24"/>
              </w:rPr>
              <w:t xml:space="preserve">可行性（3分)：符合实际切实可行得3分；较切实可行得2分；可行性欠缺得1分；</w:t>
            </w:r>
            <w:r/>
          </w:p>
          <w:p>
            <w:pPr>
              <w:jc w:val="left"/>
              <w:keepLines w:val="0"/>
              <w:keepNext w:val="0"/>
              <w:pageBreakBefore w:val="0"/>
              <w:spacing w:line="240" w:lineRule="auto"/>
              <w:widowControl w:val="off"/>
              <w:rPr>
                <w:rFonts w:hint="eastAsia" w:ascii="Times New Roman"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9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安全文明施工保证措施（9分）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hint="default" w:ascii="宋体" w:hAnsi="宋体" w:eastAsia="宋体" w:cs="宋体"/>
                <w:sz w:val="24"/>
              </w:rPr>
            </w:pPr>
            <w:r>
              <w:rPr>
                <w:rFonts w:hint="eastAsia" w:ascii="宋体" w:hAnsi="宋体" w:eastAsia="宋体" w:cs="宋体"/>
                <w:sz w:val="24"/>
              </w:rPr>
              <w:t xml:space="preserve">合理性(3分)：合理得3分；较合理得2分；不太合理的得1分。</w:t>
            </w:r>
            <w:r/>
          </w:p>
          <w:p>
            <w:pPr>
              <w:rPr>
                <w:rFonts w:hint="default" w:ascii="宋体" w:hAnsi="宋体" w:eastAsia="宋体" w:cs="宋体"/>
                <w:sz w:val="24"/>
              </w:rPr>
            </w:pP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分；针对性一般的得2分，欠缺针对性的得1分。</w:t>
            </w:r>
            <w:r/>
          </w:p>
          <w:p>
            <w:pPr>
              <w:rPr>
                <w:rFonts w:hint="default" w:ascii="宋体" w:hAnsi="宋体" w:eastAsia="宋体" w:cs="宋体"/>
                <w:sz w:val="24"/>
              </w:rPr>
            </w:pPr>
            <w:r>
              <w:rPr>
                <w:rFonts w:hint="eastAsia" w:ascii="宋体" w:hAnsi="宋体" w:eastAsia="宋体" w:cs="宋体"/>
                <w:sz w:val="24"/>
              </w:rPr>
              <w:t xml:space="preserve">可行性（3分)：符合实际切实可行得3分；较切实可行得2分；可行性欠缺得1分；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hint="default" w:ascii="宋体" w:hAnsi="宋体" w:eastAsia="宋体" w:cs="宋体"/>
                <w:sz w:val="24"/>
              </w:rPr>
            </w:pPr>
            <w:r>
              <w:rPr>
                <w:rFonts w:hint="eastAsia" w:ascii="宋体" w:hAnsi="宋体" w:eastAsia="宋体" w:cs="宋体"/>
                <w:sz w:val="24"/>
              </w:rPr>
              <w:t xml:space="preserve">合理性(3分)：合理得3分；较合理得2分；不太合理的得1分。</w:t>
            </w:r>
            <w:r/>
          </w:p>
          <w:p>
            <w:pPr>
              <w:rPr>
                <w:rFonts w:hint="default" w:ascii="宋体" w:hAnsi="宋体" w:eastAsia="宋体" w:cs="宋体"/>
                <w:sz w:val="24"/>
              </w:rPr>
            </w:pP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分；针对性一般的得2分，欠缺针对性的得1分。</w:t>
            </w:r>
            <w:r/>
          </w:p>
          <w:p>
            <w:pPr>
              <w:rPr>
                <w:rFonts w:hint="default" w:ascii="宋体" w:hAnsi="宋体" w:eastAsia="宋体" w:cs="宋体"/>
                <w:sz w:val="24"/>
              </w:rPr>
            </w:pPr>
            <w:r>
              <w:rPr>
                <w:rFonts w:hint="eastAsia" w:ascii="宋体" w:hAnsi="宋体" w:eastAsia="宋体" w:cs="宋体"/>
                <w:sz w:val="24"/>
              </w:rPr>
              <w:t xml:space="preserve">可行性（3分)：符合实际切实可行得3分；较切实可行得2分；可行性欠缺得1分；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9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关键施工技术、工艺及工程项目实施的重点、难点和解决方案（10分）</w:t>
            </w:r>
            <w:r/>
          </w:p>
        </w:tc>
        <w:tc>
          <w:tcPr>
            <w:tcBorders>
              <w:top w:val="single" w:color="auto" w:sz="4" w:space="0"/>
              <w:bottom w:val="single" w:color="auto" w:sz="4" w:space="0"/>
            </w:tcBorders>
            <w:tcW w:w="71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依据响应文件中</w:t>
            </w:r>
            <w:r>
              <w:rPr>
                <w:rFonts w:hint="eastAsia" w:ascii="宋体" w:hAnsi="宋体" w:eastAsia="宋体" w:cs="宋体"/>
                <w:color w:val="auto"/>
                <w:sz w:val="24"/>
                <w:szCs w:val="24"/>
                <w:highlight w:val="none"/>
                <w:lang w:val="en-US" w:eastAsia="zh-CN" w:bidi="hi-IN"/>
              </w:rPr>
              <w:t xml:space="preserve">关键施工技术、工艺及工程项目实施的重难点和解决方案进行评分：</w:t>
            </w:r>
            <w:r/>
          </w:p>
          <w:p>
            <w:pPr>
              <w:rPr>
                <w:rFonts w:hint="default" w:ascii="宋体" w:hAnsi="宋体" w:eastAsia="宋体" w:cs="宋体"/>
                <w:sz w:val="24"/>
              </w:rPr>
            </w:pPr>
            <w:r>
              <w:rPr>
                <w:rFonts w:hint="eastAsia" w:ascii="宋体" w:hAnsi="宋体" w:eastAsia="宋体" w:cs="宋体"/>
                <w:sz w:val="24"/>
              </w:rPr>
              <w:t xml:space="preserve">合理性(3分)：合理得3分；较合理得2分；不太合理的得1分。</w:t>
            </w:r>
            <w:r/>
          </w:p>
          <w:p>
            <w:pPr>
              <w:rPr>
                <w:rFonts w:hint="default" w:ascii="宋体" w:hAnsi="宋体" w:eastAsia="宋体" w:cs="宋体"/>
                <w:sz w:val="24"/>
              </w:rPr>
            </w:pPr>
            <w:r>
              <w:rPr>
                <w:rFonts w:hint="eastAsia" w:ascii="宋体" w:hAnsi="宋体" w:eastAsia="宋体" w:cs="宋体"/>
                <w:sz w:val="24"/>
              </w:rPr>
              <w:t xml:space="preserve">针对性（4分)：针对性强得4分；针对性较强得3分；针对性一般的得2分，欠缺针对性的得1分。</w:t>
            </w:r>
            <w:r/>
          </w:p>
          <w:p>
            <w:pPr>
              <w:rPr>
                <w:rFonts w:hint="default" w:ascii="宋体" w:hAnsi="宋体" w:eastAsia="宋体" w:cs="宋体"/>
                <w:sz w:val="24"/>
              </w:rPr>
            </w:pPr>
            <w:r>
              <w:rPr>
                <w:rFonts w:hint="eastAsia" w:ascii="宋体" w:hAnsi="宋体" w:eastAsia="宋体" w:cs="宋体"/>
                <w:sz w:val="24"/>
              </w:rPr>
              <w:t xml:space="preserve">可行性（3分)：符合实际切实可行得3分；较切实可行得2分；可行性欠缺得1分；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eastAsia="宋体" w:cs="Times New Roman"/>
                <w:sz w:val="24"/>
                <w:highlight w:val="none"/>
              </w:rPr>
            </w:pPr>
            <w:r>
              <w:rPr>
                <w:rFonts w:hint="default" w:ascii="宋体" w:hAnsi="宋体" w:eastAsia="宋体" w:cs="Times New Roman"/>
                <w:sz w:val="24"/>
                <w:highlight w:val="none"/>
              </w:rPr>
              <w:t xml:space="preserve">缺陷责任期内的服务方案及保证措施</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8</w:t>
            </w:r>
            <w:r>
              <w:rPr>
                <w:rFonts w:hint="default" w:ascii="宋体" w:hAnsi="宋体" w:eastAsia="宋体" w:cs="Times New Roman"/>
                <w:sz w:val="24"/>
                <w:szCs w:val="24"/>
                <w:highlight w:val="none"/>
                <w:lang w:val="en-US" w:eastAsia="zh-CN" w:bidi="ar-SA"/>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eastAsia="宋体" w:cs="Times New Roman"/>
                <w:sz w:val="24"/>
                <w:highlight w:val="none"/>
              </w:rPr>
              <w:suppressLineNumbers w:val="0"/>
            </w:pPr>
            <w:r>
              <w:rPr>
                <w:rFonts w:hint="eastAsia" w:ascii="宋体" w:hAnsi="宋体" w:eastAsia="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eastAsia="宋体" w:cs="Times New Roman"/>
                <w:sz w:val="24"/>
                <w:highlight w:val="none"/>
              </w:rPr>
              <w:t xml:space="preserve">缺陷责任期内</w:t>
            </w:r>
            <w:r>
              <w:rPr>
                <w:rFonts w:hint="eastAsia" w:ascii="宋体" w:hAnsi="宋体" w:eastAsia="宋体" w:cs="Times New Roman"/>
                <w:sz w:val="24"/>
                <w:highlight w:val="none"/>
                <w:lang w:val="en-US" w:eastAsia="zh-CN"/>
              </w:rPr>
              <w:t xml:space="preserve">的</w:t>
            </w:r>
            <w:r>
              <w:rPr>
                <w:rFonts w:hint="default" w:ascii="宋体" w:hAnsi="宋体" w:eastAsia="宋体" w:cs="Times New Roman"/>
                <w:sz w:val="24"/>
                <w:highlight w:val="none"/>
              </w:rPr>
              <w:t xml:space="preserve">服务方案内容进行评分：</w:t>
            </w:r>
            <w:r/>
          </w:p>
          <w:p>
            <w:pPr>
              <w:rPr>
                <w:rFonts w:hint="default" w:ascii="宋体" w:hAnsi="宋体" w:eastAsia="宋体" w:cs="宋体"/>
                <w:sz w:val="24"/>
              </w:rPr>
            </w:pPr>
            <w:r>
              <w:rPr>
                <w:rFonts w:hint="eastAsia" w:ascii="宋体" w:hAnsi="宋体" w:eastAsia="宋体" w:cs="宋体"/>
                <w:sz w:val="24"/>
              </w:rPr>
              <w:t xml:space="preserve">合理性(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分)：合理得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分；较合理得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分；不太合理的得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rPr>
                <w:rFonts w:hint="default" w:ascii="宋体" w:hAnsi="宋体" w:eastAsia="宋体" w:cs="宋体"/>
                <w:sz w:val="24"/>
              </w:rPr>
            </w:pP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分，欠缺针对性的得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rPr>
                <w:rFonts w:hint="default" w:ascii="宋体" w:hAnsi="宋体" w:eastAsia="宋体" w:cs="宋体"/>
                <w:sz w:val="24"/>
              </w:rPr>
            </w:pP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2</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分；可行性欠缺得0.</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以上未提供的不得分。最高得8分，最低不得分。</w:t>
            </w:r>
            <w:r/>
          </w:p>
        </w:tc>
      </w:tr>
      <w:tr>
        <w:trPr>
          <w:cantSplit/>
          <w:jc w:val="center"/>
          <w:trHeight w:val="2229"/>
        </w:trPr>
        <w:tc>
          <w:tcPr>
            <w:tcW w:w="12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商务部分（4分）</w:t>
            </w:r>
            <w:r/>
          </w:p>
        </w:tc>
        <w:tc>
          <w:tcPr>
            <w:tcBorders>
              <w:top w:val="single" w:color="auto" w:sz="4" w:space="0"/>
              <w:bottom w:val="single" w:color="auto" w:sz="4" w:space="0"/>
            </w:tcBorders>
            <w:tcW w:w="19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供应商业绩</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tcBorders>
              <w:top w:val="single" w:color="auto" w:sz="4" w:space="0"/>
              <w:bottom w:val="single" w:color="auto" w:sz="4" w:space="0"/>
            </w:tcBorders>
            <w:tcW w:w="7155" w:type="dxa"/>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供应商自2023年</w:t>
            </w:r>
            <w:r>
              <w:rPr>
                <w:rFonts w:hint="eastAsia" w:ascii="宋体" w:hAnsi="宋体" w:eastAsia="Arial"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月1日（含）（以竣工验收时间为准）以来承担过合同内容与本项目相同或类似的项目业绩，</w:t>
            </w:r>
            <w:r>
              <w:rPr>
                <w:rFonts w:hint="eastAsia" w:ascii="宋体" w:hAnsi="宋体" w:eastAsia="宋体" w:cs="宋体"/>
                <w:sz w:val="24"/>
                <w:szCs w:val="24"/>
                <w:highlight w:val="none"/>
                <w:lang w:val="en-US" w:eastAsia="zh-CN" w:bidi="ar-SA"/>
              </w:rPr>
              <w:t xml:space="preserve">每提供一份得1分，本项最高得4分。</w:t>
            </w:r>
            <w:r/>
          </w:p>
          <w:p>
            <w:pPr>
              <w:ind w:firstLine="20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w:t>
            </w:r>
            <w:r>
              <w:rPr>
                <w:rFonts w:hint="eastAsia" w:ascii="宋体" w:hAnsi="宋体" w:eastAsia="宋体" w:cs="宋体"/>
                <w:b/>
                <w:bCs/>
                <w:sz w:val="24"/>
                <w:szCs w:val="24"/>
                <w:highlight w:val="none"/>
                <w:lang w:val="en-US" w:eastAsia="zh-CN" w:bidi="ar-SA"/>
              </w:rPr>
              <w:t xml:space="preserve">证明材料以中标通知书、施工合同及竣工验收证明为准，三者必须同时具备，响应文件中须提供证明材料彩色原件扫描件并加盖</w:t>
            </w:r>
            <w:r>
              <w:rPr>
                <w:rFonts w:hint="eastAsia" w:ascii="宋体" w:hAnsi="宋体" w:eastAsia="Arial" w:cs="宋体"/>
                <w:b/>
                <w:bCs/>
                <w:sz w:val="24"/>
                <w:szCs w:val="24"/>
                <w:highlight w:val="none"/>
                <w:lang w:val="en-US" w:eastAsia="zh-CN" w:bidi="ar-SA"/>
              </w:rPr>
              <w:t xml:space="preserve">电子公章</w:t>
            </w:r>
            <w:r>
              <w:rPr>
                <w:rFonts w:hint="eastAsia" w:ascii="宋体" w:hAnsi="宋体" w:eastAsia="宋体" w:cs="宋体"/>
                <w:b/>
                <w:bCs/>
                <w:sz w:val="24"/>
                <w:szCs w:val="24"/>
                <w:highlight w:val="none"/>
                <w:lang w:val="en-US" w:eastAsia="zh-CN" w:bidi="ar-SA"/>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eastAsia="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2"/>
        </w:rPr>
        <w:t xml:space="preserve"> 本项目为专门面向中小微的项目，小微、小型企业不再享受价格给与</w:t>
      </w:r>
      <w:r>
        <w:rPr>
          <w:rFonts w:hint="eastAsia" w:ascii="宋体" w:hAnsi="宋体" w:eastAsia="宋体" w:cs="宋体"/>
          <w:b/>
          <w:color w:val="000000"/>
          <w:sz w:val="22"/>
          <w:lang w:eastAsia="zh-CN"/>
        </w:rPr>
        <w:t xml:space="preserve">10%—20%</w:t>
      </w:r>
      <w:r>
        <w:rPr>
          <w:rFonts w:hint="default" w:ascii="宋体" w:hAnsi="宋体" w:eastAsia="宋体" w:cs="宋体"/>
          <w:b/>
          <w:color w:val="000000"/>
          <w:sz w:val="24"/>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本项目预算价102.32 万元，最高限价</w:t>
      </w:r>
      <w:r>
        <w:rPr>
          <w:rFonts w:hint="eastAsia" w:ascii="宋体" w:hAnsi="宋体" w:eastAsia="宋体" w:cs="宋体"/>
          <w:b/>
          <w:color w:val="000000"/>
          <w:sz w:val="24"/>
          <w:lang w:eastAsia="zh-CN"/>
        </w:rPr>
        <w:t xml:space="preserve">1023140.1</w:t>
      </w:r>
      <w:r>
        <w:rPr>
          <w:rFonts w:hint="eastAsia" w:ascii="宋体" w:hAnsi="宋体" w:eastAsia="宋体" w:cs="宋体"/>
          <w:b/>
          <w:color w:val="000000"/>
          <w:sz w:val="24"/>
        </w:rPr>
        <w:t xml:space="preserve">元人民币，不接受超过 </w:t>
      </w:r>
      <w:r>
        <w:rPr>
          <w:rFonts w:hint="eastAsia" w:ascii="宋体" w:hAnsi="宋体" w:eastAsia="宋体" w:cs="宋体"/>
          <w:b/>
          <w:color w:val="000000"/>
          <w:sz w:val="24"/>
          <w:lang w:eastAsia="zh-CN"/>
        </w:rPr>
        <w:t xml:space="preserve">1023140.1</w:t>
      </w:r>
      <w:r>
        <w:rPr>
          <w:rFonts w:hint="eastAsia" w:ascii="宋体" w:hAnsi="宋体" w:eastAsia="宋体" w:cs="宋体"/>
          <w:b/>
          <w:color w:val="000000"/>
          <w:sz w:val="24"/>
        </w:rPr>
        <w:t xml:space="preserve">元人民币（最高限价）的响应报价。</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w:t>
      </w:r>
      <w:r>
        <w:rPr>
          <w:rFonts w:hint="eastAsia" w:ascii="宋体" w:hAnsi="宋体" w:eastAsia="宋体" w:cs="宋体"/>
          <w:color w:val="000000"/>
          <w:sz w:val="24"/>
          <w:lang w:val="en-US" w:eastAsia="zh-CN"/>
        </w:rPr>
        <w:t xml:space="preserve">招标代理费、</w:t>
      </w:r>
      <w:r>
        <w:rPr>
          <w:rFonts w:hint="eastAsia" w:ascii="宋体" w:hAnsi="宋体" w:eastAsia="宋体" w:cs="宋体"/>
          <w:color w:val="000000"/>
          <w:sz w:val="24"/>
        </w:rPr>
        <w:t xml:space="preserve">人工费、材料费、机械费、工具设备费、税费、保险、</w:t>
      </w:r>
      <w:r>
        <w:rPr>
          <w:rFonts w:hint="eastAsia" w:ascii="宋体" w:hAnsi="宋体" w:eastAsia="宋体" w:cs="宋体"/>
          <w:color w:val="000000"/>
          <w:sz w:val="24"/>
          <w:lang w:val="en-US" w:eastAsia="zh-CN"/>
        </w:rPr>
        <w:t xml:space="preserve">安全文明施工费</w:t>
      </w:r>
      <w:r>
        <w:rPr>
          <w:rFonts w:hint="eastAsia" w:ascii="宋体" w:hAnsi="宋体" w:eastAsia="宋体" w:cs="宋体"/>
          <w:color w:val="000000"/>
          <w:sz w:val="24"/>
        </w:rPr>
        <w:t xml:space="preserve">、验收、利润等供应商认为可能发生的相关一切费用</w:t>
      </w:r>
      <w:r>
        <w:rPr>
          <w:rFonts w:hint="eastAsia" w:ascii="宋体" w:hAnsi="宋体" w:eastAsia="宋体" w:cs="宋体"/>
          <w:color w:val="000000"/>
          <w:sz w:val="24"/>
          <w:lang w:eastAsia="zh-CN"/>
        </w:rPr>
        <w:t xml:space="preserve">，</w:t>
      </w:r>
      <w:r>
        <w:rPr>
          <w:rFonts w:hint="eastAsia" w:ascii="宋体" w:hAnsi="宋体" w:eastAsia="宋体" w:cs="宋体"/>
          <w:b/>
          <w:bCs/>
          <w:color w:val="auto"/>
          <w:sz w:val="24"/>
          <w:highlight w:val="none"/>
          <w:lang w:val="en-US" w:eastAsia="zh-CN"/>
        </w:rPr>
        <w:t xml:space="preserve">且</w:t>
      </w:r>
      <w:r>
        <w:rPr>
          <w:rFonts w:hint="eastAsia" w:ascii="宋体" w:hAnsi="宋体" w:eastAsia="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eastAsia="宋体" w:cs="宋体"/>
          <w:color w:val="000000"/>
          <w:sz w:val="24"/>
          <w:lang w:eastAsia="zh-CN"/>
        </w:rPr>
        <w:t xml:space="preserve">2026年沛县村级公益事业一事一议财政奖补项目（鹿楼镇陈新庄村、杜桥村）</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eastAsia="宋体" w:cs="宋体"/>
          <w:color w:val="000000"/>
          <w:sz w:val="24"/>
          <w:lang w:eastAsia="zh-CN"/>
        </w:rPr>
        <w:t xml:space="preserve">沛县鹿楼镇</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eastAsia="宋体" w:cs="宋体"/>
          <w:color w:val="000000"/>
          <w:sz w:val="24"/>
          <w:lang w:val="en-US" w:eastAsia="zh-CN"/>
        </w:rPr>
        <w:t xml:space="preserve">拟对</w:t>
      </w:r>
      <w:r>
        <w:rPr>
          <w:rFonts w:hint="eastAsia" w:ascii="宋体" w:hAnsi="宋体" w:eastAsia="宋体" w:cs="宋体"/>
          <w:color w:val="000000"/>
          <w:sz w:val="24"/>
          <w:lang w:eastAsia="zh-CN"/>
        </w:rPr>
        <w:t xml:space="preserve">鹿楼镇陈新庄村、杜桥村</w:t>
      </w:r>
      <w:r>
        <w:rPr>
          <w:rFonts w:hint="eastAsia" w:ascii="宋体" w:hAnsi="宋体" w:eastAsia="宋体" w:cs="宋体"/>
          <w:color w:val="000000"/>
          <w:sz w:val="24"/>
          <w:lang w:val="en-US" w:eastAsia="zh-CN"/>
        </w:rPr>
        <w:t xml:space="preserve">路面进行修建水泥混凝土道路。</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 《已标价的工程量清单》报价要求</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1、报价内容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响应报价应包括竞争性磋商文件中所确定的范围内工程量清单中所含的全部内容，以及为完成上述内容所需的全部费用。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注：供应商必须按采购人提供的工程量清单进行报价，否则视为对竞争性磋商文件商务条款的实质性偏离。供应商不得修改工程量清单中的分部分项内容及数量，否则视为不响应竞争性磋商文件。</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 供应商应按采购人提供的工程量清单填报价格。填写的项目名称、项目特征、计量单位、工程量必须与采购人提供的一致。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 技术参数、项目实施方案所描述的技术措施所发生的费用，视为已体现在供应商报价的非实体性消耗所发生的费用中。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 供应商自行勘察，了解周边原有建筑、设施，事先视察工地，充分了解工程位置、邻近建筑物、工地情况，通路、储存空间、起卸限制、以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 垃圾外运，在报价中综合考虑。</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包含相应的平整场地、地基处理调整等图纸及建设方要求的工程施工全部内容的全部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1.10地方关系协调费投标人自行考虑，就此项采购人不支付任何费用。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1.12施工时需做好防护措施保证周边安全，因中标人保障不力对采购人或第三方造成损失的，赔偿责任全部由中标人承担，若因此会增加费用，控制价不计取，投标人自行考虑在报价中，结算时不予调整。</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2、报价方式</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本工程根据工程量清单报价。供应商应充分考虑施工期间各类建材的市场风险，并计入总报价，供应商在计算报价时应考虑一定的风险系数。</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 材料风险约定：</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对于法律、法规、规章或有关政策出台导致工程税金、规费等发生变化的，应按照有关规定执行。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3、报价的计价方法</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4、报价编制依据及要求：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本工程执行现行国家标准《建设工程工程量清单计价规范》（GB50500-2013）, </w:t>
      </w:r>
      <w:r>
        <w:rPr>
          <w:rFonts w:hint="eastAsia" w:ascii="宋体" w:hAnsi="宋体" w:eastAsia="宋体" w:cs="宋体"/>
          <w:sz w:val="24"/>
          <w:szCs w:val="24"/>
          <w:highlight w:val="none"/>
          <w:lang w:val="en-US" w:eastAsia="zh-CN" w:bidi="ar-SA"/>
        </w:rPr>
        <w:t xml:space="preserve">《江苏省市政工程计价定额》（2014年）、</w:t>
      </w:r>
      <w:r>
        <w:rPr>
          <w:rFonts w:hint="eastAsia" w:ascii="宋体" w:hAnsi="宋体" w:eastAsia="宋体" w:cs="宋体"/>
          <w:color w:val="auto"/>
          <w:sz w:val="24"/>
          <w:szCs w:val="24"/>
          <w:highlight w:val="none"/>
          <w:lang w:val="en-US" w:eastAsia="zh-CN" w:bidi="ar-SA"/>
        </w:rPr>
        <w:t xml:space="preserve">《江苏省建设工程费用定额》</w:t>
      </w:r>
      <w:r>
        <w:rPr>
          <w:rFonts w:hint="eastAsia" w:ascii="宋体" w:hAnsi="宋体" w:eastAsia="宋体" w:cs="宋体"/>
          <w:sz w:val="24"/>
          <w:szCs w:val="24"/>
          <w:highlight w:val="none"/>
          <w:lang w:val="en-US" w:eastAsia="zh-CN" w:bidi="ar-SA"/>
        </w:rPr>
        <w:t xml:space="preserve">（2014年）</w:t>
      </w:r>
      <w:r>
        <w:rPr>
          <w:rFonts w:hint="eastAsia" w:ascii="宋体" w:hAnsi="宋体" w:eastAsia="宋体" w:cs="宋体"/>
          <w:color w:val="auto"/>
          <w:sz w:val="24"/>
          <w:szCs w:val="24"/>
          <w:highlight w:val="none"/>
          <w:lang w:val="en-US" w:eastAsia="zh-CN" w:bidi="ar-SA"/>
        </w:rPr>
        <w:t xml:space="preserve">、《市政工程工程量计算标准》（GB50857-2013）</w:t>
      </w:r>
      <w:r>
        <w:rPr>
          <w:rFonts w:hint="eastAsia" w:ascii="宋体" w:hAnsi="宋体" w:eastAsia="宋体" w:cs="宋体"/>
          <w:sz w:val="24"/>
          <w:szCs w:val="24"/>
          <w:highlight w:val="none"/>
          <w:lang w:val="en-US" w:eastAsia="zh-CN" w:bidi="ar-SA"/>
        </w:rPr>
        <w:t xml:space="preserve">以及省市现行有关计价文件规定，还包括磋商文件、工程量清单及其补充通知和答疑纪要等。</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五、项目相关要求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1、供应商报价时需考虑完成本项目内容所涉及的人工费、材料费、机械费、税费、验收等相关的一切费用。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六、服务要求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1、质保期服务：执行国家相关标准。质保期外，工程质量出现问题，中标人应主动提供维修方案，只收取材料费。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2、质保期内，如发生故障，采购人通知成交供应商服务人员时，相关服务人员要在12小时内到达现场配合采购人处理问题，进行更换或进行必要的维修。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3、供应商需根据本项目特征及自身情况编制施工方案。</w:t>
      </w:r>
      <w:r/>
    </w:p>
    <w:p>
      <w:pPr>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bidi="ar-SA"/>
        </w:rPr>
        <w:t xml:space="preserve">七、其他要求：见《竞争性磋商文件》附件：7、《拟签订的合同文本》。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JSZC-320322043-XZCT-C2026-0014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jc w:val="right"/>
        <w:spacing w:after="120"/>
        <w:widowControl w:val="off"/>
        <w:rPr>
          <w:rFonts w:hint="eastAsia" w:ascii="宋体" w:hAnsi="宋体" w:eastAsia="宋体" w:cs="宋体"/>
          <w:sz w:val="21"/>
          <w:szCs w:val="24"/>
          <w:lang w:val="en-US" w:eastAsia="zh-CN" w:bidi="ar-SA"/>
        </w:rPr>
      </w:pPr>
      <w:r>
        <w:rPr>
          <w:rFonts w:hint="eastAsia" w:ascii="宋体" w:hAnsi="宋体" w:eastAsia="宋体" w:cs="宋体"/>
          <w:color w:val="auto"/>
          <w:sz w:val="24"/>
          <w:szCs w:val="24"/>
          <w:highlight w:val="none"/>
          <w:lang w:val="en-US" w:eastAsia="zh-CN" w:bidi="ar-SA"/>
        </w:rPr>
        <w:t xml:space="preserve">货币单位：人民币元</w:t>
      </w:r>
      <w:r/>
    </w:p>
    <w:tbl>
      <w:tblPr>
        <w:tblStyle w:val="1032"/>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2026年沛县村级公益事业一事一议财政奖补项目（鹿楼镇陈新庄村、杜桥村）</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JSZC-320322043-XZCT-C2026-0014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2026年沛县村级公益事业一事一议财政奖补项目（鹿楼镇陈新庄村、杜桥村）</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color w:val="000000"/>
          <w:sz w:val="24"/>
          <w:lang w:val="en-US" w:eastAsia="zh-CN"/>
        </w:rPr>
        <w:t xml:space="preserve"> </w:t>
      </w:r>
      <w:r>
        <w:rPr>
          <w:rFonts w:hint="eastAsia" w:ascii="宋体" w:hAnsi="宋体" w:eastAsia="宋体" w:cs="宋体"/>
          <w:sz w:val="24"/>
          <w:highlight w:val="none"/>
        </w:rPr>
        <w:t xml:space="preserve">年  月  日</w:t>
      </w:r>
      <w:r/>
    </w:p>
    <w:p>
      <w:pPr>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说明：</w:t>
      </w:r>
      <w:r/>
    </w:p>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w:t>
      </w:r>
      <w:r>
        <w:rPr>
          <w:rFonts w:hint="eastAsia" w:ascii="宋体" w:hAnsi="宋体" w:eastAsia="宋体" w:cs="宋体"/>
          <w:b/>
          <w:sz w:val="24"/>
          <w:szCs w:val="24"/>
          <w:highlight w:val="none"/>
          <w:lang w:val="en-US" w:eastAsia="zh-CN" w:bidi="ar-SA"/>
        </w:rPr>
        <w:t xml:space="preserve">如果不提供《分项价格表》将视为没有实质性响应。</w:t>
      </w:r>
      <w:r/>
    </w:p>
    <w:p>
      <w:pPr>
        <w:numPr>
          <w:ilvl w:val="0"/>
          <w:numId w:val="3"/>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ind w:firstLine="482"/>
        <w:jc w:val="both"/>
        <w:pageBreakBefore w:val="0"/>
        <w:spacing w:line="36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JSZC-320322043-XZCT-C2026-0014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2026年沛县村级公益事业一事一议财政奖补项目（鹿楼镇陈新庄村、杜桥村）</w:t>
      </w:r>
      <w:r/>
    </w:p>
    <w:tbl>
      <w:tblPr>
        <w:tblStyle w:val="10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eastAsia="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ind w:firstLine="720"/>
        <w:jc w:val="both"/>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2、响应供应商对以上数据的真实性负责。</w:t>
      </w:r>
      <w:r/>
    </w:p>
    <w:p>
      <w:pPr>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JSZC-320322043-XZCT-C2026-0014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2026年沛县村级公益事业一事一议财政奖补项目（鹿楼镇陈新庄村、杜桥村）</w:t>
      </w:r>
      <w:r/>
    </w:p>
    <w:tbl>
      <w:tblPr>
        <w:tblStyle w:val="1032"/>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eastAsia="宋体" w:cs="宋体"/>
          <w:b w:val="0"/>
          <w:bCs/>
          <w:sz w:val="24"/>
          <w:szCs w:val="24"/>
          <w:lang w:eastAsia="zh-CN"/>
        </w:rPr>
        <w:t xml:space="preserve">JSZC-320322043-XZCT-C2026-0014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eastAsia="宋体" w:cs="宋体"/>
          <w:b w:val="0"/>
          <w:bCs/>
          <w:sz w:val="24"/>
          <w:szCs w:val="24"/>
          <w:lang w:eastAsia="zh-CN"/>
        </w:rPr>
        <w:t xml:space="preserve">2026年沛县村级公益事业一事一议财政奖补项目（鹿楼镇陈新庄村、杜桥村）</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ind w:left="0" w:right="0"/>
        <w:jc w:val="both"/>
        <w:spacing w:after="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 </w:t>
      </w:r>
      <w:r/>
    </w:p>
    <w:p>
      <w:pPr>
        <w:ind w:left="0" w:right="0" w:firstLine="480"/>
        <w:jc w:val="both"/>
        <w:spacing w:after="0"/>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eastAsia="宋体" w:cs="宋体"/>
          <w:b/>
          <w:color w:val="000000"/>
          <w:sz w:val="24"/>
          <w:u w:val="single"/>
          <w:lang w:eastAsia="zh-CN"/>
        </w:rPr>
        <w:t xml:space="preserve">沛县鹿楼镇人民政府</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2026年沛县村级公益事业一事一议财政奖补项目（鹿楼镇陈新庄村、杜桥村）</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eastAsia="宋体" w:cs="宋体"/>
          <w:color w:val="000000"/>
          <w:sz w:val="24"/>
          <w:u w:val="single"/>
          <w:lang w:eastAsia="zh-CN"/>
        </w:rPr>
        <w:t xml:space="preserve">2026年沛县村级公益事业一事一议财政奖补项目（鹿楼镇陈新庄村、杜桥村）</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eastAsia="宋体" w:cs="宋体"/>
          <w:color w:val="000000"/>
          <w:sz w:val="24"/>
          <w:u w:val="single"/>
          <w:lang w:val="en-US" w:eastAsia="zh-CN"/>
        </w:rPr>
        <w:t xml:space="preserve">沛县鹿楼镇</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财政资金+</w:t>
      </w:r>
      <w:r>
        <w:rPr>
          <w:rFonts w:hint="eastAsia" w:ascii="宋体" w:hAnsi="宋体" w:eastAsia="宋体" w:cs="宋体"/>
          <w:color w:val="000000"/>
          <w:sz w:val="24"/>
          <w:highlight w:val="none"/>
          <w:u w:val="single"/>
          <w:lang w:val="en-US" w:eastAsia="zh-CN"/>
        </w:rPr>
        <w:t xml:space="preserve">自</w:t>
      </w:r>
      <w:r>
        <w:rPr>
          <w:rFonts w:hint="eastAsia" w:ascii="宋体" w:hAnsi="宋体" w:eastAsia="宋体" w:cs="宋体"/>
          <w:color w:val="000000"/>
          <w:sz w:val="24"/>
          <w:highlight w:val="none"/>
          <w:u w:val="single"/>
          <w:lang w:val="en-US" w:eastAsia="zh-CN"/>
        </w:rPr>
        <w:t xml:space="preserve">筹资款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eastAsia="宋体" w:cs="宋体"/>
          <w:color w:val="000000"/>
          <w:sz w:val="24"/>
          <w:u w:val="single"/>
          <w:lang w:eastAsia="zh-CN"/>
        </w:rPr>
        <w:t xml:space="preserve">2026年沛县村级公益事业一事一议财政奖补项目（鹿楼镇陈新庄村、杜桥村）。具体详见磋商文件工程量清单所含全部内容。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eastAsia="宋体" w:cs="宋体"/>
          <w:color w:val="000000"/>
          <w:sz w:val="24"/>
          <w:u w:val="single"/>
          <w:lang w:eastAsia="zh-CN"/>
        </w:rPr>
        <w:t xml:space="preserve">2026年沛县村级公益事业一事一议财政奖补项目（鹿楼镇陈新庄村、杜桥村）。具体详见磋商文件工程量清单所含全部内容。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default"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合同价包含本工程相关的前期预算、监理、审计、验收、文本、标牌等所有费用，请投标前联系采购人确定后谨慎报价，风险自负。（具体以双方实际签订合同为准）</w:t>
      </w:r>
      <w:r>
        <w:rPr>
          <w:highlight w:val="none"/>
        </w:rP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eastAsia="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eastAsia="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eastAsia="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eastAsia="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eastAsia="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eastAsia="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eastAsia="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eastAsia="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eastAsia="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eastAsia="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eastAsia="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5"/>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5"/>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eastAsia="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5"/>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eastAsia="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eastAsia="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eastAsia="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eastAsia="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eastAsia="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eastAsia="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eastAsia="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eastAsia="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eastAsia="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eastAsia="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eastAsia="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eastAsia="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eastAsia="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eastAsia="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color w:val="0000ff"/>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auto"/>
          <w:sz w:val="24"/>
          <w:u w:val="single"/>
        </w:rPr>
        <w:t xml:space="preserve">执行现行国家标准</w:t>
      </w:r>
      <w:r>
        <w:rPr>
          <w:rFonts w:hint="eastAsia" w:ascii="宋体" w:hAnsi="宋体" w:eastAsia="宋体" w:cs="宋体"/>
          <w:color w:val="auto"/>
          <w:sz w:val="24"/>
          <w:u w:val="single"/>
          <w:lang w:val="en-US" w:eastAsia="zh-CN"/>
        </w:rPr>
        <w:t xml:space="preserve">《建设工程工程量清单计价规范》（GB50500-2013）, </w:t>
      </w:r>
      <w:r>
        <w:rPr>
          <w:rFonts w:hint="eastAsia" w:ascii="宋体" w:hAnsi="宋体" w:eastAsia="宋体" w:cs="宋体"/>
          <w:color w:val="auto"/>
          <w:sz w:val="24"/>
          <w:u w:val="single"/>
        </w:rPr>
        <w:t xml:space="preserve">《江苏省市政工程计价定额》（2014年）、</w:t>
      </w:r>
      <w:r>
        <w:rPr>
          <w:rFonts w:hint="eastAsia" w:ascii="宋体" w:hAnsi="宋体" w:eastAsia="宋体" w:cs="宋体"/>
          <w:color w:val="auto"/>
          <w:sz w:val="24"/>
          <w:u w:val="single"/>
          <w:lang w:val="en-US" w:eastAsia="zh-CN"/>
        </w:rPr>
        <w:t xml:space="preserve">《江苏省建设工程费用定额》</w:t>
      </w:r>
      <w:r>
        <w:rPr>
          <w:rFonts w:hint="eastAsia" w:ascii="宋体" w:hAnsi="宋体" w:eastAsia="宋体" w:cs="宋体"/>
          <w:color w:val="auto"/>
          <w:sz w:val="24"/>
          <w:u w:val="single"/>
        </w:rPr>
        <w:t xml:space="preserve">（2014年）</w:t>
      </w:r>
      <w:r>
        <w:rPr>
          <w:rFonts w:hint="eastAsia" w:ascii="宋体" w:hAnsi="宋体" w:eastAsia="宋体" w:cs="宋体"/>
          <w:color w:val="auto"/>
          <w:sz w:val="24"/>
          <w:u w:val="single"/>
          <w:lang w:val="en-US" w:eastAsia="zh-CN"/>
        </w:rPr>
        <w:t xml:space="preserve">、《市政工程工程量计算标准》（GB50857-2013）</w:t>
      </w:r>
      <w:r>
        <w:rPr>
          <w:rFonts w:hint="eastAsia" w:ascii="宋体" w:hAnsi="宋体" w:eastAsia="宋体" w:cs="宋体"/>
          <w:color w:val="auto"/>
          <w:sz w:val="24"/>
          <w:u w:val="single"/>
        </w:rPr>
        <w:t xml:space="preserve"> 等有关文件规定及</w:t>
      </w:r>
      <w:r>
        <w:rPr>
          <w:rFonts w:hint="eastAsia" w:ascii="宋体" w:hAnsi="宋体" w:eastAsia="宋体" w:cs="宋体"/>
          <w:color w:val="auto"/>
          <w:sz w:val="24"/>
          <w:u w:val="single"/>
          <w:lang w:eastAsia="zh-CN"/>
        </w:rPr>
        <w:t xml:space="preserve">以</w:t>
      </w:r>
      <w:r>
        <w:rPr>
          <w:rFonts w:hint="eastAsia" w:ascii="宋体" w:hAnsi="宋体" w:eastAsia="宋体" w:cs="宋体"/>
          <w:color w:val="auto"/>
          <w:sz w:val="24"/>
          <w:u w:val="single"/>
        </w:rPr>
        <w:t xml:space="preserve">及省市现行有关计价文件规定，还包括磋商文件、工程量清单及其补充通知和答疑纪要</w:t>
      </w:r>
      <w:r>
        <w:rPr>
          <w:rFonts w:hint="eastAsia" w:ascii="宋体" w:hAnsi="宋体" w:eastAsia="宋体" w:cs="宋体"/>
          <w:color w:val="auto"/>
          <w:sz w:val="24"/>
          <w:u w:val="single"/>
          <w:lang w:val="en-US" w:eastAsia="zh-CN"/>
        </w:rPr>
        <w:t xml:space="preserve">等</w:t>
      </w:r>
      <w:r>
        <w:rPr>
          <w:rFonts w:hint="eastAsia" w:ascii="宋体" w:hAnsi="宋体" w:eastAsia="宋体" w:cs="宋体"/>
          <w:color w:val="auto"/>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eastAsia="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eastAsia="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甲方按进度拨付工程款：工程竣工后由项目村和镇级政府进行初验，初验合格后，拨该项目的村民一事一议筹资款，同时报县一事一议财政奖补工作领导小组办公室（以下简称县奖补办）复验，复验合格且奖补资金到位后，乙方申请拨付奖补资金的70%部分；工程移交后，乙方凭工程发票和工程审计报告单，申请拨付奖补资金的30%部分。甲方可暂扣奖补资金的3%作为缺陷责任保证金，待缺陷责任期满后拨付，资金拨付实行镇级财政报账制。付款程序遵循甲方财政付款程序，合同履行过程中合同价款的调整均在竣工结算时调整，合同履行过程中不预付该款项。</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eastAsia="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eastAsia="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eastAsia="宋体" w:cs="宋体"/>
          <w:color w:val="000000"/>
          <w:sz w:val="24"/>
          <w:u w:val="single"/>
          <w:lang w:eastAsia="zh-CN"/>
        </w:rPr>
        <w:t xml:space="preserve">沛县鹿楼镇人民政府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eastAsia="宋体" w:cs="宋体"/>
          <w:color w:val="000000"/>
          <w:sz w:val="24"/>
          <w:u w:val="single"/>
          <w:lang w:eastAsia="zh-CN"/>
        </w:rPr>
        <w:t xml:space="preserve">2026年沛县村级公益事业一事一议财政奖补项目（鹿楼镇陈新庄村、杜桥村）</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eastAsia="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503227"/>
      <w:r/>
      <w:bookmarkStart w:id="5" w:name="_Toc296891267"/>
      <w:r/>
      <w:bookmarkStart w:id="6" w:name="_Toc267261698"/>
      <w:r/>
      <w:bookmarkStart w:id="7" w:name="_Toc296347226"/>
      <w:r/>
      <w:bookmarkStart w:id="8" w:name="_Toc296944566"/>
      <w:r/>
      <w:bookmarkStart w:id="9" w:name="_Toc296346728"/>
      <w:r/>
      <w:bookmarkStart w:id="10" w:name="_Toc296891055"/>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1032"/>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944567"/>
      <w:r/>
      <w:bookmarkStart w:id="12" w:name="_Toc296347227"/>
      <w:r/>
      <w:bookmarkStart w:id="13" w:name="_Toc267261699"/>
      <w:r/>
      <w:bookmarkStart w:id="14" w:name="_Toc296891056"/>
      <w:r/>
      <w:bookmarkStart w:id="15" w:name="_Toc296891268"/>
      <w:r/>
      <w:bookmarkStart w:id="16" w:name="_Toc296503228"/>
      <w:r/>
      <w:bookmarkStart w:id="17" w:name="_Toc296346729"/>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1032"/>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ind w:left="1440" w:right="1440"/>
        <w:jc w:val="both"/>
        <w:spacing w:after="120"/>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沛县鹿楼镇人民政府、江苏辰拓招标代理有限公司</w:t>
      </w:r>
      <w:r>
        <w:rPr>
          <w:rFonts w:hint="eastAsia" w:ascii="宋体" w:hAnsi="宋体" w:eastAsia="宋体" w:cs="宋体"/>
          <w:color w:val="auto"/>
          <w:sz w:val="24"/>
          <w:szCs w:val="24"/>
          <w:highlight w:val="none"/>
        </w:rPr>
        <w:t xml:space="preserve">：</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竞争性磋商文件</w:t>
      </w:r>
      <w:r>
        <w:rPr>
          <w:rFonts w:hint="eastAsia" w:ascii="宋体" w:hAnsi="宋体" w:eastAsia="宋体" w:cs="宋体"/>
          <w:color w:val="auto"/>
          <w:sz w:val="24"/>
          <w:szCs w:val="24"/>
          <w:highlight w:val="none"/>
          <w:lang w:val="en-US" w:eastAsia="zh-CN" w:bidi="ar-SA"/>
        </w:rPr>
        <w:t xml:space="preserve">》（项目编号：JSZC-320322043-XZCT-C2026-0014 ）要求，本供应商正式提交以下首次响应文件。</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w:t xml:space="preserve">（1）承诺书； </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（4）竞争性磋商文件要求提供的其他响应文件。</w:t>
      </w:r>
      <w:r/>
    </w:p>
    <w:p>
      <w:pPr>
        <w:ind w:right="0" w:firstLine="482"/>
        <w:jc w:val="left"/>
        <w:keepLines w:val="0"/>
        <w:keepNext w:val="0"/>
        <w:pageBreakBefore w:val="0"/>
        <w:spacing w:line="312" w:lineRule="auto"/>
        <w:widowControl w:val="off"/>
        <w:tabs>
          <w:tab w:val="center" w:pos="4153" w:leader="none"/>
          <w:tab w:val="right" w:pos="84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我单位按照竞争性磋商文件的要求编制响应文件，并对其提交的响应文件的真实性、合法性承担法律责任。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w:t xml:space="preserve">一、完全承担根据《竞争性磋商文件》规定完成合同的责任和义务（如有偏离，将全部填写在偏离表中）。</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eastAsia="宋体" w:cs="宋体"/>
          <w:color w:val="000000"/>
          <w:sz w:val="24"/>
          <w:u w:val="single"/>
          <w:lang w:eastAsia="zh-CN"/>
        </w:rPr>
        <w:t xml:space="preserve">2026年沛县村级公益事业一事一议财政奖补项目（鹿楼镇陈新庄村、杜桥村）</w:t>
      </w: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JSZC-320322043-XZCT-C2026-0014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lang w:eastAsia="zh-CN"/>
        </w:rPr>
        <w:t xml:space="preserve">2026年沛县村级公益事业一事一议财政奖补项目（鹿楼镇陈新庄村、杜桥村）</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eastAsia="宋体" w:cs="宋体"/>
          <w:color w:val="000000"/>
          <w:spacing w:val="6"/>
          <w:sz w:val="24"/>
          <w:lang w:eastAsia="zh-CN"/>
        </w:rPr>
        <w:t xml:space="preserve">JSZC-320322043-XZCT-C2026-0014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沛县鹿楼镇人民政府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2026年沛县村级公益事业一事一议财政奖补项目（鹿楼镇陈新庄村、杜桥村）</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eastAsia="宋体" w:cs="宋体"/>
          <w:color w:val="000000"/>
          <w:sz w:val="24"/>
          <w:u w:val="single"/>
          <w:lang w:eastAsia="zh-CN"/>
        </w:rPr>
        <w:t xml:space="preserve">2026年沛县村级公益事业一事一议财政奖补项目（鹿楼镇陈新庄村、杜桥村）</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eastAsia="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eastAsia="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both"/>
        <w:widowControl w:val="off"/>
        <w:rPr>
          <w:rFonts w:hint="eastAsia" w:ascii="宋体" w:hAnsi="宋体" w:eastAsia="宋体" w:cs="宋体"/>
          <w:color w:val="000000"/>
          <w:sz w:val="24"/>
          <w:szCs w:val="24"/>
          <w:lang w:val="en-US" w:eastAsia="zh-CN" w:bidi="ar-SA"/>
        </w:rPr>
      </w:pPr>
      <w:r>
        <w:rPr>
          <w:rFonts w:hint="default" w:ascii="Times New Roman" w:hAnsi="Times New Roman" w:eastAsia="宋体" w:cs="Times New Roman"/>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2540" b="1841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9"/>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19" o:title=""/>
              </v:shape>
            </w:pict>
          </mc:Fallback>
        </mc:AlternateContent>
      </w:r>
      <w:r/>
    </w:p>
    <w:p>
      <w:pPr>
        <w:ind w:firstLine="56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56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56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eastAsia="宋体" w:cs="宋体"/>
          <w:color w:val="000000"/>
          <w:sz w:val="24"/>
          <w:u w:val="single"/>
          <w:lang w:eastAsia="zh-CN"/>
        </w:rPr>
        <w:t xml:space="preserve">2026年沛县村级公益事业一事一议财政奖补项目（鹿楼镇陈新庄村、杜桥村）</w:t>
      </w:r>
      <w:r>
        <w:rPr>
          <w:rFonts w:hint="eastAsia" w:ascii="宋体" w:hAnsi="宋体" w:eastAsia="宋体" w:cs="宋体"/>
          <w:color w:val="000000"/>
          <w:sz w:val="24"/>
        </w:rPr>
        <w:t xml:space="preserve">（项目编号：</w:t>
      </w:r>
      <w:r>
        <w:rPr>
          <w:rFonts w:hint="eastAsia" w:ascii="宋体" w:hAnsi="宋体" w:eastAsia="宋体" w:cs="宋体"/>
          <w:color w:val="000000"/>
          <w:sz w:val="24"/>
          <w:highlight w:val="none"/>
          <w:lang w:eastAsia="zh-CN"/>
        </w:rPr>
        <w:t xml:space="preserve">JSZC-320322043-XZCT-C2026-0014</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eastAsia="宋体" w:cs="宋体"/>
          <w:color w:val="000000"/>
          <w:sz w:val="24"/>
          <w:lang w:eastAsia="zh-CN"/>
        </w:rPr>
        <w:t xml:space="preserve">2026年沛县村级公益事业一事一议财政奖补项目（鹿楼镇陈新庄村、杜桥村）</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JSZC-320322043-XZCT-C2026-0014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eastAsia="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eastAsia="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1032"/>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hint="default" w:ascii="宋体" w:hAnsi="宋体" w:eastAsia="宋体" w:cs="宋体"/>
          <w:b/>
          <w:color w:val="auto"/>
          <w:sz w:val="24"/>
          <w:highlight w:val="none"/>
        </w:rPr>
        <w:t xml:space="preserve">如果不提供此表将视为没有实质性响应。</w:t>
      </w:r>
      <w:r/>
    </w:p>
    <w:p>
      <w:pPr>
        <w:ind w:firstLine="720"/>
        <w:jc w:val="both"/>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2、响应供应商对以上数据的真实性负责。</w:t>
      </w:r>
      <w:r/>
    </w:p>
    <w:p>
      <w:pPr>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ind w:left="0" w:right="0" w:firstLine="0"/>
        <w:jc w:val="center"/>
        <w:spacing w:before="240" w:after="24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r>
      <w:r/>
    </w:p>
    <w:p>
      <w:pPr>
        <w:ind w:firstLine="560"/>
        <w:jc w:val="both"/>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numPr>
          <w:ilvl w:val="0"/>
          <w:numId w:val="0"/>
        </w:numPr>
        <w:jc w:val="center"/>
        <w:spacing w:before="100" w:beforeAutospacing="1" w:after="100" w:afterAutospacing="1" w:line="380" w:lineRule="exact"/>
        <w:widowControl/>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600"/>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600"/>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spacing w:after="12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年  月  日</w:t>
      </w:r>
      <w:r/>
    </w:p>
    <w:p>
      <w:pPr>
        <w:ind w:left="1440" w:right="1440" w:firstLine="560"/>
        <w:jc w:val="both"/>
        <w:spacing w:after="120"/>
        <w:widowControl w:val="off"/>
        <w:rPr>
          <w:rFonts w:hint="eastAsia" w:ascii="仿宋" w:hAnsi="仿宋" w:eastAsia="仿宋" w:cs="仿宋"/>
          <w:sz w:val="21"/>
          <w:szCs w:val="24"/>
          <w:highlight w:val="none"/>
          <w:lang w:val="en-US" w:eastAsia="zh-CN" w:bidi="ar-SA"/>
        </w:rPr>
      </w:pPr>
      <w:r>
        <w:rPr>
          <w:rFonts w:hint="eastAsia" w:ascii="仿宋" w:hAnsi="仿宋" w:eastAsia="仿宋" w:cs="仿宋"/>
          <w:sz w:val="21"/>
          <w:szCs w:val="24"/>
          <w:highlight w:val="none"/>
          <w:lang w:val="en-US" w:eastAsia="zh-CN" w:bidi="ar-SA"/>
        </w:rPr>
      </w:r>
      <w:r/>
    </w:p>
    <w:p>
      <w:pPr>
        <w:ind w:left="1440" w:right="1440" w:firstLine="560"/>
        <w:jc w:val="both"/>
        <w:spacing w:after="120"/>
        <w:widowControl w:val="off"/>
        <w:rPr>
          <w:rFonts w:hint="eastAsia" w:ascii="仿宋" w:hAnsi="仿宋" w:eastAsia="仿宋" w:cs="仿宋"/>
          <w:sz w:val="21"/>
          <w:szCs w:val="24"/>
          <w:highlight w:val="none"/>
          <w:lang w:val="en-US" w:eastAsia="zh-CN" w:bidi="ar-SA"/>
        </w:rPr>
      </w:pPr>
      <w:r>
        <w:rPr>
          <w:rFonts w:hint="eastAsia" w:ascii="仿宋" w:hAnsi="仿宋" w:eastAsia="仿宋" w:cs="仿宋"/>
          <w:sz w:val="21"/>
          <w:szCs w:val="24"/>
          <w:highlight w:val="none"/>
          <w:lang w:val="en-US" w:eastAsia="zh-CN" w:bidi="ar-SA"/>
        </w:rPr>
      </w:r>
      <w:r/>
    </w:p>
    <w:p>
      <w:pPr>
        <w:ind w:firstLine="560"/>
        <w:jc w:val="both"/>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15、代理服务收费标准</w:t>
      </w:r>
      <w:r/>
    </w:p>
    <w:tbl>
      <w:tblPr>
        <w:tblStyle w:val="103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费率（%）*70%</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000000"/>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ind w:left="420" w:right="33"/>
        <w:jc w:val="lef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楷体_GB2312">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13</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13</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61</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hint="default" w:ascii="隶书" w:hAnsi="Times New Roman" w:eastAsia="隶书" w:cs="Times New Roman"/>
        <w:b/>
        <w:i/>
        <w:sz w:val="18"/>
      </w:rPr>
    </w:pPr>
    <w:r>
      <w:rPr>
        <w:rFonts w:hint="default"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74</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74</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0"/>
        <w:right w:val="none" w:color="auto" w:sz="0" w:space="4"/>
      </w:pBdr>
      <w:outlineLvl w:val="9"/>
    </w:pPr>
    <w:r>
      <w:rPr>
        <w:rFonts w:hint="default"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name w:val="Heading 1"/>
    <w:basedOn w:val="1030"/>
    <w:next w:val="1030"/>
    <w:link w:val="854"/>
    <w:uiPriority w:val="9"/>
    <w:qFormat/>
    <w:pPr>
      <w:keepLines/>
      <w:keepNext/>
      <w:spacing w:before="480" w:after="200"/>
      <w:outlineLvl w:val="0"/>
    </w:pPr>
    <w:rPr>
      <w:rFonts w:ascii="Arial" w:hAnsi="Arial" w:eastAsia="Arial" w:cs="Arial"/>
      <w:sz w:val="40"/>
      <w:szCs w:val="40"/>
    </w:rPr>
  </w:style>
  <w:style w:type="character" w:styleId="854">
    <w:name w:val="Heading 1 Char"/>
    <w:basedOn w:val="1031"/>
    <w:link w:val="853"/>
    <w:uiPriority w:val="9"/>
    <w:rPr>
      <w:rFonts w:ascii="Arial" w:hAnsi="Arial" w:eastAsia="Arial" w:cs="Arial"/>
      <w:sz w:val="40"/>
      <w:szCs w:val="40"/>
    </w:rPr>
  </w:style>
  <w:style w:type="paragraph" w:styleId="855">
    <w:name w:val="Heading 2"/>
    <w:basedOn w:val="1030"/>
    <w:next w:val="1030"/>
    <w:link w:val="856"/>
    <w:uiPriority w:val="9"/>
    <w:unhideWhenUsed/>
    <w:qFormat/>
    <w:pPr>
      <w:keepLines/>
      <w:keepNext/>
      <w:spacing w:before="360" w:after="200"/>
      <w:outlineLvl w:val="1"/>
    </w:pPr>
    <w:rPr>
      <w:rFonts w:ascii="Arial" w:hAnsi="Arial" w:eastAsia="Arial" w:cs="Arial"/>
      <w:sz w:val="34"/>
    </w:rPr>
  </w:style>
  <w:style w:type="character" w:styleId="856">
    <w:name w:val="Heading 2 Char"/>
    <w:basedOn w:val="1031"/>
    <w:link w:val="855"/>
    <w:uiPriority w:val="9"/>
    <w:rPr>
      <w:rFonts w:ascii="Arial" w:hAnsi="Arial" w:eastAsia="Arial" w:cs="Arial"/>
      <w:sz w:val="34"/>
    </w:rPr>
  </w:style>
  <w:style w:type="paragraph" w:styleId="857">
    <w:name w:val="Heading 3"/>
    <w:basedOn w:val="1030"/>
    <w:next w:val="1030"/>
    <w:link w:val="858"/>
    <w:uiPriority w:val="9"/>
    <w:unhideWhenUsed/>
    <w:qFormat/>
    <w:pPr>
      <w:keepLines/>
      <w:keepNext/>
      <w:spacing w:before="320" w:after="200"/>
      <w:outlineLvl w:val="2"/>
    </w:pPr>
    <w:rPr>
      <w:rFonts w:ascii="Arial" w:hAnsi="Arial" w:eastAsia="Arial" w:cs="Arial"/>
      <w:sz w:val="30"/>
      <w:szCs w:val="30"/>
    </w:rPr>
  </w:style>
  <w:style w:type="character" w:styleId="858">
    <w:name w:val="Heading 3 Char"/>
    <w:basedOn w:val="1031"/>
    <w:link w:val="857"/>
    <w:uiPriority w:val="9"/>
    <w:rPr>
      <w:rFonts w:ascii="Arial" w:hAnsi="Arial" w:eastAsia="Arial" w:cs="Arial"/>
      <w:sz w:val="30"/>
      <w:szCs w:val="30"/>
    </w:rPr>
  </w:style>
  <w:style w:type="paragraph" w:styleId="859">
    <w:name w:val="Heading 4"/>
    <w:basedOn w:val="1030"/>
    <w:next w:val="1030"/>
    <w:link w:val="860"/>
    <w:uiPriority w:val="9"/>
    <w:unhideWhenUsed/>
    <w:qFormat/>
    <w:pPr>
      <w:keepLines/>
      <w:keepNext/>
      <w:spacing w:before="320" w:after="200"/>
      <w:outlineLvl w:val="3"/>
    </w:pPr>
    <w:rPr>
      <w:rFonts w:ascii="Arial" w:hAnsi="Arial" w:eastAsia="Arial" w:cs="Arial"/>
      <w:b/>
      <w:bCs/>
      <w:sz w:val="26"/>
      <w:szCs w:val="26"/>
    </w:rPr>
  </w:style>
  <w:style w:type="character" w:styleId="860">
    <w:name w:val="Heading 4 Char"/>
    <w:basedOn w:val="1031"/>
    <w:link w:val="859"/>
    <w:uiPriority w:val="9"/>
    <w:rPr>
      <w:rFonts w:ascii="Arial" w:hAnsi="Arial" w:eastAsia="Arial" w:cs="Arial"/>
      <w:b/>
      <w:bCs/>
      <w:sz w:val="26"/>
      <w:szCs w:val="26"/>
    </w:rPr>
  </w:style>
  <w:style w:type="paragraph" w:styleId="861">
    <w:name w:val="Heading 5"/>
    <w:basedOn w:val="1030"/>
    <w:next w:val="1030"/>
    <w:link w:val="862"/>
    <w:uiPriority w:val="9"/>
    <w:unhideWhenUsed/>
    <w:qFormat/>
    <w:pPr>
      <w:keepLines/>
      <w:keepNext/>
      <w:spacing w:before="320" w:after="200"/>
      <w:outlineLvl w:val="4"/>
    </w:pPr>
    <w:rPr>
      <w:rFonts w:ascii="Arial" w:hAnsi="Arial" w:eastAsia="Arial" w:cs="Arial"/>
      <w:b/>
      <w:bCs/>
      <w:sz w:val="24"/>
      <w:szCs w:val="24"/>
    </w:rPr>
  </w:style>
  <w:style w:type="character" w:styleId="862">
    <w:name w:val="Heading 5 Char"/>
    <w:basedOn w:val="1031"/>
    <w:link w:val="861"/>
    <w:uiPriority w:val="9"/>
    <w:rPr>
      <w:rFonts w:ascii="Arial" w:hAnsi="Arial" w:eastAsia="Arial" w:cs="Arial"/>
      <w:b/>
      <w:bCs/>
      <w:sz w:val="24"/>
      <w:szCs w:val="24"/>
    </w:rPr>
  </w:style>
  <w:style w:type="paragraph" w:styleId="863">
    <w:name w:val="Heading 6"/>
    <w:basedOn w:val="1030"/>
    <w:next w:val="1030"/>
    <w:link w:val="864"/>
    <w:uiPriority w:val="9"/>
    <w:unhideWhenUsed/>
    <w:qFormat/>
    <w:pPr>
      <w:keepLines/>
      <w:keepNext/>
      <w:spacing w:before="320" w:after="200"/>
      <w:outlineLvl w:val="5"/>
    </w:pPr>
    <w:rPr>
      <w:rFonts w:ascii="Arial" w:hAnsi="Arial" w:eastAsia="Arial" w:cs="Arial"/>
      <w:b/>
      <w:bCs/>
      <w:sz w:val="22"/>
      <w:szCs w:val="22"/>
    </w:rPr>
  </w:style>
  <w:style w:type="character" w:styleId="864">
    <w:name w:val="Heading 6 Char"/>
    <w:basedOn w:val="1031"/>
    <w:link w:val="863"/>
    <w:uiPriority w:val="9"/>
    <w:rPr>
      <w:rFonts w:ascii="Arial" w:hAnsi="Arial" w:eastAsia="Arial" w:cs="Arial"/>
      <w:b/>
      <w:bCs/>
      <w:sz w:val="22"/>
      <w:szCs w:val="22"/>
    </w:rPr>
  </w:style>
  <w:style w:type="paragraph" w:styleId="865">
    <w:name w:val="Heading 7"/>
    <w:basedOn w:val="1030"/>
    <w:next w:val="1030"/>
    <w:link w:val="866"/>
    <w:uiPriority w:val="9"/>
    <w:unhideWhenUsed/>
    <w:qFormat/>
    <w:pPr>
      <w:keepLines/>
      <w:keepNext/>
      <w:spacing w:before="320" w:after="200"/>
      <w:outlineLvl w:val="6"/>
    </w:pPr>
    <w:rPr>
      <w:rFonts w:ascii="Arial" w:hAnsi="Arial" w:eastAsia="Arial" w:cs="Arial"/>
      <w:b/>
      <w:bCs/>
      <w:i/>
      <w:iCs/>
      <w:sz w:val="22"/>
      <w:szCs w:val="22"/>
    </w:rPr>
  </w:style>
  <w:style w:type="character" w:styleId="866">
    <w:name w:val="Heading 7 Char"/>
    <w:basedOn w:val="1031"/>
    <w:link w:val="865"/>
    <w:uiPriority w:val="9"/>
    <w:rPr>
      <w:rFonts w:ascii="Arial" w:hAnsi="Arial" w:eastAsia="Arial" w:cs="Arial"/>
      <w:b/>
      <w:bCs/>
      <w:i/>
      <w:iCs/>
      <w:sz w:val="22"/>
      <w:szCs w:val="22"/>
    </w:rPr>
  </w:style>
  <w:style w:type="paragraph" w:styleId="867">
    <w:name w:val="Heading 8"/>
    <w:basedOn w:val="1030"/>
    <w:next w:val="1030"/>
    <w:link w:val="868"/>
    <w:uiPriority w:val="9"/>
    <w:unhideWhenUsed/>
    <w:qFormat/>
    <w:pPr>
      <w:keepLines/>
      <w:keepNext/>
      <w:spacing w:before="320" w:after="200"/>
      <w:outlineLvl w:val="7"/>
    </w:pPr>
    <w:rPr>
      <w:rFonts w:ascii="Arial" w:hAnsi="Arial" w:eastAsia="Arial" w:cs="Arial"/>
      <w:i/>
      <w:iCs/>
      <w:sz w:val="22"/>
      <w:szCs w:val="22"/>
    </w:rPr>
  </w:style>
  <w:style w:type="character" w:styleId="868">
    <w:name w:val="Heading 8 Char"/>
    <w:basedOn w:val="1031"/>
    <w:link w:val="867"/>
    <w:uiPriority w:val="9"/>
    <w:rPr>
      <w:rFonts w:ascii="Arial" w:hAnsi="Arial" w:eastAsia="Arial" w:cs="Arial"/>
      <w:i/>
      <w:iCs/>
      <w:sz w:val="22"/>
      <w:szCs w:val="22"/>
    </w:rPr>
  </w:style>
  <w:style w:type="paragraph" w:styleId="869">
    <w:name w:val="Heading 9"/>
    <w:basedOn w:val="1030"/>
    <w:next w:val="1030"/>
    <w:link w:val="870"/>
    <w:uiPriority w:val="9"/>
    <w:unhideWhenUsed/>
    <w:qFormat/>
    <w:pPr>
      <w:keepLines/>
      <w:keepNext/>
      <w:spacing w:before="320" w:after="200"/>
      <w:outlineLvl w:val="8"/>
    </w:pPr>
    <w:rPr>
      <w:rFonts w:ascii="Arial" w:hAnsi="Arial" w:eastAsia="Arial" w:cs="Arial"/>
      <w:i/>
      <w:iCs/>
      <w:sz w:val="21"/>
      <w:szCs w:val="21"/>
    </w:rPr>
  </w:style>
  <w:style w:type="character" w:styleId="870">
    <w:name w:val="Heading 9 Char"/>
    <w:basedOn w:val="1031"/>
    <w:link w:val="869"/>
    <w:uiPriority w:val="9"/>
    <w:rPr>
      <w:rFonts w:ascii="Arial" w:hAnsi="Arial" w:eastAsia="Arial" w:cs="Arial"/>
      <w:i/>
      <w:iCs/>
      <w:sz w:val="21"/>
      <w:szCs w:val="21"/>
    </w:rPr>
  </w:style>
  <w:style w:type="paragraph" w:styleId="871">
    <w:name w:val="List Paragraph"/>
    <w:basedOn w:val="1030"/>
    <w:uiPriority w:val="34"/>
    <w:qFormat/>
    <w:pPr>
      <w:contextualSpacing/>
      <w:ind w:left="720"/>
    </w:pPr>
  </w:style>
  <w:style w:type="paragraph" w:styleId="872">
    <w:name w:val="No Spacing"/>
    <w:uiPriority w:val="1"/>
    <w:qFormat/>
    <w:pPr>
      <w:spacing w:before="0" w:after="0" w:line="240" w:lineRule="auto"/>
    </w:pPr>
  </w:style>
  <w:style w:type="paragraph" w:styleId="873">
    <w:name w:val="Title"/>
    <w:basedOn w:val="1030"/>
    <w:next w:val="1030"/>
    <w:link w:val="874"/>
    <w:uiPriority w:val="10"/>
    <w:qFormat/>
    <w:pPr>
      <w:contextualSpacing/>
      <w:spacing w:before="300" w:after="200"/>
    </w:pPr>
    <w:rPr>
      <w:sz w:val="48"/>
      <w:szCs w:val="48"/>
    </w:rPr>
  </w:style>
  <w:style w:type="character" w:styleId="874">
    <w:name w:val="Title Char"/>
    <w:basedOn w:val="1031"/>
    <w:link w:val="873"/>
    <w:uiPriority w:val="10"/>
    <w:rPr>
      <w:sz w:val="48"/>
      <w:szCs w:val="48"/>
    </w:rPr>
  </w:style>
  <w:style w:type="paragraph" w:styleId="875">
    <w:name w:val="Subtitle"/>
    <w:basedOn w:val="1030"/>
    <w:next w:val="1030"/>
    <w:link w:val="876"/>
    <w:uiPriority w:val="11"/>
    <w:qFormat/>
    <w:pPr>
      <w:spacing w:before="200" w:after="200"/>
    </w:pPr>
    <w:rPr>
      <w:sz w:val="24"/>
      <w:szCs w:val="24"/>
    </w:rPr>
  </w:style>
  <w:style w:type="character" w:styleId="876">
    <w:name w:val="Subtitle Char"/>
    <w:basedOn w:val="1031"/>
    <w:link w:val="875"/>
    <w:uiPriority w:val="11"/>
    <w:rPr>
      <w:sz w:val="24"/>
      <w:szCs w:val="24"/>
    </w:rPr>
  </w:style>
  <w:style w:type="paragraph" w:styleId="877">
    <w:name w:val="Quote"/>
    <w:basedOn w:val="1030"/>
    <w:next w:val="1030"/>
    <w:link w:val="878"/>
    <w:uiPriority w:val="29"/>
    <w:qFormat/>
    <w:pPr>
      <w:ind w:left="720" w:right="720"/>
    </w:pPr>
    <w:rPr>
      <w:i/>
    </w:rPr>
  </w:style>
  <w:style w:type="character" w:styleId="878">
    <w:name w:val="Quote Char"/>
    <w:link w:val="877"/>
    <w:uiPriority w:val="29"/>
    <w:rPr>
      <w:i/>
    </w:rPr>
  </w:style>
  <w:style w:type="paragraph" w:styleId="879">
    <w:name w:val="Intense Quote"/>
    <w:basedOn w:val="1030"/>
    <w:next w:val="1030"/>
    <w:link w:val="8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name w:val="Intense Quote Char"/>
    <w:link w:val="879"/>
    <w:uiPriority w:val="30"/>
    <w:rPr>
      <w:i/>
    </w:rPr>
  </w:style>
  <w:style w:type="paragraph" w:styleId="881">
    <w:name w:val="Header"/>
    <w:basedOn w:val="1030"/>
    <w:link w:val="882"/>
    <w:uiPriority w:val="99"/>
    <w:unhideWhenUsed/>
    <w:pPr>
      <w:spacing w:after="0" w:line="240" w:lineRule="auto"/>
      <w:tabs>
        <w:tab w:val="center" w:pos="7143" w:leader="none"/>
        <w:tab w:val="right" w:pos="14287" w:leader="none"/>
      </w:tabs>
    </w:pPr>
  </w:style>
  <w:style w:type="character" w:styleId="882">
    <w:name w:val="Header Char"/>
    <w:basedOn w:val="1031"/>
    <w:link w:val="881"/>
    <w:uiPriority w:val="99"/>
  </w:style>
  <w:style w:type="paragraph" w:styleId="883">
    <w:name w:val="Footer"/>
    <w:basedOn w:val="1030"/>
    <w:link w:val="886"/>
    <w:uiPriority w:val="99"/>
    <w:unhideWhenUsed/>
    <w:pPr>
      <w:spacing w:after="0" w:line="240" w:lineRule="auto"/>
      <w:tabs>
        <w:tab w:val="center" w:pos="7143" w:leader="none"/>
        <w:tab w:val="right" w:pos="14287" w:leader="none"/>
      </w:tabs>
    </w:pPr>
  </w:style>
  <w:style w:type="character" w:styleId="884">
    <w:name w:val="Footer Char"/>
    <w:basedOn w:val="1031"/>
    <w:link w:val="883"/>
    <w:uiPriority w:val="99"/>
  </w:style>
  <w:style w:type="paragraph" w:styleId="885">
    <w:name w:val="Caption"/>
    <w:basedOn w:val="1030"/>
    <w:next w:val="1030"/>
    <w:uiPriority w:val="35"/>
    <w:semiHidden/>
    <w:unhideWhenUsed/>
    <w:qFormat/>
    <w:pPr>
      <w:spacing w:line="276" w:lineRule="auto"/>
    </w:pPr>
    <w:rPr>
      <w:b/>
      <w:bCs/>
      <w:color w:val="4f81bd" w:themeColor="accent1"/>
      <w:sz w:val="18"/>
      <w:szCs w:val="18"/>
    </w:rPr>
  </w:style>
  <w:style w:type="character" w:styleId="886">
    <w:name w:val="Caption Char"/>
    <w:basedOn w:val="885"/>
    <w:link w:val="883"/>
    <w:uiPriority w:val="99"/>
  </w:style>
  <w:style w:type="table" w:styleId="887">
    <w:name w:val="Table Grid Light"/>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8">
    <w:name w:val="Plain Table 1"/>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basedOn w:val="10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basedOn w:val="10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1 Light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5">
    <w:name w:val="Grid Table 1 Light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6">
    <w:name w:val="Grid Table 1 Light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7">
    <w:name w:val="Grid Table 1 Light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8">
    <w:name w:val="Grid Table 1 Light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9">
    <w:name w:val="Grid Table 1 Light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0">
    <w:name w:val="Grid Table 2"/>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1">
    <w:name w:val="Grid Table 2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2">
    <w:name w:val="Grid Table 2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2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2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2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6">
    <w:name w:val="Grid Table 2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7">
    <w:name w:val="Grid Table 3"/>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4"/>
    <w:basedOn w:val="10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name w:val="Grid Table 4 - Accent 1"/>
    <w:basedOn w:val="10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6">
    <w:name w:val="Grid Table 4 - Accent 2"/>
    <w:basedOn w:val="10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7">
    <w:name w:val="Grid Table 4 - Accent 3"/>
    <w:basedOn w:val="10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8">
    <w:name w:val="Grid Table 4 - Accent 4"/>
    <w:basedOn w:val="10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9">
    <w:name w:val="Grid Table 4 - Accent 5"/>
    <w:basedOn w:val="10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0">
    <w:name w:val="Grid Table 4 - Accent 6"/>
    <w:basedOn w:val="10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1">
    <w:name w:val="Grid Table 5 Dark"/>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2">
    <w:name w:val="Grid Table 5 Dark- Accent 1"/>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23">
    <w:name w:val="Grid Table 5 Dark - Accent 2"/>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24">
    <w:name w:val="Grid Table 5 Dark - Accent 3"/>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25">
    <w:name w:val="Grid Table 5 Dark- Accent 4"/>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26">
    <w:name w:val="Grid Table 5 Dark - Accent 5"/>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27">
    <w:name w:val="Grid Table 5 Dark - Accent 6"/>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28">
    <w:name w:val="Grid Table 6 Colorful"/>
    <w:basedOn w:val="10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9">
    <w:name w:val="Grid Table 6 Colorful - Accent 1"/>
    <w:basedOn w:val="10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30">
    <w:name w:val="Grid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31">
    <w:name w:val="Grid Table 6 Colorful - Accent 3"/>
    <w:basedOn w:val="10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2">
    <w:name w:val="Grid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33">
    <w:name w:val="Grid Table 6 Colorful - Accent 5"/>
    <w:basedOn w:val="10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4">
    <w:name w:val="Grid Table 6 Colorful - Accent 6"/>
    <w:basedOn w:val="10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5">
    <w:name w:val="Grid Table 7 Colorful"/>
    <w:basedOn w:val="10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6">
    <w:name w:val="Grid Table 7 Colorful - Accent 1"/>
    <w:basedOn w:val="10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7">
    <w:name w:val="Grid Table 7 Colorful - Accent 2"/>
    <w:basedOn w:val="10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7 Colorful - Accent 3"/>
    <w:basedOn w:val="10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7 Colorful - Accent 4"/>
    <w:basedOn w:val="10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7 Colorful - Accent 5"/>
    <w:basedOn w:val="10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1">
    <w:name w:val="Grid Table 7 Colorful - Accent 6"/>
    <w:basedOn w:val="10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2">
    <w:name w:val="List Table 1 Light"/>
    <w:basedOn w:val="10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name w:val="List Table 1 Light - Accent 1"/>
    <w:basedOn w:val="103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4">
    <w:name w:val="List Table 1 Light - Accent 2"/>
    <w:basedOn w:val="103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5">
    <w:name w:val="List Table 1 Light - Accent 3"/>
    <w:basedOn w:val="103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6">
    <w:name w:val="List Table 1 Light - Accent 4"/>
    <w:basedOn w:val="103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7">
    <w:name w:val="List Table 1 Light - Accent 5"/>
    <w:basedOn w:val="103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8">
    <w:name w:val="List Table 1 Light - Accent 6"/>
    <w:basedOn w:val="103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9">
    <w:name w:val="List Table 2"/>
    <w:basedOn w:val="10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0">
    <w:name w:val="List Table 2 - Accent 1"/>
    <w:basedOn w:val="10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1">
    <w:name w:val="List Table 2 - Accent 2"/>
    <w:basedOn w:val="10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2">
    <w:name w:val="List Table 2 - Accent 3"/>
    <w:basedOn w:val="10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3">
    <w:name w:val="List Table 2 - Accent 4"/>
    <w:basedOn w:val="10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4">
    <w:name w:val="List Table 2 - Accent 5"/>
    <w:basedOn w:val="10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5">
    <w:name w:val="List Table 2 - Accent 6"/>
    <w:basedOn w:val="10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6">
    <w:name w:val="List Table 3"/>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3 - Accent 1"/>
    <w:basedOn w:val="10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8">
    <w:name w:val="List Table 3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59">
    <w:name w:val="List Table 3 - Accent 3"/>
    <w:basedOn w:val="10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60">
    <w:name w:val="List Table 3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61">
    <w:name w:val="List Table 3 - Accent 5"/>
    <w:basedOn w:val="10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62">
    <w:name w:val="List Table 3 - Accent 6"/>
    <w:basedOn w:val="10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63">
    <w:name w:val="List Table 4"/>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4 - Accent 1"/>
    <w:basedOn w:val="10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5">
    <w:name w:val="List Table 4 - Accent 2"/>
    <w:basedOn w:val="10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66">
    <w:name w:val="List Table 4 - Accent 3"/>
    <w:basedOn w:val="10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67">
    <w:name w:val="List Table 4 - Accent 4"/>
    <w:basedOn w:val="10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68">
    <w:name w:val="List Table 4 - Accent 5"/>
    <w:basedOn w:val="10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69">
    <w:name w:val="List Table 4 - Accent 6"/>
    <w:basedOn w:val="10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70">
    <w:name w:val="List Table 5 Dark"/>
    <w:basedOn w:val="10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1"/>
    <w:basedOn w:val="10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2"/>
    <w:basedOn w:val="10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3"/>
    <w:basedOn w:val="10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4"/>
    <w:basedOn w:val="10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5"/>
    <w:basedOn w:val="10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6"/>
    <w:basedOn w:val="10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6 Colorful"/>
    <w:basedOn w:val="10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8">
    <w:name w:val="List Table 6 Colorful - Accent 1"/>
    <w:basedOn w:val="10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79">
    <w:name w:val="List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80">
    <w:name w:val="List Table 6 Colorful - Accent 3"/>
    <w:basedOn w:val="10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81">
    <w:name w:val="List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82">
    <w:name w:val="List Table 6 Colorful - Accent 5"/>
    <w:basedOn w:val="10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83">
    <w:name w:val="List Table 6 Colorful - Accent 6"/>
    <w:basedOn w:val="10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84">
    <w:name w:val="List Table 7 Colorful"/>
    <w:basedOn w:val="10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5">
    <w:name w:val="List Table 7 Colorful - Accent 1"/>
    <w:basedOn w:val="10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86">
    <w:name w:val="List Table 7 Colorful - Accent 2"/>
    <w:basedOn w:val="10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87">
    <w:name w:val="List Table 7 Colorful - Accent 3"/>
    <w:basedOn w:val="10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88">
    <w:name w:val="List Table 7 Colorful - Accent 4"/>
    <w:basedOn w:val="10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89">
    <w:name w:val="List Table 7 Colorful - Accent 5"/>
    <w:basedOn w:val="10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90">
    <w:name w:val="List Table 7 Colorful - Accent 6"/>
    <w:basedOn w:val="10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91">
    <w:name w:val="Lined - Accent"/>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Lined - Accent 1"/>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3">
    <w:name w:val="Lined - Accent 2"/>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4">
    <w:name w:val="Lined - Accent 3"/>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5">
    <w:name w:val="Lined - Accent 4"/>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6">
    <w:name w:val="Lined - Accent 5"/>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7">
    <w:name w:val="Lined - Accent 6"/>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8">
    <w:name w:val="Bordered &amp; Lined - Accent"/>
    <w:basedOn w:val="10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Bordered &amp; Lined - Accent 1"/>
    <w:basedOn w:val="10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0">
    <w:name w:val="Bordered &amp; Lined - Accent 2"/>
    <w:basedOn w:val="10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1">
    <w:name w:val="Bordered &amp; Lined - Accent 3"/>
    <w:basedOn w:val="10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2">
    <w:name w:val="Bordered &amp; Lined - Accent 4"/>
    <w:basedOn w:val="10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3">
    <w:name w:val="Bordered &amp; Lined - Accent 5"/>
    <w:basedOn w:val="10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4">
    <w:name w:val="Bordered &amp; Lined - Accent 6"/>
    <w:basedOn w:val="10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5">
    <w:name w:val="Bordered"/>
    <w:basedOn w:val="10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6">
    <w:name w:val="Bordered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7">
    <w:name w:val="Bordered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8">
    <w:name w:val="Bordered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9">
    <w:name w:val="Bordered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0">
    <w:name w:val="Bordered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1">
    <w:name w:val="Bordered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2">
    <w:name w:val="Hyperlink"/>
    <w:uiPriority w:val="99"/>
    <w:unhideWhenUsed/>
    <w:rPr>
      <w:color w:val="0000ff" w:themeColor="hyperlink"/>
      <w:u w:val="single"/>
    </w:rPr>
  </w:style>
  <w:style w:type="paragraph" w:styleId="1013">
    <w:name w:val="footnote text"/>
    <w:basedOn w:val="1030"/>
    <w:link w:val="1014"/>
    <w:uiPriority w:val="99"/>
    <w:semiHidden/>
    <w:unhideWhenUsed/>
    <w:pPr>
      <w:spacing w:after="40" w:line="240" w:lineRule="auto"/>
    </w:pPr>
    <w:rPr>
      <w:sz w:val="18"/>
    </w:rPr>
  </w:style>
  <w:style w:type="character" w:styleId="1014">
    <w:name w:val="Footnote Text Char"/>
    <w:link w:val="1013"/>
    <w:uiPriority w:val="99"/>
    <w:rPr>
      <w:sz w:val="18"/>
    </w:rPr>
  </w:style>
  <w:style w:type="character" w:styleId="1015">
    <w:name w:val="footnote reference"/>
    <w:basedOn w:val="1031"/>
    <w:uiPriority w:val="99"/>
    <w:unhideWhenUsed/>
    <w:rPr>
      <w:vertAlign w:val="superscript"/>
    </w:rPr>
  </w:style>
  <w:style w:type="paragraph" w:styleId="1016">
    <w:name w:val="endnote text"/>
    <w:basedOn w:val="1030"/>
    <w:link w:val="1017"/>
    <w:uiPriority w:val="99"/>
    <w:semiHidden/>
    <w:unhideWhenUsed/>
    <w:pPr>
      <w:spacing w:after="0" w:line="240" w:lineRule="auto"/>
    </w:pPr>
    <w:rPr>
      <w:sz w:val="20"/>
    </w:rPr>
  </w:style>
  <w:style w:type="character" w:styleId="1017">
    <w:name w:val="Endnote Text Char"/>
    <w:link w:val="1016"/>
    <w:uiPriority w:val="99"/>
    <w:rPr>
      <w:sz w:val="20"/>
    </w:rPr>
  </w:style>
  <w:style w:type="character" w:styleId="1018">
    <w:name w:val="endnote reference"/>
    <w:basedOn w:val="1031"/>
    <w:uiPriority w:val="99"/>
    <w:semiHidden/>
    <w:unhideWhenUsed/>
    <w:rPr>
      <w:vertAlign w:val="superscript"/>
    </w:rPr>
  </w:style>
  <w:style w:type="paragraph" w:styleId="1019">
    <w:name w:val="toc 1"/>
    <w:basedOn w:val="1030"/>
    <w:next w:val="1030"/>
    <w:uiPriority w:val="39"/>
    <w:unhideWhenUsed/>
    <w:pPr>
      <w:ind w:left="0" w:right="0" w:firstLine="0"/>
      <w:spacing w:after="57"/>
    </w:pPr>
  </w:style>
  <w:style w:type="paragraph" w:styleId="1020">
    <w:name w:val="toc 2"/>
    <w:basedOn w:val="1030"/>
    <w:next w:val="1030"/>
    <w:uiPriority w:val="39"/>
    <w:unhideWhenUsed/>
    <w:pPr>
      <w:ind w:left="283" w:right="0" w:firstLine="0"/>
      <w:spacing w:after="57"/>
    </w:pPr>
  </w:style>
  <w:style w:type="paragraph" w:styleId="1021">
    <w:name w:val="toc 3"/>
    <w:basedOn w:val="1030"/>
    <w:next w:val="1030"/>
    <w:uiPriority w:val="39"/>
    <w:unhideWhenUsed/>
    <w:pPr>
      <w:ind w:left="567" w:right="0" w:firstLine="0"/>
      <w:spacing w:after="57"/>
    </w:pPr>
  </w:style>
  <w:style w:type="paragraph" w:styleId="1022">
    <w:name w:val="toc 4"/>
    <w:basedOn w:val="1030"/>
    <w:next w:val="1030"/>
    <w:uiPriority w:val="39"/>
    <w:unhideWhenUsed/>
    <w:pPr>
      <w:ind w:left="850" w:right="0" w:firstLine="0"/>
      <w:spacing w:after="57"/>
    </w:pPr>
  </w:style>
  <w:style w:type="paragraph" w:styleId="1023">
    <w:name w:val="toc 5"/>
    <w:basedOn w:val="1030"/>
    <w:next w:val="1030"/>
    <w:uiPriority w:val="39"/>
    <w:unhideWhenUsed/>
    <w:pPr>
      <w:ind w:left="1134" w:right="0" w:firstLine="0"/>
      <w:spacing w:after="57"/>
    </w:pPr>
  </w:style>
  <w:style w:type="paragraph" w:styleId="1024">
    <w:name w:val="toc 6"/>
    <w:basedOn w:val="1030"/>
    <w:next w:val="1030"/>
    <w:uiPriority w:val="39"/>
    <w:unhideWhenUsed/>
    <w:pPr>
      <w:ind w:left="1417" w:right="0" w:firstLine="0"/>
      <w:spacing w:after="57"/>
    </w:pPr>
  </w:style>
  <w:style w:type="paragraph" w:styleId="1025">
    <w:name w:val="toc 7"/>
    <w:basedOn w:val="1030"/>
    <w:next w:val="1030"/>
    <w:uiPriority w:val="39"/>
    <w:unhideWhenUsed/>
    <w:pPr>
      <w:ind w:left="1701" w:right="0" w:firstLine="0"/>
      <w:spacing w:after="57"/>
    </w:pPr>
  </w:style>
  <w:style w:type="paragraph" w:styleId="1026">
    <w:name w:val="toc 8"/>
    <w:basedOn w:val="1030"/>
    <w:next w:val="1030"/>
    <w:uiPriority w:val="39"/>
    <w:unhideWhenUsed/>
    <w:pPr>
      <w:ind w:left="1984" w:right="0" w:firstLine="0"/>
      <w:spacing w:after="57"/>
    </w:pPr>
  </w:style>
  <w:style w:type="paragraph" w:styleId="1027">
    <w:name w:val="toc 9"/>
    <w:basedOn w:val="1030"/>
    <w:next w:val="1030"/>
    <w:uiPriority w:val="39"/>
    <w:unhideWhenUsed/>
    <w:pPr>
      <w:ind w:left="2268" w:right="0" w:firstLine="0"/>
      <w:spacing w:after="57"/>
    </w:pPr>
  </w:style>
  <w:style w:type="paragraph" w:styleId="1028">
    <w:name w:val="TOC Heading"/>
    <w:uiPriority w:val="39"/>
    <w:unhideWhenUsed/>
  </w:style>
  <w:style w:type="paragraph" w:styleId="1029">
    <w:name w:val="table of figures"/>
    <w:basedOn w:val="1030"/>
    <w:next w:val="1030"/>
    <w:uiPriority w:val="99"/>
    <w:unhideWhenUsed/>
    <w:pPr>
      <w:spacing w:after="0" w:afterAutospacing="0"/>
    </w:pPr>
  </w:style>
  <w:style w:type="paragraph" w:styleId="103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1031" w:default="1">
    <w:name w:val="Default Paragraph Font"/>
    <w:uiPriority w:val="0"/>
    <w:semiHidden/>
    <w:qFormat/>
  </w:style>
  <w:style w:type="table" w:styleId="1032" w:default="1">
    <w:name w:val="Normal Table"/>
    <w:uiPriority w:val="0"/>
    <w:semiHidden/>
    <w:tblPr>
      <w:tblCellMar>
        <w:left w:w="108" w:type="dxa"/>
        <w:top w:w="0" w:type="dxa"/>
        <w:right w:w="108" w:type="dxa"/>
        <w:bottom w:w="0" w:type="dxa"/>
      </w:tblCellMar>
    </w:tblPr>
  </w:style>
  <w:style w:type="table" w:styleId="10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4" w:customStyle="1">
    <w:name w:val="Table Normal"/>
    <w:uiPriority w:val="0"/>
    <w:semiHidden/>
    <w:unhideWhenUsed/>
    <w:qFormat/>
    <w:tblPr>
      <w:tblCellMar>
        <w:left w:w="0" w:type="dxa"/>
        <w:top w:w="0" w:type="dxa"/>
        <w:right w:w="0" w:type="dxa"/>
        <w:bottom w:w="0" w:type="dxa"/>
      </w:tblCellMar>
    </w:tbl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徐州辰拓</dc:creator>
  <cp:lastModifiedBy>刘丽</cp:lastModifiedBy>
  <cp:revision>3</cp:revision>
  <dcterms:created xsi:type="dcterms:W3CDTF">2026-05-12T01:30:00Z</dcterms:created>
  <dcterms:modified xsi:type="dcterms:W3CDTF">2026-05-22T03:41:28Z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10A6DC283DD94747B57F242950D75574_13</vt:lpwstr>
  </property>
  <property fmtid="{D5CDD505-2E9C-101B-9397-08002B2CF9AE}" pid="4" name="KSOTemplateDocerSaveRecord">
    <vt:lpwstr>eyJoZGlkIjoiOGNjODMzYjVlMzk0NWQ3YTFlYjVhMGI3MzM4MGQ5NTEiLCJ1c2VySWQiOiIxMzg0NTY4NjY4In0=</vt:lpwstr>
  </property>
</Properties>
</file>