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pageBreakBefore w:val="0"/>
        <w:spacing w:line="560" w:lineRule="exact"/>
        <w:rPr>
          <w:rFonts w:ascii="宋体" w:hAnsi="宋体" w:cs="宋体"/>
          <w:sz w:val="36"/>
          <w:szCs w:val="36"/>
          <w:shd w:val="clear" w:color="auto" w:fill="ffffff"/>
        </w:rPr>
      </w:pPr>
      <w:r>
        <w:rPr>
          <w:rFonts w:ascii="宋体" w:hAnsi="宋体" w:cs="宋体"/>
          <w:sz w:val="36"/>
          <w:szCs w:val="36"/>
          <w:shd w:val="clear" w:color="auto" w:fill="ffffff"/>
        </w:rPr>
      </w:r>
      <w:r/>
    </w:p>
    <w:p>
      <w:pPr>
        <w:pStyle w:val="1001"/>
        <w:ind w:left="0" w:firstLine="0"/>
        <w:jc w:val="both"/>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1001"/>
        <w:jc w:val="center"/>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1001"/>
        <w:jc w:val="center"/>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1001"/>
        <w:jc w:val="center"/>
        <w:pageBreakBefore w:val="0"/>
        <w:spacing w:line="560" w:lineRule="exact"/>
        <w:rPr>
          <w:rFonts w:hint="eastAsia" w:ascii="仿宋" w:hAnsi="仿宋" w:eastAsia="仿宋"/>
          <w:b/>
          <w:bCs/>
          <w:color w:val="000000"/>
          <w:spacing w:val="76"/>
          <w:sz w:val="52"/>
          <w:szCs w:val="52"/>
          <w:lang w:eastAsia="zh-CN"/>
        </w:rPr>
      </w:pPr>
      <w:r>
        <w:rPr>
          <w:rFonts w:hint="eastAsia" w:ascii="仿宋" w:hAnsi="仿宋" w:eastAsia="仿宋"/>
          <w:b/>
          <w:bCs/>
          <w:color w:val="000000"/>
          <w:spacing w:val="76"/>
          <w:sz w:val="52"/>
          <w:szCs w:val="52"/>
          <w:lang w:eastAsia="zh-CN"/>
        </w:rPr>
        <w:t xml:space="preserve">招标文件</w:t>
      </w:r>
      <w:r/>
    </w:p>
    <w:p>
      <w:pPr>
        <w:pStyle w:val="1001"/>
        <w:ind w:left="0"/>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1001"/>
        <w:ind w:left="0"/>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1001"/>
        <w:ind w:left="0"/>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1001"/>
        <w:ind w:left="0"/>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1001"/>
        <w:ind w:left="0"/>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1001"/>
        <w:ind w:left="0"/>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1001"/>
        <w:ind w:left="0"/>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916"/>
        <w:pageBreakBefore w:val="0"/>
        <w:spacing w:line="56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pStyle w:val="916"/>
        <w:pageBreakBefore w:val="0"/>
        <w:spacing w:line="56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pStyle w:val="916"/>
        <w:ind w:firstLine="1285"/>
        <w:pageBreakBefore w:val="0"/>
        <w:spacing w:line="560" w:lineRule="exact"/>
        <w:rPr>
          <w:rFonts w:ascii="仿宋" w:hAnsi="仿宋" w:eastAsia="仿宋"/>
          <w:b/>
          <w:color w:val="000000"/>
          <w:sz w:val="32"/>
          <w:szCs w:val="32"/>
        </w:rPr>
      </w:pPr>
      <w:r>
        <w:rPr>
          <w:rFonts w:hint="eastAsia" w:ascii="仿宋" w:hAnsi="仿宋" w:eastAsia="仿宋"/>
          <w:b/>
          <w:color w:val="000000"/>
          <w:sz w:val="32"/>
          <w:szCs w:val="32"/>
        </w:rPr>
        <w:t xml:space="preserve">项目编号：JSZC-320381-XYZX-G2026-0003</w:t>
      </w:r>
      <w:r/>
    </w:p>
    <w:p>
      <w:pPr>
        <w:pStyle w:val="916"/>
        <w:jc w:val="center"/>
        <w:pageBreakBefore w:val="0"/>
        <w:spacing w:line="560" w:lineRule="exact"/>
        <w:rPr>
          <w:rFonts w:ascii="仿宋" w:hAnsi="仿宋" w:eastAsia="仿宋"/>
          <w:b/>
          <w:color w:val="000000"/>
          <w:sz w:val="32"/>
          <w:szCs w:val="32"/>
        </w:rPr>
      </w:pPr>
      <w:r>
        <w:rPr>
          <w:rFonts w:ascii="仿宋" w:hAnsi="仿宋" w:eastAsia="仿宋"/>
          <w:b/>
          <w:color w:val="000000"/>
          <w:sz w:val="32"/>
          <w:szCs w:val="32"/>
        </w:rPr>
      </w:r>
      <w:r/>
    </w:p>
    <w:p>
      <w:pPr>
        <w:pStyle w:val="916"/>
        <w:ind w:firstLine="1285"/>
        <w:pageBreakBefore w:val="0"/>
        <w:spacing w:line="560" w:lineRule="exact"/>
        <w:rPr>
          <w:rFonts w:ascii="仿宋" w:hAnsi="仿宋" w:eastAsia="仿宋"/>
          <w:b/>
          <w:color w:val="000000"/>
          <w:sz w:val="32"/>
          <w:szCs w:val="32"/>
        </w:rPr>
      </w:pPr>
      <w:r>
        <w:rPr>
          <w:rFonts w:hint="eastAsia" w:ascii="仿宋" w:hAnsi="仿宋" w:eastAsia="仿宋"/>
          <w:b/>
          <w:color w:val="000000"/>
          <w:sz w:val="32"/>
          <w:szCs w:val="32"/>
        </w:rPr>
        <w:t xml:space="preserve">采 购 人：新沂市农业农村局</w:t>
      </w:r>
      <w:r>
        <w:rPr>
          <w:rFonts w:hint="eastAsia" w:ascii="仿宋" w:hAnsi="仿宋" w:eastAsia="仿宋"/>
          <w:b/>
          <w:color w:val="000000"/>
          <w:sz w:val="32"/>
          <w:szCs w:val="32"/>
          <w:lang w:val="en-US" w:eastAsia="zh-CN"/>
        </w:rPr>
        <w:t xml:space="preserve"> </w:t>
      </w:r>
      <w:r/>
    </w:p>
    <w:p>
      <w:pPr>
        <w:pStyle w:val="916"/>
        <w:jc w:val="center"/>
        <w:pageBreakBefore w:val="0"/>
        <w:spacing w:line="560" w:lineRule="exact"/>
        <w:rPr>
          <w:rFonts w:ascii="仿宋" w:hAnsi="仿宋" w:eastAsia="仿宋"/>
          <w:b/>
          <w:color w:val="000000"/>
          <w:sz w:val="32"/>
          <w:szCs w:val="32"/>
        </w:rPr>
      </w:pPr>
      <w:r>
        <w:rPr>
          <w:rFonts w:ascii="仿宋" w:hAnsi="仿宋" w:eastAsia="仿宋"/>
          <w:b/>
          <w:color w:val="000000"/>
          <w:sz w:val="32"/>
          <w:szCs w:val="32"/>
        </w:rPr>
      </w:r>
      <w:r/>
    </w:p>
    <w:p>
      <w:pPr>
        <w:pStyle w:val="916"/>
        <w:jc w:val="center"/>
        <w:pageBreakBefore w:val="0"/>
        <w:spacing w:line="560" w:lineRule="exact"/>
        <w:rPr>
          <w:rFonts w:ascii="仿宋" w:hAnsi="仿宋" w:eastAsia="仿宋"/>
          <w:b/>
          <w:color w:val="000000"/>
          <w:sz w:val="32"/>
          <w:szCs w:val="32"/>
        </w:rPr>
      </w:pPr>
      <w:r>
        <w:rPr>
          <w:rFonts w:hint="eastAsia" w:ascii="仿宋" w:hAnsi="仿宋" w:eastAsia="仿宋"/>
          <w:b/>
          <w:color w:val="000000"/>
          <w:sz w:val="32"/>
          <w:szCs w:val="32"/>
        </w:rPr>
        <w:t xml:space="preserve"> 采购代理机构：新沂市公共资源交易中心</w:t>
      </w:r>
      <w:r/>
    </w:p>
    <w:p>
      <w:pPr>
        <w:pStyle w:val="1001"/>
        <w:pageBreakBefore w:val="0"/>
        <w:spacing w:line="560" w:lineRule="exact"/>
        <w:rPr>
          <w:rFonts w:ascii="仿宋" w:hAnsi="仿宋" w:eastAsia="仿宋"/>
          <w:b/>
          <w:bCs/>
          <w:color w:val="000000"/>
        </w:rPr>
      </w:pPr>
      <w:r>
        <w:rPr>
          <w:rFonts w:ascii="仿宋" w:hAnsi="仿宋" w:eastAsia="仿宋"/>
          <w:b/>
          <w:bCs/>
          <w:color w:val="000000"/>
        </w:rPr>
      </w:r>
      <w:r/>
    </w:p>
    <w:p>
      <w:pPr>
        <w:pStyle w:val="915"/>
        <w:ind w:firstLine="0"/>
        <w:jc w:val="center"/>
        <w:pageBreakBefore w:val="0"/>
        <w:spacing w:line="560" w:lineRule="exact"/>
        <w:rPr>
          <w:rFonts w:ascii="仿宋" w:hAnsi="仿宋" w:eastAsia="仿宋"/>
          <w:b/>
          <w:color w:val="000000"/>
          <w:sz w:val="44"/>
        </w:rPr>
      </w:pPr>
      <w:r>
        <w:rPr>
          <w:rFonts w:hint="eastAsia" w:ascii="仿宋" w:hAnsi="仿宋" w:eastAsia="仿宋"/>
          <w:b/>
          <w:color w:val="000000"/>
          <w:sz w:val="32"/>
          <w:szCs w:val="32"/>
        </w:rPr>
        <w:t xml:space="preserve">202</w:t>
      </w:r>
      <w:r>
        <w:rPr>
          <w:rFonts w:hint="eastAsia" w:ascii="仿宋" w:hAnsi="仿宋" w:eastAsia="仿宋"/>
          <w:b/>
          <w:color w:val="000000"/>
          <w:sz w:val="32"/>
          <w:szCs w:val="32"/>
          <w:lang w:val="en-US" w:eastAsia="zh-CN"/>
        </w:rPr>
        <w:t xml:space="preserve">6</w:t>
      </w:r>
      <w:r>
        <w:rPr>
          <w:rFonts w:hint="eastAsia" w:ascii="仿宋" w:hAnsi="仿宋" w:eastAsia="仿宋"/>
          <w:b/>
          <w:color w:val="000000"/>
          <w:sz w:val="32"/>
          <w:szCs w:val="32"/>
        </w:rPr>
        <w:t xml:space="preserve">年</w:t>
      </w:r>
      <w:r>
        <w:rPr>
          <w:rFonts w:hint="eastAsia" w:ascii="仿宋" w:hAnsi="仿宋" w:eastAsia="仿宋"/>
          <w:b/>
          <w:color w:val="000000"/>
          <w:sz w:val="32"/>
          <w:szCs w:val="32"/>
          <w:lang w:val="en-US" w:eastAsia="zh-CN"/>
        </w:rPr>
        <w:t xml:space="preserve">5</w:t>
      </w:r>
      <w:r>
        <w:rPr>
          <w:rFonts w:hint="eastAsia" w:ascii="仿宋" w:hAnsi="仿宋" w:eastAsia="仿宋"/>
          <w:b/>
          <w:color w:val="000000"/>
          <w:sz w:val="32"/>
          <w:szCs w:val="32"/>
        </w:rPr>
        <w:t xml:space="preserve">月</w:t>
      </w:r>
      <w:r/>
    </w:p>
    <w:p>
      <w:pPr>
        <w:pStyle w:val="915"/>
        <w:ind w:firstLine="0"/>
        <w:jc w:val="center"/>
        <w:pageBreakBefore w:val="0"/>
        <w:spacing w:line="560" w:lineRule="exact"/>
        <w:rPr>
          <w:rFonts w:ascii="仿宋" w:hAnsi="仿宋" w:eastAsia="仿宋"/>
          <w:b/>
          <w:color w:val="000000"/>
          <w:sz w:val="44"/>
        </w:rPr>
        <w:sectPr>
          <w:headerReference w:type="default" r:id="rId9"/>
          <w:footerReference w:type="even" r:id="rId10"/>
          <w:footnotePr/>
          <w:endnotePr/>
          <w:type w:val="nextPage"/>
          <w:pgSz w:w="11906" w:h="16838" w:orient="portrait"/>
          <w:pgMar w:top="1440" w:right="1800" w:bottom="1383" w:left="1800" w:header="851" w:footer="992" w:gutter="0"/>
          <w:cols w:num="1" w:sep="0" w:space="425" w:equalWidth="1"/>
          <w:docGrid w:linePitch="360"/>
        </w:sectPr>
      </w:pPr>
      <w:r>
        <w:rPr>
          <w:rFonts w:ascii="仿宋" w:hAnsi="仿宋" w:eastAsia="仿宋"/>
          <w:b/>
          <w:color w:val="000000"/>
          <w:sz w:val="44"/>
        </w:rPr>
      </w:r>
      <w:r/>
    </w:p>
    <w:p>
      <w:pPr>
        <w:pStyle w:val="1030"/>
        <w:pageBreakBefore w:val="0"/>
        <w:spacing w:line="560" w:lineRule="exact"/>
        <w:tabs>
          <w:tab w:val="right" w:pos="9978" w:leader="dot"/>
        </w:tabs>
      </w:pPr>
      <w:r/>
      <w:r/>
    </w:p>
    <w:p>
      <w:pPr>
        <w:jc w:val="both"/>
        <w:pageBreakBefore w:val="0"/>
        <w:spacing w:line="560" w:lineRule="exact"/>
        <w:rPr>
          <w:rFonts w:ascii="宋体" w:hAnsi="宋体"/>
          <w:sz w:val="21"/>
        </w:rPr>
      </w:pPr>
      <w:r>
        <w:rPr>
          <w:rFonts w:ascii="宋体" w:hAnsi="宋体"/>
          <w:sz w:val="21"/>
        </w:rPr>
      </w:r>
      <w:r/>
    </w:p>
    <w:p>
      <w:pPr>
        <w:jc w:val="center"/>
        <w:pageBreakBefore w:val="0"/>
        <w:spacing w:line="560" w:lineRule="exact"/>
        <w:rPr>
          <w:color w:val="000000"/>
          <w:sz w:val="36"/>
          <w:szCs w:val="36"/>
        </w:rPr>
      </w:pPr>
      <w:r>
        <w:rPr>
          <w:rFonts w:ascii="宋体" w:hAnsi="宋体"/>
          <w:color w:val="000000"/>
          <w:sz w:val="36"/>
          <w:szCs w:val="36"/>
        </w:rPr>
        <w:t xml:space="preserve">目录</w:t>
      </w:r>
      <w:r/>
    </w:p>
    <w:p>
      <w:pPr>
        <w:ind w:left="0" w:right="0" w:firstLine="0"/>
        <w:jc w:val="center"/>
        <w:pageBreakBefore w:val="0"/>
        <w:spacing w:before="0" w:after="0" w:line="560" w:lineRule="exact"/>
        <w:tabs>
          <w:tab w:val="left" w:pos="2392" w:leader="none"/>
          <w:tab w:val="center" w:pos="4213" w:leader="none"/>
        </w:tabs>
        <w:rPr>
          <w:rFonts w:hint="eastAsia" w:ascii="宋体" w:hAnsi="宋体" w:eastAsia="宋体" w:cstheme="minorBidi"/>
          <w:sz w:val="21"/>
          <w:szCs w:val="24"/>
          <w:lang w:val="en-US" w:eastAsia="zh-CN" w:bidi="ar-SA"/>
        </w:rPr>
      </w:pPr>
      <w:r>
        <w:rPr>
          <w:rFonts w:hint="eastAsia" w:ascii="宋体" w:hAnsi="宋体" w:eastAsia="宋体" w:cstheme="minorBidi"/>
          <w:sz w:val="21"/>
          <w:szCs w:val="24"/>
          <w:lang w:val="en-US" w:eastAsia="zh-CN" w:bidi="ar-SA"/>
        </w:rPr>
        <w:tab/>
      </w:r>
      <w:r/>
    </w:p>
    <w:p>
      <w:pPr>
        <w:pageBreakBefore w:val="0"/>
        <w:spacing w:line="560" w:lineRule="exact"/>
      </w:pPr>
      <w:r/>
      <w:r/>
    </w:p>
    <w:p>
      <w:pPr>
        <w:pStyle w:val="1030"/>
        <w:jc w:val="both"/>
        <w:keepLines w:val="0"/>
        <w:keepNext w:val="0"/>
        <w:pageBreakBefore w:val="0"/>
        <w:spacing w:line="560" w:lineRule="exact"/>
        <w:widowControl/>
        <w:tabs>
          <w:tab w:val="right" w:pos="8400" w:leader="dot"/>
          <w:tab w:val="right" w:pos="9978" w:leader="dot"/>
        </w:tabs>
        <w:rPr>
          <w:rFonts w:hint="eastAsia" w:eastAsia="宋体"/>
          <w:color w:val="000000"/>
          <w:sz w:val="32"/>
          <w:szCs w:val="32"/>
          <w:lang w:val="en-US" w:eastAsia="zh-CN"/>
        </w:rPr>
      </w:pPr>
      <w:r>
        <w:fldChar w:fldCharType="begin"/>
      </w:r>
      <w:r>
        <w:instrText xml:space="preserve"> HYPERLINK \l "_Toc6801" </w:instrText>
      </w:r>
      <w:r>
        <w:fldChar w:fldCharType="separate"/>
      </w:r>
      <w:r>
        <w:rPr>
          <w:rFonts w:ascii="仿宋" w:hAnsi="仿宋" w:eastAsia="仿宋" w:cstheme="minorBidi"/>
          <w:sz w:val="32"/>
          <w:szCs w:val="32"/>
          <w:lang w:val="en-US" w:eastAsia="zh-CN" w:bidi="ar-SA"/>
        </w:rPr>
        <w:t xml:space="preserve">第一章  投标邀请</w:t>
      </w:r>
      <w:r>
        <w:rPr>
          <w:rFonts w:hint="eastAsia" w:ascii="Arial" w:hAnsi="Arial" w:eastAsia="仿宋" w:cs="Arial"/>
          <w:sz w:val="32"/>
          <w:szCs w:val="32"/>
          <w:lang w:val="en-US" w:eastAsia="zh-CN" w:bidi="ar-SA"/>
        </w:rPr>
        <w:tab/>
      </w:r>
      <w:r>
        <w:rPr>
          <w:rFonts w:hint="eastAsia"/>
          <w:color w:val="000000"/>
          <w:sz w:val="32"/>
          <w:szCs w:val="32"/>
        </w:rPr>
        <w:fldChar w:fldCharType="end"/>
      </w:r>
      <w:r>
        <w:rPr>
          <w:rFonts w:hint="eastAsia"/>
          <w:color w:val="000000"/>
          <w:sz w:val="32"/>
          <w:szCs w:val="32"/>
          <w:lang w:val="en-US" w:eastAsia="zh-CN"/>
        </w:rPr>
        <w:t xml:space="preserve">2</w:t>
      </w:r>
      <w:r/>
    </w:p>
    <w:p>
      <w:pPr>
        <w:pStyle w:val="1030"/>
        <w:jc w:val="both"/>
        <w:keepLines w:val="0"/>
        <w:keepNext w:val="0"/>
        <w:pageBreakBefore w:val="0"/>
        <w:spacing w:line="560" w:lineRule="exact"/>
        <w:widowControl/>
        <w:tabs>
          <w:tab w:val="right" w:pos="8400" w:leader="dot"/>
          <w:tab w:val="right" w:pos="9978" w:leader="dot"/>
        </w:tabs>
        <w:rPr>
          <w:color w:val="000000"/>
          <w:sz w:val="32"/>
          <w:szCs w:val="32"/>
        </w:rPr>
      </w:pPr>
      <w:r>
        <w:fldChar w:fldCharType="begin"/>
      </w:r>
      <w:r>
        <w:instrText xml:space="preserve"> HYPERLINK \l "_Toc9065" </w:instrText>
      </w:r>
      <w:r>
        <w:fldChar w:fldCharType="separate"/>
      </w:r>
      <w:r>
        <w:rPr>
          <w:rFonts w:ascii="仿宋" w:hAnsi="仿宋" w:eastAsia="仿宋"/>
          <w:color w:val="000000"/>
          <w:sz w:val="32"/>
          <w:szCs w:val="32"/>
        </w:rPr>
        <w:t xml:space="preserve">第二章 </w:t>
      </w:r>
      <w:r>
        <w:rPr>
          <w:rFonts w:hint="eastAsia" w:ascii="仿宋" w:hAnsi="仿宋" w:eastAsia="仿宋"/>
          <w:color w:val="000000"/>
          <w:sz w:val="32"/>
          <w:szCs w:val="32"/>
        </w:rPr>
        <w:t xml:space="preserve"> </w:t>
      </w:r>
      <w:r>
        <w:rPr>
          <w:rFonts w:ascii="仿宋" w:hAnsi="仿宋" w:eastAsia="仿宋"/>
          <w:color w:val="000000"/>
          <w:sz w:val="32"/>
          <w:szCs w:val="32"/>
        </w:rPr>
        <w:t xml:space="preserve">投标人须知</w:t>
      </w:r>
      <w:r>
        <w:rPr>
          <w:color w:val="000000"/>
          <w:sz w:val="32"/>
          <w:szCs w:val="32"/>
        </w:rPr>
        <w:tab/>
      </w:r>
      <w:r>
        <w:rPr>
          <w:rFonts w:hint="eastAsia"/>
          <w:color w:val="000000"/>
          <w:sz w:val="32"/>
          <w:szCs w:val="32"/>
          <w:lang w:val="en-US" w:eastAsia="zh-CN"/>
        </w:rPr>
        <w:t xml:space="preserve">4</w:t>
      </w:r>
      <w:r>
        <w:rPr>
          <w:rFonts w:hint="eastAsia"/>
          <w:color w:val="000000"/>
          <w:sz w:val="32"/>
          <w:szCs w:val="32"/>
        </w:rPr>
        <w:fldChar w:fldCharType="end"/>
      </w:r>
      <w:r/>
    </w:p>
    <w:p>
      <w:pPr>
        <w:pStyle w:val="1030"/>
        <w:jc w:val="both"/>
        <w:keepLines w:val="0"/>
        <w:keepNext w:val="0"/>
        <w:pageBreakBefore w:val="0"/>
        <w:spacing w:line="560" w:lineRule="exact"/>
        <w:widowControl/>
        <w:tabs>
          <w:tab w:val="right" w:pos="8400" w:leader="dot"/>
          <w:tab w:val="right" w:pos="9978" w:leader="dot"/>
        </w:tabs>
        <w:rPr>
          <w:rFonts w:hint="eastAsia" w:eastAsia="宋体"/>
          <w:color w:val="000000"/>
          <w:sz w:val="32"/>
          <w:szCs w:val="32"/>
          <w:lang w:eastAsia="zh-CN"/>
        </w:rPr>
      </w:pPr>
      <w:r>
        <w:fldChar w:fldCharType="begin"/>
      </w:r>
      <w:r>
        <w:instrText xml:space="preserve"> HYPERLINK \l "_Toc25733" </w:instrText>
      </w:r>
      <w:r>
        <w:fldChar w:fldCharType="separate"/>
      </w:r>
      <w:r>
        <w:rPr>
          <w:rFonts w:ascii="仿宋" w:hAnsi="仿宋" w:eastAsia="仿宋"/>
          <w:color w:val="000000"/>
          <w:sz w:val="32"/>
          <w:szCs w:val="32"/>
        </w:rPr>
        <w:t xml:space="preserve">第三章  投标资料表</w:t>
      </w:r>
      <w:r>
        <w:rPr>
          <w:color w:val="000000"/>
          <w:sz w:val="32"/>
          <w:szCs w:val="32"/>
        </w:rPr>
        <w:tab/>
      </w:r>
      <w:r>
        <w:rPr>
          <w:rFonts w:hint="eastAsia"/>
          <w:color w:val="000000"/>
          <w:sz w:val="32"/>
          <w:szCs w:val="32"/>
        </w:rPr>
        <w:t xml:space="preserve">1</w:t>
      </w:r>
      <w:r>
        <w:rPr>
          <w:rFonts w:hint="eastAsia"/>
          <w:color w:val="000000"/>
          <w:sz w:val="32"/>
          <w:szCs w:val="32"/>
        </w:rPr>
        <w:fldChar w:fldCharType="end"/>
      </w:r>
      <w:r>
        <w:rPr>
          <w:rFonts w:hint="eastAsia"/>
          <w:color w:val="000000"/>
          <w:sz w:val="32"/>
          <w:szCs w:val="32"/>
          <w:lang w:val="en-US" w:eastAsia="zh-CN"/>
        </w:rPr>
        <w:t xml:space="preserve">8</w:t>
      </w:r>
      <w:r/>
    </w:p>
    <w:p>
      <w:pPr>
        <w:pStyle w:val="1030"/>
        <w:jc w:val="both"/>
        <w:keepLines w:val="0"/>
        <w:keepNext w:val="0"/>
        <w:pageBreakBefore w:val="0"/>
        <w:spacing w:line="560" w:lineRule="exact"/>
        <w:widowControl/>
        <w:tabs>
          <w:tab w:val="right" w:pos="8400" w:leader="dot"/>
          <w:tab w:val="right" w:pos="9978" w:leader="dot"/>
        </w:tabs>
        <w:rPr>
          <w:rFonts w:hint="eastAsia" w:eastAsia="宋体"/>
          <w:color w:val="000000"/>
          <w:sz w:val="32"/>
          <w:szCs w:val="32"/>
          <w:lang w:val="en-US" w:eastAsia="zh-CN"/>
        </w:rPr>
      </w:pPr>
      <w:r>
        <w:fldChar w:fldCharType="begin"/>
      </w:r>
      <w:r>
        <w:instrText xml:space="preserve"> HYPERLINK \l "_Toc18184" </w:instrText>
      </w:r>
      <w:r>
        <w:fldChar w:fldCharType="separate"/>
      </w:r>
      <w:r>
        <w:rPr>
          <w:rFonts w:ascii="仿宋" w:hAnsi="仿宋" w:eastAsia="仿宋"/>
          <w:color w:val="000000"/>
          <w:sz w:val="32"/>
          <w:szCs w:val="32"/>
        </w:rPr>
        <w:t xml:space="preserve">第四章  评标标准</w:t>
      </w:r>
      <w:r>
        <w:rPr>
          <w:color w:val="000000"/>
          <w:sz w:val="32"/>
          <w:szCs w:val="32"/>
        </w:rPr>
        <w:tab/>
      </w:r>
      <w:r>
        <w:rPr>
          <w:rFonts w:hint="eastAsia"/>
          <w:color w:val="000000"/>
          <w:sz w:val="32"/>
          <w:szCs w:val="32"/>
          <w:lang w:val="en-US" w:eastAsia="zh-CN"/>
        </w:rPr>
        <w:t xml:space="preserve">2</w:t>
      </w:r>
      <w:r>
        <w:rPr>
          <w:rFonts w:hint="eastAsia"/>
          <w:color w:val="000000"/>
          <w:sz w:val="32"/>
          <w:szCs w:val="32"/>
        </w:rPr>
        <w:fldChar w:fldCharType="end"/>
      </w:r>
      <w:r>
        <w:rPr>
          <w:rFonts w:hint="eastAsia"/>
          <w:color w:val="000000"/>
          <w:sz w:val="32"/>
          <w:szCs w:val="32"/>
          <w:lang w:val="en-US" w:eastAsia="zh-CN"/>
        </w:rPr>
        <w:t xml:space="preserve">7</w:t>
      </w:r>
      <w:r/>
    </w:p>
    <w:p>
      <w:pPr>
        <w:pStyle w:val="1030"/>
        <w:jc w:val="both"/>
        <w:keepLines w:val="0"/>
        <w:keepNext w:val="0"/>
        <w:pageBreakBefore w:val="0"/>
        <w:spacing w:line="560" w:lineRule="exact"/>
        <w:widowControl/>
        <w:tabs>
          <w:tab w:val="right" w:pos="8400" w:leader="dot"/>
          <w:tab w:val="right" w:pos="9978" w:leader="dot"/>
        </w:tabs>
        <w:rPr>
          <w:rFonts w:hint="eastAsia" w:eastAsia="宋体"/>
          <w:color w:val="000000"/>
          <w:sz w:val="32"/>
          <w:szCs w:val="32"/>
          <w:lang w:eastAsia="zh-CN"/>
        </w:rPr>
      </w:pPr>
      <w:r>
        <w:fldChar w:fldCharType="begin"/>
      </w:r>
      <w:r>
        <w:instrText xml:space="preserve"> HYPERLINK \l "_Toc22743" </w:instrText>
      </w:r>
      <w:r>
        <w:fldChar w:fldCharType="separate"/>
      </w:r>
      <w:r>
        <w:rPr>
          <w:rFonts w:ascii="仿宋" w:hAnsi="仿宋" w:eastAsia="仿宋"/>
          <w:color w:val="000000"/>
          <w:sz w:val="32"/>
          <w:szCs w:val="32"/>
        </w:rPr>
        <w:t xml:space="preserve">第五章  </w:t>
      </w:r>
      <w:r>
        <w:rPr>
          <w:rFonts w:hint="eastAsia" w:ascii="仿宋" w:hAnsi="仿宋" w:eastAsia="仿宋"/>
          <w:color w:val="000000"/>
          <w:sz w:val="32"/>
          <w:szCs w:val="32"/>
        </w:rPr>
        <w:t xml:space="preserve">购销合同模板</w:t>
      </w:r>
      <w:r>
        <w:rPr>
          <w:color w:val="000000"/>
          <w:sz w:val="32"/>
          <w:szCs w:val="32"/>
        </w:rPr>
        <w:tab/>
      </w:r>
      <w:r>
        <w:rPr>
          <w:rFonts w:hint="eastAsia"/>
          <w:color w:val="000000"/>
          <w:sz w:val="32"/>
          <w:szCs w:val="32"/>
          <w:lang w:val="en-US" w:eastAsia="zh-CN"/>
        </w:rPr>
        <w:t xml:space="preserve">3</w:t>
      </w:r>
      <w:r>
        <w:rPr>
          <w:rFonts w:hint="eastAsia"/>
          <w:color w:val="000000"/>
          <w:sz w:val="32"/>
          <w:szCs w:val="32"/>
        </w:rPr>
        <w:fldChar w:fldCharType="end"/>
      </w:r>
      <w:r>
        <w:rPr>
          <w:rFonts w:hint="eastAsia"/>
          <w:color w:val="000000"/>
          <w:sz w:val="32"/>
          <w:szCs w:val="32"/>
          <w:lang w:val="en-US" w:eastAsia="zh-CN"/>
        </w:rPr>
        <w:t xml:space="preserve">4</w:t>
      </w:r>
      <w:r/>
    </w:p>
    <w:p>
      <w:pPr>
        <w:pStyle w:val="1030"/>
        <w:jc w:val="both"/>
        <w:keepLines w:val="0"/>
        <w:keepNext w:val="0"/>
        <w:pageBreakBefore w:val="0"/>
        <w:spacing w:line="560" w:lineRule="exact"/>
        <w:widowControl/>
        <w:tabs>
          <w:tab w:val="right" w:pos="8400" w:leader="dot"/>
          <w:tab w:val="right" w:pos="9978" w:leader="dot"/>
        </w:tabs>
        <w:rPr>
          <w:rFonts w:hint="eastAsia" w:eastAsia="宋体"/>
          <w:color w:val="000000"/>
          <w:sz w:val="32"/>
          <w:szCs w:val="32"/>
          <w:lang w:val="en-US" w:eastAsia="zh-CN"/>
        </w:rPr>
      </w:pPr>
      <w:r>
        <w:fldChar w:fldCharType="begin"/>
      </w:r>
      <w:r>
        <w:instrText xml:space="preserve"> HYPERLINK \l "_Toc28374" </w:instrText>
      </w:r>
      <w:r>
        <w:fldChar w:fldCharType="separate"/>
      </w:r>
      <w:r>
        <w:rPr>
          <w:rFonts w:ascii="仿宋" w:hAnsi="仿宋" w:eastAsia="仿宋"/>
          <w:color w:val="000000"/>
          <w:sz w:val="32"/>
          <w:szCs w:val="32"/>
        </w:rPr>
        <w:t xml:space="preserve">第六章  采购需求</w:t>
      </w:r>
      <w:r>
        <w:rPr>
          <w:color w:val="000000"/>
          <w:sz w:val="32"/>
          <w:szCs w:val="32"/>
        </w:rPr>
        <w:tab/>
      </w:r>
      <w:r>
        <w:rPr>
          <w:rFonts w:hint="eastAsia"/>
          <w:color w:val="000000"/>
          <w:sz w:val="32"/>
          <w:szCs w:val="32"/>
          <w:lang w:val="en-US" w:eastAsia="zh-CN"/>
        </w:rPr>
        <w:t xml:space="preserve">4</w:t>
      </w:r>
      <w:r>
        <w:rPr>
          <w:rFonts w:hint="eastAsia"/>
          <w:color w:val="000000"/>
          <w:sz w:val="32"/>
          <w:szCs w:val="32"/>
        </w:rPr>
        <w:fldChar w:fldCharType="end"/>
      </w:r>
      <w:r>
        <w:rPr>
          <w:rFonts w:hint="eastAsia"/>
          <w:color w:val="000000"/>
          <w:sz w:val="32"/>
          <w:szCs w:val="32"/>
          <w:lang w:val="en-US" w:eastAsia="zh-CN"/>
        </w:rPr>
        <w:t xml:space="preserve">0</w:t>
      </w:r>
      <w:r/>
    </w:p>
    <w:p>
      <w:pPr>
        <w:pStyle w:val="1030"/>
        <w:jc w:val="both"/>
        <w:keepLines w:val="0"/>
        <w:keepNext w:val="0"/>
        <w:pageBreakBefore w:val="0"/>
        <w:spacing w:line="560" w:lineRule="exact"/>
        <w:widowControl/>
        <w:tabs>
          <w:tab w:val="right" w:pos="8400" w:leader="dot"/>
          <w:tab w:val="right" w:pos="9978" w:leader="dot"/>
        </w:tabs>
        <w:rPr>
          <w:color w:val="000000"/>
        </w:rPr>
      </w:pPr>
      <w:r>
        <w:fldChar w:fldCharType="begin"/>
      </w:r>
      <w:r>
        <w:instrText xml:space="preserve"> HYPERLINK \l "_Toc9289" </w:instrText>
      </w:r>
      <w:r>
        <w:fldChar w:fldCharType="separate"/>
      </w:r>
      <w:r>
        <w:rPr>
          <w:rFonts w:ascii="仿宋" w:hAnsi="仿宋" w:eastAsia="仿宋"/>
          <w:color w:val="000000"/>
          <w:sz w:val="32"/>
          <w:szCs w:val="32"/>
        </w:rPr>
        <w:t xml:space="preserve">第七章  投标文件相关格式</w:t>
      </w:r>
      <w:r>
        <w:rPr>
          <w:color w:val="000000"/>
          <w:sz w:val="32"/>
          <w:szCs w:val="32"/>
        </w:rPr>
        <w:tab/>
      </w:r>
      <w:r>
        <w:rPr>
          <w:rFonts w:hint="eastAsia"/>
          <w:color w:val="000000"/>
          <w:sz w:val="32"/>
          <w:szCs w:val="32"/>
          <w:lang w:val="en-US" w:eastAsia="zh-CN"/>
        </w:rPr>
        <w:t xml:space="preserve">4</w:t>
      </w:r>
      <w:r>
        <w:rPr>
          <w:rFonts w:hint="eastAsia"/>
          <w:color w:val="000000"/>
          <w:sz w:val="32"/>
          <w:szCs w:val="32"/>
        </w:rPr>
        <w:fldChar w:fldCharType="end"/>
      </w:r>
      <w:r>
        <w:rPr>
          <w:rFonts w:hint="eastAsia"/>
          <w:color w:val="000000"/>
          <w:sz w:val="32"/>
          <w:szCs w:val="32"/>
          <w:lang w:val="en-US" w:eastAsia="zh-CN"/>
        </w:rPr>
        <w:t xml:space="preserve">5</w:t>
      </w:r>
      <w:r/>
    </w:p>
    <w:p>
      <w:pPr>
        <w:pStyle w:val="916"/>
        <w:pageBreakBefore w:val="0"/>
        <w:spacing w:line="560" w:lineRule="exact"/>
        <w:rPr>
          <w:rFonts w:ascii="仿宋" w:hAnsi="仿宋" w:eastAsia="仿宋"/>
          <w:b/>
          <w:color w:val="000000"/>
          <w:sz w:val="44"/>
          <w:szCs w:val="44"/>
        </w:rPr>
      </w:pPr>
      <w:r>
        <w:rPr>
          <w:rFonts w:ascii="仿宋" w:hAnsi="仿宋" w:eastAsia="仿宋"/>
          <w:b/>
          <w:color w:val="000000"/>
          <w:sz w:val="44"/>
          <w:szCs w:val="44"/>
        </w:rPr>
      </w:r>
      <w:r/>
    </w:p>
    <w:p>
      <w:pPr>
        <w:pStyle w:val="916"/>
        <w:jc w:val="center"/>
        <w:pageBreakBefore w:val="0"/>
        <w:spacing w:line="560" w:lineRule="exact"/>
        <w:rPr>
          <w:rFonts w:ascii="仿宋" w:hAnsi="仿宋" w:eastAsia="仿宋"/>
          <w:b/>
          <w:color w:val="000000"/>
          <w:sz w:val="44"/>
          <w:szCs w:val="44"/>
        </w:rPr>
      </w:pPr>
      <w:r>
        <w:rPr>
          <w:rFonts w:ascii="仿宋" w:hAnsi="仿宋" w:eastAsia="仿宋"/>
          <w:b/>
          <w:color w:val="000000"/>
          <w:sz w:val="44"/>
          <w:szCs w:val="44"/>
        </w:rPr>
      </w:r>
      <w:r/>
    </w:p>
    <w:p>
      <w:pPr>
        <w:pStyle w:val="916"/>
        <w:jc w:val="both"/>
        <w:pageBreakBefore w:val="0"/>
        <w:spacing w:line="560" w:lineRule="exact"/>
        <w:rPr>
          <w:rFonts w:ascii="仿宋" w:hAnsi="仿宋" w:eastAsia="仿宋"/>
          <w:b/>
          <w:color w:val="000000"/>
          <w:sz w:val="32"/>
          <w:szCs w:val="32"/>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bookmarkStart w:id="0" w:name="_Toc2169"/>
      <w:r/>
      <w:bookmarkEnd w:id="0"/>
      <w:r/>
      <w:r/>
    </w:p>
    <w:p>
      <w:pPr>
        <w:pStyle w:val="916"/>
        <w:jc w:val="center"/>
        <w:pageBreakBefore w:val="0"/>
        <w:spacing w:line="560" w:lineRule="exact"/>
        <w:rPr>
          <w:rFonts w:hint="eastAsia" w:ascii="仿宋" w:hAnsi="仿宋" w:eastAsia="仿宋"/>
          <w:b/>
          <w:color w:val="000000"/>
          <w:sz w:val="32"/>
          <w:szCs w:val="32"/>
        </w:rPr>
      </w:pPr>
      <w:r/>
      <w:bookmarkStart w:id="1" w:name="_Toc13592"/>
      <w:r/>
      <w:bookmarkStart w:id="2" w:name="_Toc8477"/>
      <w:r>
        <w:rPr>
          <w:rFonts w:hint="eastAsia" w:ascii="仿宋" w:hAnsi="仿宋" w:eastAsia="仿宋"/>
          <w:b/>
          <w:color w:val="000000"/>
          <w:sz w:val="32"/>
          <w:szCs w:val="32"/>
        </w:rPr>
        <w:t xml:space="preserve">新沂市第三次全国土壤普查管理应用系统建设项目</w:t>
      </w:r>
      <w:r/>
    </w:p>
    <w:p>
      <w:pPr>
        <w:pStyle w:val="916"/>
        <w:jc w:val="center"/>
        <w:pageBreakBefore w:val="0"/>
        <w:spacing w:line="560" w:lineRule="exact"/>
        <w:rPr>
          <w:color w:val="000000"/>
        </w:rPr>
      </w:pPr>
      <w:r>
        <w:rPr>
          <w:rFonts w:ascii="仿宋" w:hAnsi="仿宋" w:eastAsia="仿宋"/>
          <w:b/>
          <w:color w:val="000000"/>
          <w:sz w:val="32"/>
          <w:szCs w:val="32"/>
        </w:rPr>
        <w:t xml:space="preserve">招标文件</w:t>
      </w:r>
      <w:bookmarkEnd w:id="1"/>
      <w:r/>
      <w:bookmarkEnd w:id="2"/>
      <w:r/>
      <w:r/>
    </w:p>
    <w:p>
      <w:pPr>
        <w:pStyle w:val="916"/>
        <w:ind w:firstLine="56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遵照政府采购法律法规、制度规定和采购人的采购需求、评标标准、评标办法，编制本项目招标文件。本项目招标文件共分七章：</w:t>
      </w:r>
      <w:r/>
    </w:p>
    <w:p>
      <w:pPr>
        <w:pStyle w:val="916"/>
        <w:ind w:firstLine="560"/>
        <w:pageBreakBefore w:val="0"/>
        <w:spacing w:line="560" w:lineRule="exact"/>
        <w:rPr>
          <w:rFonts w:ascii="仿宋" w:hAnsi="仿宋" w:eastAsia="仿宋"/>
          <w:color w:val="000000"/>
          <w:sz w:val="28"/>
          <w:szCs w:val="28"/>
        </w:rPr>
      </w:pPr>
      <w:r/>
      <w:bookmarkStart w:id="3" w:name="_Toc30737"/>
      <w:r/>
      <w:bookmarkStart w:id="4" w:name="_Toc1837"/>
      <w:r>
        <w:rPr>
          <w:rFonts w:ascii="仿宋" w:hAnsi="仿宋" w:eastAsia="仿宋"/>
          <w:color w:val="000000"/>
          <w:sz w:val="28"/>
          <w:szCs w:val="28"/>
        </w:rPr>
        <w:t xml:space="preserve">第一章，投标邀请; 第二章，投标人须知;第三章，投标资料表;</w:t>
      </w:r>
      <w:bookmarkEnd w:id="3"/>
      <w:r/>
      <w:bookmarkEnd w:id="4"/>
      <w:r/>
      <w:r/>
    </w:p>
    <w:p>
      <w:pPr>
        <w:pStyle w:val="916"/>
        <w:ind w:firstLine="56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第四章，评标标准; 第五章，拟签订的合同文本; </w:t>
      </w:r>
      <w:r/>
    </w:p>
    <w:p>
      <w:pPr>
        <w:pStyle w:val="916"/>
        <w:ind w:firstLine="560"/>
        <w:pageBreakBefore w:val="0"/>
        <w:spacing w:line="560" w:lineRule="exact"/>
        <w:rPr>
          <w:rFonts w:ascii="仿宋" w:hAnsi="仿宋" w:eastAsia="仿宋"/>
          <w:color w:val="000000"/>
          <w:sz w:val="32"/>
          <w:szCs w:val="32"/>
        </w:rPr>
      </w:pPr>
      <w:r>
        <w:rPr>
          <w:rFonts w:ascii="仿宋" w:hAnsi="仿宋" w:eastAsia="仿宋"/>
          <w:color w:val="000000"/>
          <w:sz w:val="28"/>
          <w:szCs w:val="28"/>
        </w:rPr>
        <w:t xml:space="preserve">第六章，采购需求;</w:t>
      </w:r>
      <w:bookmarkStart w:id="5" w:name="_Toc1330"/>
      <w:r/>
      <w:bookmarkStart w:id="6" w:name="_Toc10122"/>
      <w:r>
        <w:rPr>
          <w:rFonts w:ascii="仿宋" w:hAnsi="仿宋" w:eastAsia="仿宋"/>
          <w:color w:val="000000"/>
          <w:sz w:val="28"/>
          <w:szCs w:val="28"/>
        </w:rPr>
        <w:t xml:space="preserve">第七章，投标文件相关格式。</w:t>
      </w:r>
      <w:bookmarkEnd w:id="5"/>
      <w:r/>
      <w:bookmarkEnd w:id="6"/>
      <w:r/>
      <w:bookmarkStart w:id="7" w:name="_Toc4770"/>
      <w:r/>
      <w:bookmarkStart w:id="8" w:name="_Toc6801"/>
      <w:r/>
      <w:r/>
    </w:p>
    <w:p>
      <w:pPr>
        <w:pStyle w:val="1028"/>
        <w:pageBreakBefore w:val="0"/>
        <w:spacing w:line="560" w:lineRule="exact"/>
        <w:rPr>
          <w:rFonts w:ascii="仿宋" w:hAnsi="仿宋" w:eastAsia="仿宋"/>
          <w:color w:val="000000"/>
          <w:sz w:val="28"/>
          <w:szCs w:val="28"/>
        </w:rPr>
      </w:pPr>
      <w:r/>
      <w:bookmarkStart w:id="9" w:name="_Toc31219"/>
      <w:r/>
      <w:bookmarkStart w:id="10" w:name="_Toc32354"/>
      <w:r/>
      <w:bookmarkStart w:id="11" w:name="_Toc7241"/>
      <w:r/>
      <w:bookmarkStart w:id="12" w:name="_Toc7656"/>
      <w:r>
        <w:rPr>
          <w:rFonts w:ascii="仿宋" w:hAnsi="仿宋" w:eastAsia="仿宋"/>
          <w:color w:val="000000"/>
          <w:sz w:val="32"/>
          <w:szCs w:val="32"/>
        </w:rPr>
        <w:t xml:space="preserve">第一章  投标邀请</w:t>
      </w:r>
      <w:bookmarkEnd w:id="7"/>
      <w:r/>
      <w:bookmarkEnd w:id="8"/>
      <w:r/>
      <w:bookmarkEnd w:id="9"/>
      <w:r/>
      <w:bookmarkEnd w:id="10"/>
      <w:r/>
      <w:bookmarkEnd w:id="11"/>
      <w:r/>
      <w:bookmarkEnd w:id="12"/>
      <w:r/>
      <w:r/>
    </w:p>
    <w:p>
      <w:pPr>
        <w:pStyle w:val="916"/>
        <w:ind w:firstLine="600"/>
        <w:pageBreakBefore w:val="0"/>
        <w:spacing w:line="560" w:lineRule="exact"/>
        <w:rPr>
          <w:rFonts w:ascii="仿宋" w:hAnsi="仿宋" w:eastAsia="仿宋"/>
          <w:color w:val="000000"/>
          <w:sz w:val="28"/>
          <w:szCs w:val="28"/>
        </w:rPr>
      </w:pPr>
      <w:r>
        <w:rPr>
          <w:rFonts w:hint="eastAsia" w:ascii="仿宋" w:hAnsi="仿宋" w:eastAsia="仿宋"/>
          <w:color w:val="000000"/>
          <w:sz w:val="28"/>
          <w:szCs w:val="28"/>
          <w:u w:val="single"/>
        </w:rPr>
        <w:t xml:space="preserve">新沂市公共资源交易中心</w:t>
      </w:r>
      <w:r>
        <w:rPr>
          <w:rFonts w:ascii="仿宋" w:hAnsi="仿宋" w:eastAsia="仿宋"/>
          <w:color w:val="000000"/>
          <w:sz w:val="28"/>
          <w:szCs w:val="28"/>
        </w:rPr>
        <w:t xml:space="preserve">对</w:t>
      </w:r>
      <w:r>
        <w:rPr>
          <w:rFonts w:hint="eastAsia" w:ascii="仿宋" w:hAnsi="仿宋" w:eastAsia="仿宋"/>
          <w:color w:val="000000"/>
          <w:sz w:val="28"/>
          <w:szCs w:val="28"/>
          <w:u w:val="single"/>
        </w:rPr>
        <w:t xml:space="preserve">新沂市农业农村局</w:t>
      </w:r>
      <w:r>
        <w:rPr>
          <w:rFonts w:hint="eastAsia" w:ascii="仿宋" w:hAnsi="仿宋" w:eastAsia="仿宋"/>
          <w:color w:val="000000"/>
          <w:sz w:val="28"/>
          <w:szCs w:val="28"/>
        </w:rPr>
        <w:t xml:space="preserve">委托的</w:t>
      </w:r>
      <w:r>
        <w:rPr>
          <w:rFonts w:hint="eastAsia" w:ascii="仿宋" w:hAnsi="仿宋" w:eastAsia="仿宋"/>
          <w:color w:val="000000"/>
          <w:sz w:val="28"/>
          <w:szCs w:val="28"/>
          <w:u w:val="single"/>
        </w:rPr>
        <w:t xml:space="preserve">新沂市第三次全国土壤普查管理应用系统建设项目</w:t>
      </w:r>
      <w:r>
        <w:rPr>
          <w:rFonts w:ascii="仿宋" w:hAnsi="仿宋" w:eastAsia="仿宋"/>
          <w:color w:val="000000"/>
          <w:sz w:val="28"/>
          <w:szCs w:val="28"/>
        </w:rPr>
        <w:t xml:space="preserve">进行公开招标采购，现邀请符合相关条件的供应商投标。</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一、项目名称和项目编号</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(一)项目名称：</w:t>
      </w:r>
      <w:r>
        <w:rPr>
          <w:rFonts w:hint="eastAsia" w:ascii="仿宋" w:hAnsi="仿宋" w:eastAsia="仿宋"/>
          <w:color w:val="000000"/>
          <w:sz w:val="28"/>
          <w:szCs w:val="28"/>
        </w:rPr>
        <w:t xml:space="preserve">新沂市第三次全国土壤普查管理应用系统建设项目</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(二)项目编号：</w:t>
      </w:r>
      <w:r>
        <w:rPr>
          <w:rFonts w:hint="eastAsia" w:ascii="仿宋" w:hAnsi="仿宋" w:eastAsia="仿宋"/>
          <w:color w:val="000000"/>
          <w:sz w:val="28"/>
          <w:szCs w:val="28"/>
        </w:rPr>
        <w:t xml:space="preserve">JSZC-320381-XYZX-G2026-0003</w:t>
      </w:r>
      <w:r/>
    </w:p>
    <w:p>
      <w:pPr>
        <w:pStyle w:val="916"/>
        <w:ind w:firstLine="600"/>
        <w:pageBreakBefore w:val="0"/>
        <w:spacing w:line="560" w:lineRule="exact"/>
        <w:rPr>
          <w:rFonts w:hint="eastAsia" w:ascii="仿宋" w:hAnsi="仿宋" w:eastAsia="仿宋"/>
          <w:color w:val="000000"/>
          <w:sz w:val="28"/>
          <w:szCs w:val="28"/>
          <w:lang w:eastAsia="zh-CN"/>
        </w:rPr>
      </w:pPr>
      <w:r>
        <w:rPr>
          <w:rFonts w:ascii="仿宋" w:hAnsi="仿宋" w:eastAsia="仿宋"/>
          <w:color w:val="000000"/>
          <w:sz w:val="28"/>
          <w:szCs w:val="28"/>
        </w:rPr>
        <w:t xml:space="preserve">(</w:t>
      </w:r>
      <w:r>
        <w:rPr>
          <w:rFonts w:hint="eastAsia" w:ascii="仿宋" w:hAnsi="仿宋" w:eastAsia="仿宋"/>
          <w:color w:val="000000"/>
          <w:sz w:val="28"/>
          <w:szCs w:val="28"/>
        </w:rPr>
        <w:t xml:space="preserve">三</w:t>
      </w:r>
      <w:r>
        <w:rPr>
          <w:rFonts w:ascii="仿宋" w:hAnsi="仿宋" w:eastAsia="仿宋"/>
          <w:color w:val="000000"/>
          <w:sz w:val="28"/>
          <w:szCs w:val="28"/>
        </w:rPr>
        <w:t xml:space="preserve">)</w:t>
      </w:r>
      <w:r>
        <w:rPr>
          <w:rFonts w:hint="eastAsia" w:ascii="仿宋" w:hAnsi="仿宋" w:eastAsia="仿宋"/>
          <w:color w:val="000000"/>
          <w:sz w:val="28"/>
          <w:szCs w:val="28"/>
        </w:rPr>
        <w:t xml:space="preserve">项目预算：</w:t>
      </w:r>
      <w:r>
        <w:rPr>
          <w:rFonts w:hint="eastAsia" w:ascii="仿宋" w:hAnsi="仿宋" w:eastAsia="仿宋"/>
          <w:b/>
          <w:bCs/>
          <w:color w:val="000000"/>
          <w:sz w:val="28"/>
          <w:szCs w:val="28"/>
          <w:highlight w:val="none"/>
          <w:lang w:eastAsia="zh-CN"/>
        </w:rPr>
        <w:t xml:space="preserve">本项目预算21.8 万元，最高限价21.8 万元，</w:t>
      </w:r>
      <w:r>
        <w:rPr>
          <w:rFonts w:hint="eastAsia" w:ascii="仿宋" w:hAnsi="仿宋" w:eastAsia="仿宋"/>
          <w:b/>
          <w:bCs/>
          <w:color w:val="000000"/>
          <w:sz w:val="28"/>
          <w:szCs w:val="28"/>
          <w:highlight w:val="none"/>
        </w:rPr>
        <w:t xml:space="preserve">本项目不接受超过21.8 万元以上报价。</w:t>
      </w:r>
      <w:r/>
    </w:p>
    <w:p>
      <w:pPr>
        <w:pStyle w:val="916"/>
        <w:ind w:firstLine="600"/>
        <w:pageBreakBefore w:val="0"/>
        <w:spacing w:line="560" w:lineRule="exact"/>
        <w:rPr>
          <w:rFonts w:hint="eastAsia" w:ascii="仿宋" w:hAnsi="仿宋" w:eastAsia="仿宋"/>
          <w:b/>
          <w:bCs/>
          <w:color w:val="000000"/>
          <w:sz w:val="28"/>
          <w:szCs w:val="28"/>
        </w:rPr>
      </w:pPr>
      <w:r>
        <w:rPr>
          <w:rFonts w:ascii="仿宋" w:hAnsi="仿宋" w:eastAsia="仿宋"/>
          <w:color w:val="000000"/>
          <w:sz w:val="28"/>
          <w:szCs w:val="28"/>
        </w:rPr>
        <w:t xml:space="preserve">二、</w:t>
      </w:r>
      <w:r>
        <w:rPr>
          <w:rFonts w:hint="eastAsia" w:ascii="仿宋" w:hAnsi="仿宋" w:eastAsia="仿宋"/>
          <w:color w:val="000000"/>
          <w:sz w:val="28"/>
          <w:szCs w:val="28"/>
        </w:rPr>
        <w:t xml:space="preserve">项目简要说明</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对投标人的资格要求详见本项目公开招标公告。</w:t>
      </w:r>
      <w:r>
        <w:rPr>
          <w:rFonts w:hint="eastAsia" w:ascii="仿宋" w:hAnsi="仿宋" w:eastAsia="仿宋"/>
          <w:b/>
          <w:bCs/>
          <w:color w:val="000000"/>
          <w:sz w:val="28"/>
          <w:szCs w:val="28"/>
        </w:rPr>
        <w:t xml:space="preserve">采购第三次全国土壤普查管理应用系统，完成数据管理及应用平台功能清单，包括成果总览、样点分布图、土壤类型图、土壤物理属性图、土壤数据评价服务、土壤数据应用服务等方面。</w:t>
      </w:r>
      <w:r/>
    </w:p>
    <w:p>
      <w:pPr>
        <w:pStyle w:val="916"/>
        <w:ind w:firstLine="600"/>
        <w:pageBreakBefore w:val="0"/>
        <w:spacing w:line="560" w:lineRule="exact"/>
        <w:rPr>
          <w:rFonts w:ascii="仿宋" w:hAnsi="仿宋" w:eastAsia="仿宋"/>
          <w:b/>
          <w:bCs/>
          <w:color w:val="000000"/>
          <w:sz w:val="28"/>
          <w:szCs w:val="28"/>
        </w:rPr>
      </w:pPr>
      <w:r>
        <w:rPr>
          <w:rFonts w:ascii="仿宋" w:hAnsi="仿宋" w:eastAsia="仿宋"/>
          <w:b/>
          <w:bCs/>
          <w:color w:val="000000"/>
          <w:sz w:val="28"/>
          <w:szCs w:val="28"/>
        </w:rPr>
        <w:t xml:space="preserve">三、获取招标文件</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1.本项目采用网上注册登记方式。 潜在供应商访问电子招标投标交易平台的网络地址和方法：</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苏采云”系统用户注册--获取“CA数字证书”--CA绑定与登录--网上报名--下载采购文件（后缀名为“.kedt”）--将后缀名为“.kedt”的采购文件导入政府采购客户端工具--制作电子响应文件--导出加密的电子响应文件（后缀名为zip）--通过“苏采云”系统上传电子响应文件。具体见《江苏省政府采购管理交易系统（苏采云）供应商操作手册》。</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2.潜在供应商访问“苏采云”系统的网络地址和方法：</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“苏采云”系统的网址：http://jszfcg.jsczt.cn/；或进入徐州政府采购网（网址：http://czj.xz.gov.cn/Home/HomeIndex）--业务工作--用户登录，点击“苏采云”进入系统。</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3.“CA数字证书”的获取：</w:t>
      </w:r>
      <w:r/>
    </w:p>
    <w:p>
      <w:pPr>
        <w:pStyle w:val="916"/>
        <w:ind w:firstLine="560"/>
        <w:keepLines w:val="0"/>
        <w:keepNext w:val="0"/>
        <w:pageBreakBefore w:val="0"/>
        <w:spacing w:line="560" w:lineRule="exact"/>
        <w:widowControl w:val="off"/>
        <w:rPr>
          <w:rFonts w:ascii="仿宋" w:hAnsi="仿宋" w:eastAsia="仿宋"/>
          <w:color w:val="000000"/>
          <w:sz w:val="28"/>
          <w:szCs w:val="28"/>
        </w:rPr>
        <w:outlineLvl w:val="9"/>
      </w:pPr>
      <w:r>
        <w:rPr>
          <w:rFonts w:ascii="仿宋" w:hAnsi="仿宋" w:eastAsia="仿宋"/>
          <w:color w:val="000000"/>
          <w:sz w:val="28"/>
          <w:szCs w:val="28"/>
        </w:rPr>
        <w:t xml:space="preserve">供应商需办理CA锁，“苏采云”系统目前仅支持“苏采云”系统下的国信CA，省内各地区办理的“苏采云”系统下的国信CA全省通用。“CA数字证书”的办理方法详见“徐州政府采购网-业务工作-快速服务-下载专区”中《江苏省政府采购（供应商）国信CA数字证书及电子签章办理指南》。</w:t>
      </w:r>
      <w:r/>
    </w:p>
    <w:p>
      <w:pPr>
        <w:pStyle w:val="916"/>
        <w:numPr>
          <w:ilvl w:val="0"/>
          <w:numId w:val="0"/>
        </w:numPr>
        <w:ind w:firstLine="560"/>
        <w:keepLines w:val="0"/>
        <w:keepNext w:val="0"/>
        <w:pageBreakBefore w:val="0"/>
        <w:spacing w:line="560" w:lineRule="exact"/>
        <w:widowControl w:val="off"/>
        <w:rPr>
          <w:rFonts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4.</w:t>
      </w:r>
      <w:r>
        <w:rPr>
          <w:rFonts w:ascii="仿宋" w:hAnsi="仿宋" w:eastAsia="仿宋"/>
          <w:color w:val="000000"/>
          <w:sz w:val="28"/>
          <w:szCs w:val="28"/>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招标代理机构（采购代理机构）将数据电文形式的采购文件加载至“苏采云”系统，供潜在供应商下载或者查阅。</w:t>
      </w:r>
      <w:r/>
    </w:p>
    <w:p>
      <w:pPr>
        <w:pStyle w:val="916"/>
        <w:ind w:firstLine="84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lang w:val="en-US" w:eastAsia="zh-CN"/>
        </w:rPr>
        <w:t xml:space="preserve">5</w:t>
      </w:r>
      <w:r>
        <w:rPr>
          <w:rFonts w:ascii="仿宋" w:hAnsi="仿宋" w:eastAsia="仿宋"/>
          <w:color w:val="000000"/>
          <w:sz w:val="28"/>
          <w:szCs w:val="28"/>
        </w:rPr>
        <w:t xml:space="preserve">.苏采云系统使用谷歌浏览器参与不见面开标。</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售价：免费</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四、采购人</w:t>
      </w:r>
      <w:r/>
    </w:p>
    <w:p>
      <w:pPr>
        <w:ind w:firstLine="560"/>
        <w:pageBreakBefore w:val="0"/>
        <w:spacing w:line="560" w:lineRule="exact"/>
        <w:rPr>
          <w:rFonts w:ascii="宋体" w:hAnsi="宋体"/>
          <w:color w:val="000000"/>
          <w:sz w:val="24"/>
          <w:szCs w:val="24"/>
        </w:rPr>
      </w:pPr>
      <w:r>
        <w:rPr>
          <w:rFonts w:ascii="仿宋" w:hAnsi="仿宋" w:eastAsia="仿宋"/>
          <w:color w:val="000000"/>
          <w:sz w:val="28"/>
          <w:szCs w:val="28"/>
        </w:rPr>
        <w:t xml:space="preserve">（一）名称：</w:t>
      </w:r>
      <w:r>
        <w:rPr>
          <w:rFonts w:hint="eastAsia" w:ascii="仿宋" w:hAnsi="仿宋" w:eastAsia="仿宋"/>
          <w:color w:val="000000"/>
          <w:sz w:val="28"/>
          <w:szCs w:val="28"/>
        </w:rPr>
        <w:t xml:space="preserve">新沂市农业农村局  </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（二）地址：</w:t>
      </w:r>
      <w:r>
        <w:rPr>
          <w:rFonts w:hint="eastAsia" w:ascii="仿宋" w:hAnsi="仿宋" w:eastAsia="仿宋"/>
          <w:color w:val="000000"/>
          <w:sz w:val="28"/>
          <w:szCs w:val="28"/>
        </w:rPr>
        <w:t xml:space="preserve">江苏省新沂市钟吾路159号</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（三）采购项目联系人：</w:t>
      </w:r>
      <w:r>
        <w:rPr>
          <w:rFonts w:hint="eastAsia" w:ascii="仿宋" w:hAnsi="仿宋" w:eastAsia="仿宋"/>
          <w:color w:val="000000"/>
          <w:sz w:val="28"/>
          <w:szCs w:val="28"/>
        </w:rPr>
        <w:t xml:space="preserve">杨新永</w:t>
      </w:r>
      <w:r>
        <w:rPr>
          <w:rFonts w:ascii="仿宋" w:hAnsi="仿宋" w:eastAsia="仿宋"/>
          <w:color w:val="000000"/>
          <w:sz w:val="28"/>
          <w:szCs w:val="28"/>
        </w:rPr>
        <w:t xml:space="preserve"> ；联系电话：</w:t>
      </w:r>
      <w:r>
        <w:rPr>
          <w:rFonts w:hint="eastAsia" w:ascii="仿宋" w:hAnsi="仿宋" w:eastAsia="仿宋"/>
          <w:color w:val="000000"/>
          <w:sz w:val="28"/>
          <w:szCs w:val="28"/>
        </w:rPr>
        <w:t xml:space="preserve">15262021566</w:t>
      </w:r>
      <w:r/>
    </w:p>
    <w:p>
      <w:pPr>
        <w:pStyle w:val="916"/>
        <w:ind w:firstLine="600"/>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五</w:t>
      </w:r>
      <w:r>
        <w:rPr>
          <w:rFonts w:ascii="仿宋" w:hAnsi="仿宋" w:eastAsia="仿宋"/>
          <w:color w:val="000000"/>
          <w:sz w:val="28"/>
          <w:szCs w:val="28"/>
        </w:rPr>
        <w:t xml:space="preserve">、采购代理机构</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（一）名称：</w:t>
      </w:r>
      <w:r>
        <w:rPr>
          <w:rFonts w:hint="eastAsia" w:ascii="仿宋" w:hAnsi="仿宋" w:eastAsia="仿宋"/>
          <w:color w:val="000000"/>
          <w:sz w:val="28"/>
          <w:szCs w:val="28"/>
        </w:rPr>
        <w:t xml:space="preserve">新沂市公共资源交易中心</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（二）地址：新沂市钟吾南路1</w:t>
      </w:r>
      <w:r>
        <w:rPr>
          <w:rFonts w:hint="eastAsia" w:ascii="仿宋" w:hAnsi="仿宋" w:eastAsia="仿宋"/>
          <w:color w:val="000000"/>
          <w:sz w:val="28"/>
          <w:szCs w:val="28"/>
        </w:rPr>
        <w:t xml:space="preserve">7</w:t>
      </w:r>
      <w:r>
        <w:rPr>
          <w:rFonts w:ascii="仿宋" w:hAnsi="仿宋" w:eastAsia="仿宋"/>
          <w:color w:val="000000"/>
          <w:sz w:val="28"/>
          <w:szCs w:val="28"/>
        </w:rPr>
        <w:t xml:space="preserve">号</w:t>
      </w:r>
      <w:r>
        <w:rPr>
          <w:rFonts w:hint="eastAsia" w:ascii="仿宋" w:hAnsi="仿宋" w:eastAsia="仿宋"/>
          <w:color w:val="000000"/>
          <w:sz w:val="28"/>
          <w:szCs w:val="28"/>
        </w:rPr>
        <w:t xml:space="preserve">政务服务中心4楼</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（三）采购项目联系人：</w:t>
      </w:r>
      <w:r>
        <w:rPr>
          <w:rFonts w:hint="eastAsia" w:ascii="仿宋" w:hAnsi="仿宋" w:eastAsia="仿宋"/>
          <w:color w:val="000000"/>
          <w:sz w:val="28"/>
          <w:szCs w:val="28"/>
        </w:rPr>
        <w:t xml:space="preserve">沈苗苗 ；</w:t>
      </w:r>
      <w:r>
        <w:rPr>
          <w:rFonts w:ascii="仿宋" w:hAnsi="仿宋" w:eastAsia="仿宋"/>
          <w:color w:val="000000"/>
          <w:sz w:val="28"/>
          <w:szCs w:val="28"/>
        </w:rPr>
        <w:t xml:space="preserve">联系电话：0516-</w:t>
      </w:r>
      <w:r>
        <w:rPr>
          <w:rFonts w:hint="eastAsia" w:ascii="仿宋" w:hAnsi="仿宋" w:eastAsia="仿宋"/>
          <w:color w:val="000000"/>
          <w:sz w:val="28"/>
          <w:szCs w:val="28"/>
        </w:rPr>
        <w:t xml:space="preserve">88610655</w:t>
      </w:r>
      <w:r/>
    </w:p>
    <w:p>
      <w:pPr>
        <w:pStyle w:val="916"/>
        <w:pageBreakBefore w:val="0"/>
        <w:spacing w:line="560" w:lineRule="exact"/>
        <w:rPr>
          <w:color w:val="000000"/>
        </w:rPr>
      </w:pPr>
      <w:r/>
      <w:bookmarkStart w:id="13" w:name="_Toc522790131"/>
      <w:r/>
      <w:bookmarkStart w:id="14" w:name="_Toc349"/>
      <w:r/>
      <w:r/>
    </w:p>
    <w:p>
      <w:pPr>
        <w:pStyle w:val="1028"/>
        <w:pageBreakBefore w:val="0"/>
        <w:spacing w:line="560" w:lineRule="exact"/>
        <w:rPr>
          <w:rFonts w:ascii="仿宋" w:hAnsi="仿宋" w:eastAsia="仿宋"/>
          <w:color w:val="000000"/>
          <w:szCs w:val="30"/>
        </w:rPr>
      </w:pPr>
      <w:r/>
      <w:bookmarkStart w:id="15" w:name="_Toc2239"/>
      <w:r/>
      <w:bookmarkStart w:id="16" w:name="_Toc6589"/>
      <w:r/>
      <w:bookmarkStart w:id="17" w:name="_Toc8665"/>
      <w:r/>
      <w:bookmarkStart w:id="18" w:name="_Toc20446"/>
      <w:r/>
      <w:bookmarkStart w:id="19" w:name="_Toc25921"/>
      <w:r>
        <w:rPr>
          <w:rFonts w:ascii="仿宋" w:hAnsi="仿宋" w:eastAsia="仿宋"/>
          <w:color w:val="000000"/>
          <w:sz w:val="32"/>
          <w:szCs w:val="32"/>
        </w:rPr>
        <w:t xml:space="preserve">第二章  投标人须知</w:t>
      </w:r>
      <w:bookmarkEnd w:id="13"/>
      <w:r/>
      <w:bookmarkEnd w:id="14"/>
      <w:r/>
      <w:bookmarkEnd w:id="15"/>
      <w:r/>
      <w:bookmarkEnd w:id="16"/>
      <w:r/>
      <w:bookmarkEnd w:id="17"/>
      <w:r/>
      <w:bookmarkEnd w:id="18"/>
      <w:r/>
      <w:bookmarkEnd w:id="19"/>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一、总则</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（一）采购人。采购人即指依法进行政府采购的国家机关、事业单位和团体组织。</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（二）政府招标采购方式。政府采购货物或服务（以下简称“货物服务”）的招标方式，分为公开招标和邀请招标。</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（三）采购人在采购货物服务的招标投标活动中，应当贯彻落实“节约能源、保护环境、扶持不发达地区和少数民族地区和促进中小企业发展”等政府采购政策。</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（五）采购人委托采购代理机构代理招标的，采购代理机构必须在采购人委托的范围内依法开展采购活动。</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（六）投标人的资格条件：</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投标人是指响应招标、参加投标竞争的法人、其他组织或者自然人。</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2.投标人授权代表系指法定代表人或受法人委托的受托人。</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（七）投标费用：投标人应承担所有与准备和参加投标有关的费用。无论投标的结果如何，采购代理机构对上述费用不承担任何责任和义务。</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二、招标</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（八）招标文件应包括以下内容：</w:t>
      </w:r>
      <w:r/>
    </w:p>
    <w:p>
      <w:pPr>
        <w:pStyle w:val="916"/>
        <w:ind w:firstLine="600"/>
        <w:pageBreakBefore w:val="0"/>
        <w:spacing w:line="560" w:lineRule="exact"/>
        <w:rPr>
          <w:rFonts w:ascii="仿宋" w:hAnsi="仿宋" w:eastAsia="仿宋"/>
          <w:color w:val="000000"/>
          <w:sz w:val="28"/>
          <w:szCs w:val="28"/>
        </w:rPr>
      </w:pPr>
      <w:r/>
      <w:bookmarkStart w:id="20" w:name="_Toc31965"/>
      <w:r/>
      <w:bookmarkStart w:id="21" w:name="_Toc13990"/>
      <w:r>
        <w:rPr>
          <w:rFonts w:ascii="仿宋" w:hAnsi="仿宋" w:eastAsia="仿宋"/>
          <w:color w:val="000000"/>
          <w:sz w:val="28"/>
          <w:szCs w:val="28"/>
        </w:rPr>
        <w:t xml:space="preserve">第一章，投标邀请；</w:t>
      </w:r>
      <w:bookmarkEnd w:id="20"/>
      <w:r/>
      <w:bookmarkEnd w:id="21"/>
      <w:r/>
      <w:r/>
    </w:p>
    <w:p>
      <w:pPr>
        <w:pStyle w:val="916"/>
        <w:ind w:firstLine="600"/>
        <w:pageBreakBefore w:val="0"/>
        <w:spacing w:line="560" w:lineRule="exact"/>
        <w:rPr>
          <w:rFonts w:ascii="仿宋" w:hAnsi="仿宋" w:eastAsia="仿宋"/>
          <w:color w:val="000000"/>
          <w:sz w:val="28"/>
          <w:szCs w:val="28"/>
        </w:rPr>
      </w:pPr>
      <w:r/>
      <w:bookmarkStart w:id="22" w:name="_Toc9065"/>
      <w:r/>
      <w:bookmarkStart w:id="23" w:name="_Toc18377"/>
      <w:r>
        <w:rPr>
          <w:rFonts w:ascii="仿宋" w:hAnsi="仿宋" w:eastAsia="仿宋"/>
          <w:color w:val="000000"/>
          <w:sz w:val="28"/>
          <w:szCs w:val="28"/>
        </w:rPr>
        <w:t xml:space="preserve">第二章，投标人须知；</w:t>
      </w:r>
      <w:bookmarkEnd w:id="22"/>
      <w:r/>
      <w:bookmarkEnd w:id="23"/>
      <w:r/>
      <w:r/>
    </w:p>
    <w:p>
      <w:pPr>
        <w:pStyle w:val="916"/>
        <w:ind w:firstLine="600"/>
        <w:pageBreakBefore w:val="0"/>
        <w:spacing w:line="560" w:lineRule="exact"/>
        <w:rPr>
          <w:rFonts w:ascii="仿宋" w:hAnsi="仿宋" w:eastAsia="仿宋"/>
          <w:color w:val="000000"/>
          <w:sz w:val="28"/>
          <w:szCs w:val="28"/>
        </w:rPr>
      </w:pPr>
      <w:r/>
      <w:bookmarkStart w:id="24" w:name="_Toc9657"/>
      <w:r/>
      <w:bookmarkStart w:id="25" w:name="_Toc10856"/>
      <w:r>
        <w:rPr>
          <w:rFonts w:ascii="仿宋" w:hAnsi="仿宋" w:eastAsia="仿宋"/>
          <w:color w:val="000000"/>
          <w:sz w:val="28"/>
          <w:szCs w:val="28"/>
        </w:rPr>
        <w:t xml:space="preserve">第三章，投标资料表；</w:t>
      </w:r>
      <w:bookmarkEnd w:id="24"/>
      <w:r/>
      <w:bookmarkEnd w:id="25"/>
      <w:r/>
      <w:r/>
    </w:p>
    <w:p>
      <w:pPr>
        <w:pStyle w:val="916"/>
        <w:ind w:firstLine="600"/>
        <w:pageBreakBefore w:val="0"/>
        <w:spacing w:line="560" w:lineRule="exact"/>
        <w:rPr>
          <w:rFonts w:ascii="仿宋" w:hAnsi="仿宋" w:eastAsia="仿宋"/>
          <w:color w:val="000000"/>
          <w:sz w:val="28"/>
          <w:szCs w:val="28"/>
        </w:rPr>
      </w:pPr>
      <w:r/>
      <w:bookmarkStart w:id="26" w:name="_Toc15634"/>
      <w:r/>
      <w:bookmarkStart w:id="27" w:name="_Toc306"/>
      <w:r>
        <w:rPr>
          <w:rFonts w:ascii="仿宋" w:hAnsi="仿宋" w:eastAsia="仿宋"/>
          <w:color w:val="000000"/>
          <w:sz w:val="28"/>
          <w:szCs w:val="28"/>
        </w:rPr>
        <w:t xml:space="preserve">第四章，评标标准；</w:t>
      </w:r>
      <w:bookmarkEnd w:id="26"/>
      <w:r/>
      <w:bookmarkEnd w:id="27"/>
      <w:r/>
      <w:r/>
    </w:p>
    <w:p>
      <w:pPr>
        <w:pStyle w:val="916"/>
        <w:ind w:firstLine="600"/>
        <w:pageBreakBefore w:val="0"/>
        <w:spacing w:line="560" w:lineRule="exact"/>
        <w:rPr>
          <w:rFonts w:ascii="仿宋" w:hAnsi="仿宋" w:eastAsia="仿宋"/>
          <w:color w:val="000000"/>
          <w:sz w:val="28"/>
          <w:szCs w:val="28"/>
        </w:rPr>
      </w:pPr>
      <w:r/>
      <w:bookmarkStart w:id="28" w:name="_Toc29691"/>
      <w:r/>
      <w:bookmarkStart w:id="29" w:name="_Toc26225"/>
      <w:r>
        <w:rPr>
          <w:rFonts w:ascii="仿宋" w:hAnsi="仿宋" w:eastAsia="仿宋"/>
          <w:color w:val="000000"/>
          <w:sz w:val="28"/>
          <w:szCs w:val="28"/>
        </w:rPr>
        <w:t xml:space="preserve">第五章，拟签订的合同文本；</w:t>
      </w:r>
      <w:bookmarkEnd w:id="28"/>
      <w:r/>
      <w:bookmarkEnd w:id="29"/>
      <w:r/>
      <w:r/>
    </w:p>
    <w:p>
      <w:pPr>
        <w:pStyle w:val="916"/>
        <w:ind w:firstLine="600"/>
        <w:pageBreakBefore w:val="0"/>
        <w:spacing w:line="560" w:lineRule="exact"/>
        <w:rPr>
          <w:rFonts w:ascii="仿宋" w:hAnsi="仿宋" w:eastAsia="仿宋"/>
          <w:color w:val="000000"/>
          <w:sz w:val="28"/>
          <w:szCs w:val="28"/>
        </w:rPr>
      </w:pPr>
      <w:r/>
      <w:bookmarkStart w:id="30" w:name="_Toc13070"/>
      <w:r/>
      <w:bookmarkStart w:id="31" w:name="_Toc26388"/>
      <w:r>
        <w:rPr>
          <w:rFonts w:ascii="仿宋" w:hAnsi="仿宋" w:eastAsia="仿宋"/>
          <w:color w:val="000000"/>
          <w:sz w:val="28"/>
          <w:szCs w:val="28"/>
        </w:rPr>
        <w:t xml:space="preserve">第六章，采购需求；</w:t>
      </w:r>
      <w:bookmarkEnd w:id="30"/>
      <w:r/>
      <w:bookmarkEnd w:id="31"/>
      <w:r/>
      <w:r/>
    </w:p>
    <w:p>
      <w:pPr>
        <w:pStyle w:val="916"/>
        <w:ind w:firstLine="600"/>
        <w:pageBreakBefore w:val="0"/>
        <w:spacing w:line="560" w:lineRule="exact"/>
        <w:rPr>
          <w:rFonts w:ascii="仿宋" w:hAnsi="仿宋" w:eastAsia="仿宋"/>
          <w:color w:val="000000"/>
          <w:sz w:val="28"/>
          <w:szCs w:val="28"/>
        </w:rPr>
      </w:pPr>
      <w:r/>
      <w:bookmarkStart w:id="32" w:name="_Toc27801"/>
      <w:r/>
      <w:bookmarkStart w:id="33" w:name="_Toc23100"/>
      <w:r>
        <w:rPr>
          <w:rFonts w:ascii="仿宋" w:hAnsi="仿宋" w:eastAsia="仿宋"/>
          <w:color w:val="000000"/>
          <w:sz w:val="28"/>
          <w:szCs w:val="28"/>
        </w:rPr>
        <w:t xml:space="preserve">第七章，投标文件相关格式。</w:t>
      </w:r>
      <w:bookmarkEnd w:id="32"/>
      <w:r/>
      <w:bookmarkEnd w:id="33"/>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（九）招标文件澄清或者修改：</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2.现场考察以本文件第三章《投标资料表》中的要求为准。</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3.开标前答疑会以本文件第三章《投标资料表》中的要求为准。</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三、投标</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（十）投标人应当按照招标文件的要求编制投标文件。投标文件应对招标文件提出的要求和条件作出实质性响应。</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（十一）投标文件的语言。投标文件以及投标人与采购代理机构就有关投标的往来函电均应使用本文件第三章《投标资料表》规定的语言书写，否则无效。</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（十二）投标文件的构成：</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1.投标文件的构成以本文件第三章《投标资料表》中的要求为准。</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2.投标人应当提交的资格、资信证明文件，以本文件第三章《投标资料表》中的所提要求为准。</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（十三）</w:t>
      </w:r>
      <w:r>
        <w:rPr>
          <w:rFonts w:hint="eastAsia" w:ascii="仿宋" w:hAnsi="仿宋" w:eastAsia="仿宋"/>
          <w:color w:val="000000"/>
          <w:sz w:val="28"/>
          <w:szCs w:val="28"/>
        </w:rPr>
        <w:t xml:space="preserve">承诺</w:t>
      </w:r>
      <w:r>
        <w:rPr>
          <w:rFonts w:ascii="仿宋" w:hAnsi="仿宋" w:eastAsia="仿宋"/>
          <w:color w:val="000000"/>
          <w:sz w:val="28"/>
          <w:szCs w:val="28"/>
        </w:rPr>
        <w:t xml:space="preserve">函和价格表、商务条件、交货和提供服务的时间：</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承诺</w:t>
      </w:r>
      <w:r>
        <w:rPr>
          <w:rFonts w:ascii="仿宋" w:hAnsi="仿宋" w:eastAsia="仿宋"/>
          <w:color w:val="000000"/>
          <w:sz w:val="28"/>
          <w:szCs w:val="28"/>
        </w:rPr>
        <w:t xml:space="preserve">函和价格表的要求见本章（十二）、（十三），格式见本文件第七章《投标文件相关格式》中《</w:t>
      </w:r>
      <w:r>
        <w:rPr>
          <w:rFonts w:hint="eastAsia" w:ascii="仿宋" w:hAnsi="仿宋" w:eastAsia="仿宋"/>
          <w:color w:val="000000"/>
          <w:sz w:val="28"/>
          <w:szCs w:val="28"/>
        </w:rPr>
        <w:t xml:space="preserve">承诺</w:t>
      </w:r>
      <w:r>
        <w:rPr>
          <w:rFonts w:ascii="仿宋" w:hAnsi="仿宋" w:eastAsia="仿宋"/>
          <w:color w:val="000000"/>
          <w:sz w:val="28"/>
          <w:szCs w:val="28"/>
        </w:rPr>
        <w:t xml:space="preserve">函》和《开标一览表》。</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2.商务条件以本文件第三章《投标资料表》中的要求为准。</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3.交货和提供服务的时间，以本文件第三章《投标资料表》中所提要求为准。</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（十四）投标报价要求：</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1.投标人应按照招标文件的要求报出分项价格（如有）和总价。</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2.投标人应按照招标文件的要求进行报价，如投标人作出偏离，应在《偏离表》中列出。</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3.采购人不支付报价以外的任何费用。</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4.投标人所报的价格，在合同执行过程中是固定的，不得以任何理由予以变更。投标人提交滑动价格的投标文件，在资格性、符合性检查时按照无效投标处理。</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5.投标人只能提交一个投标价格，投标人提交多个价格的投标文件，在资格性、符合性检查时按照无效投标处理。</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（十五）投标货币。以本文件第三章《投标资料表》中所提要求为准。</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（十六）投标有效期：</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1.投标有效期为开标之日后90天。采购人可以要求对投标有效期延长一次，但该延长期最长不得超过30天。</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3.如果采购人发出要求延长投标有效期的通知，并在投标有效期届满前，没有收到投标人同意的书面通知，则视为该投标人不接受上述延期的要求。</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（十七）投标文件的编制要求和签署要求：</w:t>
      </w:r>
      <w:r/>
    </w:p>
    <w:p>
      <w:pPr>
        <w:pStyle w:val="916"/>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（1）电子招标投标交易平台（即“苏采云”系统）相关要求是本招标文件的组成部分。</w:t>
      </w:r>
      <w:r/>
    </w:p>
    <w:p>
      <w:pPr>
        <w:pStyle w:val="916"/>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（2）投标人应对 CA 证书妥善保管，如被他人盗用投标，因此带来的结果均由投标人自行承担。</w:t>
      </w:r>
      <w:r/>
    </w:p>
    <w:p>
      <w:pPr>
        <w:pStyle w:val="916"/>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（3）投标人应当对招标文件提出的要求和条件作出实质性响应，并在电子投标系统逐条应答。</w:t>
      </w:r>
      <w:r/>
    </w:p>
    <w:p>
      <w:pPr>
        <w:pStyle w:val="916"/>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（4）投标人应对要求提供的资格证明文件（如资质证书、资格证书）、技术资料（如白皮书、彩页、手册、检测报告等）扫描上传至投标系统。</w:t>
      </w:r>
      <w:r/>
    </w:p>
    <w:p>
      <w:pPr>
        <w:pStyle w:val="916"/>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（5）投标人应在投标截止时间前，将电子投标文件上传至投标系统。</w:t>
      </w:r>
      <w:r/>
    </w:p>
    <w:p>
      <w:pPr>
        <w:pStyle w:val="916"/>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（十八）投标文件的要求：</w:t>
      </w:r>
      <w:r/>
    </w:p>
    <w:p>
      <w:pPr>
        <w:pStyle w:val="916"/>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1.投标人未在规定时间内解密电子投标文件的，所导致的一切后果均由投标人承担。</w:t>
      </w:r>
      <w:r/>
    </w:p>
    <w:p>
      <w:pPr>
        <w:pStyle w:val="916"/>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2.投标文件的盖章要求，以本文件第三章《投标资料表》中所提要求为准。</w:t>
      </w:r>
      <w:r/>
    </w:p>
    <w:p>
      <w:pPr>
        <w:pStyle w:val="916"/>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（十九）提交投标文件的注意事项。投标人应在招标文件要求的提交投标文件的截止时间前，将电子投标文件上传系统。</w:t>
      </w:r>
      <w:r/>
    </w:p>
    <w:p>
      <w:pPr>
        <w:pStyle w:val="916"/>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（二十）凡在招标文件要求提交投标文件的截止时间之后上传的投标文件，均为无效投标文件。在规定时间内各投标人凭CA锁进行网上解密。</w:t>
      </w:r>
      <w:r/>
    </w:p>
    <w:p>
      <w:pPr>
        <w:pStyle w:val="916"/>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（二十一）投标人在投标截止时间前，可以对所递交的投标文件进行补充、修改或者撤回。</w:t>
      </w:r>
      <w:r/>
    </w:p>
    <w:p>
      <w:pPr>
        <w:pStyle w:val="916"/>
        <w:ind w:firstLine="600"/>
        <w:pageBreakBefore w:val="0"/>
        <w:spacing w:line="560" w:lineRule="exact"/>
        <w:shd w:val="clear" w:color="auto" w:fill="ffffff"/>
        <w:rPr>
          <w:rFonts w:ascii="仿宋" w:hAnsi="仿宋" w:eastAsia="仿宋"/>
          <w:color w:val="000000"/>
          <w:sz w:val="28"/>
          <w:szCs w:val="28"/>
        </w:rPr>
      </w:pPr>
      <w:r>
        <w:rPr>
          <w:rFonts w:ascii="仿宋" w:hAnsi="仿宋" w:eastAsia="仿宋"/>
          <w:color w:val="000000"/>
          <w:sz w:val="28"/>
          <w:szCs w:val="28"/>
        </w:rPr>
        <w:t xml:space="preserve">（二十二）投标人应当遵循公平竞争的原则，不得恶意串通，不得妨碍其他投标人的竞争行为，不得损害采购人或者其他投标人的合法权益。</w:t>
      </w:r>
      <w:r/>
    </w:p>
    <w:p>
      <w:pPr>
        <w:pStyle w:val="916"/>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在评标过程中发现投标人有上述情形的，评标委员会应当认定其投标无效，并书面报告本级财政部门。</w:t>
      </w:r>
      <w:r/>
    </w:p>
    <w:p>
      <w:pPr>
        <w:pStyle w:val="916"/>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（二十三）有下列情形之一的，其投标无效。</w:t>
      </w:r>
      <w:r/>
    </w:p>
    <w:p>
      <w:pPr>
        <w:pStyle w:val="916"/>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1.不同投标人的投标文件，由同一单位或者个人编制；</w:t>
      </w:r>
      <w:r/>
    </w:p>
    <w:p>
      <w:pPr>
        <w:pStyle w:val="916"/>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2.不同投标人委托同一单位或者个人办理投标事宜；</w:t>
      </w:r>
      <w:r/>
    </w:p>
    <w:p>
      <w:pPr>
        <w:pStyle w:val="916"/>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3.不同投标人的投标文件中，所载明的项目管理成员或联系人为同一人；</w:t>
      </w:r>
      <w:r/>
    </w:p>
    <w:p>
      <w:pPr>
        <w:pStyle w:val="916"/>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4.不同投标人的投标文件，异常一致或者投标报价呈规律性差异；</w:t>
      </w:r>
      <w:r/>
    </w:p>
    <w:p>
      <w:pPr>
        <w:pStyle w:val="916"/>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5.不同投标人投标文件内容存在非正常一致、项目组成员出现同一人、投标文件中错误（ 或异常）一致或雷同、电子文档信息一致或雷同的、投标报价呈规律性差异的；</w:t>
      </w:r>
      <w:r/>
    </w:p>
    <w:p>
      <w:pPr>
        <w:pStyle w:val="916"/>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6.电子投标文件未按招标文件要求签章的；</w:t>
      </w:r>
      <w:r/>
    </w:p>
    <w:p>
      <w:pPr>
        <w:pStyle w:val="916"/>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7.投标人未在规定时间内解密电子投标文件的；</w:t>
      </w:r>
      <w:r/>
    </w:p>
    <w:p>
      <w:pPr>
        <w:pStyle w:val="916"/>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8.投标文件未按招标文件规定的内容和要求填写的；没有在投标系统指定位置上传对应文件、材料的。</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9.不具备招标文件中规定的资格要求的；</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10.报价超过招标文件中规定的预算金额或者最高限价的；</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11.投标文件含有采购人不能接受的附加条件的；</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12.法律、法规和招标文件规定的其他无效情形。</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四、开标</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（二十四）开标：</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1.开标时间及地点。开标应当在招标文件确定的提交投标文件截止时间的同一时间公开进行；开标地点应当为招标文件中预先确定的地点。</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2.开标由采购代理机构主持，邀请投标人参加。</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3.所有投标单位在到达开标时间时，用CA 证书解密各自投标文件，由工作人员操作系统进行开标。</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4.投标人代表对开标过程和开标记录有疑义的，或者认为采购人、采购代理机构相关工作人员有需要回避情形的，应当场提出询问或者提出回避申请。</w:t>
      </w:r>
      <w:r/>
    </w:p>
    <w:p>
      <w:pPr>
        <w:pStyle w:val="916"/>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投标人未参加开标的，视同认可开标结果。</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五、评标</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（二十五）公开招标采购项目开标结束后，采购人依法对投标人的资格进行审查。</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1.评标工作由采购代理机构负责组织，并履行下列职责：</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（1）核对评审专家身份和采购人代表授权函，对评审专家在政府采购活动中的职责履行情况予以记录，并及时将有关违法违规行为向财政部门报告；</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（2）宣布评标纪律；</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（3）公布投标人名单，告知评审专家应当回避的情形；</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（4）组织评标委员会推选评标组长（采购人代表不得担任组长）；</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（5）在评标期间采取必要的通讯管理措施，保证评标活动不受外界干扰；</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（6）根据评标委员会的要求介绍政府采购相关政策法规、招标文件；</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（8）核对评标结果，对有《</w:t>
      </w:r>
      <w:r>
        <w:fldChar w:fldCharType="begin"/>
      </w:r>
      <w:r>
        <w:instrText xml:space="preserve"> HYPERLINK "http://www.caigou2003.com/" \t "_blank" </w:instrText>
      </w:r>
      <w:r>
        <w:fldChar w:fldCharType="separate"/>
      </w:r>
      <w:r>
        <w:rPr>
          <w:rFonts w:ascii="仿宋" w:hAnsi="仿宋" w:eastAsia="仿宋"/>
          <w:color w:val="000000"/>
          <w:sz w:val="28"/>
          <w:szCs w:val="28"/>
        </w:rPr>
        <w:t xml:space="preserve">政府采购</w:t>
      </w:r>
      <w:r>
        <w:rPr>
          <w:rFonts w:ascii="仿宋" w:hAnsi="仿宋" w:eastAsia="仿宋"/>
          <w:color w:val="000000"/>
          <w:sz w:val="28"/>
          <w:szCs w:val="28"/>
        </w:rPr>
        <w:fldChar w:fldCharType="end"/>
      </w:r>
      <w:r>
        <w:rPr>
          <w:rFonts w:ascii="仿宋" w:hAnsi="仿宋" w:eastAsia="仿宋"/>
          <w:color w:val="000000"/>
          <w:sz w:val="28"/>
          <w:szCs w:val="28"/>
        </w:rPr>
        <w:t xml:space="preserve">货物和服务招标投标管理办法》第六十四条规定情形的，应要求评标委员会复核或者书面说明理由，评标委员会拒绝的，应予记录并向本级财政部门报告；</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（9）评审工作完成后，按照规定向评审专家支付劳务报酬和异地评审差旅费，不得向评审专家以外的其他人员支付评审劳务报酬； </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（10）处理与评标有关的其他事项。</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2.评标委员会负责具体评标事务，并独立履行下列职责：</w:t>
      </w:r>
      <w:r/>
    </w:p>
    <w:p>
      <w:pPr>
        <w:pStyle w:val="916"/>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（1）审查、评价投标文件是否符合招标文件的商务、技术等实质性要求；</w:t>
      </w:r>
      <w:r/>
    </w:p>
    <w:p>
      <w:pPr>
        <w:pStyle w:val="916"/>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（2）要求投标人对投标文件有关事项作出澄清或者说明；</w:t>
      </w:r>
      <w:r/>
    </w:p>
    <w:p>
      <w:pPr>
        <w:pStyle w:val="916"/>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（3）对投标文件进行比较和评价；</w:t>
      </w:r>
      <w:r/>
    </w:p>
    <w:p>
      <w:pPr>
        <w:pStyle w:val="916"/>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（4）确定中标候选人名单，以及根据采购人委托直接确定中标人；</w:t>
      </w:r>
      <w:r/>
    </w:p>
    <w:p>
      <w:pPr>
        <w:pStyle w:val="916"/>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（5）向采购人、采购代理机构或有关部门报告评标中发现的违法行为。</w:t>
      </w:r>
      <w:r/>
    </w:p>
    <w:p>
      <w:pPr>
        <w:pStyle w:val="916"/>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（二十六）评标方法分为最低评标价法和综合评分法。</w:t>
      </w:r>
      <w:r/>
    </w:p>
    <w:p>
      <w:pPr>
        <w:pStyle w:val="916"/>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（二十七）评标</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1.评标工作程序：</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（1）投标文件初审。</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①资格性审查。</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②符合性审查。</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（2）澄清有关问题。</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（3）比较与评价。</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（4）推荐中标候选供应商名单。</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（5）编写评审报告（评标报告）。</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2.在评标中，不得改变招标文件中规定的评标标准、方法和中标条件。评标委员会对投标文件响应性的判定，要基于投标文件本身的内容，而不得寻求外部的证据。</w:t>
      </w:r>
      <w:r/>
    </w:p>
    <w:p>
      <w:pPr>
        <w:pStyle w:val="916"/>
        <w:ind w:firstLine="600"/>
        <w:pageBreakBefore w:val="0"/>
        <w:spacing w:line="560" w:lineRule="exact"/>
        <w:shd w:val="clear" w:color="auto" w:fill="ffffff"/>
        <w:rPr>
          <w:rFonts w:ascii="仿宋" w:hAnsi="仿宋" w:eastAsia="仿宋"/>
          <w:color w:val="000000"/>
          <w:sz w:val="28"/>
          <w:szCs w:val="28"/>
        </w:rPr>
      </w:pPr>
      <w:r>
        <w:rPr>
          <w:rFonts w:ascii="仿宋" w:hAnsi="仿宋" w:eastAsia="仿宋"/>
          <w:color w:val="000000"/>
          <w:sz w:val="28"/>
          <w:szCs w:val="28"/>
        </w:rPr>
        <w:t xml:space="preserve">3.3.采用</w:t>
      </w:r>
      <w:r>
        <w:fldChar w:fldCharType="begin"/>
      </w:r>
      <w:r>
        <w:instrText xml:space="preserve"> HYPERLINK "http://lilun.caigou2003.com/recijiedu/2365668.html" \t "_blank" </w:instrText>
      </w:r>
      <w:r>
        <w:fldChar w:fldCharType="separate"/>
      </w:r>
      <w:r>
        <w:rPr>
          <w:rFonts w:ascii="仿宋" w:hAnsi="仿宋" w:eastAsia="仿宋"/>
          <w:color w:val="000000"/>
          <w:sz w:val="28"/>
          <w:szCs w:val="28"/>
        </w:rPr>
        <w:t xml:space="preserve">最低评标价法</w:t>
      </w:r>
      <w:r>
        <w:rPr>
          <w:rFonts w:ascii="仿宋" w:hAnsi="仿宋" w:eastAsia="仿宋"/>
          <w:color w:val="000000"/>
          <w:sz w:val="28"/>
          <w:szCs w:val="28"/>
        </w:rPr>
        <w:fldChar w:fldCharType="end"/>
      </w:r>
      <w:r>
        <w:rPr>
          <w:rFonts w:ascii="仿宋" w:hAnsi="仿宋" w:eastAsia="仿宋"/>
          <w:color w:val="000000"/>
          <w:sz w:val="28"/>
          <w:szCs w:val="28"/>
        </w:rPr>
        <w:t xml:space="preserve">的采购项目，是指投标文件满足招标文件全部实质性要求，且投标报价最低的投标人为中标候选人的评标方法。</w:t>
      </w:r>
      <w:r/>
    </w:p>
    <w:p>
      <w:pPr>
        <w:pStyle w:val="916"/>
        <w:ind w:firstLine="600"/>
        <w:pageBreakBefore w:val="0"/>
        <w:spacing w:line="560" w:lineRule="exact"/>
        <w:shd w:val="clear" w:color="auto" w:fill="ffffff"/>
        <w:rPr>
          <w:rFonts w:ascii="仿宋" w:hAnsi="仿宋" w:eastAsia="仿宋"/>
          <w:color w:val="000000"/>
          <w:sz w:val="28"/>
          <w:szCs w:val="28"/>
        </w:rPr>
      </w:pPr>
      <w:r>
        <w:rPr>
          <w:rFonts w:ascii="仿宋" w:hAnsi="仿宋" w:eastAsia="仿宋"/>
          <w:color w:val="000000"/>
          <w:sz w:val="28"/>
          <w:szCs w:val="28"/>
        </w:rPr>
        <w:t xml:space="preserve">采用</w:t>
      </w:r>
      <w:r>
        <w:fldChar w:fldCharType="begin"/>
      </w:r>
      <w:r>
        <w:instrText xml:space="preserve"> HYPERLINK "http://lilun.caigou2003.com/recijiedu/2365667.html" \t "_blank" </w:instrText>
      </w:r>
      <w:r>
        <w:fldChar w:fldCharType="separate"/>
      </w:r>
      <w:r>
        <w:rPr>
          <w:rFonts w:ascii="仿宋" w:hAnsi="仿宋" w:eastAsia="仿宋"/>
          <w:color w:val="000000"/>
          <w:sz w:val="28"/>
          <w:szCs w:val="28"/>
        </w:rPr>
        <w:t xml:space="preserve">综合评分法</w:t>
      </w:r>
      <w:r>
        <w:rPr>
          <w:rFonts w:ascii="仿宋" w:hAnsi="仿宋" w:eastAsia="仿宋"/>
          <w:color w:val="000000"/>
          <w:sz w:val="28"/>
          <w:szCs w:val="28"/>
        </w:rPr>
        <w:fldChar w:fldCharType="end"/>
      </w:r>
      <w:r>
        <w:rPr>
          <w:rFonts w:ascii="仿宋" w:hAnsi="仿宋" w:eastAsia="仿宋"/>
          <w:color w:val="000000"/>
          <w:sz w:val="28"/>
          <w:szCs w:val="28"/>
        </w:rPr>
        <w:t xml:space="preserve">的采购项目，是指投标文件满足招标文件全部实质性要求，且按照评审因素的量化指标评审得分最高的投标人为中标候选人的评标方法</w:t>
      </w:r>
      <w:r>
        <w:rPr>
          <w:rFonts w:hint="eastAsia" w:ascii="仿宋" w:hAnsi="仿宋" w:eastAsia="仿宋"/>
          <w:color w:val="000000"/>
          <w:sz w:val="28"/>
          <w:szCs w:val="28"/>
        </w:rPr>
        <w:t xml:space="preserve">。</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（二十八）投标文件报价出现前后不一致的，按照下列规定修正：</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1.投标文件中开标一览表（报价表）内容与投标文件中相应内容不一致的，以开标一览表（报价表）为准；</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2.大写金额和小写金额不一致的，以大写金额为准；</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3.单价金额小数点或者百分比有明显错位的，以开标一览表的总价为准，并修改单价；</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4.总价金额与按单价合计金额不一致的，以单价金额计算结果为准。</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投标人的澄清、说明或者补正应当采用书面形式，并加盖电子签章，或者由法定代表人或其授权的代表签字。投标人的澄清、说明或者补正不得超出投标文件的范围或者改变投标文件的实质性内容。</w:t>
      </w:r>
      <w:r/>
    </w:p>
    <w:p>
      <w:pPr>
        <w:pStyle w:val="878"/>
        <w:ind w:left="0" w:right="0" w:firstLine="600"/>
        <w:keepLines w:val="0"/>
        <w:keepNext w:val="0"/>
        <w:pageBreakBefore w:val="0"/>
        <w:spacing w:before="0" w:beforeAutospacing="0" w:after="0" w:afterAutospacing="0" w:line="560" w:lineRule="exact"/>
        <w:widowControl/>
        <w:rPr>
          <w:rFonts w:ascii="仿宋" w:hAnsi="仿宋" w:eastAsia="仿宋" w:cs="Times New Roman"/>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olor w:val="000000"/>
          <w:sz w:val="28"/>
          <w:szCs w:val="28"/>
        </w:rPr>
        <w:t xml:space="preserve">（二十九）</w:t>
      </w:r>
      <w:r>
        <w:rPr>
          <w:rFonts w:hint="eastAsia" w:ascii="仿宋" w:hAnsi="仿宋" w:eastAsia="仿宋" w:cs="Times New Roman"/>
          <w:color w:val="000000"/>
          <w:sz w:val="28"/>
          <w:szCs w:val="28"/>
          <w:lang w:val="en-US" w:eastAsia="zh-CN" w:bidi="ar-SA"/>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78"/>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根据财库[2026]2号文件，政府采购评审中出现下列情形之一的，评审委员会应当启动异常低价投标(响应)审查程序：</w:t>
      </w:r>
      <w:r/>
    </w:p>
    <w:p>
      <w:pPr>
        <w:pStyle w:val="878"/>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1.投标(响应)报价低于全部通过符合性审查供应商投标(响应)报价平均值50%的，即投标(响应)报价〈全部通过符合性审查供应商投标(响应)报价平均值x50%;</w:t>
      </w:r>
      <w:r/>
    </w:p>
    <w:p>
      <w:pPr>
        <w:pStyle w:val="878"/>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2.投标(响应)报价低于通过符合性审查的次低报价供应商投标(响应)报价50%的，即投标(响应)报价〈通过符合性审查的次低报价供应商投标(响应)报价x50%;</w:t>
      </w:r>
      <w:r/>
    </w:p>
    <w:p>
      <w:pPr>
        <w:pStyle w:val="878"/>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3.投标(响应)报价低于采购项目最高限价45%的，即投标(响应)报价(采购项目最高限价x45%;</w:t>
      </w:r>
      <w:r/>
    </w:p>
    <w:p>
      <w:pPr>
        <w:pStyle w:val="878"/>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4.评审委员会基于专业判断，认为供应商报价过低，有可能影响产品质量或者不能诚信履约的其他情形。</w:t>
      </w:r>
      <w:r/>
    </w:p>
    <w:p>
      <w:pPr>
        <w:pStyle w:val="878"/>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采购人可以结合具体项目实际情况，提高上述第1项至第3项中启动异常低价投标(响应)审查的数值标准，但是最高不得超过65%.</w:t>
      </w:r>
      <w:r/>
    </w:p>
    <w:p>
      <w:pPr>
        <w:pStyle w:val="878"/>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相关法律法规对供应商报价有规定的，从其规定。</w:t>
      </w:r>
      <w:r/>
    </w:p>
    <w:p>
      <w:pPr>
        <w:pStyle w:val="878"/>
        <w:numPr>
          <w:ilvl w:val="0"/>
          <w:numId w:val="13"/>
        </w:numPr>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78"/>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78"/>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78"/>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78"/>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r>
      <w:r/>
    </w:p>
    <w:p>
      <w:pPr>
        <w:pStyle w:val="878"/>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相关内容和要求见：财库[2026]2号文件</w:t>
      </w:r>
      <w:r/>
    </w:p>
    <w:p>
      <w:pPr>
        <w:pStyle w:val="878"/>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r>
      <w:r/>
    </w:p>
    <w:p>
      <w:pPr>
        <w:pStyle w:val="916"/>
        <w:ind w:firstLine="56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（三十）评标委员会成员对需要共同认定的事项存在争议的，应当按照少数服从多数的原则作出结论。持不同意见的评标委员会成员应当在评标报告上签署不同意见及理由，否则视为同意评标报告。</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（三十一）废标条款：</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出现下列情形之一的，应予废标。</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1.符合专业条件的供应商或者对招标文件作实质响应的供应商不足</w:t>
      </w:r>
      <w:r>
        <w:rPr>
          <w:rFonts w:hint="eastAsia" w:ascii="仿宋" w:hAnsi="仿宋" w:eastAsia="仿宋"/>
          <w:sz w:val="28"/>
          <w:szCs w:val="28"/>
        </w:rPr>
        <w:t xml:space="preserve">三</w:t>
      </w:r>
      <w:r>
        <w:rPr>
          <w:rFonts w:ascii="仿宋" w:hAnsi="仿宋" w:eastAsia="仿宋"/>
          <w:sz w:val="28"/>
          <w:szCs w:val="28"/>
        </w:rPr>
        <w:t xml:space="preserve">家</w:t>
      </w:r>
      <w:r>
        <w:rPr>
          <w:rFonts w:ascii="仿宋" w:hAnsi="仿宋" w:eastAsia="仿宋"/>
          <w:color w:val="000000"/>
          <w:sz w:val="28"/>
          <w:szCs w:val="28"/>
        </w:rPr>
        <w:t xml:space="preserve">的；</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2.出现影响采购公正的违法、违规行为的；</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3.投标人的报价均超过了采购预算，采购人不能支付的；</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4.因重大变故，采购任务取消的。</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六、定标</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（三十二）采购代理机构应当在评标结束后2个工作日内将评标报告送采购人。</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（三十三）采购人应当自收到评标报告之日起5个工作日内，在评标报告确定的中标候选人名单中按顺序确定中标人。</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十四）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七、政府采购合同</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（三十五）签订政府采购合同（合同签订方式）：</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采购人不得向中标人提出任何不合理的要求作为签订合同的条件。</w:t>
      </w:r>
      <w:r/>
    </w:p>
    <w:p>
      <w:pPr>
        <w:pStyle w:val="916"/>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916"/>
        <w:ind w:firstLine="600"/>
        <w:pageBreakBefore w:val="0"/>
        <w:spacing w:line="560" w:lineRule="exact"/>
        <w:shd w:val="clear" w:color="auto" w:fill="ffffff"/>
        <w:rPr>
          <w:rFonts w:ascii="仿宋" w:hAnsi="仿宋" w:eastAsia="仿宋"/>
          <w:color w:val="000000"/>
          <w:sz w:val="28"/>
          <w:szCs w:val="28"/>
        </w:rPr>
      </w:pPr>
      <w:r>
        <w:rPr>
          <w:rFonts w:ascii="仿宋" w:hAnsi="仿宋" w:eastAsia="仿宋"/>
          <w:color w:val="000000"/>
          <w:sz w:val="28"/>
          <w:szCs w:val="28"/>
        </w:rPr>
        <w:t xml:space="preserve">（三十六）采购人与中标人应当根据合同的约定依法履行合同义务。政府采购合同的履行、违约责任和解决争议的方法等，按《中华人民共和国民法典》相关条款执行。</w:t>
      </w:r>
      <w:r/>
    </w:p>
    <w:p>
      <w:pPr>
        <w:pStyle w:val="916"/>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（三十八）腐败和欺诈行为：</w:t>
      </w:r>
      <w:r/>
    </w:p>
    <w:p>
      <w:pPr>
        <w:pStyle w:val="916"/>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1.采购代理机构、采购人、投标人等参与招投标的各方，均应在招标、采购、合同执行等过程中保持廉洁和最高的道德水准。</w:t>
      </w:r>
      <w:r/>
    </w:p>
    <w:p>
      <w:pPr>
        <w:pStyle w:val="916"/>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（1）腐败和欺诈行为的含义：</w:t>
      </w:r>
      <w:r/>
    </w:p>
    <w:p>
      <w:pPr>
        <w:pStyle w:val="916"/>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916"/>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②“欺诈行为”系指为了影响招标、采购和合同执行等过程，隐瞒事实真象，给买方、卖方、采购代理机构及他人造成损害的行为，其中包括投标人之间的串通行为。</w:t>
      </w:r>
      <w:r/>
    </w:p>
    <w:p>
      <w:pPr>
        <w:pStyle w:val="916"/>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（2）如果被推荐的中标人有腐败和欺诈行为，将取消其中标资格。</w:t>
      </w:r>
      <w:r/>
    </w:p>
    <w:p>
      <w:pPr>
        <w:pStyle w:val="916"/>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（3）如果投标人在任何时候，被法院及政府有关管理部门认定为有腐败和欺诈行为，采购代理机构有权拒绝其投标、取消其中标资格和撤消其已签署的合同。</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八、询问和质疑</w:t>
      </w:r>
      <w:r/>
    </w:p>
    <w:p>
      <w:pPr>
        <w:pStyle w:val="916"/>
        <w:ind w:firstLine="600"/>
        <w:jc w:val="left"/>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（三十九）询问和质疑</w:t>
      </w:r>
      <w:r/>
    </w:p>
    <w:p>
      <w:pPr>
        <w:pStyle w:val="916"/>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供应商对政府采购活动事项有疑问的，向采购人或采购代理机构提出询问；</w:t>
      </w:r>
      <w:r/>
    </w:p>
    <w:p>
      <w:pPr>
        <w:pStyle w:val="917"/>
        <w:pageBreakBefore w:val="0"/>
        <w:spacing w:line="560" w:lineRule="exact"/>
        <w:rPr>
          <w:rFonts w:eastAsia="仿宋"/>
        </w:rPr>
      </w:pPr>
      <w:r>
        <w:rPr>
          <w:rFonts w:hint="eastAsia" w:ascii="仿宋" w:hAnsi="仿宋" w:eastAsia="仿宋"/>
          <w:color w:val="000000"/>
          <w:sz w:val="28"/>
          <w:szCs w:val="28"/>
        </w:rPr>
        <w:t xml:space="preserve">依据委托代理协议，</w:t>
      </w:r>
      <w:r>
        <w:rPr>
          <w:rFonts w:ascii="仿宋" w:hAnsi="仿宋" w:eastAsia="仿宋"/>
          <w:color w:val="000000"/>
          <w:sz w:val="28"/>
          <w:szCs w:val="28"/>
        </w:rPr>
        <w:t xml:space="preserve">供应商认为</w:t>
      </w:r>
      <w:r>
        <w:rPr>
          <w:rFonts w:hint="eastAsia" w:ascii="仿宋" w:hAnsi="仿宋" w:eastAsia="仿宋"/>
          <w:color w:val="000000"/>
          <w:sz w:val="28"/>
          <w:szCs w:val="28"/>
        </w:rPr>
        <w:t xml:space="preserve">采购文件中的采购需求</w:t>
      </w:r>
      <w:r>
        <w:rPr>
          <w:rFonts w:ascii="仿宋" w:hAnsi="仿宋" w:eastAsia="仿宋"/>
          <w:color w:val="000000"/>
          <w:sz w:val="28"/>
          <w:szCs w:val="28"/>
        </w:rPr>
        <w:t xml:space="preserve">使自己的权益受到损害的</w:t>
      </w:r>
      <w:r>
        <w:rPr>
          <w:rFonts w:hint="eastAsia" w:ascii="仿宋" w:hAnsi="仿宋" w:eastAsia="仿宋"/>
          <w:color w:val="000000"/>
          <w:sz w:val="28"/>
          <w:szCs w:val="28"/>
        </w:rPr>
        <w:t xml:space="preserve">，</w:t>
      </w:r>
      <w:r>
        <w:rPr>
          <w:rFonts w:ascii="仿宋" w:hAnsi="仿宋" w:eastAsia="仿宋"/>
          <w:color w:val="000000"/>
          <w:sz w:val="28"/>
          <w:szCs w:val="28"/>
        </w:rPr>
        <w:t xml:space="preserve">可以在知道或者应知其权益受到损害之日起，七个工作日内以书面形式向采购人提出质疑</w:t>
      </w:r>
      <w:r>
        <w:rPr>
          <w:rFonts w:hint="eastAsia" w:ascii="仿宋" w:hAnsi="仿宋" w:eastAsia="仿宋"/>
          <w:color w:val="000000"/>
          <w:sz w:val="28"/>
          <w:szCs w:val="28"/>
        </w:rPr>
        <w:t xml:space="preserve">；</w:t>
      </w:r>
      <w:r>
        <w:rPr>
          <w:rFonts w:ascii="仿宋" w:hAnsi="仿宋" w:eastAsia="仿宋"/>
          <w:color w:val="000000"/>
          <w:sz w:val="28"/>
          <w:szCs w:val="28"/>
        </w:rPr>
        <w:t xml:space="preserve">认为采购文件</w:t>
      </w:r>
      <w:r>
        <w:rPr>
          <w:rFonts w:hint="eastAsia" w:ascii="仿宋" w:hAnsi="仿宋" w:eastAsia="仿宋"/>
          <w:color w:val="000000"/>
          <w:sz w:val="28"/>
          <w:szCs w:val="28"/>
        </w:rPr>
        <w:t xml:space="preserve">其他内容</w:t>
      </w:r>
      <w:r>
        <w:rPr>
          <w:rFonts w:ascii="仿宋" w:hAnsi="仿宋" w:eastAsia="仿宋"/>
          <w:color w:val="000000"/>
          <w:sz w:val="28"/>
          <w:szCs w:val="28"/>
        </w:rPr>
        <w:t xml:space="preserve">、采购过程和中标、成交结果使自己的权益受到损害的，可以在知道或者应知其权益受到损害之日起，七个工作日内以书面形式向采购人或采购代理机构提出质疑。询问和质疑由采购人或采购代理机构依法处理。</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九、电子招标投标交易平台</w:t>
      </w:r>
      <w:r/>
    </w:p>
    <w:p>
      <w:pPr>
        <w:pStyle w:val="102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（四十）评标中需要投标人对投标文件澄清或者说明的，应当通过“苏采云”系统交换数据电文。在评标期间，请投标人保持在线。</w:t>
      </w:r>
      <w:r/>
    </w:p>
    <w:p>
      <w:pPr>
        <w:pStyle w:val="102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（四十一）对于投标文件中含义不明确、同类问题表述不一致或者有明显文字和计算错误的内容，评标委员会通过“苏采云”系统要求投标人作出必要的澄清、说明或者补正，并规定回复时间。</w:t>
      </w:r>
      <w:r/>
    </w:p>
    <w:p>
      <w:pPr>
        <w:pStyle w:val="102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十二）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1029"/>
        <w:ind w:firstLine="600"/>
        <w:pageBreakBefore w:val="0"/>
        <w:spacing w:line="560" w:lineRule="exact"/>
        <w:rPr>
          <w:rFonts w:ascii="仿宋" w:hAnsi="仿宋" w:eastAsia="仿宋"/>
          <w:color w:val="000000"/>
          <w:sz w:val="30"/>
          <w:szCs w:val="30"/>
        </w:rPr>
      </w:pPr>
      <w:r>
        <w:rPr>
          <w:rFonts w:ascii="仿宋" w:hAnsi="仿宋" w:eastAsia="仿宋"/>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p>
      <w:pPr>
        <w:pStyle w:val="1028"/>
        <w:pageBreakBefore w:val="0"/>
        <w:spacing w:line="560" w:lineRule="exact"/>
        <w:rPr>
          <w:rFonts w:ascii="仿宋" w:hAnsi="仿宋" w:eastAsia="仿宋"/>
          <w:color w:val="000000"/>
          <w:sz w:val="32"/>
          <w:szCs w:val="32"/>
        </w:rPr>
      </w:pPr>
      <w:r/>
      <w:bookmarkStart w:id="34" w:name="_Toc522790132"/>
      <w:r/>
      <w:bookmarkStart w:id="35" w:name="_Toc974"/>
      <w:r/>
      <w:r/>
    </w:p>
    <w:p>
      <w:pPr>
        <w:pageBreakBefore w:val="0"/>
        <w:spacing w:line="560" w:lineRule="exact"/>
        <w:rPr>
          <w:rFonts w:ascii="仿宋" w:hAnsi="仿宋" w:eastAsia="仿宋"/>
          <w:color w:val="000000"/>
          <w:sz w:val="32"/>
          <w:szCs w:val="32"/>
        </w:rPr>
      </w:pPr>
      <w:r>
        <w:rPr>
          <w:rFonts w:ascii="仿宋" w:hAnsi="仿宋" w:eastAsia="仿宋"/>
          <w:color w:val="000000"/>
          <w:sz w:val="32"/>
          <w:szCs w:val="32"/>
        </w:rPr>
        <w:br w:type="page" w:clear="all"/>
      </w:r>
      <w:r/>
    </w:p>
    <w:p>
      <w:pPr>
        <w:pStyle w:val="916"/>
        <w:numPr>
          <w:ilvl w:val="0"/>
          <w:numId w:val="14"/>
        </w:numPr>
        <w:jc w:val="center"/>
        <w:pageBreakBefore w:val="0"/>
        <w:spacing w:line="560" w:lineRule="exact"/>
        <w:widowControl/>
        <w:rPr>
          <w:rFonts w:ascii="仿宋" w:hAnsi="仿宋" w:eastAsia="仿宋"/>
          <w:b/>
          <w:bCs/>
          <w:color w:val="000000"/>
          <w:sz w:val="32"/>
          <w:szCs w:val="32"/>
        </w:rPr>
      </w:pPr>
      <w:r/>
      <w:bookmarkStart w:id="36" w:name="_Toc25733"/>
      <w:r>
        <w:rPr>
          <w:rFonts w:ascii="仿宋" w:hAnsi="仿宋" w:eastAsia="仿宋"/>
          <w:b/>
          <w:bCs/>
          <w:color w:val="000000"/>
          <w:sz w:val="32"/>
          <w:szCs w:val="32"/>
        </w:rPr>
        <w:t xml:space="preserve"> </w:t>
      </w:r>
      <w:bookmarkStart w:id="37" w:name="_Toc8090"/>
      <w:r>
        <w:rPr>
          <w:rFonts w:ascii="仿宋" w:hAnsi="仿宋" w:eastAsia="仿宋"/>
          <w:b/>
          <w:bCs/>
          <w:color w:val="000000"/>
          <w:sz w:val="32"/>
          <w:szCs w:val="32"/>
        </w:rPr>
        <w:t xml:space="preserve">投标资料表</w:t>
      </w:r>
      <w:bookmarkEnd w:id="34"/>
      <w:r/>
      <w:bookmarkEnd w:id="35"/>
      <w:r/>
      <w:bookmarkEnd w:id="36"/>
      <w:r/>
      <w:bookmarkEnd w:id="37"/>
      <w:r/>
      <w:r/>
    </w:p>
    <w:p>
      <w:pPr>
        <w:pStyle w:val="917"/>
        <w:pageBreakBefore w:val="0"/>
        <w:spacing w:line="560" w:lineRule="exact"/>
        <w:rPr>
          <w:color w:val="000000"/>
        </w:rPr>
      </w:pPr>
      <w:r>
        <w:rPr>
          <w:color w:val="000000"/>
        </w:rPr>
      </w:r>
      <w:r/>
    </w:p>
    <w:p>
      <w:pPr>
        <w:pStyle w:val="979"/>
        <w:ind w:firstLine="600"/>
        <w:pageBreakBefore w:val="0"/>
        <w:spacing w:line="560" w:lineRule="exact"/>
        <w:rPr>
          <w:rFonts w:ascii="仿宋" w:hAnsi="仿宋" w:eastAsia="仿宋"/>
          <w:color w:val="000000"/>
          <w:szCs w:val="28"/>
        </w:rPr>
      </w:pPr>
      <w:r>
        <w:rPr>
          <w:rFonts w:ascii="仿宋" w:hAnsi="仿宋" w:eastAsia="仿宋"/>
          <w:color w:val="000000"/>
          <w:szCs w:val="28"/>
        </w:rPr>
        <w:t xml:space="preserve">该资料表的条款项号是与《投标人须知》的条款项号相对应的，若有增加的条款，是对《投标人须知》的补充、修改和完善，如果因此而造成矛盾时，应以本资料表为准。</w:t>
      </w:r>
      <w:r/>
    </w:p>
    <w:tbl>
      <w:tblPr>
        <w:tblStyle w:val="807"/>
        <w:tblpPr w:horzAnchor="page" w:tblpX="1192" w:vertAnchor="text" w:tblpY="226" w:leftFromText="180" w:topFromText="0" w:rightFromText="180" w:bottomFromText="0"/>
        <w:tblW w:w="9923"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8363"/>
      </w:tblGrid>
      <w:tr>
        <w:trPr/>
        <w:tc>
          <w:tcPr>
            <w:tcW w:w="1560" w:type="dxa"/>
            <w:textDirection w:val="lrTb"/>
            <w:noWrap w:val="false"/>
          </w:tcPr>
          <w:p>
            <w:pPr>
              <w:pStyle w:val="916"/>
              <w:jc w:val="center"/>
              <w:pageBreakBefore w:val="0"/>
              <w:spacing w:line="560" w:lineRule="exact"/>
              <w:rPr>
                <w:rFonts w:ascii="仿宋" w:hAnsi="仿宋" w:eastAsia="仿宋"/>
                <w:b/>
                <w:color w:val="000000"/>
                <w:sz w:val="28"/>
                <w:szCs w:val="28"/>
              </w:rPr>
            </w:pPr>
            <w:r>
              <w:rPr>
                <w:rFonts w:ascii="仿宋" w:hAnsi="仿宋" w:eastAsia="仿宋"/>
                <w:b/>
                <w:color w:val="000000"/>
                <w:sz w:val="28"/>
                <w:szCs w:val="28"/>
              </w:rPr>
              <w:t xml:space="preserve">条款项号</w:t>
            </w:r>
            <w:r/>
          </w:p>
        </w:tc>
        <w:tc>
          <w:tcPr>
            <w:tcW w:w="8363" w:type="dxa"/>
            <w:textDirection w:val="lrTb"/>
            <w:noWrap w:val="false"/>
          </w:tcPr>
          <w:p>
            <w:pPr>
              <w:pStyle w:val="916"/>
              <w:jc w:val="center"/>
              <w:pageBreakBefore w:val="0"/>
              <w:spacing w:line="560" w:lineRule="exact"/>
              <w:rPr>
                <w:rFonts w:ascii="仿宋" w:hAnsi="仿宋" w:eastAsia="仿宋"/>
                <w:b/>
                <w:color w:val="000000"/>
                <w:sz w:val="28"/>
                <w:szCs w:val="28"/>
              </w:rPr>
            </w:pPr>
            <w:r>
              <w:rPr>
                <w:rFonts w:ascii="仿宋" w:hAnsi="仿宋" w:eastAsia="仿宋"/>
                <w:b/>
                <w:color w:val="000000"/>
                <w:sz w:val="28"/>
                <w:szCs w:val="28"/>
              </w:rPr>
              <w:t xml:space="preserve">内    容</w:t>
            </w:r>
            <w:r/>
          </w:p>
        </w:tc>
      </w:tr>
      <w:tr>
        <w:trPr/>
        <w:tc>
          <w:tcPr>
            <w:tcW w:w="1560" w:type="dxa"/>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w:t>
            </w:r>
            <w:r/>
          </w:p>
        </w:tc>
        <w:tc>
          <w:tcPr>
            <w:tcW w:w="8363"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总则</w:t>
            </w:r>
            <w:r/>
          </w:p>
        </w:tc>
      </w:tr>
      <w:tr>
        <w:trPr>
          <w:trHeight w:val="265"/>
        </w:trPr>
        <w:tc>
          <w:tcPr>
            <w:tcW w:w="1560" w:type="dxa"/>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w:t>
            </w:r>
            <w:r/>
          </w:p>
        </w:tc>
        <w:tc>
          <w:tcPr>
            <w:tcW w:w="8363"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本项目采购人：</w:t>
            </w:r>
            <w:r>
              <w:rPr>
                <w:rFonts w:hint="eastAsia" w:ascii="仿宋" w:hAnsi="仿宋" w:eastAsia="仿宋"/>
                <w:color w:val="000000"/>
                <w:sz w:val="28"/>
                <w:szCs w:val="28"/>
              </w:rPr>
              <w:t xml:space="preserve">新沂市农业农村局  </w:t>
            </w:r>
            <w:r/>
          </w:p>
        </w:tc>
      </w:tr>
      <w:tr>
        <w:trPr/>
        <w:tc>
          <w:tcPr>
            <w:tcW w:w="1560" w:type="dxa"/>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w:t>
            </w:r>
            <w:r/>
          </w:p>
        </w:tc>
        <w:tc>
          <w:tcPr>
            <w:tcW w:w="8363"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本次采购采用的政府采购方式：</w:t>
            </w:r>
            <w:r>
              <w:rPr>
                <w:rFonts w:ascii="仿宋" w:hAnsi="仿宋" w:eastAsia="仿宋"/>
                <w:b/>
                <w:bCs/>
                <w:color w:val="000000"/>
                <w:sz w:val="28"/>
                <w:szCs w:val="28"/>
              </w:rPr>
              <w:t xml:space="preserve">公开招标</w:t>
            </w:r>
            <w:r>
              <w:rPr>
                <w:rFonts w:ascii="仿宋" w:hAnsi="仿宋" w:eastAsia="仿宋"/>
                <w:color w:val="000000"/>
                <w:sz w:val="28"/>
                <w:szCs w:val="28"/>
              </w:rPr>
              <w:t xml:space="preserve">。</w:t>
            </w:r>
            <w:r/>
          </w:p>
        </w:tc>
      </w:tr>
      <w:tr>
        <w:trPr/>
        <w:tc>
          <w:tcPr>
            <w:tcW w:w="1560" w:type="dxa"/>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w:t>
            </w:r>
            <w:r/>
          </w:p>
        </w:tc>
        <w:tc>
          <w:tcPr>
            <w:tcW w:w="8363" w:type="dxa"/>
            <w:textDirection w:val="lrTb"/>
            <w:noWrap w:val="false"/>
          </w:tcPr>
          <w:p>
            <w:pPr>
              <w:pStyle w:val="916"/>
              <w:pageBreakBefore w:val="0"/>
              <w:spacing w:line="560" w:lineRule="exact"/>
              <w:rPr>
                <w:rFonts w:hint="eastAsia" w:ascii="仿宋" w:hAnsi="仿宋" w:eastAsia="仿宋"/>
                <w:color w:val="000000"/>
                <w:sz w:val="28"/>
                <w:szCs w:val="28"/>
                <w:lang w:eastAsia="zh-CN"/>
              </w:rPr>
            </w:pPr>
            <w:r>
              <w:rPr>
                <w:rFonts w:ascii="仿宋" w:hAnsi="仿宋" w:eastAsia="仿宋"/>
                <w:color w:val="000000"/>
                <w:sz w:val="28"/>
                <w:szCs w:val="28"/>
              </w:rPr>
              <w:t xml:space="preserve">采购人确定的采购项目属性：</w:t>
            </w:r>
            <w:r>
              <w:rPr>
                <w:rFonts w:hint="eastAsia" w:ascii="仿宋" w:hAnsi="仿宋" w:eastAsia="仿宋"/>
                <w:b/>
                <w:bCs/>
                <w:color w:val="000000"/>
                <w:sz w:val="28"/>
                <w:szCs w:val="28"/>
                <w:lang w:eastAsia="zh-CN"/>
              </w:rPr>
              <w:t xml:space="preserve">服务</w:t>
            </w:r>
            <w:r/>
          </w:p>
        </w:tc>
      </w:tr>
      <w:tr>
        <w:trPr/>
        <w:tc>
          <w:tcPr>
            <w:tcW w:w="1560" w:type="dxa"/>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w:t>
            </w:r>
            <w:r/>
          </w:p>
        </w:tc>
        <w:tc>
          <w:tcPr>
            <w:tcW w:w="8363"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本项目采购代理机构：</w:t>
            </w:r>
            <w:r>
              <w:rPr>
                <w:rFonts w:hint="eastAsia" w:ascii="仿宋" w:hAnsi="仿宋" w:eastAsia="仿宋"/>
                <w:color w:val="000000"/>
                <w:sz w:val="28"/>
                <w:szCs w:val="28"/>
              </w:rPr>
              <w:t xml:space="preserve">新沂市公共资源交易中心</w:t>
            </w:r>
            <w:r/>
          </w:p>
        </w:tc>
      </w:tr>
      <w:tr>
        <w:trPr/>
        <w:tc>
          <w:tcPr>
            <w:tcW w:w="1560" w:type="dxa"/>
            <w:textDirection w:val="lrTb"/>
            <w:noWrap w:val="false"/>
          </w:tcPr>
          <w:p>
            <w:pPr>
              <w:pStyle w:val="916"/>
              <w:jc w:val="center"/>
              <w:pageBreakBefore w:val="0"/>
              <w:spacing w:line="560" w:lineRule="exact"/>
            </w:pPr>
            <w:r>
              <w:t xml:space="preserve">(五)</w:t>
            </w:r>
            <w:r/>
          </w:p>
        </w:tc>
        <w:tc>
          <w:tcPr>
            <w:tcW w:w="8363"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投标人的资格条件：</w:t>
            </w:r>
            <w:r/>
          </w:p>
          <w:p>
            <w:pPr>
              <w:pStyle w:val="916"/>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1.满足《中华人民共和国政府采购法》第二十二条规定；</w:t>
            </w:r>
            <w:r/>
          </w:p>
          <w:p>
            <w:pPr>
              <w:pStyle w:val="916"/>
              <w:pageBreakBefore w:val="0"/>
              <w:spacing w:line="560" w:lineRule="exact"/>
              <w:rPr>
                <w:rFonts w:ascii="仿宋" w:hAnsi="仿宋" w:eastAsia="仿宋"/>
                <w:b/>
                <w:bCs/>
                <w:sz w:val="28"/>
                <w:szCs w:val="28"/>
              </w:rPr>
            </w:pPr>
            <w:r>
              <w:rPr>
                <w:rFonts w:hint="eastAsia" w:ascii="仿宋" w:hAnsi="仿宋" w:eastAsia="仿宋"/>
                <w:color w:val="000000"/>
                <w:sz w:val="28"/>
                <w:szCs w:val="28"/>
              </w:rPr>
              <w:t xml:space="preserve">2.落实政府采购政策需满足的资格要求：</w:t>
            </w:r>
            <w:r>
              <w:rPr>
                <w:rFonts w:hint="eastAsia" w:ascii="仿宋" w:hAnsi="仿宋" w:eastAsia="仿宋"/>
                <w:b/>
                <w:bCs/>
                <w:sz w:val="28"/>
                <w:szCs w:val="28"/>
              </w:rPr>
              <w:t xml:space="preserve">本项目属于专门面向中小微企业采购的项目。</w:t>
            </w:r>
            <w:r/>
          </w:p>
          <w:p>
            <w:pPr>
              <w:pStyle w:val="916"/>
              <w:pageBreakBefore w:val="0"/>
              <w:spacing w:line="560" w:lineRule="exact"/>
              <w:rPr>
                <w:rFonts w:hint="eastAsia" w:eastAsia="仿宋"/>
                <w:lang w:eastAsia="zh-CN"/>
              </w:rPr>
            </w:pPr>
            <w:r>
              <w:rPr>
                <w:rFonts w:hint="eastAsia" w:ascii="仿宋" w:hAnsi="仿宋" w:eastAsia="仿宋"/>
                <w:color w:val="000000"/>
                <w:sz w:val="28"/>
                <w:szCs w:val="28"/>
              </w:rPr>
              <w:t xml:space="preserve">3.本项目的特定资格要求：</w:t>
            </w:r>
            <w:r>
              <w:rPr>
                <w:rFonts w:hint="eastAsia" w:ascii="仿宋" w:hAnsi="仿宋" w:eastAsia="仿宋"/>
                <w:b/>
                <w:bCs/>
                <w:color w:val="000000"/>
                <w:sz w:val="28"/>
                <w:szCs w:val="28"/>
                <w:lang w:eastAsia="zh-CN"/>
              </w:rPr>
              <w:t xml:space="preserve">无</w:t>
            </w:r>
            <w:r/>
          </w:p>
        </w:tc>
      </w:tr>
      <w:tr>
        <w:trPr/>
        <w:tc>
          <w:tcPr>
            <w:tcW w:w="1560" w:type="dxa"/>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(六)</w:t>
            </w:r>
            <w:r/>
          </w:p>
        </w:tc>
        <w:tc>
          <w:tcPr>
            <w:tcW w:w="8363" w:type="dxa"/>
            <w:textDirection w:val="lrTb"/>
            <w:noWrap w:val="false"/>
          </w:tcPr>
          <w:p>
            <w:pPr>
              <w:pStyle w:val="916"/>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本次招标，新沂市公共资源交易中心为中标供应商提供免费服务，不收取中标服务费。</w:t>
            </w:r>
            <w:r/>
          </w:p>
        </w:tc>
      </w:tr>
      <w:tr>
        <w:trPr/>
        <w:tc>
          <w:tcPr>
            <w:tcW w:w="1560" w:type="dxa"/>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w:t>
            </w:r>
            <w:r/>
          </w:p>
        </w:tc>
        <w:tc>
          <w:tcPr>
            <w:tcW w:w="8363"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招标</w:t>
            </w:r>
            <w:r/>
          </w:p>
        </w:tc>
      </w:tr>
      <w:tr>
        <w:trPr/>
        <w:tc>
          <w:tcPr>
            <w:tcW w:w="1560" w:type="dxa"/>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(七)1</w:t>
            </w:r>
            <w:r/>
          </w:p>
        </w:tc>
        <w:tc>
          <w:tcPr>
            <w:tcW w:w="8363"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bCs/>
                <w:color w:val="000000"/>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tc>
          <w:tcPr>
            <w:tcW w:w="1560" w:type="dxa"/>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(七)2</w:t>
            </w:r>
            <w:r/>
          </w:p>
        </w:tc>
        <w:tc>
          <w:tcPr>
            <w:tcW w:w="8363" w:type="dxa"/>
            <w:textDirection w:val="lrTb"/>
            <w:noWrap w:val="false"/>
          </w:tcPr>
          <w:p>
            <w:pPr>
              <w:pStyle w:val="916"/>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不安排现场考察。</w:t>
            </w:r>
            <w:r/>
          </w:p>
        </w:tc>
      </w:tr>
      <w:tr>
        <w:trPr/>
        <w:tc>
          <w:tcPr>
            <w:tcW w:w="1560" w:type="dxa"/>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(七)3</w:t>
            </w:r>
            <w:r/>
          </w:p>
        </w:tc>
        <w:tc>
          <w:tcPr>
            <w:tcW w:w="8363"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不安排开标前答疑会。</w:t>
            </w:r>
            <w:r/>
          </w:p>
        </w:tc>
      </w:tr>
      <w:tr>
        <w:trPr/>
        <w:tc>
          <w:tcPr>
            <w:tcW w:w="1560" w:type="dxa"/>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w:t>
            </w:r>
            <w:r/>
          </w:p>
        </w:tc>
        <w:tc>
          <w:tcPr>
            <w:tcW w:w="8363"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投标</w:t>
            </w:r>
            <w:r/>
          </w:p>
        </w:tc>
      </w:tr>
      <w:tr>
        <w:trPr>
          <w:trHeight w:val="510"/>
        </w:trPr>
        <w:tc>
          <w:tcPr>
            <w:tcW w:w="1560" w:type="dxa"/>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(八)</w:t>
            </w:r>
            <w:r/>
          </w:p>
        </w:tc>
        <w:tc>
          <w:tcPr>
            <w:tcW w:w="8363" w:type="dxa"/>
            <w:textDirection w:val="lrTb"/>
            <w:noWrap w:val="false"/>
          </w:tcPr>
          <w:p>
            <w:pPr>
              <w:pStyle w:val="916"/>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投标文件的语言为中文</w:t>
            </w:r>
            <w:r/>
          </w:p>
        </w:tc>
      </w:tr>
      <w:tr>
        <w:trPr>
          <w:trHeight w:val="510"/>
        </w:trPr>
        <w:tc>
          <w:tcPr>
            <w:tcW w:w="1560" w:type="dxa"/>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(九)</w:t>
            </w:r>
            <w:r/>
          </w:p>
        </w:tc>
        <w:tc>
          <w:tcPr>
            <w:tcW w:w="8363" w:type="dxa"/>
            <w:textDirection w:val="lrTb"/>
            <w:noWrap w:val="false"/>
          </w:tcPr>
          <w:p>
            <w:pPr>
              <w:pStyle w:val="916"/>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投标人须用政府采购客户端工具导入“苏采云”系统下载的招标文件后，离线编制投标文件。招标文件、供应商操作手册及政府采购客户端工具可通过“苏采云”系统（网址：</w:t>
            </w:r>
            <w:r>
              <w:fldChar w:fldCharType="begin"/>
            </w:r>
            <w:r>
              <w:instrText xml:space="preserve"> HYPERLINK "http://jszfcg.jsczt.cn/" </w:instrText>
            </w:r>
            <w:r>
              <w:fldChar w:fldCharType="separate"/>
            </w:r>
            <w:r>
              <w:rPr>
                <w:rFonts w:ascii="仿宋" w:hAnsi="仿宋" w:eastAsia="仿宋"/>
                <w:color w:val="000000"/>
                <w:sz w:val="28"/>
                <w:szCs w:val="28"/>
              </w:rPr>
              <w:t xml:space="preserve">http://jszfcg.jsc</w:t>
            </w:r>
            <w:bookmarkStart w:id="38" w:name="_Hlt91509264"/>
            <w:r/>
            <w:bookmarkStart w:id="39" w:name="_Hlt91509263"/>
            <w:r>
              <w:rPr>
                <w:rFonts w:ascii="仿宋" w:hAnsi="仿宋" w:eastAsia="仿宋"/>
                <w:color w:val="000000"/>
                <w:sz w:val="28"/>
                <w:szCs w:val="28"/>
              </w:rPr>
              <w:t xml:space="preserve">z</w:t>
            </w:r>
            <w:bookmarkEnd w:id="38"/>
            <w:r/>
            <w:bookmarkEnd w:id="39"/>
            <w:r>
              <w:rPr>
                <w:rFonts w:ascii="仿宋" w:hAnsi="仿宋" w:eastAsia="仿宋"/>
                <w:color w:val="000000"/>
                <w:sz w:val="28"/>
                <w:szCs w:val="28"/>
              </w:rPr>
              <w:t xml:space="preserve">t.cn/</w:t>
            </w:r>
            <w:r>
              <w:rPr>
                <w:rFonts w:ascii="仿宋" w:hAnsi="仿宋" w:eastAsia="仿宋"/>
                <w:color w:val="000000"/>
                <w:sz w:val="28"/>
                <w:szCs w:val="28"/>
              </w:rPr>
              <w:fldChar w:fldCharType="end"/>
            </w:r>
            <w:r>
              <w:rPr>
                <w:rFonts w:ascii="仿宋" w:hAnsi="仿宋" w:eastAsia="仿宋"/>
                <w:color w:val="000000"/>
                <w:sz w:val="28"/>
                <w:szCs w:val="28"/>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16"/>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特别说明：政府采购客户端工具需要导出加密的投标文件（后缀名为zip）。投标文件不得超过350M！                         </w:t>
            </w:r>
            <w:r>
              <w:rPr>
                <w:rFonts w:ascii="仿宋" w:hAnsi="仿宋" w:eastAsia="仿宋"/>
                <w:b/>
                <w:bCs/>
                <w:color w:val="000000"/>
                <w:sz w:val="28"/>
                <w:szCs w:val="28"/>
              </w:rPr>
              <w:t xml:space="preserve">技术支持</w:t>
            </w:r>
            <w:r/>
          </w:p>
          <w:p>
            <w:pPr>
              <w:pStyle w:val="916"/>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如有疑问，请联系客服人员。（工作时间：法定工作日9:00-17:00）</w:t>
            </w:r>
            <w:r/>
          </w:p>
          <w:p>
            <w:pPr>
              <w:pStyle w:val="916"/>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进入政府采购交易系统，遇到任何问题，请联系政府采购富深系统技术支持。</w:t>
            </w:r>
            <w:r/>
          </w:p>
          <w:p>
            <w:pPr>
              <w:pStyle w:val="916"/>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政府采购富深系统技术支持联系方式：</w:t>
            </w:r>
            <w:r/>
          </w:p>
          <w:p>
            <w:pPr>
              <w:pStyle w:val="916"/>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QQ：930120676、460623709、80502162、455640644、469287724</w:t>
            </w:r>
            <w:r/>
          </w:p>
          <w:p>
            <w:pPr>
              <w:pStyle w:val="916"/>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电话：0516-67669051 、0516-67669158</w:t>
            </w:r>
            <w:r/>
          </w:p>
          <w:p>
            <w:pPr>
              <w:pStyle w:val="916"/>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附：</w:t>
            </w:r>
            <w:r/>
          </w:p>
          <w:p>
            <w:pPr>
              <w:pStyle w:val="916"/>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① 江苏省政府采购管理交易系统（苏采云）供应商操作手册及政府采购客户端：</w:t>
            </w:r>
            <w:r/>
          </w:p>
          <w:p>
            <w:pPr>
              <w:pStyle w:val="916"/>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http://czj.xz.gov.cn/Home/HomeDetails?type=13&amp;articleid=a5520682-d9b1-4ff4-b46c-e9a09d1c7d08</w:t>
            </w:r>
            <w:r/>
          </w:p>
          <w:p>
            <w:pPr>
              <w:pStyle w:val="916"/>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② 供应商报名和标书制作：</w:t>
            </w:r>
            <w:r/>
          </w:p>
          <w:p>
            <w:pPr>
              <w:pStyle w:val="916"/>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http://czj.xz.gov.cn/Home/HomeDetails?type=13&amp;articleid=1d984549-f767-40c7-8647-cbbd55af52da</w:t>
            </w:r>
            <w:r/>
          </w:p>
          <w:p>
            <w:pPr>
              <w:pStyle w:val="916"/>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③ 供应商开标视频流程：</w:t>
            </w:r>
            <w:r/>
          </w:p>
          <w:p>
            <w:pPr>
              <w:pStyle w:val="916"/>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http://czj.xz.gov.cn/Home/HomeDetails?type=13&amp;articleid=9614c442-efd2-44c4-9b6f-2aed99840c8e</w:t>
            </w:r>
            <w:r/>
          </w:p>
        </w:tc>
      </w:tr>
      <w:tr>
        <w:trPr/>
        <w:tc>
          <w:tcPr>
            <w:tcW w:w="1560" w:type="dxa"/>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w:t>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8363" w:type="dxa"/>
            <w:textDirection w:val="lrTb"/>
            <w:noWrap w:val="false"/>
          </w:tcPr>
          <w:p>
            <w:pPr>
              <w:pStyle w:val="916"/>
              <w:pageBreakBefore w:val="0"/>
              <w:spacing w:line="560" w:lineRule="exact"/>
              <w:rPr>
                <w:rFonts w:ascii="仿宋" w:hAnsi="仿宋" w:eastAsia="仿宋"/>
                <w:b/>
                <w:bCs/>
                <w:color w:val="000000"/>
                <w:sz w:val="28"/>
                <w:szCs w:val="28"/>
              </w:rPr>
            </w:pPr>
            <w:r>
              <w:rPr>
                <w:rFonts w:ascii="仿宋" w:hAnsi="仿宋" w:eastAsia="仿宋"/>
                <w:b/>
                <w:bCs/>
                <w:color w:val="000000"/>
                <w:sz w:val="28"/>
                <w:szCs w:val="28"/>
              </w:rPr>
              <w:t xml:space="preserve">线上投标文件编制要求：</w:t>
            </w:r>
            <w:r/>
          </w:p>
          <w:p>
            <w:pPr>
              <w:pStyle w:val="916"/>
              <w:pageBreakBefore w:val="0"/>
              <w:spacing w:line="560" w:lineRule="exact"/>
              <w:rPr>
                <w:rFonts w:ascii="仿宋" w:hAnsi="仿宋" w:eastAsia="仿宋"/>
                <w:b/>
                <w:bCs/>
                <w:color w:val="000000"/>
                <w:sz w:val="28"/>
                <w:szCs w:val="28"/>
              </w:rPr>
            </w:pPr>
            <w:r>
              <w:rPr>
                <w:rFonts w:ascii="仿宋" w:hAnsi="仿宋" w:eastAsia="仿宋"/>
                <w:b/>
                <w:bCs/>
                <w:color w:val="000000"/>
                <w:sz w:val="28"/>
                <w:szCs w:val="28"/>
              </w:rPr>
              <w:t xml:space="preserve">请按照以下要求（包括但不限于以下要求）制作：</w:t>
            </w:r>
            <w:r/>
          </w:p>
          <w:p>
            <w:pPr>
              <w:pStyle w:val="916"/>
              <w:ind w:left="420" w:hanging="420"/>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一、《</w:t>
            </w:r>
            <w:r>
              <w:rPr>
                <w:rFonts w:hint="eastAsia" w:ascii="仿宋" w:hAnsi="仿宋" w:eastAsia="仿宋"/>
                <w:bCs/>
                <w:color w:val="000000"/>
                <w:sz w:val="28"/>
                <w:szCs w:val="28"/>
              </w:rPr>
              <w:t xml:space="preserve">承诺</w:t>
            </w:r>
            <w:r>
              <w:rPr>
                <w:rFonts w:ascii="仿宋" w:hAnsi="仿宋" w:eastAsia="仿宋"/>
                <w:bCs/>
                <w:color w:val="000000"/>
                <w:sz w:val="28"/>
                <w:szCs w:val="28"/>
              </w:rPr>
              <w:t xml:space="preserve">函》。要求加盖电子签章，格式见本文件第七章《投标文件相关格式》</w:t>
            </w:r>
            <w:r>
              <w:rPr>
                <w:rFonts w:ascii="仿宋" w:hAnsi="仿宋" w:eastAsia="仿宋"/>
                <w:b/>
                <w:bCs/>
                <w:color w:val="000000"/>
                <w:sz w:val="28"/>
                <w:szCs w:val="28"/>
              </w:rPr>
              <w:t xml:space="preserve">。</w:t>
            </w:r>
            <w:r/>
          </w:p>
          <w:p>
            <w:pPr>
              <w:pStyle w:val="916"/>
              <w:ind w:left="420" w:hanging="420"/>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二、《法定代表人授权书》。要求加盖电子签章，格式见本文件第七章《投标文件相关格式》</w:t>
            </w:r>
            <w:r>
              <w:rPr>
                <w:rFonts w:ascii="仿宋" w:hAnsi="仿宋" w:eastAsia="仿宋"/>
                <w:b/>
                <w:bCs/>
                <w:color w:val="000000"/>
                <w:sz w:val="28"/>
                <w:szCs w:val="28"/>
              </w:rPr>
              <w:t xml:space="preserve">。</w:t>
            </w:r>
            <w:r/>
          </w:p>
          <w:p>
            <w:pPr>
              <w:pStyle w:val="916"/>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三、价格部分</w:t>
            </w:r>
            <w:r/>
          </w:p>
          <w:p>
            <w:pPr>
              <w:pStyle w:val="916"/>
              <w:ind w:left="420" w:hanging="420"/>
              <w:pageBreakBefore w:val="0"/>
              <w:spacing w:line="560" w:lineRule="exact"/>
              <w:rPr>
                <w:rFonts w:ascii="仿宋" w:hAnsi="仿宋" w:eastAsia="仿宋"/>
                <w:b/>
                <w:bCs/>
                <w:color w:val="000000"/>
                <w:sz w:val="28"/>
                <w:szCs w:val="28"/>
              </w:rPr>
            </w:pPr>
            <w:r>
              <w:rPr>
                <w:rFonts w:ascii="仿宋" w:hAnsi="仿宋" w:eastAsia="仿宋"/>
                <w:bCs/>
                <w:color w:val="000000"/>
                <w:sz w:val="28"/>
                <w:szCs w:val="28"/>
              </w:rPr>
              <w:t xml:space="preserve">(一)《开标一览表》。要求加盖电子签章，格式见本文件第七章《投标文件相关格式》</w:t>
            </w:r>
            <w:r/>
          </w:p>
          <w:p>
            <w:pPr>
              <w:pStyle w:val="916"/>
              <w:ind w:left="551" w:hanging="551"/>
              <w:pageBreakBefore w:val="0"/>
              <w:spacing w:line="560" w:lineRule="exact"/>
              <w:rPr>
                <w:rFonts w:ascii="仿宋" w:hAnsi="仿宋" w:eastAsia="仿宋"/>
                <w:b/>
                <w:bCs/>
                <w:color w:val="000000"/>
                <w:sz w:val="28"/>
                <w:szCs w:val="28"/>
              </w:rPr>
            </w:pPr>
            <w:r>
              <w:rPr>
                <w:rFonts w:ascii="仿宋" w:hAnsi="仿宋" w:eastAsia="仿宋"/>
                <w:b/>
                <w:bCs/>
                <w:color w:val="000000"/>
                <w:sz w:val="28"/>
                <w:szCs w:val="28"/>
              </w:rPr>
              <w:t xml:space="preserve">四、投标人应当提交的资格、资信证明文件（</w:t>
            </w:r>
            <w:r>
              <w:rPr>
                <w:rFonts w:hint="eastAsia" w:ascii="仿宋" w:hAnsi="仿宋" w:eastAsia="仿宋"/>
                <w:b/>
                <w:bCs/>
                <w:color w:val="000000"/>
                <w:sz w:val="28"/>
                <w:szCs w:val="28"/>
              </w:rPr>
              <w:t xml:space="preserve">1-6必须提供，否则投标无效</w:t>
            </w:r>
            <w:r>
              <w:rPr>
                <w:rFonts w:ascii="仿宋" w:hAnsi="仿宋" w:eastAsia="仿宋"/>
                <w:b/>
                <w:bCs/>
                <w:color w:val="000000"/>
                <w:sz w:val="28"/>
                <w:szCs w:val="28"/>
              </w:rPr>
              <w:t xml:space="preserve">）。</w:t>
            </w:r>
            <w:r/>
          </w:p>
          <w:p>
            <w:pPr>
              <w:pStyle w:val="917"/>
              <w:ind w:firstLine="560"/>
              <w:pageBreakBefore w:val="0"/>
              <w:spacing w:line="560" w:lineRule="exact"/>
              <w:rPr>
                <w:rFonts w:ascii="仿宋" w:hAnsi="仿宋" w:eastAsia="仿宋"/>
                <w:bCs/>
                <w:color w:val="000000"/>
                <w:sz w:val="28"/>
                <w:szCs w:val="28"/>
              </w:rPr>
            </w:pPr>
            <w:r>
              <w:rPr>
                <w:rFonts w:hint="eastAsia" w:ascii="仿宋" w:hAnsi="仿宋" w:eastAsia="仿宋"/>
                <w:bCs/>
                <w:color w:val="000000"/>
                <w:sz w:val="28"/>
                <w:szCs w:val="28"/>
              </w:rPr>
              <w:t xml:space="preserve">（一）满足《中华人民共和国政府采购法》第二十二条规定；</w:t>
            </w:r>
            <w:r/>
          </w:p>
          <w:p>
            <w:pPr>
              <w:pStyle w:val="917"/>
              <w:ind w:firstLine="560"/>
              <w:pageBreakBefore w:val="0"/>
              <w:spacing w:line="5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1.合法有效的法人的营业执照，或事业单位法人证书，或民办非企业单位登记证书，以上原件扫描上传并加盖电子签章。</w:t>
            </w:r>
            <w:r/>
          </w:p>
          <w:p>
            <w:pPr>
              <w:pStyle w:val="917"/>
              <w:ind w:firstLine="560"/>
              <w:pageBreakBefore w:val="0"/>
              <w:spacing w:line="5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2.财务状况报告，提供：投标人的本项目开标时间前6个月内任一时间截点的资产负债表和利润表月报表的扫描件1份或提供供应商</w:t>
            </w:r>
            <w:r>
              <w:rPr>
                <w:rFonts w:hint="eastAsia" w:ascii="仿宋" w:hAnsi="仿宋" w:eastAsia="仿宋"/>
                <w:bCs/>
                <w:color w:val="000000"/>
                <w:sz w:val="28"/>
                <w:szCs w:val="28"/>
                <w:lang w:val="en-US" w:eastAsia="zh-CN"/>
              </w:rPr>
              <w:t xml:space="preserve">2025</w:t>
            </w:r>
            <w:r>
              <w:rPr>
                <w:rFonts w:hint="eastAsia" w:ascii="仿宋" w:hAnsi="仿宋" w:eastAsia="仿宋"/>
                <w:bCs/>
                <w:color w:val="000000"/>
                <w:sz w:val="28"/>
                <w:szCs w:val="28"/>
              </w:rPr>
              <w:t xml:space="preserve">年度财务审计报告或供应商的本项目开标时间前6个月内银行出具的资信证明扫描件。</w:t>
            </w:r>
            <w:r/>
          </w:p>
          <w:p>
            <w:pPr>
              <w:pStyle w:val="917"/>
              <w:ind w:firstLine="560"/>
              <w:pageBreakBefore w:val="0"/>
              <w:spacing w:line="5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供应商的本项目开标时间前6个月内（不含开标当月）任何1月的依法缴纳税收和社会保障资金的相关材料扫描件；依法免税或不需要缴纳社会保障资金的投标人应提供相应其依法免税或不需要缴纳社会保障资金的证明文件的相关材料原件扫描上传并加盖电子签章；</w:t>
            </w:r>
            <w:r/>
          </w:p>
          <w:p>
            <w:pPr>
              <w:pStyle w:val="917"/>
              <w:ind w:firstLine="560"/>
              <w:pageBreakBefore w:val="0"/>
              <w:spacing w:line="5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4.提供具备履行合同所必需的设备和专业技术能力的书面声明（格式见招标文件第七章《投标文件相关格式》）。</w:t>
            </w:r>
            <w:r/>
          </w:p>
          <w:p>
            <w:pPr>
              <w:pStyle w:val="917"/>
              <w:ind w:firstLine="560"/>
              <w:pageBreakBefore w:val="0"/>
              <w:spacing w:line="5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5.供应商参加政府采购活动前3年内在经营活动中没有重大违法记录的书面声明（加盖电子签章，格式见招标文件第七章《投标文件相关格式》）。</w:t>
            </w:r>
            <w:r/>
          </w:p>
          <w:p>
            <w:pPr>
              <w:pStyle w:val="917"/>
              <w:ind w:firstLine="560"/>
              <w:pageBreakBefore w:val="0"/>
              <w:spacing w:line="5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6.投标人需提供中小企业声明函或残疾人福利性单位声明函或省级以上监狱管理局、戒毒管理局（含新疆生产建设兵团）出具的属于监狱企业的证明文件扫描件。</w:t>
            </w:r>
            <w:r/>
          </w:p>
          <w:p>
            <w:pPr>
              <w:pStyle w:val="916"/>
              <w:ind w:left="551" w:hanging="551"/>
              <w:pageBreakBefore w:val="0"/>
              <w:spacing w:line="560" w:lineRule="exact"/>
              <w:rPr>
                <w:rFonts w:ascii="仿宋" w:hAnsi="仿宋" w:eastAsia="仿宋"/>
                <w:b/>
                <w:bCs/>
                <w:color w:val="000000"/>
                <w:sz w:val="28"/>
                <w:szCs w:val="28"/>
              </w:rPr>
            </w:pPr>
            <w:r>
              <w:rPr>
                <w:rFonts w:ascii="仿宋" w:hAnsi="仿宋" w:eastAsia="仿宋"/>
                <w:b/>
                <w:bCs/>
                <w:color w:val="000000"/>
                <w:sz w:val="28"/>
                <w:szCs w:val="28"/>
              </w:rPr>
              <w:t xml:space="preserve">五、技术部分</w:t>
            </w:r>
            <w:r/>
          </w:p>
          <w:p>
            <w:pPr>
              <w:pStyle w:val="916"/>
              <w:pageBreakBefore w:val="0"/>
              <w:spacing w:line="560" w:lineRule="exact"/>
              <w:rPr>
                <w:rFonts w:ascii="仿宋" w:hAnsi="仿宋" w:eastAsia="仿宋"/>
                <w:color w:val="000000"/>
                <w:sz w:val="28"/>
                <w:szCs w:val="28"/>
              </w:rPr>
            </w:pPr>
            <w:r>
              <w:rPr>
                <w:rFonts w:ascii="仿宋" w:hAnsi="仿宋" w:eastAsia="仿宋"/>
                <w:bCs/>
                <w:color w:val="000000"/>
                <w:sz w:val="28"/>
                <w:szCs w:val="28"/>
              </w:rPr>
              <w:t xml:space="preserve">要求见本文件第四章《评标标准》及第六章《采购需求》。</w:t>
            </w:r>
            <w:r/>
          </w:p>
          <w:p>
            <w:pPr>
              <w:pStyle w:val="916"/>
              <w:ind w:right="28" w:firstLine="560"/>
              <w:jc w:val="left"/>
              <w:pageBreakBefore w:val="0"/>
              <w:spacing w:line="560" w:lineRule="exact"/>
              <w:widowControl/>
              <w:rPr>
                <w:rFonts w:ascii="仿宋" w:hAnsi="仿宋" w:eastAsia="仿宋"/>
                <w:bCs/>
                <w:color w:val="000000"/>
                <w:sz w:val="28"/>
                <w:szCs w:val="28"/>
              </w:rPr>
            </w:pPr>
            <w:r>
              <w:rPr>
                <w:rFonts w:ascii="仿宋" w:hAnsi="仿宋" w:eastAsia="仿宋"/>
                <w:bCs/>
                <w:color w:val="000000"/>
                <w:sz w:val="28"/>
                <w:szCs w:val="28"/>
              </w:rPr>
              <w:t xml:space="preserve">(一)评分细则中评分得分需提供的相关证明文件</w:t>
            </w:r>
            <w:r>
              <w:rPr>
                <w:rFonts w:hint="eastAsia" w:ascii="仿宋" w:hAnsi="仿宋" w:eastAsia="仿宋"/>
                <w:bCs/>
                <w:color w:val="000000"/>
                <w:sz w:val="28"/>
                <w:szCs w:val="28"/>
                <w:lang w:eastAsia="zh-CN"/>
              </w:rPr>
              <w:t xml:space="preserve">按要求</w:t>
            </w:r>
            <w:r>
              <w:rPr>
                <w:rFonts w:ascii="仿宋" w:hAnsi="仿宋" w:eastAsia="仿宋"/>
                <w:bCs/>
                <w:color w:val="000000"/>
                <w:sz w:val="28"/>
                <w:szCs w:val="28"/>
              </w:rPr>
              <w:t xml:space="preserve">扫描上传。</w:t>
            </w:r>
            <w:r/>
          </w:p>
          <w:p>
            <w:pPr>
              <w:pStyle w:val="916"/>
              <w:ind w:left="420" w:hanging="42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六、</w:t>
            </w:r>
            <w:r>
              <w:rPr>
                <w:rFonts w:ascii="仿宋" w:hAnsi="仿宋" w:eastAsia="仿宋"/>
                <w:bCs/>
                <w:color w:val="000000"/>
                <w:sz w:val="28"/>
                <w:szCs w:val="28"/>
              </w:rPr>
              <w:t xml:space="preserve">《偏离表》。要求加盖电子签章，格式见本文件第七章《投标文件相关格式》</w:t>
            </w:r>
            <w:r>
              <w:rPr>
                <w:rFonts w:ascii="仿宋" w:hAnsi="仿宋" w:eastAsia="仿宋"/>
                <w:b/>
                <w:bCs/>
                <w:color w:val="000000"/>
                <w:sz w:val="28"/>
                <w:szCs w:val="28"/>
              </w:rPr>
              <w:t xml:space="preserve">。</w:t>
            </w:r>
            <w:r/>
          </w:p>
          <w:p>
            <w:pPr>
              <w:pStyle w:val="916"/>
              <w:ind w:left="420" w:hanging="420"/>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七、商务部分</w:t>
            </w:r>
            <w:r/>
          </w:p>
          <w:p>
            <w:pPr>
              <w:pStyle w:val="999"/>
              <w:numPr>
                <w:ilvl w:val="0"/>
                <w:numId w:val="15"/>
              </w:numPr>
              <w:ind w:firstLine="280"/>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要求见本文件第四章《评标标准》。</w:t>
            </w:r>
            <w:r/>
          </w:p>
          <w:p>
            <w:pPr>
              <w:pStyle w:val="916"/>
              <w:ind w:firstLine="280"/>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（二）投标人提供的</w:t>
            </w:r>
            <w:r>
              <w:rPr>
                <w:rFonts w:hint="eastAsia" w:ascii="仿宋" w:hAnsi="仿宋" w:eastAsia="仿宋"/>
                <w:bCs/>
                <w:color w:val="000000"/>
                <w:sz w:val="28"/>
                <w:szCs w:val="28"/>
              </w:rPr>
              <w:t xml:space="preserve">货物</w:t>
            </w:r>
            <w:r>
              <w:rPr>
                <w:rFonts w:ascii="仿宋" w:hAnsi="仿宋" w:eastAsia="仿宋"/>
                <w:bCs/>
                <w:color w:val="000000"/>
                <w:sz w:val="28"/>
                <w:szCs w:val="28"/>
              </w:rPr>
              <w:t xml:space="preserve">全部由符合政策要求的中小企业承接的，提供《中小企业声明函》（加盖电子签章，填写完整。格式见招标文件第七章《投标文件相关格式》）。</w:t>
            </w:r>
            <w:r>
              <w:rPr>
                <w:rFonts w:ascii="仿宋" w:hAnsi="仿宋" w:eastAsia="仿宋"/>
                <w:b/>
                <w:color w:val="000000"/>
                <w:sz w:val="28"/>
                <w:szCs w:val="28"/>
              </w:rPr>
              <w:t xml:space="preserve">《中小企业声明函》查询渠道参考工业和信息化部发布的中小企业规模自测小程序。</w:t>
            </w:r>
            <w:r/>
          </w:p>
          <w:p>
            <w:pPr>
              <w:pStyle w:val="916"/>
              <w:ind w:firstLine="560"/>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注：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Fonts w:ascii="仿宋" w:hAnsi="仿宋" w:eastAsia="仿宋"/>
                <w:b/>
                <w:bCs/>
                <w:color w:val="000000"/>
                <w:sz w:val="28"/>
                <w:szCs w:val="28"/>
              </w:rPr>
              <w:t xml:space="preserve">。</w:t>
            </w:r>
            <w:r/>
          </w:p>
          <w:p>
            <w:pPr>
              <w:pStyle w:val="916"/>
              <w:ind w:firstLine="560"/>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916"/>
              <w:ind w:firstLine="560"/>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916"/>
              <w:ind w:left="139" w:firstLine="280"/>
              <w:pageBreakBefore w:val="0"/>
              <w:spacing w:line="560" w:lineRule="exact"/>
              <w:rPr>
                <w:rFonts w:ascii="仿宋" w:hAnsi="仿宋" w:eastAsia="仿宋"/>
                <w:color w:val="000000"/>
                <w:sz w:val="28"/>
                <w:szCs w:val="28"/>
              </w:rPr>
            </w:pPr>
            <w:r>
              <w:rPr>
                <w:rFonts w:ascii="仿宋" w:hAnsi="仿宋" w:eastAsia="仿宋"/>
                <w:bCs/>
                <w:color w:val="000000"/>
                <w:sz w:val="28"/>
                <w:szCs w:val="28"/>
              </w:rPr>
              <w:t xml:space="preserve">（三）投标人认为需提供的其它证明文件。</w:t>
            </w:r>
            <w:r/>
          </w:p>
          <w:p>
            <w:pPr>
              <w:pStyle w:val="916"/>
              <w:ind w:firstLine="135"/>
              <w:pageBreakBefore w:val="0"/>
              <w:spacing w:line="560" w:lineRule="exact"/>
              <w:rPr>
                <w:rFonts w:ascii="仿宋" w:hAnsi="仿宋" w:eastAsia="仿宋"/>
                <w:bCs/>
                <w:color w:val="000000"/>
                <w:sz w:val="28"/>
                <w:szCs w:val="28"/>
              </w:rPr>
            </w:pPr>
            <w:r>
              <w:rPr>
                <w:rFonts w:ascii="仿宋" w:hAnsi="仿宋" w:eastAsia="仿宋"/>
                <w:b/>
                <w:bCs/>
                <w:color w:val="000000"/>
                <w:sz w:val="28"/>
                <w:szCs w:val="28"/>
              </w:rPr>
              <w:t xml:space="preserve">注</w:t>
            </w:r>
            <w:r>
              <w:rPr>
                <w:rFonts w:ascii="仿宋" w:hAnsi="仿宋" w:eastAsia="仿宋"/>
                <w:bCs/>
                <w:color w:val="000000"/>
                <w:sz w:val="28"/>
                <w:szCs w:val="28"/>
              </w:rPr>
              <w:t xml:space="preserve">：</w:t>
            </w:r>
            <w:r/>
          </w:p>
          <w:p>
            <w:pPr>
              <w:pStyle w:val="916"/>
              <w:ind w:firstLine="551"/>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1.投标人应对以上文件的合法性、真实性负责。</w:t>
            </w:r>
            <w:r/>
          </w:p>
          <w:p>
            <w:pPr>
              <w:pStyle w:val="916"/>
              <w:ind w:left="832" w:hanging="280"/>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2.签订合同前，中标人必须向采购人提交其投标文件中所有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W w:w="1560" w:type="dxa"/>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(十一)</w:t>
            </w:r>
            <w:r/>
          </w:p>
        </w:tc>
        <w:tc>
          <w:tcPr>
            <w:tcW w:w="8363" w:type="dxa"/>
            <w:textDirection w:val="lrTb"/>
            <w:noWrap w:val="false"/>
          </w:tcPr>
          <w:p>
            <w:pPr>
              <w:pStyle w:val="916"/>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商务条件见：</w:t>
            </w:r>
            <w:r/>
          </w:p>
          <w:p>
            <w:pPr>
              <w:pStyle w:val="916"/>
              <w:pageBreakBefore w:val="0"/>
              <w:spacing w:line="560" w:lineRule="exact"/>
              <w:widowControl/>
              <w:rPr>
                <w:rFonts w:ascii="仿宋" w:hAnsi="仿宋" w:eastAsia="仿宋"/>
                <w:bCs/>
                <w:color w:val="000000"/>
                <w:sz w:val="28"/>
                <w:szCs w:val="28"/>
              </w:rPr>
            </w:pPr>
            <w:r>
              <w:rPr>
                <w:rFonts w:ascii="仿宋" w:hAnsi="仿宋" w:eastAsia="仿宋"/>
                <w:color w:val="000000"/>
                <w:sz w:val="28"/>
                <w:szCs w:val="28"/>
              </w:rPr>
              <w:t xml:space="preserve">一、本文件第四章《评标标准》中《评分细则》。</w:t>
            </w:r>
            <w:r/>
          </w:p>
        </w:tc>
      </w:tr>
      <w:tr>
        <w:trPr/>
        <w:tc>
          <w:tcPr>
            <w:tcW w:w="1560" w:type="dxa"/>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(十二)</w:t>
            </w:r>
            <w:r/>
          </w:p>
        </w:tc>
        <w:tc>
          <w:tcPr>
            <w:tcW w:w="8363" w:type="dxa"/>
            <w:textDirection w:val="lrTb"/>
            <w:noWrap w:val="false"/>
          </w:tcPr>
          <w:p>
            <w:pPr>
              <w:pStyle w:val="916"/>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交货和提供服务的时间：见本文件第五章《拟签订的合同文本》及或本文件第六章《采购需求》。</w:t>
            </w:r>
            <w:r/>
          </w:p>
        </w:tc>
      </w:tr>
      <w:tr>
        <w:trPr>
          <w:trHeight w:val="90"/>
        </w:trPr>
        <w:tc>
          <w:tcPr>
            <w:tcW w:w="1560" w:type="dxa"/>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(十三)</w:t>
            </w:r>
            <w:r/>
          </w:p>
        </w:tc>
        <w:tc>
          <w:tcPr>
            <w:tcW w:w="8363"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bCs/>
                <w:color w:val="000000"/>
                <w:sz w:val="28"/>
                <w:szCs w:val="28"/>
              </w:rPr>
              <w:t xml:space="preserve">本项目采购预算金额</w:t>
            </w:r>
            <w:r>
              <w:rPr>
                <w:rFonts w:ascii="仿宋" w:hAnsi="仿宋" w:eastAsia="仿宋"/>
                <w:color w:val="000000"/>
                <w:sz w:val="28"/>
                <w:szCs w:val="28"/>
              </w:rPr>
              <w:t xml:space="preserve">:</w:t>
            </w:r>
            <w:r>
              <w:rPr>
                <w:rFonts w:hint="eastAsia" w:ascii="仿宋" w:hAnsi="仿宋" w:eastAsia="仿宋"/>
                <w:b/>
                <w:bCs/>
                <w:color w:val="000000"/>
                <w:sz w:val="28"/>
                <w:szCs w:val="28"/>
                <w:highlight w:val="none"/>
                <w:lang w:eastAsia="zh-CN"/>
              </w:rPr>
              <w:t xml:space="preserve">本项目预算21.8 万元。</w:t>
            </w:r>
            <w:r/>
          </w:p>
        </w:tc>
      </w:tr>
      <w:tr>
        <w:trPr/>
        <w:tc>
          <w:tcPr>
            <w:tcW w:w="1560" w:type="dxa"/>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(十四)</w:t>
            </w:r>
            <w:r/>
          </w:p>
        </w:tc>
        <w:tc>
          <w:tcPr>
            <w:tcW w:w="8363"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以人民币报价。</w:t>
            </w:r>
            <w:r/>
          </w:p>
        </w:tc>
      </w:tr>
      <w:tr>
        <w:trPr/>
        <w:tc>
          <w:tcPr>
            <w:tcW w:w="1560" w:type="dxa"/>
            <w:textDirection w:val="lrTb"/>
            <w:noWrap w:val="false"/>
          </w:tcPr>
          <w:p>
            <w:pPr>
              <w:pStyle w:val="916"/>
              <w:jc w:val="center"/>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（十五）</w:t>
            </w:r>
            <w:r/>
          </w:p>
        </w:tc>
        <w:tc>
          <w:tcPr>
            <w:tcW w:w="8363"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线上要求：</w:t>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投标人应当通过“苏采云”系统提交数据电文形式的投标文件（即电子投标）。</w:t>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特别说明：投标人通过“苏采云”系统提交政府采购客户端工具导出加密的投标文件（后缀名为zip）。投标文件不得超过350M！</w:t>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说明：供应商投标文件从政府采购客户端工具制作通过“苏采云”系统提交。 </w:t>
            </w:r>
            <w:r/>
          </w:p>
        </w:tc>
      </w:tr>
      <w:tr>
        <w:trPr/>
        <w:tc>
          <w:tcPr>
            <w:tcW w:w="1560" w:type="dxa"/>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(十六)</w:t>
            </w:r>
            <w:r/>
          </w:p>
        </w:tc>
        <w:tc>
          <w:tcPr>
            <w:tcW w:w="8363"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线上投标文件的密封、签署、盖章要求：</w:t>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一、投标文件的密封（加密）要求：</w:t>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二、投标文件的签署要求：见招标文件第七章《投标文件相关格式》。</w:t>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说明：</w:t>
            </w:r>
            <w:r/>
          </w:p>
          <w:p>
            <w:pPr>
              <w:pStyle w:val="917"/>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未进行线上投标并解密(因“苏采云”系统导致解密失败的除外)的，所导致的一切后果均由投标人承担。</w:t>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四、投标文件的签署要求：见招标文件第七章《投标文件相关格式》。</w:t>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五、投标文件的盖章要求：见招标文件第三章《投标资料表》和招标文件第七章《投标文件相关格式》。</w:t>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说明：投标人应凭CA数字证书以及自备的能够登录“苏采云”系统的笔记本电脑，在达到开标时间后，使用CA数字证书解密各自投标文件。</w:t>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投标人未按规定加密的投标文件，“苏采云”系统应当拒收并提示。</w:t>
            </w:r>
            <w:r/>
          </w:p>
        </w:tc>
      </w:tr>
      <w:tr>
        <w:trPr/>
        <w:tc>
          <w:tcPr>
            <w:tcW w:w="1560" w:type="dxa"/>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(十七)</w:t>
            </w:r>
            <w:r/>
          </w:p>
        </w:tc>
        <w:tc>
          <w:tcPr>
            <w:tcW w:w="8363"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投标人应在提交投标文件的截止时间前，将电子投标文件上传系统。</w:t>
            </w:r>
            <w:r/>
          </w:p>
        </w:tc>
      </w:tr>
      <w:tr>
        <w:trPr>
          <w:trHeight w:val="90"/>
        </w:trPr>
        <w:tc>
          <w:tcPr>
            <w:tcW w:w="1560" w:type="dxa"/>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（十八）</w:t>
            </w:r>
            <w:r/>
          </w:p>
        </w:tc>
        <w:tc>
          <w:tcPr>
            <w:tcW w:w="8363"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电子投标文件应由其法定代表人或法定代表人授权代表在规定的网上投标时间内，凭 CA 证书登陆“苏采云”系统平台在线编制投标文件（电子数据），并在投标截止时间之前上传投标文件。在达到开标时间后，使用CA数字证书解密各自投标文件。</w:t>
            </w:r>
            <w:r/>
          </w:p>
        </w:tc>
      </w:tr>
      <w:tr>
        <w:trPr/>
        <w:tc>
          <w:tcPr>
            <w:tcW w:w="1560" w:type="dxa"/>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w:t>
            </w:r>
            <w:r/>
          </w:p>
        </w:tc>
        <w:tc>
          <w:tcPr>
            <w:tcW w:w="8363"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开标</w:t>
            </w:r>
            <w:r/>
          </w:p>
        </w:tc>
      </w:tr>
      <w:tr>
        <w:trPr/>
        <w:tc>
          <w:tcPr>
            <w:tcW w:w="1560" w:type="dxa"/>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(十九)</w:t>
            </w:r>
            <w:r/>
          </w:p>
        </w:tc>
        <w:tc>
          <w:tcPr>
            <w:tcW w:w="8363"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开标地点：苏采云”系统“开标大厅”或进入徐州政府采购网--业务工作--用户登录，点击“苏采云”进入系统“开标大厅”。</w:t>
            </w:r>
            <w:r/>
          </w:p>
        </w:tc>
      </w:tr>
      <w:tr>
        <w:trPr/>
        <w:tc>
          <w:tcPr>
            <w:tcW w:w="1560" w:type="dxa"/>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w:t>
            </w:r>
            <w:r/>
          </w:p>
        </w:tc>
        <w:tc>
          <w:tcPr>
            <w:tcW w:w="8363"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招标文件规定的需要公示的内容：投标人名称、投标价格。</w:t>
            </w:r>
            <w:r/>
          </w:p>
        </w:tc>
      </w:tr>
      <w:tr>
        <w:trPr/>
        <w:tc>
          <w:tcPr>
            <w:tcW w:w="1560" w:type="dxa"/>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五</w:t>
            </w:r>
            <w:r/>
          </w:p>
        </w:tc>
        <w:tc>
          <w:tcPr>
            <w:tcW w:w="8363"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评标</w:t>
            </w:r>
            <w:r/>
          </w:p>
        </w:tc>
      </w:tr>
      <w:tr>
        <w:trPr/>
        <w:tc>
          <w:tcPr>
            <w:tcW w:w="1560" w:type="dxa"/>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(二十一)</w:t>
            </w:r>
            <w:r/>
          </w:p>
        </w:tc>
        <w:tc>
          <w:tcPr>
            <w:tcW w:w="8363"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采用综合评分法。</w:t>
            </w:r>
            <w:r/>
          </w:p>
        </w:tc>
      </w:tr>
      <w:tr>
        <w:trPr/>
        <w:tc>
          <w:tcPr>
            <w:tcW w:w="1560" w:type="dxa"/>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(二十二)</w:t>
            </w:r>
            <w:r/>
          </w:p>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(二十三)</w:t>
            </w:r>
            <w:r/>
          </w:p>
        </w:tc>
        <w:tc>
          <w:tcPr>
            <w:tcW w:w="8363" w:type="dxa"/>
            <w:textDirection w:val="lrTb"/>
            <w:noWrap w:val="false"/>
          </w:tcPr>
          <w:p>
            <w:pPr>
              <w:pStyle w:val="916"/>
              <w:ind w:left="560" w:hanging="56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一、推荐中标候选供应商名单。中标候选供应商</w:t>
            </w:r>
            <w:r>
              <w:rPr>
                <w:rFonts w:hint="eastAsia" w:ascii="仿宋" w:hAnsi="仿宋" w:eastAsia="仿宋"/>
                <w:color w:val="000000"/>
                <w:sz w:val="28"/>
                <w:szCs w:val="28"/>
                <w:lang w:eastAsia="zh-CN"/>
              </w:rPr>
              <w:t xml:space="preserve">数量为</w:t>
            </w:r>
            <w:r>
              <w:rPr>
                <w:rFonts w:hint="eastAsia" w:ascii="仿宋" w:hAnsi="仿宋" w:eastAsia="仿宋"/>
                <w:color w:val="000000"/>
                <w:sz w:val="28"/>
                <w:szCs w:val="28"/>
                <w:lang w:val="en-US" w:eastAsia="zh-CN"/>
              </w:rPr>
              <w:t xml:space="preserve">1名</w:t>
            </w:r>
            <w:r>
              <w:rPr>
                <w:rFonts w:ascii="仿宋" w:hAnsi="仿宋" w:eastAsia="仿宋"/>
                <w:color w:val="000000"/>
                <w:sz w:val="28"/>
                <w:szCs w:val="28"/>
              </w:rPr>
              <w:t xml:space="preserve">。</w:t>
            </w:r>
            <w:r/>
          </w:p>
          <w:p>
            <w:pPr>
              <w:pStyle w:val="916"/>
              <w:ind w:left="560" w:hanging="560"/>
              <w:pageBreakBefore w:val="0"/>
              <w:spacing w:line="560" w:lineRule="exact"/>
              <w:rPr>
                <w:rFonts w:ascii="仿宋" w:hAnsi="仿宋" w:eastAsia="仿宋"/>
                <w:bCs/>
                <w:color w:val="000000"/>
                <w:sz w:val="28"/>
                <w:szCs w:val="28"/>
              </w:rPr>
            </w:pPr>
            <w:r>
              <w:rPr>
                <w:rFonts w:ascii="仿宋" w:hAnsi="仿宋" w:eastAsia="仿宋"/>
                <w:color w:val="000000"/>
                <w:sz w:val="28"/>
                <w:szCs w:val="28"/>
              </w:rPr>
              <w:t xml:space="preserve">二、采用综合评分法的，按评审后得分由高到低顺序排列。得分相同的，按技术部分得分顺序排列</w:t>
            </w:r>
            <w:r>
              <w:rPr>
                <w:rFonts w:hint="eastAsia" w:ascii="仿宋" w:hAnsi="仿宋" w:eastAsia="仿宋"/>
                <w:color w:val="000000"/>
                <w:sz w:val="28"/>
                <w:szCs w:val="28"/>
              </w:rPr>
              <w:t xml:space="preserve">，</w:t>
            </w:r>
            <w:r>
              <w:rPr>
                <w:rFonts w:hint="eastAsia" w:ascii="仿宋" w:hAnsi="仿宋" w:eastAsia="仿宋"/>
                <w:b/>
                <w:bCs/>
                <w:color w:val="000000"/>
                <w:sz w:val="28"/>
                <w:szCs w:val="28"/>
              </w:rPr>
              <w:t xml:space="preserve">如技术部分得分相同，按照售后服务得分顺序排列。</w:t>
            </w:r>
            <w:r/>
          </w:p>
        </w:tc>
      </w:tr>
      <w:tr>
        <w:trPr/>
        <w:tc>
          <w:tcPr>
            <w:tcW w:w="1560" w:type="dxa"/>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六</w:t>
            </w:r>
            <w:r/>
          </w:p>
        </w:tc>
        <w:tc>
          <w:tcPr>
            <w:tcW w:w="8363"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政府采购合同</w:t>
            </w:r>
            <w:r/>
          </w:p>
        </w:tc>
      </w:tr>
      <w:tr>
        <w:trPr/>
        <w:tc>
          <w:tcPr>
            <w:tcW w:w="1560" w:type="dxa"/>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(二十四)</w:t>
            </w:r>
            <w:r/>
          </w:p>
        </w:tc>
        <w:tc>
          <w:tcPr>
            <w:tcW w:w="8363"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采购人与中标、成交供应商应当在中标、成交通知书发出之日起30日内，按照采购文件确定的事项签订政府采购合同。</w:t>
            </w:r>
            <w:r/>
          </w:p>
        </w:tc>
      </w:tr>
      <w:tr>
        <w:trPr/>
        <w:tc>
          <w:tcPr>
            <w:gridSpan w:val="2"/>
            <w:tcW w:w="9923" w:type="dxa"/>
            <w:vAlign w:val="center"/>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（二十五） 履约保证金：无。</w:t>
            </w:r>
            <w:r/>
          </w:p>
        </w:tc>
      </w:tr>
      <w:tr>
        <w:trPr/>
        <w:tc>
          <w:tcPr>
            <w:tcW w:w="1560" w:type="dxa"/>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(二十六)</w:t>
            </w:r>
            <w:r/>
          </w:p>
        </w:tc>
        <w:tc>
          <w:tcPr>
            <w:tcW w:w="8363" w:type="dxa"/>
            <w:textDirection w:val="lrTb"/>
            <w:noWrap w:val="false"/>
          </w:tcPr>
          <w:p>
            <w:pPr>
              <w:pStyle w:val="916"/>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16"/>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2、供应商在法定质疑期内一次性提出针对同一采购程序环节的质疑。</w:t>
            </w:r>
            <w:r/>
          </w:p>
          <w:p>
            <w:pPr>
              <w:pStyle w:val="916"/>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代理机构质疑接收人：沈苗苗；联系电话：0516-88610655</w:t>
            </w:r>
            <w:r/>
          </w:p>
          <w:p>
            <w:pPr>
              <w:pStyle w:val="916"/>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地址：新沂市钟吾南路17号政务服务中心4楼</w:t>
            </w:r>
            <w:r/>
          </w:p>
          <w:p>
            <w:pPr>
              <w:pStyle w:val="916"/>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采购人质疑接收人：杨新永 </w:t>
            </w:r>
            <w:r/>
          </w:p>
          <w:p>
            <w:pPr>
              <w:pStyle w:val="916"/>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联系电话：15262021566</w:t>
            </w:r>
            <w:r/>
          </w:p>
          <w:p>
            <w:pPr>
              <w:pStyle w:val="916"/>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地址：江苏省新沂市钟吾路159号</w:t>
            </w:r>
            <w:r/>
          </w:p>
        </w:tc>
      </w:tr>
    </w:tbl>
    <w:p>
      <w:pPr>
        <w:pStyle w:val="916"/>
        <w:pageBreakBefore w:val="0"/>
        <w:spacing w:line="560" w:lineRule="exact"/>
        <w:rPr>
          <w:rFonts w:ascii="仿宋" w:hAnsi="仿宋" w:eastAsia="仿宋"/>
          <w:color w:val="000000"/>
        </w:rPr>
      </w:pPr>
      <w:r>
        <w:rPr>
          <w:rFonts w:ascii="仿宋" w:hAnsi="仿宋" w:eastAsia="仿宋"/>
          <w:color w:val="000000"/>
        </w:rPr>
      </w:r>
      <w:r/>
    </w:p>
    <w:p>
      <w:pPr>
        <w:pStyle w:val="916"/>
        <w:pageBreakBefore w:val="0"/>
        <w:spacing w:line="560" w:lineRule="exact"/>
        <w:widowControl/>
        <w:rPr>
          <w:rFonts w:ascii="仿宋" w:hAnsi="仿宋" w:eastAsia="仿宋"/>
          <w:b/>
          <w:bCs/>
          <w:color w:val="000000"/>
          <w:sz w:val="32"/>
          <w:szCs w:val="32"/>
        </w:rPr>
      </w:pPr>
      <w:r/>
      <w:bookmarkStart w:id="40" w:name="_Toc522790133"/>
      <w:r>
        <w:rPr>
          <w:rFonts w:ascii="仿宋" w:hAnsi="仿宋" w:eastAsia="仿宋"/>
          <w:color w:val="000000"/>
          <w:sz w:val="30"/>
          <w:szCs w:val="30"/>
        </w:rPr>
        <w:br w:type="page" w:clear="all"/>
      </w:r>
      <w:bookmarkStart w:id="41" w:name="_Toc10308"/>
      <w:r/>
      <w:bookmarkStart w:id="42" w:name="_Toc18184"/>
      <w:r/>
      <w:r/>
    </w:p>
    <w:p>
      <w:pPr>
        <w:pStyle w:val="916"/>
        <w:numPr>
          <w:ilvl w:val="0"/>
          <w:numId w:val="14"/>
        </w:numPr>
        <w:jc w:val="center"/>
        <w:pageBreakBefore w:val="0"/>
        <w:spacing w:line="560" w:lineRule="exact"/>
        <w:widowControl/>
        <w:rPr>
          <w:rFonts w:ascii="仿宋" w:hAnsi="仿宋" w:eastAsia="仿宋"/>
          <w:b/>
          <w:bCs/>
          <w:color w:val="000000"/>
          <w:sz w:val="32"/>
          <w:szCs w:val="32"/>
        </w:rPr>
      </w:pPr>
      <w:r>
        <w:rPr>
          <w:rFonts w:ascii="仿宋" w:hAnsi="仿宋" w:eastAsia="仿宋"/>
          <w:b/>
          <w:bCs/>
          <w:color w:val="000000"/>
          <w:sz w:val="32"/>
          <w:szCs w:val="32"/>
        </w:rPr>
        <w:t xml:space="preserve"> </w:t>
      </w:r>
      <w:bookmarkStart w:id="43" w:name="_Toc9839"/>
      <w:r>
        <w:rPr>
          <w:rFonts w:ascii="仿宋" w:hAnsi="仿宋" w:eastAsia="仿宋"/>
          <w:b/>
          <w:bCs/>
          <w:color w:val="000000"/>
          <w:sz w:val="32"/>
          <w:szCs w:val="32"/>
        </w:rPr>
        <w:t xml:space="preserve">评标标准</w:t>
      </w:r>
      <w:bookmarkEnd w:id="40"/>
      <w:r/>
      <w:bookmarkEnd w:id="41"/>
      <w:r/>
      <w:bookmarkEnd w:id="42"/>
      <w:r/>
      <w:bookmarkEnd w:id="43"/>
      <w:r/>
      <w:r/>
    </w:p>
    <w:p>
      <w:pPr>
        <w:pStyle w:val="917"/>
        <w:pageBreakBefore w:val="0"/>
        <w:spacing w:line="560" w:lineRule="exact"/>
        <w:rPr>
          <w:rFonts w:ascii="宋体" w:hAnsi="宋体"/>
          <w:b/>
          <w:bCs/>
          <w:color w:val="000000"/>
          <w:szCs w:val="21"/>
        </w:rPr>
      </w:pPr>
      <w:r>
        <w:rPr>
          <w:rFonts w:ascii="宋体" w:hAnsi="宋体"/>
          <w:b/>
          <w:bCs/>
          <w:color w:val="000000"/>
          <w:szCs w:val="21"/>
        </w:rPr>
      </w:r>
      <w:r/>
    </w:p>
    <w:p>
      <w:pPr>
        <w:pStyle w:val="917"/>
        <w:pageBreakBefore w:val="0"/>
        <w:spacing w:line="560" w:lineRule="exact"/>
        <w:rPr>
          <w:rFonts w:ascii="宋体" w:hAnsi="宋体"/>
          <w:b/>
          <w:bCs/>
          <w:color w:val="000000"/>
          <w:szCs w:val="21"/>
        </w:rPr>
      </w:pPr>
      <w:r>
        <w:rPr>
          <w:rFonts w:ascii="宋体" w:hAnsi="宋体"/>
          <w:b/>
          <w:bCs/>
          <w:color w:val="000000"/>
          <w:szCs w:val="21"/>
        </w:rPr>
        <w:t xml:space="preserve">本章说明：本项目采用综合评分法。</w:t>
      </w:r>
      <w:r/>
    </w:p>
    <w:tbl>
      <w:tblPr>
        <w:tblStyle w:val="807"/>
        <w:tblW w:w="93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1"/>
        <w:gridCol w:w="1050"/>
        <w:gridCol w:w="1095"/>
        <w:gridCol w:w="5613"/>
        <w:gridCol w:w="954"/>
      </w:tblGrid>
      <w:tr>
        <w:trPr>
          <w:jc w:val="center"/>
          <w:trHeight w:val="0"/>
          <w:tblHeader/>
        </w:trPr>
        <w:tc>
          <w:tcPr>
            <w:tcBorders>
              <w:top w:val="single" w:color="auto" w:sz="4" w:space="0"/>
              <w:left w:val="single" w:color="auto" w:sz="4" w:space="0"/>
              <w:bottom w:val="single" w:color="auto" w:sz="4" w:space="0"/>
              <w:right w:val="single" w:color="auto" w:sz="4" w:space="0"/>
            </w:tcBorders>
            <w:tcW w:w="661" w:type="dxa"/>
            <w:vAlign w:val="center"/>
            <w:textDirection w:val="lrTb"/>
            <w:noWrap/>
          </w:tcPr>
          <w:p>
            <w:pPr>
              <w:ind w:left="0" w:right="0" w:firstLine="0"/>
              <w:jc w:val="center"/>
              <w:keepLines w:val="0"/>
              <w:keepNext w:val="0"/>
              <w:pageBreakBefore w:val="0"/>
              <w:spacing w:line="560" w:lineRule="exact"/>
              <w:widowControl/>
              <w:rPr>
                <w:rFonts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序号</w:t>
            </w:r>
            <w:r/>
          </w:p>
        </w:tc>
        <w:tc>
          <w:tcPr>
            <w:tcBorders>
              <w:top w:val="single" w:color="auto" w:sz="4" w:space="0"/>
              <w:left w:val="none" w:color="000000" w:sz="4" w:space="0"/>
              <w:bottom w:val="single" w:color="auto" w:sz="4" w:space="0"/>
              <w:right w:val="single" w:color="auto" w:sz="4" w:space="0"/>
            </w:tcBorders>
            <w:tcW w:w="1050" w:type="dxa"/>
            <w:vAlign w:val="center"/>
            <w:textDirection w:val="lrTb"/>
            <w:noWrap/>
          </w:tcPr>
          <w:p>
            <w:pPr>
              <w:ind w:left="0" w:right="0" w:firstLine="0"/>
              <w:jc w:val="center"/>
              <w:keepLines w:val="0"/>
              <w:keepNext w:val="0"/>
              <w:pageBreakBefore w:val="0"/>
              <w:spacing w:line="560" w:lineRule="exac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内容</w:t>
            </w:r>
            <w:r/>
          </w:p>
        </w:tc>
        <w:tc>
          <w:tcPr>
            <w:tcBorders>
              <w:top w:val="single" w:color="auto" w:sz="4" w:space="0"/>
              <w:left w:val="none" w:color="000000" w:sz="4" w:space="0"/>
              <w:bottom w:val="single" w:color="auto" w:sz="4" w:space="0"/>
              <w:right w:val="single" w:color="auto" w:sz="4" w:space="0"/>
            </w:tcBorders>
            <w:tcW w:w="1095" w:type="dxa"/>
            <w:vAlign w:val="center"/>
            <w:textDirection w:val="lrTb"/>
            <w:noWrap/>
          </w:tcPr>
          <w:p>
            <w:pPr>
              <w:ind w:left="0" w:right="0" w:firstLine="0"/>
              <w:jc w:val="center"/>
              <w:keepLines w:val="0"/>
              <w:keepNext w:val="0"/>
              <w:pageBreakBefore w:val="0"/>
              <w:spacing w:line="560" w:lineRule="exac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内容</w:t>
            </w:r>
            <w:r/>
          </w:p>
        </w:tc>
        <w:tc>
          <w:tcPr>
            <w:tcBorders>
              <w:top w:val="single" w:color="auto" w:sz="4" w:space="0"/>
              <w:left w:val="none" w:color="000000" w:sz="4" w:space="0"/>
              <w:bottom w:val="single" w:color="auto" w:sz="4" w:space="0"/>
              <w:right w:val="single" w:color="auto" w:sz="4" w:space="0"/>
            </w:tcBorders>
            <w:tcW w:w="5613" w:type="dxa"/>
            <w:vAlign w:val="center"/>
            <w:textDirection w:val="lrTb"/>
            <w:noWrap/>
          </w:tcPr>
          <w:p>
            <w:pPr>
              <w:ind w:left="0" w:right="0" w:firstLine="0"/>
              <w:jc w:val="center"/>
              <w:keepLines w:val="0"/>
              <w:keepNext w:val="0"/>
              <w:pageBreakBefore w:val="0"/>
              <w:spacing w:line="560" w:lineRule="exac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评分标准</w:t>
            </w:r>
            <w:r/>
          </w:p>
        </w:tc>
        <w:tc>
          <w:tcPr>
            <w:tcBorders>
              <w:top w:val="single" w:color="auto" w:sz="4" w:space="0"/>
              <w:left w:val="none" w:color="000000" w:sz="4" w:space="0"/>
              <w:bottom w:val="single" w:color="auto" w:sz="4" w:space="0"/>
              <w:right w:val="single" w:color="auto" w:sz="4" w:space="0"/>
            </w:tcBorders>
            <w:tcW w:w="954" w:type="dxa"/>
            <w:vAlign w:val="center"/>
            <w:textDirection w:val="lrTb"/>
            <w:noWrap/>
          </w:tcPr>
          <w:p>
            <w:pPr>
              <w:ind w:left="0" w:right="0" w:firstLine="0"/>
              <w:jc w:val="center"/>
              <w:keepLines w:val="0"/>
              <w:keepNext w:val="0"/>
              <w:pageBreakBefore w:val="0"/>
              <w:spacing w:line="560" w:lineRule="exac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分值</w:t>
            </w:r>
            <w:r/>
          </w:p>
        </w:tc>
      </w:tr>
      <w:tr>
        <w:trPr>
          <w:jc w:val="center"/>
          <w:trHeight w:val="0"/>
        </w:trPr>
        <w:tc>
          <w:tcPr>
            <w:tcBorders>
              <w:top w:val="none" w:color="000000" w:sz="4" w:space="0"/>
              <w:left w:val="single" w:color="auto" w:sz="4" w:space="0"/>
              <w:bottom w:val="single" w:color="auto" w:sz="4" w:space="0"/>
              <w:right w:val="single" w:color="auto" w:sz="4" w:space="0"/>
            </w:tcBorders>
            <w:tcW w:w="661" w:type="dxa"/>
            <w:vAlign w:val="center"/>
            <w:textDirection w:val="lrTb"/>
            <w:noWrap w:val="false"/>
          </w:tcPr>
          <w:p>
            <w:pPr>
              <w:ind w:left="0" w:right="0" w:firstLine="0"/>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ind w:left="0" w:right="0" w:firstLine="0"/>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价格</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部分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（10分）</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ind w:left="0" w:right="0" w:firstLine="0"/>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投标</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报价</w:t>
            </w:r>
            <w:r/>
          </w:p>
        </w:tc>
        <w:tc>
          <w:tcPr>
            <w:tcBorders>
              <w:top w:val="none" w:color="000000" w:sz="4" w:space="0"/>
              <w:left w:val="none" w:color="000000" w:sz="4" w:space="0"/>
              <w:bottom w:val="single" w:color="auto" w:sz="4" w:space="0"/>
              <w:right w:val="single" w:color="auto" w:sz="4" w:space="0"/>
            </w:tcBorders>
            <w:tcW w:w="5613" w:type="dxa"/>
            <w:vAlign w:val="center"/>
            <w:textDirection w:val="lrTb"/>
            <w:noWrap w:val="false"/>
          </w:tcPr>
          <w:p>
            <w:pPr>
              <w:ind w:left="0" w:right="0" w:firstLine="0"/>
              <w:jc w:val="left"/>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1、价格分采用低价优先法计算，即满足招标文件要求且投标价格最低的投标报价为评标基准价，其他投标人的价格分按照下列公式计算：价格分=（评标基准价/投标报价）×100%×10</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2、投标人的投标报价超过采购人设定的最高限价，将作为无效标。</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val="false"/>
          </w:tcPr>
          <w:p>
            <w:pPr>
              <w:ind w:left="0" w:right="0" w:firstLine="0"/>
              <w:jc w:val="left"/>
              <w:keepLines w:val="0"/>
              <w:keepNext w:val="0"/>
              <w:pageBreakBefore w:val="0"/>
              <w:spacing w:line="560" w:lineRule="exact"/>
              <w:widowControl/>
              <w:rPr>
                <w:rFonts w:hint="eastAsia" w:ascii="仿宋" w:hAnsi="仿宋" w:eastAsia="仿宋" w:cs="仿宋"/>
                <w:i w:val="0"/>
                <w:iCs w:val="0"/>
                <w:color w:val="000000"/>
                <w:sz w:val="24"/>
                <w:szCs w:val="22"/>
                <w:u w:val="none"/>
              </w:rPr>
              <w:suppressLineNumbers w:val="0"/>
            </w:pPr>
            <w:r>
              <w:rPr>
                <w:rFonts w:hint="eastAsia" w:ascii="仿宋" w:hAnsi="仿宋" w:eastAsia="仿宋" w:cs="仿宋"/>
                <w:i w:val="0"/>
                <w:iCs w:val="0"/>
                <w:color w:val="000000"/>
                <w:sz w:val="24"/>
                <w:szCs w:val="22"/>
                <w:u w:val="none"/>
                <w:lang w:val="en-US" w:eastAsia="zh-CN" w:bidi="ar"/>
              </w:rPr>
              <w:t xml:space="preserve">10</w:t>
            </w:r>
            <w:r/>
          </w:p>
        </w:tc>
      </w:tr>
      <w:tr>
        <w:trPr>
          <w:jc w:val="center"/>
          <w:trHeight w:val="0"/>
        </w:trPr>
        <w:tc>
          <w:tcPr>
            <w:tcBorders>
              <w:top w:val="none" w:color="000000" w:sz="4" w:space="0"/>
              <w:left w:val="single" w:color="auto" w:sz="4" w:space="0"/>
              <w:bottom w:val="single" w:color="auto" w:sz="4" w:space="0"/>
              <w:right w:val="single" w:color="auto" w:sz="4" w:space="0"/>
            </w:tcBorders>
            <w:tcW w:w="661" w:type="dxa"/>
            <w:vAlign w:val="center"/>
            <w:textDirection w:val="lrTb"/>
            <w:noWrap w:val="false"/>
          </w:tcPr>
          <w:p>
            <w:pPr>
              <w:ind w:left="0" w:right="0" w:firstLine="0"/>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tcBorders>
              <w:top w:val="none" w:color="000000" w:sz="4" w:space="0"/>
              <w:left w:val="single" w:color="auto" w:sz="4" w:space="0"/>
              <w:bottom w:val="single" w:color="auto" w:sz="4" w:space="0"/>
              <w:right w:val="single" w:color="auto" w:sz="4" w:space="0"/>
            </w:tcBorders>
            <w:tcW w:w="1050" w:type="dxa"/>
            <w:vAlign w:val="center"/>
            <w:vMerge w:val="restart"/>
            <w:textDirection w:val="lrTb"/>
            <w:noWrap w:val="false"/>
          </w:tcPr>
          <w:p>
            <w:pPr>
              <w:ind w:left="0" w:right="0" w:firstLine="0"/>
              <w:jc w:val="center"/>
              <w:keepLines w:val="0"/>
              <w:keepNext w:val="0"/>
              <w:pageBreakBefore w:val="0"/>
              <w:spacing w:line="5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商务</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部分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（30分）</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ind w:left="0" w:right="0" w:firstLine="0"/>
              <w:jc w:val="center"/>
              <w:keepLines w:val="0"/>
              <w:keepNext w:val="0"/>
              <w:pageBreakBefore w:val="0"/>
              <w:spacing w:line="5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项目团队实力</w:t>
            </w:r>
            <w:r/>
          </w:p>
        </w:tc>
        <w:tc>
          <w:tcPr>
            <w:tcBorders>
              <w:top w:val="none" w:color="000000" w:sz="4" w:space="0"/>
              <w:left w:val="none" w:color="000000" w:sz="4" w:space="0"/>
              <w:bottom w:val="single" w:color="auto" w:sz="4" w:space="0"/>
              <w:right w:val="single" w:color="auto" w:sz="4" w:space="0"/>
            </w:tcBorders>
            <w:tcW w:w="5613" w:type="dxa"/>
            <w:vAlign w:val="center"/>
            <w:textDirection w:val="lrTb"/>
            <w:noWrap w:val="false"/>
          </w:tcPr>
          <w:p>
            <w:pPr>
              <w:numPr>
                <w:ilvl w:val="0"/>
                <w:numId w:val="16"/>
              </w:numPr>
              <w:ind w:left="0" w:right="0" w:firstLine="0"/>
              <w:jc w:val="left"/>
              <w:keepLines w:val="0"/>
              <w:keepNext w:val="0"/>
              <w:pageBreakBefore w:val="0"/>
              <w:spacing w:line="5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项目负责人具有土壤学相关专业正高级职称的得5分,副高级职称的得3分，中级得1分，最高得5分（专业名称中以职称证书或毕业证书为准）。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2、项目成员（除项目负责人）具有土壤学、农业相关专业或地理信息专业中级及以上职称，每提供一个得1分，最高得9分。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3、项目团队人员中具有系统架构设计师、数据库建设相关证书的，每个得1分，重复不计分，同一人拥有多个证书的只得1分。此项最高得3分。</w:t>
            </w:r>
            <w:r/>
          </w:p>
          <w:p>
            <w:pPr>
              <w:pStyle w:val="837"/>
              <w:numPr>
                <w:ilvl w:val="0"/>
                <w:numId w:val="0"/>
              </w:numPr>
              <w:ind w:left="0" w:right="0" w:hanging="1200"/>
              <w:jc w:val="left"/>
              <w:pageBreakBefore w:val="0"/>
              <w:spacing w:before="0" w:after="0" w:line="560" w:lineRule="exact"/>
              <w:rPr>
                <w:rFonts w:hint="eastAsia" w:ascii="仿宋" w:hAnsi="仿宋" w:eastAsia="仿宋" w:cs="仿宋"/>
                <w:i w:val="0"/>
                <w:iCs w:val="0"/>
                <w:color w:val="000000"/>
                <w:spacing w:val="0"/>
                <w:sz w:val="24"/>
                <w:szCs w:val="24"/>
                <w:u w:val="none"/>
                <w:lang w:val="en-US" w:eastAsia="zh-CN" w:bidi="ar"/>
              </w:rPr>
            </w:pPr>
            <w:r>
              <w:rPr>
                <w:rFonts w:hint="eastAsia" w:ascii="仿宋" w:hAnsi="仿宋" w:eastAsia="仿宋" w:cs="仿宋"/>
                <w:i w:val="0"/>
                <w:iCs w:val="0"/>
                <w:color w:val="000000"/>
                <w:spacing w:val="0"/>
                <w:sz w:val="24"/>
                <w:szCs w:val="24"/>
                <w:u w:val="none"/>
                <w:lang w:val="en-US" w:eastAsia="zh-CN" w:bidi="ar"/>
              </w:rPr>
              <w:t xml:space="preserve">注：需提供上述人员相关证书原件描件，劳动合同</w:t>
            </w:r>
            <w:r/>
          </w:p>
          <w:p>
            <w:pPr>
              <w:pStyle w:val="837"/>
              <w:numPr>
                <w:ilvl w:val="0"/>
                <w:numId w:val="0"/>
              </w:numPr>
              <w:ind w:left="0" w:right="0" w:hanging="1200"/>
              <w:jc w:val="left"/>
              <w:pageBreakBefore w:val="0"/>
              <w:spacing w:before="0" w:after="0" w:line="560" w:lineRule="exact"/>
              <w:rPr>
                <w:rFonts w:hint="eastAsia" w:ascii="仿宋" w:hAnsi="仿宋" w:eastAsia="仿宋" w:cs="仿宋"/>
                <w:i w:val="0"/>
                <w:iCs w:val="0"/>
                <w:color w:val="000000"/>
                <w:spacing w:val="0"/>
                <w:sz w:val="24"/>
                <w:szCs w:val="24"/>
                <w:u w:val="none"/>
                <w:lang w:val="en-US" w:eastAsia="zh-CN" w:bidi="ar"/>
              </w:rPr>
            </w:pPr>
            <w:r>
              <w:rPr>
                <w:rFonts w:hint="eastAsia" w:ascii="仿宋" w:hAnsi="仿宋" w:eastAsia="仿宋" w:cs="仿宋"/>
                <w:i w:val="0"/>
                <w:iCs w:val="0"/>
                <w:color w:val="000000"/>
                <w:spacing w:val="0"/>
                <w:sz w:val="24"/>
                <w:szCs w:val="24"/>
                <w:u w:val="none"/>
                <w:lang w:val="en-US" w:eastAsia="zh-CN" w:bidi="ar"/>
              </w:rPr>
              <w:t xml:space="preserve">原件扫描件或单位出具的在职及劳动关系承诺</w:t>
            </w:r>
            <w:r/>
          </w:p>
          <w:p>
            <w:pPr>
              <w:pStyle w:val="837"/>
              <w:numPr>
                <w:ilvl w:val="0"/>
                <w:numId w:val="0"/>
              </w:numPr>
              <w:ind w:left="0" w:right="0" w:hanging="1200"/>
              <w:jc w:val="left"/>
              <w:pageBreakBefore w:val="0"/>
              <w:spacing w:before="0" w:after="0" w:line="560" w:lineRule="exact"/>
              <w:rPr>
                <w:rFonts w:hint="default" w:eastAsia="宋体"/>
                <w:lang w:val="en-US" w:eastAsia="zh-CN"/>
              </w:rPr>
            </w:pPr>
            <w:r>
              <w:rPr>
                <w:rFonts w:hint="eastAsia" w:ascii="仿宋" w:hAnsi="仿宋" w:eastAsia="仿宋" w:cs="仿宋"/>
                <w:i w:val="0"/>
                <w:iCs w:val="0"/>
                <w:color w:val="000000"/>
                <w:spacing w:val="0"/>
                <w:sz w:val="24"/>
                <w:szCs w:val="24"/>
                <w:u w:val="none"/>
                <w:lang w:val="en-US" w:eastAsia="zh-CN" w:bidi="ar"/>
              </w:rPr>
              <w:t xml:space="preserve">函（上述材料加盖投标人鲜章）。不提供不得分。</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val="false"/>
          </w:tcPr>
          <w:p>
            <w:pPr>
              <w:ind w:left="0" w:right="0" w:firstLine="0"/>
              <w:jc w:val="left"/>
              <w:keepLines w:val="0"/>
              <w:keepNext w:val="0"/>
              <w:pageBreakBefore w:val="0"/>
              <w:spacing w:line="560" w:lineRule="exact"/>
              <w:widowControl/>
              <w:rPr>
                <w:rFonts w:hint="default" w:ascii="仿宋" w:hAnsi="仿宋" w:eastAsia="仿宋" w:cs="仿宋"/>
                <w:i w:val="0"/>
                <w:iCs w:val="0"/>
                <w:color w:val="000000"/>
                <w:sz w:val="24"/>
                <w:szCs w:val="22"/>
                <w:u w:val="none"/>
                <w:lang w:val="en-US"/>
              </w:rPr>
              <w:suppressLineNumbers w:val="0"/>
            </w:pPr>
            <w:r>
              <w:rPr>
                <w:rFonts w:hint="eastAsia" w:ascii="仿宋" w:hAnsi="仿宋" w:eastAsia="仿宋" w:cs="仿宋"/>
                <w:i w:val="0"/>
                <w:iCs w:val="0"/>
                <w:color w:val="000000"/>
                <w:sz w:val="24"/>
                <w:szCs w:val="22"/>
                <w:u w:val="none"/>
                <w:lang w:val="en-US" w:eastAsia="zh-CN" w:bidi="ar"/>
              </w:rPr>
              <w:t xml:space="preserve">17</w:t>
            </w:r>
            <w:r/>
          </w:p>
        </w:tc>
      </w:tr>
      <w:tr>
        <w:trPr>
          <w:jc w:val="center"/>
          <w:trHeight w:val="0"/>
        </w:trPr>
        <w:tc>
          <w:tcPr>
            <w:tcBorders>
              <w:top w:val="none" w:color="000000" w:sz="4" w:space="0"/>
              <w:left w:val="single" w:color="auto" w:sz="4" w:space="0"/>
              <w:bottom w:val="single" w:color="auto" w:sz="4" w:space="0"/>
              <w:right w:val="single" w:color="auto" w:sz="4" w:space="0"/>
            </w:tcBorders>
            <w:tcW w:w="661" w:type="dxa"/>
            <w:vAlign w:val="center"/>
            <w:textDirection w:val="lrTb"/>
            <w:noWrap w:val="false"/>
          </w:tcPr>
          <w:p>
            <w:pPr>
              <w:ind w:left="0" w:right="0" w:firstLine="0"/>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none" w:color="000000" w:sz="4" w:space="0"/>
              <w:left w:val="single" w:color="auto" w:sz="4" w:space="0"/>
              <w:bottom w:val="single" w:color="auto" w:sz="4" w:space="0"/>
              <w:right w:val="single" w:color="auto" w:sz="4" w:space="0"/>
            </w:tcBorders>
            <w:tcW w:w="1050" w:type="dxa"/>
            <w:vAlign w:val="center"/>
            <w:vMerge w:val="continue"/>
            <w:textDirection w:val="lrTb"/>
            <w:noWrap w:val="false"/>
          </w:tcPr>
          <w:p>
            <w:pPr>
              <w:ind w:left="0" w:right="0" w:firstLine="0"/>
              <w:jc w:val="center"/>
              <w:pageBreakBefore w:val="0"/>
              <w:spacing w:line="5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ind w:left="0" w:right="0" w:firstLine="0"/>
              <w:jc w:val="center"/>
              <w:keepLines w:val="0"/>
              <w:keepNext w:val="0"/>
              <w:pageBreakBefore w:val="0"/>
              <w:spacing w:line="5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资质</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证明</w:t>
            </w:r>
            <w:r/>
          </w:p>
        </w:tc>
        <w:tc>
          <w:tcPr>
            <w:tcBorders>
              <w:top w:val="none" w:color="000000" w:sz="4" w:space="0"/>
              <w:left w:val="none" w:color="000000" w:sz="4" w:space="0"/>
              <w:bottom w:val="single" w:color="auto" w:sz="4" w:space="0"/>
              <w:right w:val="single" w:color="auto" w:sz="4" w:space="0"/>
            </w:tcBorders>
            <w:tcW w:w="5613" w:type="dxa"/>
            <w:vAlign w:val="center"/>
            <w:textDirection w:val="lrTb"/>
            <w:noWrap w:val="false"/>
          </w:tcPr>
          <w:p>
            <w:pPr>
              <w:ind w:left="0" w:right="0" w:firstLine="0"/>
              <w:jc w:val="left"/>
              <w:keepLines w:val="0"/>
              <w:keepNext w:val="0"/>
              <w:pageBreakBefore w:val="0"/>
              <w:spacing w:line="5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1、投标人具有质量管理体系认证、环境管理体系认证、信息安全管理体系认证，每提供一个得1分，最高得3分。注：需提供认证证书扫描件，否则不得分。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2、投标人具有甲级测绘资质的得2分，具有乙级测绘资质的得1分，最高得2分。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注：投标人具有甲级测绘资质的得2分，具有乙级测绘资质的得1分，最高得2分。</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val="false"/>
          </w:tcPr>
          <w:p>
            <w:pPr>
              <w:ind w:left="0" w:right="0" w:firstLine="0"/>
              <w:jc w:val="left"/>
              <w:keepLines w:val="0"/>
              <w:keepNext w:val="0"/>
              <w:pageBreakBefore w:val="0"/>
              <w:spacing w:line="560" w:lineRule="exact"/>
              <w:widowControl/>
              <w:rPr>
                <w:rFonts w:hint="eastAsia" w:ascii="仿宋" w:hAnsi="仿宋" w:eastAsia="仿宋" w:cs="仿宋"/>
                <w:i w:val="0"/>
                <w:iCs w:val="0"/>
                <w:color w:val="000000"/>
                <w:sz w:val="24"/>
                <w:szCs w:val="22"/>
                <w:u w:val="none"/>
                <w:lang w:val="en-US" w:eastAsia="zh-CN"/>
              </w:rPr>
              <w:suppressLineNumbers w:val="0"/>
            </w:pPr>
            <w:r>
              <w:rPr>
                <w:rFonts w:hint="eastAsia" w:ascii="仿宋" w:hAnsi="仿宋" w:eastAsia="仿宋" w:cs="仿宋"/>
                <w:i w:val="0"/>
                <w:iCs w:val="0"/>
                <w:color w:val="000000"/>
                <w:sz w:val="24"/>
                <w:szCs w:val="22"/>
                <w:u w:val="none"/>
                <w:lang w:val="en-US" w:eastAsia="zh-CN"/>
              </w:rPr>
              <w:t xml:space="preserve">5</w:t>
            </w:r>
            <w:r/>
          </w:p>
        </w:tc>
      </w:tr>
      <w:tr>
        <w:trPr>
          <w:jc w:val="center"/>
          <w:trHeight w:val="0"/>
        </w:trPr>
        <w:tc>
          <w:tcPr>
            <w:tcBorders>
              <w:top w:val="none" w:color="000000" w:sz="4" w:space="0"/>
              <w:left w:val="single" w:color="auto" w:sz="4" w:space="0"/>
              <w:bottom w:val="single" w:color="auto" w:sz="4" w:space="0"/>
              <w:right w:val="single" w:color="auto" w:sz="4" w:space="0"/>
            </w:tcBorders>
            <w:tcW w:w="661" w:type="dxa"/>
            <w:vAlign w:val="center"/>
            <w:textDirection w:val="lrTb"/>
            <w:noWrap w:val="false"/>
          </w:tcPr>
          <w:p>
            <w:pPr>
              <w:ind w:left="0" w:right="0" w:firstLine="0"/>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tcBorders>
              <w:top w:val="none" w:color="000000" w:sz="4" w:space="0"/>
              <w:left w:val="single" w:color="auto" w:sz="4" w:space="0"/>
              <w:bottom w:val="single" w:color="auto" w:sz="4" w:space="0"/>
              <w:right w:val="single" w:color="auto" w:sz="4" w:space="0"/>
            </w:tcBorders>
            <w:tcW w:w="1050" w:type="dxa"/>
            <w:vAlign w:val="center"/>
            <w:vMerge w:val="continue"/>
            <w:textDirection w:val="lrTb"/>
            <w:noWrap w:val="false"/>
          </w:tcPr>
          <w:p>
            <w:pPr>
              <w:ind w:left="0" w:right="0" w:firstLine="0"/>
              <w:jc w:val="center"/>
              <w:pageBreakBefore w:val="0"/>
              <w:spacing w:line="5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ind w:left="0" w:right="0" w:firstLine="0"/>
              <w:jc w:val="center"/>
              <w:keepLines w:val="0"/>
              <w:keepNext w:val="0"/>
              <w:pageBreakBefore w:val="0"/>
              <w:spacing w:line="5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知识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产权</w:t>
            </w:r>
            <w:r/>
          </w:p>
        </w:tc>
        <w:tc>
          <w:tcPr>
            <w:tcBorders>
              <w:top w:val="none" w:color="000000" w:sz="4" w:space="0"/>
              <w:left w:val="none" w:color="000000" w:sz="4" w:space="0"/>
              <w:bottom w:val="single" w:color="auto" w:sz="4" w:space="0"/>
              <w:right w:val="single" w:color="auto" w:sz="4" w:space="0"/>
            </w:tcBorders>
            <w:tcW w:w="5613" w:type="dxa"/>
            <w:vAlign w:val="center"/>
            <w:textDirection w:val="lrTb"/>
            <w:noWrap w:val="false"/>
          </w:tcPr>
          <w:p>
            <w:pPr>
              <w:ind w:left="0" w:right="0" w:firstLine="0"/>
              <w:jc w:val="left"/>
              <w:keepLines w:val="0"/>
              <w:keepNext w:val="0"/>
              <w:pageBreakBefore w:val="0"/>
              <w:spacing w:line="560" w:lineRule="exact"/>
              <w:widowControl/>
              <w:rPr>
                <w:rFonts w:hint="eastAsia" w:ascii="仿宋" w:hAnsi="仿宋" w:eastAsia="仿宋" w:cs="仿宋"/>
                <w:i w:val="0"/>
                <w:iCs w:val="0"/>
                <w:color w:val="auto"/>
                <w:sz w:val="24"/>
                <w:szCs w:val="24"/>
                <w:u w:val="none"/>
              </w:rPr>
              <w:suppressLineNumbers w:val="0"/>
            </w:pPr>
            <w:r>
              <w:rPr>
                <w:rStyle w:val="1163"/>
                <w:rFonts w:ascii="仿宋" w:eastAsia="仿宋"/>
                <w:color w:val="000000"/>
                <w:sz w:val="24"/>
                <w:lang w:val="en-US" w:eastAsia="zh-CN" w:bidi="ar"/>
              </w:rPr>
              <w:t xml:space="preserve">投标人具有自主开发的土壤数据库建库系统、土壤数据分析与制图软件系统、土壤普查成果汇总数据平台、土壤普查数据应用管理系统、并取得软件著作权证书的，每提供一个得1分，本项最</w:t>
            </w:r>
            <w:r>
              <w:rPr>
                <w:rStyle w:val="1164"/>
                <w:rFonts w:ascii="仿宋" w:eastAsia="仿宋"/>
                <w:color w:val="000000"/>
                <w:sz w:val="24"/>
                <w:lang w:val="en-US" w:eastAsia="zh-CN" w:bidi="ar"/>
              </w:rPr>
              <w:t xml:space="preserve">高得4分。</w:t>
            </w:r>
            <w:r>
              <w:rPr>
                <w:rStyle w:val="1163"/>
                <w:rFonts w:ascii="仿宋" w:eastAsia="仿宋"/>
                <w:color w:val="000000"/>
                <w:sz w:val="24"/>
                <w:lang w:val="en-US" w:eastAsia="zh-CN" w:bidi="ar"/>
              </w:rPr>
              <w:t xml:space="preserve">（提供软件著作权</w:t>
            </w:r>
            <w:r>
              <w:rPr>
                <w:rStyle w:val="1163"/>
                <w:rFonts w:hint="eastAsia" w:ascii="仿宋" w:eastAsia="仿宋"/>
                <w:color w:val="000000"/>
                <w:sz w:val="24"/>
                <w:lang w:val="en-US" w:eastAsia="zh-CN" w:bidi="ar"/>
              </w:rPr>
              <w:t xml:space="preserve">原件</w:t>
            </w:r>
            <w:r>
              <w:rPr>
                <w:rStyle w:val="1163"/>
                <w:rFonts w:ascii="仿宋" w:eastAsia="仿宋"/>
                <w:color w:val="000000"/>
                <w:sz w:val="24"/>
                <w:lang w:val="en-US" w:eastAsia="zh-CN" w:bidi="ar"/>
              </w:rPr>
              <w:t xml:space="preserve">扫描件，加盖公章）</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val="false"/>
          </w:tcPr>
          <w:p>
            <w:pPr>
              <w:ind w:left="0" w:right="0" w:firstLine="0"/>
              <w:jc w:val="left"/>
              <w:keepLines w:val="0"/>
              <w:keepNext w:val="0"/>
              <w:pageBreakBefore w:val="0"/>
              <w:spacing w:line="560" w:lineRule="exact"/>
              <w:widowControl/>
              <w:rPr>
                <w:rFonts w:hint="eastAsia" w:ascii="仿宋" w:hAnsi="仿宋" w:eastAsia="仿宋" w:cs="仿宋"/>
                <w:i w:val="0"/>
                <w:iCs w:val="0"/>
                <w:color w:val="auto"/>
                <w:sz w:val="24"/>
                <w:szCs w:val="22"/>
                <w:u w:val="none"/>
              </w:rPr>
              <w:suppressLineNumbers w:val="0"/>
            </w:pPr>
            <w:r>
              <w:rPr>
                <w:rFonts w:hint="eastAsia" w:ascii="仿宋" w:hAnsi="仿宋" w:eastAsia="仿宋" w:cs="仿宋"/>
                <w:i w:val="0"/>
                <w:iCs w:val="0"/>
                <w:color w:val="000000"/>
                <w:sz w:val="24"/>
                <w:szCs w:val="22"/>
                <w:u w:val="none"/>
                <w:lang w:val="en-US" w:eastAsia="zh-CN" w:bidi="ar"/>
              </w:rPr>
              <w:t xml:space="preserve">4</w:t>
            </w:r>
            <w:r/>
          </w:p>
        </w:tc>
      </w:tr>
      <w:tr>
        <w:trPr>
          <w:jc w:val="center"/>
          <w:trHeight w:val="1931"/>
        </w:trPr>
        <w:tc>
          <w:tcPr>
            <w:tcBorders>
              <w:top w:val="none" w:color="000000" w:sz="4" w:space="0"/>
              <w:left w:val="single" w:color="auto" w:sz="4" w:space="0"/>
              <w:bottom w:val="single" w:color="auto" w:sz="4" w:space="0"/>
              <w:right w:val="single" w:color="auto" w:sz="4" w:space="0"/>
            </w:tcBorders>
            <w:tcW w:w="661" w:type="dxa"/>
            <w:vAlign w:val="center"/>
            <w:textDirection w:val="lrTb"/>
            <w:noWrap w:val="false"/>
          </w:tcPr>
          <w:p>
            <w:pPr>
              <w:ind w:left="0" w:right="0" w:firstLine="0"/>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tcBorders>
              <w:top w:val="none" w:color="000000" w:sz="4" w:space="0"/>
              <w:left w:val="single" w:color="auto" w:sz="4" w:space="0"/>
              <w:bottom w:val="single" w:color="auto" w:sz="4" w:space="0"/>
              <w:right w:val="single" w:color="auto" w:sz="4" w:space="0"/>
            </w:tcBorders>
            <w:tcW w:w="1050" w:type="dxa"/>
            <w:vAlign w:val="center"/>
            <w:vMerge w:val="continue"/>
            <w:textDirection w:val="lrTb"/>
            <w:noWrap w:val="false"/>
          </w:tcPr>
          <w:p>
            <w:pPr>
              <w:ind w:left="0" w:right="0" w:firstLine="0"/>
              <w:jc w:val="center"/>
              <w:pageBreakBefore w:val="0"/>
              <w:spacing w:line="5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ind w:left="0" w:right="0" w:firstLine="0"/>
              <w:jc w:val="center"/>
              <w:keepLines w:val="0"/>
              <w:keepNext w:val="0"/>
              <w:pageBreakBefore w:val="0"/>
              <w:spacing w:line="5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类似</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业绩</w:t>
            </w:r>
            <w:r/>
          </w:p>
        </w:tc>
        <w:tc>
          <w:tcPr>
            <w:tcBorders>
              <w:top w:val="none" w:color="000000" w:sz="4" w:space="0"/>
              <w:left w:val="none" w:color="000000" w:sz="4" w:space="0"/>
              <w:bottom w:val="single" w:color="auto" w:sz="4" w:space="0"/>
              <w:right w:val="single" w:color="auto" w:sz="4" w:space="0"/>
            </w:tcBorders>
            <w:tcW w:w="5613" w:type="dxa"/>
            <w:vAlign w:val="center"/>
            <w:textDirection w:val="lrTb"/>
            <w:noWrap w:val="false"/>
          </w:tcPr>
          <w:p>
            <w:pPr>
              <w:ind w:left="0" w:right="0" w:firstLine="0"/>
              <w:jc w:val="left"/>
              <w:keepLines w:val="0"/>
              <w:keepNext w:val="0"/>
              <w:pageBreakBefore w:val="0"/>
              <w:spacing w:line="5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投标人自2024年1月1日以来承担过数据库及平台应用建设类似项目业绩的，每有一个得2分，最高得</w:t>
            </w:r>
            <w:r>
              <w:rPr>
                <w:rStyle w:val="1165"/>
                <w:rFonts w:ascii="仿宋" w:eastAsia="仿宋"/>
                <w:color w:val="000000"/>
                <w:sz w:val="24"/>
                <w:lang w:val="en-US" w:eastAsia="zh-CN" w:bidi="ar"/>
              </w:rPr>
              <w:t xml:space="preserve">4</w:t>
            </w:r>
            <w:r>
              <w:rPr>
                <w:rStyle w:val="1163"/>
                <w:rFonts w:ascii="仿宋" w:eastAsia="仿宋"/>
                <w:color w:val="000000"/>
                <w:sz w:val="24"/>
                <w:lang w:val="en-US" w:eastAsia="zh-CN" w:bidi="ar"/>
              </w:rPr>
              <w:t xml:space="preserve">分。</w:t>
            </w:r>
            <w:bookmarkStart w:id="58" w:name="_GoBack"/>
            <w:r/>
            <w:bookmarkEnd w:id="58"/>
            <w:r>
              <w:rPr>
                <w:rStyle w:val="1163"/>
                <w:rFonts w:ascii="仿宋" w:eastAsia="仿宋"/>
                <w:color w:val="000000"/>
                <w:sz w:val="24"/>
                <w:lang w:val="en-US" w:eastAsia="zh-CN" w:bidi="ar"/>
              </w:rPr>
              <w:br/>
            </w:r>
            <w:r>
              <w:rPr>
                <w:rStyle w:val="1163"/>
                <w:rFonts w:ascii="仿宋" w:eastAsia="仿宋"/>
                <w:color w:val="000000"/>
                <w:sz w:val="24"/>
                <w:lang w:val="en-US" w:eastAsia="zh-CN" w:bidi="ar"/>
              </w:rPr>
              <w:t xml:space="preserve">注：提供</w:t>
            </w:r>
            <w:r>
              <w:rPr>
                <w:rStyle w:val="1163"/>
                <w:rFonts w:hint="eastAsia" w:ascii="仿宋" w:eastAsia="仿宋"/>
                <w:color w:val="000000"/>
                <w:sz w:val="24"/>
                <w:lang w:val="en-US" w:eastAsia="zh-CN" w:bidi="ar"/>
              </w:rPr>
              <w:t xml:space="preserve">合同和中标（成交）通知书原件扫描件，</w:t>
            </w:r>
            <w:r>
              <w:rPr>
                <w:rStyle w:val="1163"/>
                <w:rFonts w:ascii="仿宋" w:eastAsia="仿宋"/>
                <w:color w:val="000000"/>
                <w:sz w:val="24"/>
                <w:lang w:val="en-US" w:eastAsia="zh-CN" w:bidi="ar"/>
              </w:rPr>
              <w:t xml:space="preserve">证明材料加盖投标人公章，否则不得分。</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val="false"/>
          </w:tcPr>
          <w:p>
            <w:pPr>
              <w:ind w:left="0" w:right="0" w:firstLine="0"/>
              <w:jc w:val="left"/>
              <w:keepLines w:val="0"/>
              <w:keepNext w:val="0"/>
              <w:pageBreakBefore w:val="0"/>
              <w:spacing w:line="560" w:lineRule="exact"/>
              <w:widowControl/>
              <w:rPr>
                <w:rFonts w:hint="eastAsia" w:ascii="仿宋" w:hAnsi="仿宋" w:eastAsia="仿宋" w:cs="仿宋"/>
                <w:i w:val="0"/>
                <w:iCs w:val="0"/>
                <w:color w:val="000000"/>
                <w:sz w:val="24"/>
                <w:szCs w:val="22"/>
                <w:u w:val="none"/>
              </w:rPr>
              <w:suppressLineNumbers w:val="0"/>
            </w:pPr>
            <w:r>
              <w:rPr>
                <w:rFonts w:hint="eastAsia" w:ascii="仿宋" w:hAnsi="仿宋" w:eastAsia="仿宋" w:cs="仿宋"/>
                <w:i w:val="0"/>
                <w:iCs w:val="0"/>
                <w:color w:val="000000"/>
                <w:sz w:val="24"/>
                <w:szCs w:val="22"/>
                <w:u w:val="none"/>
                <w:lang w:val="en-US" w:eastAsia="zh-CN" w:bidi="ar"/>
              </w:rPr>
              <w:t xml:space="preserve">4</w:t>
            </w:r>
            <w:r/>
          </w:p>
        </w:tc>
      </w:tr>
      <w:tr>
        <w:trPr>
          <w:jc w:val="center"/>
          <w:trHeight w:val="0"/>
        </w:trPr>
        <w:tc>
          <w:tcPr>
            <w:tcBorders>
              <w:top w:val="none" w:color="000000" w:sz="4" w:space="0"/>
              <w:left w:val="single" w:color="auto" w:sz="4" w:space="0"/>
              <w:bottom w:val="single" w:color="auto" w:sz="4" w:space="0"/>
              <w:right w:val="single" w:color="auto" w:sz="4" w:space="0"/>
            </w:tcBorders>
            <w:tcW w:w="661" w:type="dxa"/>
            <w:vAlign w:val="center"/>
            <w:textDirection w:val="lrTb"/>
            <w:noWrap w:val="false"/>
          </w:tcPr>
          <w:p>
            <w:pPr>
              <w:ind w:left="0" w:right="0" w:firstLine="0"/>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tcBorders>
              <w:top w:val="none" w:color="000000" w:sz="4" w:space="0"/>
              <w:left w:val="single" w:color="auto" w:sz="4" w:space="0"/>
              <w:bottom w:val="single" w:color="auto" w:sz="4" w:space="0"/>
              <w:right w:val="single" w:color="auto" w:sz="4" w:space="0"/>
            </w:tcBorders>
            <w:tcW w:w="1050" w:type="dxa"/>
            <w:vAlign w:val="center"/>
            <w:vMerge w:val="restart"/>
            <w:textDirection w:val="lrTb"/>
            <w:noWrap w:val="false"/>
          </w:tcPr>
          <w:p>
            <w:pPr>
              <w:ind w:left="0" w:right="0" w:firstLine="0"/>
              <w:jc w:val="center"/>
              <w:keepLines w:val="0"/>
              <w:keepNext w:val="0"/>
              <w:pageBreakBefore w:val="0"/>
              <w:spacing w:line="5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ind w:left="0" w:right="0" w:firstLine="0"/>
              <w:jc w:val="center"/>
              <w:keepLines w:val="0"/>
              <w:keepNext w:val="0"/>
              <w:pageBreakBefore w:val="0"/>
              <w:spacing w:line="5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ind w:left="0" w:right="0" w:firstLine="0"/>
              <w:jc w:val="center"/>
              <w:keepLines w:val="0"/>
              <w:keepNext w:val="0"/>
              <w:pageBreakBefore w:val="0"/>
              <w:spacing w:line="5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ind w:left="0" w:right="0" w:firstLine="0"/>
              <w:jc w:val="center"/>
              <w:keepLines w:val="0"/>
              <w:keepNext w:val="0"/>
              <w:pageBreakBefore w:val="0"/>
              <w:spacing w:line="5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ind w:left="0" w:right="0" w:firstLine="0"/>
              <w:jc w:val="center"/>
              <w:keepLines w:val="0"/>
              <w:keepNext w:val="0"/>
              <w:pageBreakBefore w:val="0"/>
              <w:spacing w:line="5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ind w:left="0" w:right="0" w:firstLine="0"/>
              <w:jc w:val="center"/>
              <w:keepLines w:val="0"/>
              <w:keepNext w:val="0"/>
              <w:pageBreakBefore w:val="0"/>
              <w:spacing w:line="5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ind w:left="0" w:right="0" w:firstLine="0"/>
              <w:jc w:val="center"/>
              <w:keepLines w:val="0"/>
              <w:keepNext w:val="0"/>
              <w:pageBreakBefore w:val="0"/>
              <w:spacing w:line="5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ind w:left="0" w:right="0" w:firstLine="0"/>
              <w:jc w:val="center"/>
              <w:keepLines w:val="0"/>
              <w:keepNext w:val="0"/>
              <w:pageBreakBefore w:val="0"/>
              <w:spacing w:line="5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ind w:left="0" w:right="0" w:firstLine="0"/>
              <w:jc w:val="center"/>
              <w:keepLines w:val="0"/>
              <w:keepNext w:val="0"/>
              <w:pageBreakBefore w:val="0"/>
              <w:spacing w:line="5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技术部分（60分）</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ind w:left="0" w:right="0" w:firstLine="0"/>
              <w:jc w:val="center"/>
              <w:keepLines w:val="0"/>
              <w:keepNext w:val="0"/>
              <w:pageBreakBefore w:val="0"/>
              <w:spacing w:line="5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项目需求总体理解</w:t>
            </w:r>
            <w:r/>
          </w:p>
        </w:tc>
        <w:tc>
          <w:tcPr>
            <w:tcBorders>
              <w:top w:val="none" w:color="000000" w:sz="4" w:space="0"/>
              <w:left w:val="none" w:color="000000" w:sz="4" w:space="0"/>
              <w:bottom w:val="single" w:color="auto" w:sz="4" w:space="0"/>
              <w:right w:val="single" w:color="auto" w:sz="4" w:space="0"/>
            </w:tcBorders>
            <w:tcW w:w="5613" w:type="dxa"/>
            <w:vAlign w:val="center"/>
            <w:textDirection w:val="lrTb"/>
            <w:noWrap w:val="false"/>
          </w:tcPr>
          <w:p>
            <w:pPr>
              <w:ind w:left="0" w:right="0" w:firstLine="0"/>
              <w:jc w:val="left"/>
              <w:keepLines w:val="0"/>
              <w:keepNext w:val="0"/>
              <w:pageBreakBefore w:val="0"/>
              <w:spacing w:line="560" w:lineRule="exact"/>
              <w:widowControl/>
              <w:rPr>
                <w:rFonts w:hint="eastAsia" w:ascii="仿宋" w:hAnsi="仿宋" w:eastAsia="仿宋" w:cs="仿宋"/>
                <w:i w:val="0"/>
                <w:iCs w:val="0"/>
                <w:color w:val="000000"/>
                <w:sz w:val="24"/>
                <w:szCs w:val="24"/>
                <w:u w:val="none"/>
                <w:lang w:val="zh-CN" w:eastAsia="zh-CN" w:bidi="ar"/>
              </w:rPr>
              <w:suppressLineNumbers w:val="0"/>
            </w:pPr>
            <w:r>
              <w:rPr>
                <w:rFonts w:hint="eastAsia" w:ascii="仿宋" w:hAnsi="仿宋" w:eastAsia="仿宋" w:cs="仿宋"/>
                <w:i w:val="0"/>
                <w:iCs w:val="0"/>
                <w:color w:val="000000"/>
                <w:sz w:val="24"/>
                <w:szCs w:val="24"/>
                <w:u w:val="none"/>
                <w:lang w:val="zh-CN" w:eastAsia="zh-CN" w:bidi="ar"/>
              </w:rPr>
              <w:t xml:space="preserve">根据招标人提供的采购需求，</w:t>
            </w:r>
            <w:r>
              <w:rPr>
                <w:rFonts w:hint="eastAsia" w:ascii="仿宋" w:hAnsi="仿宋" w:eastAsia="仿宋" w:cs="仿宋"/>
                <w:i w:val="0"/>
                <w:iCs w:val="0"/>
                <w:color w:val="000000"/>
                <w:sz w:val="24"/>
                <w:szCs w:val="24"/>
                <w:u w:val="none"/>
                <w:lang w:val="en-US" w:eastAsia="zh-CN" w:bidi="ar"/>
              </w:rPr>
              <w:t xml:space="preserve">对工作内容进行理解分析</w:t>
            </w:r>
            <w:r>
              <w:rPr>
                <w:rFonts w:hint="eastAsia" w:ascii="仿宋" w:hAnsi="仿宋" w:eastAsia="仿宋" w:cs="仿宋"/>
                <w:i w:val="0"/>
                <w:iCs w:val="0"/>
                <w:color w:val="000000"/>
                <w:sz w:val="24"/>
                <w:szCs w:val="24"/>
                <w:u w:val="none"/>
                <w:lang w:val="zh-CN" w:eastAsia="zh-CN" w:bidi="ar"/>
              </w:rPr>
              <w:t xml:space="preserve">，根据内容是否详细具体、对项目理解透彻、思路清晰、重、难点把握是否到位等进行综合评分。</w:t>
            </w:r>
            <w:r/>
          </w:p>
          <w:p>
            <w:pPr>
              <w:ind w:left="0" w:right="0" w:firstLine="0"/>
              <w:jc w:val="left"/>
              <w:keepLines w:val="0"/>
              <w:keepNext w:val="0"/>
              <w:pageBreakBefore w:val="0"/>
              <w:spacing w:line="560" w:lineRule="exact"/>
              <w:widowControl/>
              <w:rPr>
                <w:rFonts w:hint="eastAsia" w:ascii="仿宋" w:hAnsi="仿宋" w:eastAsia="仿宋" w:cs="仿宋"/>
                <w:i w:val="0"/>
                <w:iCs w:val="0"/>
                <w:color w:val="000000"/>
                <w:sz w:val="24"/>
                <w:szCs w:val="24"/>
                <w:u w:val="none"/>
                <w:lang w:val="zh-CN" w:eastAsia="zh-CN" w:bidi="ar"/>
              </w:rPr>
              <w:suppressLineNumbers w:val="0"/>
            </w:pPr>
            <w:r>
              <w:rPr>
                <w:rFonts w:hint="eastAsia" w:ascii="仿宋" w:hAnsi="仿宋" w:eastAsia="仿宋" w:cs="仿宋"/>
                <w:i w:val="0"/>
                <w:iCs w:val="0"/>
                <w:color w:val="000000"/>
                <w:sz w:val="24"/>
                <w:szCs w:val="24"/>
                <w:u w:val="none"/>
                <w:lang w:val="zh-CN" w:eastAsia="zh-CN" w:bidi="ar"/>
              </w:rPr>
              <w:t xml:space="preserve">内容详细具体</w:t>
            </w:r>
            <w:r>
              <w:rPr>
                <w:rFonts w:hint="eastAsia" w:ascii="仿宋" w:hAnsi="仿宋" w:eastAsia="仿宋" w:cs="仿宋"/>
                <w:i w:val="0"/>
                <w:iCs w:val="0"/>
                <w:color w:val="000000"/>
                <w:sz w:val="24"/>
                <w:szCs w:val="24"/>
                <w:u w:val="none"/>
                <w:lang w:val="en-US" w:eastAsia="zh-CN" w:bidi="ar"/>
              </w:rPr>
              <w:t xml:space="preserve">无瑕疵</w:t>
            </w:r>
            <w:r>
              <w:rPr>
                <w:rFonts w:hint="eastAsia" w:ascii="仿宋" w:hAnsi="仿宋" w:eastAsia="仿宋" w:cs="仿宋"/>
                <w:i w:val="0"/>
                <w:iCs w:val="0"/>
                <w:color w:val="000000"/>
                <w:sz w:val="24"/>
                <w:szCs w:val="24"/>
                <w:u w:val="none"/>
                <w:lang w:val="zh-CN" w:eastAsia="zh-CN" w:bidi="ar"/>
              </w:rPr>
              <w:t xml:space="preserve">，对项目理解深入透彻，思路清晰完整且无懈可击，对项目重点难点把握准确，对策分析严谨可行，</w:t>
            </w:r>
            <w:r>
              <w:rPr>
                <w:rFonts w:hint="eastAsia" w:ascii="仿宋" w:hAnsi="仿宋" w:eastAsia="仿宋" w:cs="仿宋"/>
                <w:i w:val="0"/>
                <w:iCs w:val="0"/>
                <w:color w:val="000000"/>
                <w:sz w:val="24"/>
                <w:szCs w:val="24"/>
                <w:u w:val="none"/>
                <w:lang w:val="en-US" w:eastAsia="zh-CN" w:bidi="ar"/>
              </w:rPr>
              <w:t xml:space="preserve">得20分</w:t>
            </w:r>
            <w:r>
              <w:rPr>
                <w:rFonts w:hint="eastAsia" w:ascii="仿宋" w:hAnsi="仿宋" w:eastAsia="仿宋" w:cs="仿宋"/>
                <w:i w:val="0"/>
                <w:iCs w:val="0"/>
                <w:color w:val="000000"/>
                <w:sz w:val="24"/>
                <w:szCs w:val="24"/>
                <w:u w:val="none"/>
                <w:lang w:val="zh-CN" w:eastAsia="zh-CN" w:bidi="ar"/>
              </w:rPr>
              <w:t xml:space="preserve">。</w:t>
            </w:r>
            <w:r/>
          </w:p>
          <w:p>
            <w:pPr>
              <w:ind w:left="0" w:right="0" w:firstLine="0"/>
              <w:jc w:val="left"/>
              <w:keepLines w:val="0"/>
              <w:keepNext w:val="0"/>
              <w:pageBreakBefore w:val="0"/>
              <w:spacing w:line="560" w:lineRule="exact"/>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zh-CN" w:eastAsia="zh-CN" w:bidi="ar"/>
              </w:rPr>
              <w:t xml:space="preserve">内容详细具体，对项目理解较透彻，思路清晰，能较好把握项目重点难点，对策分析具有较好可行性，</w:t>
            </w:r>
            <w:r>
              <w:rPr>
                <w:rFonts w:hint="eastAsia" w:ascii="仿宋" w:hAnsi="仿宋" w:eastAsia="仿宋" w:cs="仿宋"/>
                <w:i w:val="0"/>
                <w:iCs w:val="0"/>
                <w:color w:val="000000"/>
                <w:sz w:val="24"/>
                <w:szCs w:val="24"/>
                <w:u w:val="none"/>
                <w:lang w:val="en-US" w:eastAsia="zh-CN" w:bidi="ar"/>
              </w:rPr>
              <w:t xml:space="preserve">得18分。</w:t>
            </w:r>
            <w:r/>
          </w:p>
          <w:p>
            <w:pPr>
              <w:ind w:left="0" w:right="0" w:firstLine="0"/>
              <w:jc w:val="left"/>
              <w:keepLines w:val="0"/>
              <w:keepNext w:val="0"/>
              <w:pageBreakBefore w:val="0"/>
              <w:spacing w:line="560" w:lineRule="exact"/>
              <w:widowControl/>
              <w:rPr>
                <w:rFonts w:hint="eastAsia" w:ascii="仿宋" w:hAnsi="仿宋" w:eastAsia="仿宋" w:cs="仿宋"/>
                <w:i w:val="0"/>
                <w:iCs w:val="0"/>
                <w:color w:val="000000"/>
                <w:sz w:val="24"/>
                <w:szCs w:val="24"/>
                <w:u w:val="none"/>
                <w:lang w:val="zh-CN" w:eastAsia="zh-CN" w:bidi="ar"/>
              </w:rPr>
              <w:suppressLineNumbers w:val="0"/>
            </w:pPr>
            <w:r>
              <w:rPr>
                <w:rFonts w:hint="eastAsia" w:ascii="仿宋" w:hAnsi="仿宋" w:eastAsia="仿宋" w:cs="仿宋"/>
                <w:i w:val="0"/>
                <w:iCs w:val="0"/>
                <w:color w:val="000000"/>
                <w:sz w:val="24"/>
                <w:szCs w:val="24"/>
                <w:u w:val="none"/>
                <w:lang w:val="zh-CN" w:eastAsia="zh-CN" w:bidi="ar"/>
              </w:rPr>
              <w:t xml:space="preserve">内容较为详细，对项目理解较透彻，思路</w:t>
            </w:r>
            <w:r>
              <w:rPr>
                <w:rFonts w:hint="eastAsia" w:ascii="仿宋" w:hAnsi="仿宋" w:eastAsia="仿宋" w:cs="仿宋"/>
                <w:i w:val="0"/>
                <w:iCs w:val="0"/>
                <w:color w:val="000000"/>
                <w:sz w:val="24"/>
                <w:szCs w:val="24"/>
                <w:u w:val="none"/>
                <w:lang w:val="en-US" w:eastAsia="zh-CN" w:bidi="ar"/>
              </w:rPr>
              <w:t xml:space="preserve">较</w:t>
            </w:r>
            <w:r>
              <w:rPr>
                <w:rFonts w:hint="eastAsia" w:ascii="仿宋" w:hAnsi="仿宋" w:eastAsia="仿宋" w:cs="仿宋"/>
                <w:i w:val="0"/>
                <w:iCs w:val="0"/>
                <w:color w:val="000000"/>
                <w:sz w:val="24"/>
                <w:szCs w:val="24"/>
                <w:u w:val="none"/>
                <w:lang w:val="zh-CN" w:eastAsia="zh-CN" w:bidi="ar"/>
              </w:rPr>
              <w:t xml:space="preserve">清晰，能较好把握项目重点难点，对策分析具有较好可行性，</w:t>
            </w:r>
            <w:r>
              <w:rPr>
                <w:rFonts w:hint="eastAsia" w:ascii="仿宋" w:hAnsi="仿宋" w:eastAsia="仿宋" w:cs="仿宋"/>
                <w:i w:val="0"/>
                <w:iCs w:val="0"/>
                <w:color w:val="000000"/>
                <w:sz w:val="24"/>
                <w:szCs w:val="24"/>
                <w:u w:val="none"/>
                <w:lang w:val="en-US" w:eastAsia="zh-CN" w:bidi="ar"/>
              </w:rPr>
              <w:t xml:space="preserve">得16分</w:t>
            </w:r>
            <w:r>
              <w:rPr>
                <w:rFonts w:hint="eastAsia" w:ascii="仿宋" w:hAnsi="仿宋" w:eastAsia="仿宋" w:cs="仿宋"/>
                <w:i w:val="0"/>
                <w:iCs w:val="0"/>
                <w:color w:val="000000"/>
                <w:sz w:val="24"/>
                <w:szCs w:val="24"/>
                <w:u w:val="none"/>
                <w:lang w:val="zh-CN" w:eastAsia="zh-CN" w:bidi="ar"/>
              </w:rPr>
              <w:t xml:space="preserve">。</w:t>
            </w:r>
            <w:r/>
          </w:p>
          <w:p>
            <w:pPr>
              <w:ind w:left="0" w:right="0" w:firstLine="0"/>
              <w:jc w:val="left"/>
              <w:keepLines w:val="0"/>
              <w:keepNext w:val="0"/>
              <w:pageBreakBefore w:val="0"/>
              <w:spacing w:line="560" w:lineRule="exact"/>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zh-CN" w:eastAsia="zh-CN" w:bidi="ar"/>
              </w:rPr>
              <w:t xml:space="preserve">内容较为详细</w:t>
            </w:r>
            <w:r>
              <w:rPr>
                <w:rFonts w:hint="eastAsia" w:ascii="仿宋" w:hAnsi="仿宋" w:eastAsia="仿宋" w:cs="仿宋"/>
                <w:i w:val="0"/>
                <w:iCs w:val="0"/>
                <w:color w:val="000000"/>
                <w:sz w:val="24"/>
                <w:szCs w:val="24"/>
                <w:u w:val="none"/>
                <w:lang w:val="en-US" w:eastAsia="zh-CN" w:bidi="ar"/>
              </w:rPr>
              <w:t xml:space="preserve">有瑕疵</w:t>
            </w:r>
            <w:r>
              <w:rPr>
                <w:rFonts w:hint="eastAsia" w:ascii="仿宋" w:hAnsi="仿宋" w:eastAsia="仿宋" w:cs="仿宋"/>
                <w:i w:val="0"/>
                <w:iCs w:val="0"/>
                <w:color w:val="000000"/>
                <w:sz w:val="24"/>
                <w:szCs w:val="24"/>
                <w:u w:val="none"/>
                <w:lang w:val="zh-CN" w:eastAsia="zh-CN" w:bidi="ar"/>
              </w:rPr>
              <w:t xml:space="preserve">，对项目理解较透彻，思路清晰，能较好把握项目重点难点，</w:t>
            </w:r>
            <w:r>
              <w:rPr>
                <w:rFonts w:hint="eastAsia" w:ascii="仿宋" w:hAnsi="仿宋" w:eastAsia="仿宋" w:cs="仿宋"/>
                <w:i w:val="0"/>
                <w:iCs w:val="0"/>
                <w:color w:val="000000"/>
                <w:sz w:val="24"/>
                <w:szCs w:val="24"/>
                <w:u w:val="none"/>
                <w:lang w:val="en-US" w:eastAsia="zh-CN" w:bidi="ar"/>
              </w:rPr>
              <w:t xml:space="preserve">得14分。</w:t>
            </w:r>
            <w:r/>
          </w:p>
          <w:p>
            <w:pPr>
              <w:ind w:left="0" w:right="0" w:firstLine="0"/>
              <w:jc w:val="left"/>
              <w:keepLines w:val="0"/>
              <w:keepNext w:val="0"/>
              <w:pageBreakBefore w:val="0"/>
              <w:spacing w:line="560" w:lineRule="exact"/>
              <w:widowControl/>
              <w:rPr>
                <w:rFonts w:hint="eastAsia" w:ascii="仿宋" w:hAnsi="仿宋" w:eastAsia="仿宋" w:cs="仿宋"/>
                <w:i w:val="0"/>
                <w:iCs w:val="0"/>
                <w:color w:val="000000"/>
                <w:sz w:val="24"/>
                <w:szCs w:val="24"/>
                <w:u w:val="none"/>
                <w:lang w:val="zh-CN" w:eastAsia="zh-CN" w:bidi="ar"/>
              </w:rPr>
              <w:suppressLineNumbers w:val="0"/>
            </w:pPr>
            <w:r>
              <w:rPr>
                <w:rFonts w:hint="eastAsia" w:ascii="仿宋" w:hAnsi="仿宋" w:eastAsia="仿宋" w:cs="仿宋"/>
                <w:i w:val="0"/>
                <w:iCs w:val="0"/>
                <w:color w:val="000000"/>
                <w:sz w:val="24"/>
                <w:szCs w:val="24"/>
                <w:u w:val="none"/>
                <w:lang w:val="zh-CN" w:eastAsia="zh-CN" w:bidi="ar"/>
              </w:rPr>
              <w:t xml:space="preserve">内容完整，对项目有一定理解，思路清晰，能基本把握项目重点难点，对策分析思路基本可行，</w:t>
            </w:r>
            <w:r>
              <w:rPr>
                <w:rFonts w:hint="eastAsia" w:ascii="仿宋" w:hAnsi="仿宋" w:eastAsia="仿宋" w:cs="仿宋"/>
                <w:i w:val="0"/>
                <w:iCs w:val="0"/>
                <w:color w:val="000000"/>
                <w:sz w:val="24"/>
                <w:szCs w:val="24"/>
                <w:u w:val="none"/>
                <w:lang w:val="en-US" w:eastAsia="zh-CN" w:bidi="ar"/>
              </w:rPr>
              <w:t xml:space="preserve">得12分</w:t>
            </w:r>
            <w:r>
              <w:rPr>
                <w:rFonts w:hint="eastAsia" w:ascii="仿宋" w:hAnsi="仿宋" w:eastAsia="仿宋" w:cs="仿宋"/>
                <w:i w:val="0"/>
                <w:iCs w:val="0"/>
                <w:color w:val="000000"/>
                <w:sz w:val="24"/>
                <w:szCs w:val="24"/>
                <w:u w:val="none"/>
                <w:lang w:val="zh-CN" w:eastAsia="zh-CN" w:bidi="ar"/>
              </w:rPr>
              <w:t xml:space="preserve">。</w:t>
            </w:r>
            <w:r/>
          </w:p>
          <w:p>
            <w:pPr>
              <w:ind w:left="0" w:right="0" w:firstLine="0"/>
              <w:jc w:val="left"/>
              <w:keepLines w:val="0"/>
              <w:keepNext w:val="0"/>
              <w:pageBreakBefore w:val="0"/>
              <w:spacing w:line="560" w:lineRule="exact"/>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zh-CN" w:eastAsia="zh-CN" w:bidi="ar"/>
              </w:rPr>
              <w:t xml:space="preserve">内容</w:t>
            </w:r>
            <w:r>
              <w:rPr>
                <w:rFonts w:hint="eastAsia" w:ascii="仿宋" w:hAnsi="仿宋" w:eastAsia="仿宋" w:cs="仿宋"/>
                <w:i w:val="0"/>
                <w:iCs w:val="0"/>
                <w:color w:val="000000"/>
                <w:sz w:val="24"/>
                <w:szCs w:val="24"/>
                <w:u w:val="none"/>
                <w:lang w:val="en-US" w:eastAsia="zh-CN" w:bidi="ar"/>
              </w:rPr>
              <w:t xml:space="preserve">基本完整</w:t>
            </w:r>
            <w:r>
              <w:rPr>
                <w:rFonts w:hint="eastAsia" w:ascii="仿宋" w:hAnsi="仿宋" w:eastAsia="仿宋" w:cs="仿宋"/>
                <w:i w:val="0"/>
                <w:iCs w:val="0"/>
                <w:color w:val="000000"/>
                <w:sz w:val="24"/>
                <w:szCs w:val="24"/>
                <w:u w:val="none"/>
                <w:lang w:val="zh-CN" w:eastAsia="zh-CN" w:bidi="ar"/>
              </w:rPr>
              <w:t xml:space="preserve">，对项目有一定理解</w:t>
            </w:r>
            <w:r>
              <w:rPr>
                <w:rFonts w:hint="eastAsia" w:ascii="仿宋" w:hAnsi="仿宋" w:eastAsia="仿宋" w:cs="仿宋"/>
                <w:i w:val="0"/>
                <w:iCs w:val="0"/>
                <w:color w:val="000000"/>
                <w:sz w:val="24"/>
                <w:szCs w:val="24"/>
                <w:u w:val="none"/>
                <w:lang w:val="en-US" w:eastAsia="zh-CN" w:bidi="ar"/>
              </w:rPr>
              <w:t xml:space="preserve">有瑕疵</w:t>
            </w:r>
            <w:r>
              <w:rPr>
                <w:rFonts w:hint="eastAsia" w:ascii="仿宋" w:hAnsi="仿宋" w:eastAsia="仿宋" w:cs="仿宋"/>
                <w:i w:val="0"/>
                <w:iCs w:val="0"/>
                <w:color w:val="000000"/>
                <w:sz w:val="24"/>
                <w:szCs w:val="24"/>
                <w:u w:val="none"/>
                <w:lang w:val="zh-CN" w:eastAsia="zh-CN" w:bidi="ar"/>
              </w:rPr>
              <w:t xml:space="preserve">，思路较为清晰</w:t>
            </w:r>
            <w:r>
              <w:rPr>
                <w:rFonts w:hint="eastAsia" w:ascii="仿宋" w:hAnsi="仿宋" w:eastAsia="仿宋" w:cs="仿宋"/>
                <w:i w:val="0"/>
                <w:iCs w:val="0"/>
                <w:color w:val="000000"/>
                <w:sz w:val="24"/>
                <w:szCs w:val="24"/>
                <w:u w:val="none"/>
                <w:lang w:val="en-US" w:eastAsia="zh-CN" w:bidi="ar"/>
              </w:rPr>
              <w:t xml:space="preserve">有瑕疵</w:t>
            </w:r>
            <w:r>
              <w:rPr>
                <w:rFonts w:hint="eastAsia" w:ascii="仿宋" w:hAnsi="仿宋" w:eastAsia="仿宋" w:cs="仿宋"/>
                <w:i w:val="0"/>
                <w:iCs w:val="0"/>
                <w:color w:val="000000"/>
                <w:sz w:val="24"/>
                <w:szCs w:val="24"/>
                <w:u w:val="none"/>
                <w:lang w:val="zh-CN" w:eastAsia="zh-CN" w:bidi="ar"/>
              </w:rPr>
              <w:t xml:space="preserve">，能基本把握项目重点难点，对策分析思路基本可行，</w:t>
            </w:r>
            <w:r>
              <w:rPr>
                <w:rFonts w:hint="eastAsia" w:ascii="仿宋" w:hAnsi="仿宋" w:eastAsia="仿宋" w:cs="仿宋"/>
                <w:i w:val="0"/>
                <w:iCs w:val="0"/>
                <w:color w:val="000000"/>
                <w:sz w:val="24"/>
                <w:szCs w:val="24"/>
                <w:u w:val="none"/>
                <w:lang w:val="en-US" w:eastAsia="zh-CN" w:bidi="ar"/>
              </w:rPr>
              <w:t xml:space="preserve">得10分。</w:t>
            </w:r>
            <w:r/>
          </w:p>
          <w:p>
            <w:pPr>
              <w:ind w:left="0" w:right="0" w:firstLine="0"/>
              <w:jc w:val="left"/>
              <w:keepLines w:val="0"/>
              <w:keepNext w:val="0"/>
              <w:pageBreakBefore w:val="0"/>
              <w:spacing w:line="560" w:lineRule="exact"/>
              <w:widowControl/>
              <w:rPr>
                <w:rFonts w:hint="eastAsia" w:ascii="仿宋" w:hAnsi="仿宋" w:eastAsia="仿宋" w:cs="仿宋"/>
                <w:i w:val="0"/>
                <w:iCs w:val="0"/>
                <w:color w:val="000000"/>
                <w:sz w:val="24"/>
                <w:szCs w:val="24"/>
                <w:u w:val="none"/>
                <w:lang w:val="zh-CN" w:eastAsia="zh-CN" w:bidi="ar"/>
              </w:rPr>
              <w:suppressLineNumbers w:val="0"/>
            </w:pPr>
            <w:r>
              <w:rPr>
                <w:rFonts w:hint="eastAsia" w:ascii="仿宋" w:hAnsi="仿宋" w:eastAsia="仿宋" w:cs="仿宋"/>
                <w:i w:val="0"/>
                <w:iCs w:val="0"/>
                <w:color w:val="000000"/>
                <w:sz w:val="24"/>
                <w:szCs w:val="24"/>
                <w:u w:val="none"/>
                <w:lang w:val="zh-CN" w:eastAsia="zh-CN" w:bidi="ar"/>
              </w:rPr>
              <w:t xml:space="preserve">内容基本完整，对项目理解基本准确，能把握主要重难点，对策分析具有一定针对性但深度有所欠缺，</w:t>
            </w:r>
            <w:r>
              <w:rPr>
                <w:rFonts w:hint="eastAsia" w:ascii="仿宋" w:hAnsi="仿宋" w:eastAsia="仿宋" w:cs="仿宋"/>
                <w:i w:val="0"/>
                <w:iCs w:val="0"/>
                <w:color w:val="000000"/>
                <w:sz w:val="24"/>
                <w:szCs w:val="24"/>
                <w:u w:val="none"/>
                <w:lang w:val="en-US" w:eastAsia="zh-CN" w:bidi="ar"/>
              </w:rPr>
              <w:t xml:space="preserve">得8分</w:t>
            </w:r>
            <w:r>
              <w:rPr>
                <w:rFonts w:hint="eastAsia" w:ascii="仿宋" w:hAnsi="仿宋" w:eastAsia="仿宋" w:cs="仿宋"/>
                <w:i w:val="0"/>
                <w:iCs w:val="0"/>
                <w:color w:val="000000"/>
                <w:sz w:val="24"/>
                <w:szCs w:val="24"/>
                <w:u w:val="none"/>
                <w:lang w:val="zh-CN" w:eastAsia="zh-CN" w:bidi="ar"/>
              </w:rPr>
              <w:t xml:space="preserve">。</w:t>
            </w:r>
            <w:r/>
          </w:p>
          <w:p>
            <w:pPr>
              <w:ind w:left="0" w:right="0" w:firstLine="0"/>
              <w:jc w:val="left"/>
              <w:keepLines w:val="0"/>
              <w:keepNext w:val="0"/>
              <w:pageBreakBefore w:val="0"/>
              <w:spacing w:line="560" w:lineRule="exact"/>
              <w:widowControl/>
              <w:rPr>
                <w:rFonts w:hint="eastAsia" w:ascii="仿宋" w:hAnsi="仿宋" w:eastAsia="仿宋" w:cs="仿宋"/>
                <w:i w:val="0"/>
                <w:iCs w:val="0"/>
                <w:color w:val="000000"/>
                <w:sz w:val="24"/>
                <w:szCs w:val="24"/>
                <w:u w:val="none"/>
                <w:lang w:val="zh-CN" w:eastAsia="zh-CN" w:bidi="ar"/>
              </w:rPr>
              <w:suppressLineNumbers w:val="0"/>
            </w:pPr>
            <w:r>
              <w:rPr>
                <w:rFonts w:hint="eastAsia" w:ascii="仿宋" w:hAnsi="仿宋" w:eastAsia="仿宋" w:cs="仿宋"/>
                <w:i w:val="0"/>
                <w:iCs w:val="0"/>
                <w:color w:val="000000"/>
                <w:sz w:val="24"/>
                <w:szCs w:val="24"/>
                <w:u w:val="none"/>
                <w:lang w:val="zh-CN" w:eastAsia="zh-CN" w:bidi="ar"/>
              </w:rPr>
              <w:t xml:space="preserve">内容不够详细，对项目理解存在偏差，重难点把握不足，对策分析缺乏针对性或可行性，</w:t>
            </w:r>
            <w:r>
              <w:rPr>
                <w:rFonts w:hint="eastAsia" w:ascii="仿宋" w:hAnsi="仿宋" w:eastAsia="仿宋" w:cs="仿宋"/>
                <w:i w:val="0"/>
                <w:iCs w:val="0"/>
                <w:color w:val="000000"/>
                <w:sz w:val="24"/>
                <w:szCs w:val="24"/>
                <w:u w:val="none"/>
                <w:lang w:val="en-US" w:eastAsia="zh-CN" w:bidi="ar"/>
              </w:rPr>
              <w:t xml:space="preserve">得6分</w:t>
            </w:r>
            <w:r>
              <w:rPr>
                <w:rFonts w:hint="eastAsia" w:ascii="仿宋" w:hAnsi="仿宋" w:eastAsia="仿宋" w:cs="仿宋"/>
                <w:i w:val="0"/>
                <w:iCs w:val="0"/>
                <w:color w:val="000000"/>
                <w:sz w:val="24"/>
                <w:szCs w:val="24"/>
                <w:u w:val="none"/>
                <w:lang w:val="zh-CN" w:eastAsia="zh-CN" w:bidi="ar"/>
              </w:rPr>
              <w:t xml:space="preserve">。</w:t>
            </w:r>
            <w:r/>
          </w:p>
          <w:p>
            <w:pPr>
              <w:ind w:left="0" w:right="0" w:firstLine="0"/>
              <w:jc w:val="left"/>
              <w:keepLines w:val="0"/>
              <w:keepNext w:val="0"/>
              <w:pageBreakBefore w:val="0"/>
              <w:spacing w:line="560" w:lineRule="exact"/>
              <w:widowControl/>
              <w:rPr>
                <w:rFonts w:hint="eastAsia" w:ascii="仿宋" w:hAnsi="仿宋" w:eastAsia="仿宋" w:cs="仿宋"/>
                <w:i w:val="0"/>
                <w:iCs w:val="0"/>
                <w:color w:val="000000"/>
                <w:sz w:val="24"/>
                <w:szCs w:val="24"/>
                <w:u w:val="none"/>
                <w:lang w:val="zh-CN" w:eastAsia="zh-CN" w:bidi="ar"/>
              </w:rPr>
              <w:suppressLineNumbers w:val="0"/>
            </w:pPr>
            <w:r>
              <w:rPr>
                <w:rFonts w:hint="eastAsia" w:ascii="仿宋" w:hAnsi="仿宋" w:eastAsia="仿宋" w:cs="仿宋"/>
                <w:i w:val="0"/>
                <w:iCs w:val="0"/>
                <w:color w:val="000000"/>
                <w:sz w:val="24"/>
                <w:szCs w:val="24"/>
                <w:u w:val="none"/>
                <w:lang w:val="zh-CN" w:eastAsia="zh-CN" w:bidi="ar"/>
              </w:rPr>
              <w:t xml:space="preserve">内容</w:t>
            </w:r>
            <w:r>
              <w:rPr>
                <w:rFonts w:hint="eastAsia" w:ascii="仿宋" w:hAnsi="仿宋" w:eastAsia="仿宋" w:cs="仿宋"/>
                <w:i w:val="0"/>
                <w:iCs w:val="0"/>
                <w:color w:val="000000"/>
                <w:sz w:val="24"/>
                <w:szCs w:val="24"/>
                <w:u w:val="none"/>
                <w:lang w:val="en-US" w:eastAsia="zh-CN" w:bidi="ar"/>
              </w:rPr>
              <w:t xml:space="preserve">有漏洞</w:t>
            </w:r>
            <w:r>
              <w:rPr>
                <w:rFonts w:hint="eastAsia" w:ascii="仿宋" w:hAnsi="仿宋" w:eastAsia="仿宋" w:cs="仿宋"/>
                <w:i w:val="0"/>
                <w:iCs w:val="0"/>
                <w:color w:val="000000"/>
                <w:sz w:val="24"/>
                <w:szCs w:val="24"/>
                <w:u w:val="none"/>
                <w:lang w:val="zh-CN" w:eastAsia="zh-CN" w:bidi="ar"/>
              </w:rPr>
              <w:t xml:space="preserve">，对项目理解</w:t>
            </w:r>
            <w:r>
              <w:rPr>
                <w:rFonts w:hint="eastAsia" w:ascii="仿宋" w:hAnsi="仿宋" w:eastAsia="仿宋" w:cs="仿宋"/>
                <w:i w:val="0"/>
                <w:iCs w:val="0"/>
                <w:color w:val="000000"/>
                <w:sz w:val="24"/>
                <w:szCs w:val="24"/>
                <w:u w:val="none"/>
                <w:lang w:val="en-US" w:eastAsia="zh-CN" w:bidi="ar"/>
              </w:rPr>
              <w:t xml:space="preserve">存在偏差</w:t>
            </w:r>
            <w:r>
              <w:rPr>
                <w:rFonts w:hint="eastAsia" w:ascii="仿宋" w:hAnsi="仿宋" w:eastAsia="仿宋" w:cs="仿宋"/>
                <w:i w:val="0"/>
                <w:iCs w:val="0"/>
                <w:color w:val="000000"/>
                <w:sz w:val="24"/>
                <w:szCs w:val="24"/>
                <w:u w:val="none"/>
                <w:lang w:val="zh-CN" w:eastAsia="zh-CN" w:bidi="ar"/>
              </w:rPr>
              <w:t xml:space="preserve">，重难点</w:t>
            </w:r>
            <w:r>
              <w:rPr>
                <w:rFonts w:hint="eastAsia" w:ascii="仿宋" w:hAnsi="仿宋" w:eastAsia="仿宋" w:cs="仿宋"/>
                <w:i w:val="0"/>
                <w:iCs w:val="0"/>
                <w:color w:val="000000"/>
                <w:sz w:val="24"/>
                <w:szCs w:val="24"/>
                <w:u w:val="none"/>
                <w:lang w:val="en-US" w:eastAsia="zh-CN" w:bidi="ar"/>
              </w:rPr>
              <w:t xml:space="preserve">缺失</w:t>
            </w:r>
            <w:r>
              <w:rPr>
                <w:rFonts w:hint="eastAsia" w:ascii="仿宋" w:hAnsi="仿宋" w:eastAsia="仿宋" w:cs="仿宋"/>
                <w:i w:val="0"/>
                <w:iCs w:val="0"/>
                <w:color w:val="000000"/>
                <w:sz w:val="24"/>
                <w:szCs w:val="24"/>
                <w:u w:val="none"/>
                <w:lang w:val="zh-CN" w:eastAsia="zh-CN" w:bidi="ar"/>
              </w:rPr>
              <w:t xml:space="preserve">，对策分析缺乏针对性或可行性，</w:t>
            </w:r>
            <w:r>
              <w:rPr>
                <w:rFonts w:hint="eastAsia" w:ascii="仿宋" w:hAnsi="仿宋" w:eastAsia="仿宋" w:cs="仿宋"/>
                <w:i w:val="0"/>
                <w:iCs w:val="0"/>
                <w:color w:val="000000"/>
                <w:sz w:val="24"/>
                <w:szCs w:val="24"/>
                <w:u w:val="none"/>
                <w:lang w:val="en-US" w:eastAsia="zh-CN" w:bidi="ar"/>
              </w:rPr>
              <w:t xml:space="preserve">得4分</w:t>
            </w:r>
            <w:r/>
          </w:p>
          <w:p>
            <w:pPr>
              <w:ind w:left="0" w:right="0" w:firstLine="0"/>
              <w:jc w:val="left"/>
              <w:keepLines w:val="0"/>
              <w:keepNext w:val="0"/>
              <w:pageBreakBefore w:val="0"/>
              <w:spacing w:line="560" w:lineRule="exact"/>
              <w:widowControl/>
              <w:rPr>
                <w:rFonts w:hint="eastAsia" w:ascii="仿宋" w:hAnsi="仿宋" w:eastAsia="仿宋" w:cs="仿宋"/>
                <w:i w:val="0"/>
                <w:iCs w:val="0"/>
                <w:color w:val="000000"/>
                <w:sz w:val="24"/>
                <w:szCs w:val="24"/>
                <w:u w:val="none"/>
                <w:lang w:val="zh-CN" w:eastAsia="zh-CN" w:bidi="ar"/>
              </w:rPr>
              <w:suppressLineNumbers w:val="0"/>
            </w:pPr>
            <w:r>
              <w:rPr>
                <w:rFonts w:hint="eastAsia" w:ascii="仿宋" w:hAnsi="仿宋" w:eastAsia="仿宋" w:cs="仿宋"/>
                <w:i w:val="0"/>
                <w:iCs w:val="0"/>
                <w:color w:val="000000"/>
                <w:sz w:val="24"/>
                <w:szCs w:val="24"/>
                <w:u w:val="none"/>
                <w:lang w:val="zh-CN" w:eastAsia="zh-CN" w:bidi="ar"/>
              </w:rPr>
              <w:t xml:space="preserve">内容空洞，理解存在重大偏差，缺乏有效分析，或未提供相关内容，</w:t>
            </w:r>
            <w:r>
              <w:rPr>
                <w:rFonts w:hint="eastAsia" w:ascii="仿宋" w:hAnsi="仿宋" w:eastAsia="仿宋" w:cs="仿宋"/>
                <w:i w:val="0"/>
                <w:iCs w:val="0"/>
                <w:color w:val="000000"/>
                <w:sz w:val="24"/>
                <w:szCs w:val="24"/>
                <w:u w:val="none"/>
                <w:lang w:val="en-US" w:eastAsia="zh-CN" w:bidi="ar"/>
              </w:rPr>
              <w:t xml:space="preserve">得2分</w:t>
            </w:r>
            <w:r>
              <w:rPr>
                <w:rFonts w:hint="eastAsia" w:ascii="仿宋" w:hAnsi="仿宋" w:eastAsia="仿宋" w:cs="仿宋"/>
                <w:i w:val="0"/>
                <w:iCs w:val="0"/>
                <w:color w:val="000000"/>
                <w:sz w:val="24"/>
                <w:szCs w:val="24"/>
                <w:u w:val="none"/>
                <w:lang w:val="zh-CN" w:eastAsia="zh-CN" w:bidi="ar"/>
              </w:rPr>
              <w:t xml:space="preserve">。</w:t>
            </w:r>
            <w:r/>
          </w:p>
          <w:p>
            <w:pPr>
              <w:ind w:left="0" w:right="0" w:firstLine="0"/>
              <w:jc w:val="left"/>
              <w:keepLines w:val="0"/>
              <w:keepNext w:val="0"/>
              <w:pageBreakBefore w:val="0"/>
              <w:spacing w:line="5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未提供此项方案的得0分</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tcPr>
          <w:p>
            <w:pPr>
              <w:ind w:left="0" w:right="0" w:firstLine="0"/>
              <w:jc w:val="left"/>
              <w:keepLines w:val="0"/>
              <w:keepNext w:val="0"/>
              <w:pageBreakBefore w:val="0"/>
              <w:spacing w:line="560" w:lineRule="exact"/>
              <w:widowControl/>
              <w:rPr>
                <w:rFonts w:hint="default" w:ascii="仿宋" w:hAnsi="等线" w:eastAsia="仿宋" w:cs="等线"/>
                <w:i w:val="0"/>
                <w:iCs w:val="0"/>
                <w:color w:val="000000"/>
                <w:sz w:val="24"/>
                <w:szCs w:val="22"/>
                <w:u w:val="none"/>
                <w:lang w:val="en-US"/>
              </w:rPr>
              <w:suppressLineNumbers w:val="0"/>
            </w:pPr>
            <w:r>
              <w:rPr>
                <w:rFonts w:hint="eastAsia" w:ascii="仿宋" w:hAnsi="等线" w:eastAsia="仿宋" w:cs="等线"/>
                <w:i w:val="0"/>
                <w:iCs w:val="0"/>
                <w:color w:val="000000"/>
                <w:sz w:val="24"/>
                <w:szCs w:val="22"/>
                <w:u w:val="none"/>
                <w:lang w:val="en-US" w:eastAsia="zh-CN" w:bidi="ar"/>
              </w:rPr>
              <w:t xml:space="preserve">20</w:t>
            </w:r>
            <w:r/>
          </w:p>
        </w:tc>
      </w:tr>
      <w:tr>
        <w:trPr>
          <w:jc w:val="center"/>
          <w:trHeight w:val="0"/>
        </w:trPr>
        <w:tc>
          <w:tcPr>
            <w:tcBorders>
              <w:top w:val="none" w:color="000000" w:sz="4" w:space="0"/>
              <w:left w:val="single" w:color="auto" w:sz="4" w:space="0"/>
              <w:bottom w:val="single" w:color="auto" w:sz="4" w:space="0"/>
              <w:right w:val="single" w:color="auto" w:sz="4" w:space="0"/>
            </w:tcBorders>
            <w:tcW w:w="661" w:type="dxa"/>
            <w:vAlign w:val="center"/>
            <w:textDirection w:val="lrTb"/>
            <w:noWrap w:val="false"/>
          </w:tcPr>
          <w:p>
            <w:pPr>
              <w:ind w:left="0" w:right="0" w:firstLine="0"/>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p>
        </w:tc>
        <w:tc>
          <w:tcPr>
            <w:tcBorders>
              <w:top w:val="none" w:color="000000" w:sz="4" w:space="0"/>
              <w:left w:val="single" w:color="auto" w:sz="4" w:space="0"/>
              <w:bottom w:val="single" w:color="auto" w:sz="4" w:space="0"/>
              <w:right w:val="single" w:color="auto" w:sz="4" w:space="0"/>
            </w:tcBorders>
            <w:tcW w:w="1050" w:type="dxa"/>
            <w:vAlign w:val="center"/>
            <w:vMerge w:val="continue"/>
            <w:textDirection w:val="lrTb"/>
            <w:noWrap w:val="false"/>
          </w:tcPr>
          <w:p>
            <w:pPr>
              <w:ind w:left="0" w:right="0" w:firstLine="0"/>
              <w:jc w:val="center"/>
              <w:pageBreakBefore w:val="0"/>
              <w:spacing w:line="5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ind w:left="0" w:right="0" w:firstLine="0"/>
              <w:jc w:val="center"/>
              <w:keepLines w:val="0"/>
              <w:keepNext w:val="0"/>
              <w:pageBreakBefore w:val="0"/>
              <w:spacing w:line="5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服务</w:t>
            </w:r>
            <w:r/>
          </w:p>
          <w:p>
            <w:pPr>
              <w:ind w:left="0" w:right="0" w:firstLine="0"/>
              <w:jc w:val="center"/>
              <w:keepLines w:val="0"/>
              <w:keepNext w:val="0"/>
              <w:pageBreakBefore w:val="0"/>
              <w:spacing w:line="5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方案</w:t>
            </w:r>
            <w:r/>
          </w:p>
        </w:tc>
        <w:tc>
          <w:tcPr>
            <w:tcBorders>
              <w:top w:val="none" w:color="000000" w:sz="4" w:space="0"/>
              <w:left w:val="none" w:color="000000" w:sz="4" w:space="0"/>
              <w:bottom w:val="single" w:color="auto" w:sz="4" w:space="0"/>
              <w:right w:val="single" w:color="auto" w:sz="4" w:space="0"/>
            </w:tcBorders>
            <w:tcW w:w="5613" w:type="dxa"/>
            <w:vAlign w:val="center"/>
            <w:textDirection w:val="lrTb"/>
            <w:noWrap w:val="false"/>
          </w:tcPr>
          <w:p>
            <w:pPr>
              <w:ind w:left="0" w:right="0" w:firstLine="0"/>
              <w:jc w:val="left"/>
              <w:keepLines w:val="0"/>
              <w:keepNext w:val="0"/>
              <w:pageBreakBefore w:val="0"/>
              <w:spacing w:line="5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整体方案科学合理、有针对性，针对具体工作内容制定有详细的工作计划，计划中对工作目标、组织方式等每项内容进行详细阐述且内容完善、符合项目实际工作需求，项目实施进程、工作流程安排得当，职责、分工安排合理，有完备的风险规避、控制措施，并具备完整的项目组织管理措施，得10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整体方案合理、具有一定的针对性，针对工作计划中的工作目标、 组织方式、等内容有详细阐述，但内容不完善、不完全贴合本项目实际情况，实施进程、工作流程安排稍显松散，职责、分工合理，适度考虑了项目实施中的相关风险，组织管理措施完备，得7分；</w:t>
            </w:r>
            <w:r/>
          </w:p>
          <w:p>
            <w:pPr>
              <w:ind w:left="0" w:right="0" w:firstLine="0"/>
              <w:jc w:val="left"/>
              <w:keepLines w:val="0"/>
              <w:keepNext w:val="0"/>
              <w:pageBreakBefore w:val="0"/>
              <w:spacing w:line="5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职责分工明确，风险规避、控制措施及组织管理措施完备，但整体方案缺乏针对性，工作计划内容粗糙，计划中的工作目标、组织方式等内容仅有简单阐述、缺乏可操作性、不能有效保障项目实施，实施进程、工作流程安排松散，得5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提供有服务方案，但整体工作计划未尽详尽、有缺漏项，实施进程、工作流程安排、职责分工等内容空洞、不明确，得3分；</w:t>
            </w:r>
            <w:r/>
          </w:p>
          <w:p>
            <w:pPr>
              <w:ind w:left="0" w:right="0" w:firstLine="0"/>
              <w:jc w:val="left"/>
              <w:keepLines w:val="0"/>
              <w:keepNext w:val="0"/>
              <w:pageBreakBefore w:val="0"/>
              <w:spacing w:line="5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不提供不得分。</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tcPr>
          <w:p>
            <w:pPr>
              <w:ind w:left="0" w:right="0" w:firstLine="0"/>
              <w:jc w:val="left"/>
              <w:keepLines w:val="0"/>
              <w:keepNext w:val="0"/>
              <w:pageBreakBefore w:val="0"/>
              <w:spacing w:line="560" w:lineRule="exact"/>
              <w:widowControl/>
              <w:rPr>
                <w:rFonts w:hint="eastAsia" w:ascii="仿宋" w:hAnsi="等线" w:eastAsia="仿宋" w:cs="等线"/>
                <w:i w:val="0"/>
                <w:iCs w:val="0"/>
                <w:color w:val="000000"/>
                <w:sz w:val="24"/>
                <w:szCs w:val="22"/>
                <w:u w:val="none"/>
              </w:rPr>
              <w:suppressLineNumbers w:val="0"/>
            </w:pPr>
            <w:r>
              <w:rPr>
                <w:rFonts w:hint="eastAsia" w:ascii="仿宋" w:hAnsi="等线" w:eastAsia="仿宋" w:cs="等线"/>
                <w:i w:val="0"/>
                <w:iCs w:val="0"/>
                <w:color w:val="000000"/>
                <w:sz w:val="24"/>
                <w:szCs w:val="22"/>
                <w:u w:val="none"/>
                <w:lang w:val="en-US" w:eastAsia="zh-CN" w:bidi="ar"/>
              </w:rPr>
              <w:t xml:space="preserve">10</w:t>
            </w:r>
            <w:r/>
          </w:p>
        </w:tc>
      </w:tr>
      <w:tr>
        <w:trPr>
          <w:jc w:val="center"/>
          <w:trHeight w:val="0"/>
        </w:trPr>
        <w:tc>
          <w:tcPr>
            <w:tcBorders>
              <w:top w:val="none" w:color="000000" w:sz="4" w:space="0"/>
              <w:left w:val="single" w:color="auto" w:sz="4" w:space="0"/>
              <w:bottom w:val="single" w:color="auto" w:sz="4" w:space="0"/>
              <w:right w:val="single" w:color="auto" w:sz="4" w:space="0"/>
            </w:tcBorders>
            <w:tcW w:w="661" w:type="dxa"/>
            <w:vAlign w:val="center"/>
            <w:textDirection w:val="lrTb"/>
            <w:noWrap w:val="false"/>
          </w:tcPr>
          <w:p>
            <w:pPr>
              <w:ind w:left="0" w:right="0" w:firstLine="0"/>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tcBorders>
              <w:top w:val="none" w:color="000000" w:sz="4" w:space="0"/>
              <w:left w:val="single" w:color="auto" w:sz="4" w:space="0"/>
              <w:bottom w:val="single" w:color="auto" w:sz="4" w:space="0"/>
              <w:right w:val="single" w:color="auto" w:sz="4" w:space="0"/>
            </w:tcBorders>
            <w:tcW w:w="1050" w:type="dxa"/>
            <w:vAlign w:val="center"/>
            <w:vMerge w:val="continue"/>
            <w:textDirection w:val="lrTb"/>
            <w:noWrap w:val="false"/>
          </w:tcPr>
          <w:p>
            <w:pPr>
              <w:ind w:left="0" w:right="0" w:firstLine="0"/>
              <w:jc w:val="center"/>
              <w:pageBreakBefore w:val="0"/>
              <w:spacing w:line="5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ind w:left="0" w:right="0" w:firstLine="0"/>
              <w:jc w:val="center"/>
              <w:keepLines w:val="0"/>
              <w:keepNext w:val="0"/>
              <w:pageBreakBefore w:val="0"/>
              <w:spacing w:line="5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质量保证措施</w:t>
            </w:r>
            <w:r/>
          </w:p>
        </w:tc>
        <w:tc>
          <w:tcPr>
            <w:tcBorders>
              <w:top w:val="none" w:color="000000" w:sz="4" w:space="0"/>
              <w:left w:val="none" w:color="000000" w:sz="4" w:space="0"/>
              <w:bottom w:val="single" w:color="auto" w:sz="4" w:space="0"/>
              <w:right w:val="single" w:color="auto" w:sz="4" w:space="0"/>
            </w:tcBorders>
            <w:tcW w:w="5613" w:type="dxa"/>
            <w:vAlign w:val="center"/>
            <w:textDirection w:val="lrTb"/>
            <w:noWrap w:val="false"/>
          </w:tcPr>
          <w:p>
            <w:pPr>
              <w:ind w:left="0" w:right="0" w:firstLine="0"/>
              <w:jc w:val="left"/>
              <w:keepLines w:val="0"/>
              <w:keepNext w:val="0"/>
              <w:pageBreakBefore w:val="0"/>
              <w:spacing w:line="5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针对供应商对本项目质量保证体系与切实可行的保证措施进行综合评价。</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服务质量保证措施合理，内容详细完善、能保障项目顺利实施，针对获取的相关数据具有完善的档案管理制度及针对性的数据安全保密措施，有效保障采购人权益，得10分；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服务质量保证措施合理，能保障项目顺利实施，档案管理制度及数据安全保密措施缺乏针对性、不完全贴合本项目实际情况，得7分；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服务质量保证措施基本合理，但内容描述不详细，数据安全保密措施笼统，得5分；</w:t>
            </w:r>
            <w:r/>
          </w:p>
          <w:p>
            <w:pPr>
              <w:ind w:left="0" w:right="0" w:firstLine="0"/>
              <w:jc w:val="left"/>
              <w:keepLines w:val="0"/>
              <w:keepNext w:val="0"/>
              <w:pageBreakBefore w:val="0"/>
              <w:spacing w:line="5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内容简单，服务质量保证措施不合理，且内容有漏项，</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得3分；</w:t>
            </w:r>
            <w:r/>
          </w:p>
          <w:p>
            <w:pPr>
              <w:ind w:left="0" w:right="0" w:firstLine="0"/>
              <w:jc w:val="left"/>
              <w:keepLines w:val="0"/>
              <w:keepNext w:val="0"/>
              <w:pageBreakBefore w:val="0"/>
              <w:spacing w:line="5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不提供不得分。</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tcPr>
          <w:p>
            <w:pPr>
              <w:ind w:left="0" w:right="0" w:firstLine="0"/>
              <w:jc w:val="left"/>
              <w:keepLines w:val="0"/>
              <w:keepNext w:val="0"/>
              <w:pageBreakBefore w:val="0"/>
              <w:spacing w:line="560" w:lineRule="exact"/>
              <w:widowControl/>
              <w:rPr>
                <w:rFonts w:hint="eastAsia" w:ascii="仿宋" w:hAnsi="等线" w:eastAsia="仿宋" w:cs="等线"/>
                <w:i w:val="0"/>
                <w:iCs w:val="0"/>
                <w:color w:val="000000"/>
                <w:sz w:val="24"/>
                <w:szCs w:val="22"/>
                <w:u w:val="none"/>
              </w:rPr>
              <w:suppressLineNumbers w:val="0"/>
            </w:pPr>
            <w:r>
              <w:rPr>
                <w:rFonts w:hint="eastAsia" w:ascii="仿宋" w:hAnsi="等线" w:eastAsia="仿宋" w:cs="等线"/>
                <w:i w:val="0"/>
                <w:iCs w:val="0"/>
                <w:color w:val="000000"/>
                <w:sz w:val="24"/>
                <w:szCs w:val="22"/>
                <w:u w:val="none"/>
                <w:lang w:val="en-US" w:eastAsia="zh-CN" w:bidi="ar"/>
              </w:rPr>
              <w:t xml:space="preserve">10</w:t>
            </w:r>
            <w:r/>
          </w:p>
        </w:tc>
      </w:tr>
      <w:tr>
        <w:trPr>
          <w:jc w:val="center"/>
          <w:trHeight w:val="0"/>
        </w:trPr>
        <w:tc>
          <w:tcPr>
            <w:tcBorders>
              <w:top w:val="none" w:color="000000" w:sz="4" w:space="0"/>
              <w:left w:val="single" w:color="auto" w:sz="4" w:space="0"/>
              <w:bottom w:val="single" w:color="auto" w:sz="4" w:space="0"/>
              <w:right w:val="single" w:color="auto" w:sz="4" w:space="0"/>
            </w:tcBorders>
            <w:tcW w:w="661" w:type="dxa"/>
            <w:vAlign w:val="center"/>
            <w:textDirection w:val="lrTb"/>
            <w:noWrap w:val="false"/>
          </w:tcPr>
          <w:p>
            <w:pPr>
              <w:ind w:left="0" w:right="0" w:firstLine="0"/>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p>
        </w:tc>
        <w:tc>
          <w:tcPr>
            <w:tcBorders>
              <w:top w:val="none" w:color="000000" w:sz="4" w:space="0"/>
              <w:left w:val="single" w:color="auto" w:sz="4" w:space="0"/>
              <w:bottom w:val="single" w:color="auto" w:sz="4" w:space="0"/>
              <w:right w:val="single" w:color="auto" w:sz="4" w:space="0"/>
            </w:tcBorders>
            <w:tcW w:w="1050" w:type="dxa"/>
            <w:vAlign w:val="center"/>
            <w:vMerge w:val="continue"/>
            <w:textDirection w:val="lrTb"/>
            <w:noWrap w:val="false"/>
          </w:tcPr>
          <w:p>
            <w:pPr>
              <w:ind w:left="0" w:right="0" w:firstLine="0"/>
              <w:jc w:val="center"/>
              <w:pageBreakBefore w:val="0"/>
              <w:spacing w:line="5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ind w:left="0" w:right="0" w:firstLine="0"/>
              <w:jc w:val="center"/>
              <w:keepLines w:val="0"/>
              <w:keepNext w:val="0"/>
              <w:pageBreakBefore w:val="0"/>
              <w:spacing w:line="5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进度计划方案及保证措施</w:t>
            </w:r>
            <w:r/>
          </w:p>
        </w:tc>
        <w:tc>
          <w:tcPr>
            <w:tcBorders>
              <w:top w:val="none" w:color="000000" w:sz="4" w:space="0"/>
              <w:left w:val="none" w:color="000000" w:sz="4" w:space="0"/>
              <w:bottom w:val="single" w:color="auto" w:sz="4" w:space="0"/>
              <w:right w:val="single" w:color="auto" w:sz="4" w:space="0"/>
            </w:tcBorders>
            <w:tcW w:w="5613" w:type="dxa"/>
            <w:vAlign w:val="center"/>
            <w:textDirection w:val="lrTb"/>
            <w:noWrap w:val="false"/>
          </w:tcPr>
          <w:p>
            <w:pPr>
              <w:ind w:left="0" w:right="0" w:firstLine="0"/>
              <w:jc w:val="left"/>
              <w:keepLines w:val="0"/>
              <w:keepNext w:val="0"/>
              <w:pageBreakBefore w:val="0"/>
              <w:spacing w:line="5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根据供应商提供的进度计划方案和提供的进度保证措施进行打分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进度计划方案及保证措施完善、详细、与本项目的实际契合度高，且可行性强，得10分；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进度计划方案及保证措施明确、具体、合理、可行的，得8分；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进度计划方案及保证措施能够基本满足项目要求的，得5分；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进度计划方案内容简单，进度计划保证措施不合理，得3分；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不提供不得分</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tcPr>
          <w:p>
            <w:pPr>
              <w:ind w:left="0" w:right="0" w:firstLine="0"/>
              <w:jc w:val="left"/>
              <w:keepLines w:val="0"/>
              <w:keepNext w:val="0"/>
              <w:pageBreakBefore w:val="0"/>
              <w:spacing w:line="560" w:lineRule="exact"/>
              <w:widowControl/>
              <w:rPr>
                <w:rFonts w:hint="eastAsia" w:ascii="仿宋" w:hAnsi="等线" w:eastAsia="仿宋" w:cs="等线"/>
                <w:i w:val="0"/>
                <w:iCs w:val="0"/>
                <w:color w:val="000000"/>
                <w:sz w:val="24"/>
                <w:szCs w:val="22"/>
                <w:u w:val="none"/>
              </w:rPr>
              <w:suppressLineNumbers w:val="0"/>
            </w:pPr>
            <w:r>
              <w:rPr>
                <w:rFonts w:hint="eastAsia" w:ascii="仿宋" w:hAnsi="等线" w:eastAsia="仿宋" w:cs="等线"/>
                <w:i w:val="0"/>
                <w:iCs w:val="0"/>
                <w:color w:val="000000"/>
                <w:sz w:val="24"/>
                <w:szCs w:val="22"/>
                <w:u w:val="none"/>
                <w:lang w:val="en-US" w:eastAsia="zh-CN" w:bidi="ar"/>
              </w:rPr>
              <w:t xml:space="preserve">10</w:t>
            </w:r>
            <w:r/>
          </w:p>
        </w:tc>
      </w:tr>
      <w:tr>
        <w:trPr>
          <w:jc w:val="center"/>
          <w:trHeight w:val="0"/>
        </w:trPr>
        <w:tc>
          <w:tcPr>
            <w:tcBorders>
              <w:top w:val="none" w:color="000000" w:sz="4" w:space="0"/>
              <w:left w:val="single" w:color="auto" w:sz="4" w:space="0"/>
              <w:bottom w:val="single" w:color="auto" w:sz="4" w:space="0"/>
              <w:right w:val="single" w:color="auto" w:sz="4" w:space="0"/>
            </w:tcBorders>
            <w:tcW w:w="661" w:type="dxa"/>
            <w:vAlign w:val="center"/>
            <w:textDirection w:val="lrTb"/>
            <w:noWrap w:val="false"/>
          </w:tcPr>
          <w:p>
            <w:pPr>
              <w:ind w:left="0" w:right="0" w:firstLine="0"/>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tcBorders>
              <w:top w:val="none" w:color="000000" w:sz="4" w:space="0"/>
              <w:left w:val="single" w:color="auto" w:sz="4" w:space="0"/>
              <w:bottom w:val="single" w:color="auto" w:sz="4" w:space="0"/>
              <w:right w:val="single" w:color="auto" w:sz="4" w:space="0"/>
            </w:tcBorders>
            <w:tcW w:w="1050" w:type="dxa"/>
            <w:vAlign w:val="center"/>
            <w:vMerge w:val="continue"/>
            <w:textDirection w:val="lrTb"/>
            <w:noWrap w:val="false"/>
          </w:tcPr>
          <w:p>
            <w:pPr>
              <w:ind w:left="0" w:right="0" w:firstLine="0"/>
              <w:jc w:val="center"/>
              <w:pageBreakBefore w:val="0"/>
              <w:spacing w:line="5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ind w:left="0" w:right="0" w:firstLine="0"/>
              <w:jc w:val="center"/>
              <w:keepLines w:val="0"/>
              <w:keepNext w:val="0"/>
              <w:pageBreakBefore w:val="0"/>
              <w:spacing w:line="5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售后服务</w:t>
            </w:r>
            <w:r/>
          </w:p>
        </w:tc>
        <w:tc>
          <w:tcPr>
            <w:tcBorders>
              <w:top w:val="none" w:color="000000" w:sz="4" w:space="0"/>
              <w:left w:val="none" w:color="000000" w:sz="4" w:space="0"/>
              <w:bottom w:val="single" w:color="auto" w:sz="4" w:space="0"/>
              <w:right w:val="single" w:color="auto" w:sz="4" w:space="0"/>
            </w:tcBorders>
            <w:tcW w:w="5613" w:type="dxa"/>
            <w:vAlign w:val="center"/>
            <w:textDirection w:val="lrTb"/>
            <w:noWrap w:val="false"/>
          </w:tcPr>
          <w:p>
            <w:pPr>
              <w:ind w:left="0" w:right="0" w:firstLine="0"/>
              <w:jc w:val="left"/>
              <w:keepLines w:val="0"/>
              <w:keepNext w:val="0"/>
              <w:pageBreakBefore w:val="0"/>
              <w:spacing w:line="5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根据投标人提供的售后服务方案进行评分。</w:t>
            </w:r>
            <w:r/>
          </w:p>
          <w:p>
            <w:pPr>
              <w:ind w:left="0" w:right="0" w:firstLine="0"/>
              <w:jc w:val="left"/>
              <w:keepLines w:val="0"/>
              <w:keepNext w:val="0"/>
              <w:pageBreakBefore w:val="0"/>
              <w:spacing w:line="5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售后服务方案完整、优质，服务内容具体详实，完全满足招标文件要求，得10分。</w:t>
            </w:r>
            <w:r/>
          </w:p>
          <w:p>
            <w:pPr>
              <w:ind w:left="0" w:right="0" w:firstLine="0"/>
              <w:jc w:val="left"/>
              <w:keepLines w:val="0"/>
              <w:keepNext w:val="0"/>
              <w:pageBreakBefore w:val="0"/>
              <w:spacing w:line="5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售后服务方案基本完整，服务内容和质量描述较为具体，基本满足招标文件要求，得8分。</w:t>
            </w:r>
            <w:r/>
          </w:p>
          <w:p>
            <w:pPr>
              <w:ind w:left="0" w:right="0" w:firstLine="0"/>
              <w:jc w:val="left"/>
              <w:keepLines w:val="0"/>
              <w:keepNext w:val="0"/>
              <w:pageBreakBefore w:val="0"/>
              <w:spacing w:line="5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售后服务方案基本完整但有瑕疵，服务内容和质量描述比较笼统，基本满足招标文件要求，得5分</w:t>
            </w:r>
            <w:r/>
          </w:p>
          <w:p>
            <w:pPr>
              <w:ind w:left="0" w:right="0" w:firstLine="0"/>
              <w:jc w:val="left"/>
              <w:keepLines w:val="0"/>
              <w:keepNext w:val="0"/>
              <w:pageBreakBefore w:val="0"/>
              <w:spacing w:line="5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售后服务方案内容不完整，服务质量描述非常笼统，部分内容低于招标文件要求，得3分。</w:t>
            </w:r>
            <w:r/>
          </w:p>
          <w:p>
            <w:pPr>
              <w:ind w:left="0" w:right="0" w:firstLine="0"/>
              <w:jc w:val="left"/>
              <w:keepLines w:val="0"/>
              <w:keepNext w:val="0"/>
              <w:pageBreakBefore w:val="0"/>
              <w:spacing w:line="5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未提交售后服务方案得0分。</w:t>
            </w:r>
            <w:r/>
          </w:p>
          <w:p>
            <w:pPr>
              <w:ind w:left="0" w:right="0" w:firstLine="0"/>
              <w:jc w:val="left"/>
              <w:keepLines w:val="0"/>
              <w:keepNext w:val="0"/>
              <w:pageBreakBefore w:val="0"/>
              <w:spacing w:line="5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备注：土壤学相关学科</w:t>
            </w:r>
            <w:r/>
          </w:p>
          <w:p>
            <w:pPr>
              <w:ind w:left="0" w:right="0" w:firstLine="0"/>
              <w:jc w:val="left"/>
              <w:keepLines w:val="0"/>
              <w:keepNext w:val="0"/>
              <w:pageBreakBefore w:val="0"/>
              <w:spacing w:line="5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土壤学、农业资源与环境、农业资源利用、土壤农化、植物营养学、水土保持与荒漠化防治、生态学、园艺学、作物栽培学与耕作学、果树学、蔬菜学、茶学、森林培育、森林保护学、森林经理学、野生动植物保护与利用、园林植物与观赏园艺自然地理学、地图学与地理信息系统、资源环境与遥感信息、资源环境信息技术、地理信息科学、海洋地质、固体地球物理学、矿物学、岩石学、矿床学、地球化学、古生物学与地层学、构造地质学、第四纪地质学、微生物学、地图制图学与地理信息工程、矿产普查与勘探、地球探测与信息技术、地质工程、环境科学、环境工程、草学等</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tcPr>
          <w:p>
            <w:pPr>
              <w:ind w:left="0" w:right="0" w:firstLine="0"/>
              <w:jc w:val="left"/>
              <w:keepLines w:val="0"/>
              <w:keepNext w:val="0"/>
              <w:pageBreakBefore w:val="0"/>
              <w:spacing w:line="560" w:lineRule="exact"/>
              <w:widowControl/>
              <w:rPr>
                <w:rFonts w:hint="default" w:ascii="仿宋" w:hAnsi="等线" w:eastAsia="仿宋" w:cs="等线"/>
                <w:i w:val="0"/>
                <w:iCs w:val="0"/>
                <w:color w:val="000000"/>
                <w:sz w:val="24"/>
                <w:szCs w:val="22"/>
                <w:u w:val="none"/>
                <w:lang w:val="en-US"/>
              </w:rPr>
              <w:suppressLineNumbers w:val="0"/>
            </w:pPr>
            <w:r>
              <w:rPr>
                <w:rFonts w:hint="eastAsia" w:ascii="仿宋" w:hAnsi="等线" w:eastAsia="仿宋" w:cs="等线"/>
                <w:i w:val="0"/>
                <w:iCs w:val="0"/>
                <w:color w:val="000000"/>
                <w:sz w:val="24"/>
                <w:szCs w:val="22"/>
                <w:u w:val="none"/>
                <w:lang w:val="en-US" w:eastAsia="zh-CN" w:bidi="ar"/>
              </w:rPr>
              <w:t xml:space="preserve">10</w:t>
            </w:r>
            <w:r/>
          </w:p>
        </w:tc>
      </w:tr>
    </w:tbl>
    <w:p>
      <w:pPr>
        <w:pStyle w:val="917"/>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br w:type="page" w:clear="all"/>
      </w:r>
      <w:r/>
    </w:p>
    <w:p>
      <w:pPr>
        <w:jc w:val="center"/>
        <w:pageBreakBefore w:val="0"/>
        <w:spacing w:line="560" w:lineRule="exact"/>
        <w:rPr>
          <w:rFonts w:ascii="楷体_GB2312" w:hAnsi="楷体_GB2312" w:eastAsia="仿宋" w:cs="楷体_GB2312"/>
          <w:b/>
          <w:sz w:val="44"/>
          <w:szCs w:val="44"/>
        </w:rPr>
      </w:pPr>
      <w:r>
        <w:rPr>
          <w:rFonts w:hint="eastAsia" w:ascii="仿宋" w:hAnsi="仿宋" w:eastAsia="仿宋"/>
          <w:b/>
          <w:bCs/>
          <w:color w:val="000000"/>
          <w:sz w:val="32"/>
          <w:szCs w:val="32"/>
        </w:rPr>
        <w:t xml:space="preserve">第五章  拟签订的合同文本</w:t>
      </w:r>
      <w:r/>
    </w:p>
    <w:p>
      <w:pPr>
        <w:jc w:val="center"/>
        <w:pageBreakBefore w:val="0"/>
        <w:spacing w:line="560" w:lineRule="exact"/>
        <w:rPr>
          <w:rFonts w:hint="eastAsia" w:ascii="宋体" w:hAnsi="宋体" w:eastAsia="宋体" w:cs="宋体"/>
          <w:b w:val="0"/>
          <w:bCs w:val="0"/>
          <w:sz w:val="32"/>
          <w:highlight w:val="none"/>
        </w:rPr>
      </w:pPr>
      <w:r/>
      <w:bookmarkStart w:id="44" w:name="_Toc522790135"/>
      <w:r>
        <w:rPr>
          <w:rFonts w:hint="eastAsia" w:ascii="宋体" w:hAnsi="宋体" w:cs="宋体"/>
          <w:b w:val="0"/>
          <w:bCs w:val="0"/>
          <w:color w:val="auto"/>
          <w:spacing w:val="20"/>
          <w:sz w:val="32"/>
          <w:szCs w:val="32"/>
          <w:highlight w:val="none"/>
          <w:lang w:eastAsia="zh-CN"/>
        </w:rPr>
        <w:t xml:space="preserve">新沂市</w:t>
      </w:r>
      <w:r>
        <w:rPr>
          <w:rFonts w:hint="eastAsia" w:ascii="宋体" w:hAnsi="宋体" w:eastAsia="宋体" w:cs="宋体"/>
          <w:b w:val="0"/>
          <w:bCs w:val="0"/>
          <w:color w:val="auto"/>
          <w:spacing w:val="20"/>
          <w:sz w:val="32"/>
          <w:szCs w:val="32"/>
          <w:highlight w:val="none"/>
        </w:rPr>
        <w:t xml:space="preserve">第三次全国土壤普查</w:t>
      </w:r>
      <w:r>
        <w:rPr>
          <w:rFonts w:hint="eastAsia" w:ascii="宋体" w:hAnsi="宋体" w:cs="宋体"/>
          <w:b w:val="0"/>
          <w:bCs w:val="0"/>
          <w:color w:val="auto"/>
          <w:spacing w:val="20"/>
          <w:sz w:val="32"/>
          <w:szCs w:val="32"/>
          <w:highlight w:val="none"/>
          <w:lang w:val="en-US" w:eastAsia="zh-CN"/>
        </w:rPr>
        <w:t xml:space="preserve">管理应用系统建设</w:t>
      </w:r>
      <w:r>
        <w:rPr>
          <w:rFonts w:hint="eastAsia" w:ascii="宋体" w:hAnsi="宋体" w:eastAsia="宋体" w:cs="宋体"/>
          <w:b w:val="0"/>
          <w:bCs w:val="0"/>
          <w:color w:val="auto"/>
          <w:spacing w:val="20"/>
          <w:sz w:val="32"/>
          <w:szCs w:val="32"/>
          <w:highlight w:val="none"/>
          <w:lang w:val="en-US" w:eastAsia="zh-CN"/>
        </w:rPr>
        <w:t xml:space="preserve">合同</w:t>
      </w:r>
      <w:r/>
    </w:p>
    <w:p>
      <w:pPr>
        <w:ind w:left="420" w:firstLine="478"/>
        <w:jc w:val="left"/>
        <w:keepLines w:val="0"/>
        <w:keepNext w:val="0"/>
        <w:pageBreakBefore w:val="0"/>
        <w:spacing w:line="560" w:lineRule="exact"/>
        <w:widowControl w:val="off"/>
        <w:rPr>
          <w:rFonts w:hint="default" w:ascii="宋体" w:hAnsi="宋体" w:cs="宋体"/>
          <w:b w:val="0"/>
          <w:bCs w:val="0"/>
          <w:sz w:val="28"/>
          <w:highlight w:val="none"/>
          <w:u w:val="single"/>
          <w:lang w:val="en-US" w:eastAsia="zh-CN"/>
        </w:rPr>
      </w:pPr>
      <w:r>
        <w:rPr>
          <w:rFonts w:hint="eastAsia" w:ascii="宋体" w:hAnsi="宋体" w:cs="宋体"/>
          <w:b/>
          <w:bCs/>
          <w:spacing w:val="0"/>
          <w:sz w:val="28"/>
          <w:highlight w:val="none"/>
          <w:lang w:val="en-US" w:eastAsia="zh-CN"/>
        </w:rPr>
        <w:t xml:space="preserve">项目编号</w:t>
      </w:r>
      <w:r>
        <w:rPr>
          <w:rFonts w:hint="eastAsia" w:ascii="宋体" w:hAnsi="宋体" w:cs="宋体"/>
          <w:b w:val="0"/>
          <w:bCs w:val="0"/>
          <w:sz w:val="28"/>
          <w:highlight w:val="none"/>
          <w:lang w:val="en-US" w:eastAsia="zh-CN"/>
        </w:rPr>
        <w:t xml:space="preserve">：</w:t>
      </w:r>
      <w:r/>
    </w:p>
    <w:p>
      <w:pPr>
        <w:ind w:left="420" w:firstLine="478"/>
        <w:jc w:val="left"/>
        <w:keepLines w:val="0"/>
        <w:keepNext w:val="0"/>
        <w:pageBreakBefore w:val="0"/>
        <w:spacing w:line="560" w:lineRule="exact"/>
        <w:widowControl w:val="off"/>
        <w:rPr>
          <w:rFonts w:hint="default" w:ascii="宋体" w:hAnsi="宋体" w:cs="宋体"/>
          <w:b w:val="0"/>
          <w:bCs w:val="0"/>
          <w:sz w:val="28"/>
          <w:highlight w:val="none"/>
          <w:lang w:val="en-US" w:eastAsia="zh-CN"/>
        </w:rPr>
      </w:pPr>
      <w:r>
        <w:rPr>
          <w:rFonts w:hint="eastAsia" w:ascii="宋体" w:hAnsi="宋体" w:cs="宋体"/>
          <w:b/>
          <w:bCs/>
          <w:spacing w:val="0"/>
          <w:sz w:val="28"/>
          <w:highlight w:val="none"/>
          <w:lang w:val="en-US" w:eastAsia="zh-CN"/>
        </w:rPr>
        <w:t xml:space="preserve">项目名称</w:t>
      </w:r>
      <w:r>
        <w:rPr>
          <w:rFonts w:hint="eastAsia" w:ascii="宋体" w:hAnsi="宋体" w:cs="宋体"/>
          <w:b w:val="0"/>
          <w:bCs w:val="0"/>
          <w:sz w:val="28"/>
          <w:highlight w:val="none"/>
          <w:lang w:val="en-US" w:eastAsia="zh-CN"/>
        </w:rPr>
        <w:t xml:space="preserve">：</w:t>
      </w:r>
      <w:r>
        <w:rPr>
          <w:rFonts w:hint="eastAsia" w:ascii="宋体" w:hAnsi="宋体" w:cs="宋体"/>
          <w:b w:val="0"/>
          <w:bCs w:val="0"/>
          <w:sz w:val="28"/>
          <w:highlight w:val="none"/>
          <w:u w:val="none"/>
          <w:lang w:val="en-US" w:eastAsia="zh-CN"/>
        </w:rPr>
        <w:t xml:space="preserve"> </w:t>
      </w:r>
      <w:r>
        <w:rPr>
          <w:rFonts w:hint="eastAsia" w:ascii="宋体" w:hAnsi="宋体" w:cs="宋体"/>
          <w:b w:val="0"/>
          <w:bCs w:val="0"/>
          <w:sz w:val="28"/>
          <w:highlight w:val="none"/>
          <w:u w:val="single"/>
          <w:lang w:val="en-US" w:eastAsia="zh-CN"/>
        </w:rPr>
        <w:t xml:space="preserve">新沂市第三次全国土壤普查管理应用系统建设</w:t>
      </w:r>
      <w:r/>
    </w:p>
    <w:p>
      <w:pPr>
        <w:ind w:left="420" w:firstLine="393"/>
        <w:jc w:val="left"/>
        <w:keepLines w:val="0"/>
        <w:keepNext w:val="0"/>
        <w:pageBreakBefore w:val="0"/>
        <w:spacing w:line="560" w:lineRule="exact"/>
        <w:widowControl w:val="off"/>
        <w:rPr>
          <w:rFonts w:hint="default" w:ascii="宋体" w:hAnsi="宋体" w:cs="宋体"/>
          <w:b w:val="0"/>
          <w:bCs w:val="0"/>
          <w:sz w:val="28"/>
          <w:highlight w:val="none"/>
          <w:lang w:val="en-US" w:eastAsia="zh-CN"/>
        </w:rPr>
      </w:pPr>
      <w:r>
        <w:rPr>
          <w:rFonts w:hint="eastAsia" w:ascii="宋体" w:hAnsi="宋体" w:cs="宋体"/>
          <w:b/>
          <w:bCs/>
          <w:spacing w:val="140"/>
          <w:sz w:val="28"/>
          <w:highlight w:val="none"/>
          <w:lang w:val="en-US" w:eastAsia="zh-CN"/>
        </w:rPr>
        <w:t xml:space="preserve">采购</w:t>
      </w:r>
      <w:r>
        <w:rPr>
          <w:rFonts w:hint="eastAsia" w:ascii="宋体" w:hAnsi="宋体" w:cs="宋体"/>
          <w:b/>
          <w:bCs/>
          <w:spacing w:val="0"/>
          <w:sz w:val="28"/>
          <w:highlight w:val="none"/>
          <w:lang w:val="en-US" w:eastAsia="zh-CN"/>
        </w:rPr>
        <w:t xml:space="preserve">人</w:t>
      </w:r>
      <w:r>
        <w:rPr>
          <w:rFonts w:hint="eastAsia" w:ascii="宋体" w:hAnsi="宋体" w:cs="宋体"/>
          <w:b w:val="0"/>
          <w:bCs w:val="0"/>
          <w:sz w:val="28"/>
          <w:highlight w:val="none"/>
          <w:lang w:val="en-US" w:eastAsia="zh-CN"/>
        </w:rPr>
        <w:t xml:space="preserve">：</w:t>
      </w:r>
      <w:r>
        <w:rPr>
          <w:rFonts w:hint="eastAsia" w:ascii="宋体" w:hAnsi="宋体" w:cs="宋体"/>
          <w:b w:val="0"/>
          <w:bCs w:val="0"/>
          <w:sz w:val="28"/>
          <w:highlight w:val="none"/>
          <w:u w:val="single"/>
          <w:lang w:val="en-US" w:eastAsia="zh-CN"/>
        </w:rPr>
        <w:t xml:space="preserve">新沂市农业农村局</w:t>
      </w:r>
      <w:r/>
    </w:p>
    <w:p>
      <w:pPr>
        <w:ind w:left="420" w:firstLine="393"/>
        <w:jc w:val="left"/>
        <w:keepLines w:val="0"/>
        <w:keepNext w:val="0"/>
        <w:pageBreakBefore w:val="0"/>
        <w:spacing w:line="560" w:lineRule="exact"/>
        <w:widowControl w:val="off"/>
        <w:rPr>
          <w:rFonts w:hint="eastAsia" w:ascii="宋体" w:hAnsi="宋体" w:cs="宋体"/>
          <w:b w:val="0"/>
          <w:bCs w:val="0"/>
          <w:sz w:val="28"/>
          <w:highlight w:val="none"/>
          <w:lang w:val="en-US" w:eastAsia="zh-CN"/>
        </w:rPr>
      </w:pPr>
      <w:r>
        <w:rPr>
          <w:rFonts w:hint="eastAsia" w:ascii="宋体" w:hAnsi="宋体" w:cs="宋体"/>
          <w:b/>
          <w:bCs/>
          <w:spacing w:val="140"/>
          <w:sz w:val="28"/>
          <w:highlight w:val="none"/>
          <w:lang w:val="en-US" w:eastAsia="zh-CN"/>
        </w:rPr>
        <w:t xml:space="preserve">供应</w:t>
      </w:r>
      <w:r>
        <w:rPr>
          <w:rFonts w:hint="eastAsia" w:ascii="宋体" w:hAnsi="宋体" w:cs="宋体"/>
          <w:b/>
          <w:bCs/>
          <w:spacing w:val="0"/>
          <w:sz w:val="28"/>
          <w:highlight w:val="none"/>
          <w:lang w:val="en-US" w:eastAsia="zh-CN"/>
        </w:rPr>
        <w:t xml:space="preserve">商</w:t>
      </w:r>
      <w:r>
        <w:rPr>
          <w:rFonts w:hint="eastAsia" w:ascii="宋体" w:hAnsi="宋体" w:cs="宋体"/>
          <w:b w:val="0"/>
          <w:bCs w:val="0"/>
          <w:sz w:val="28"/>
          <w:highlight w:val="none"/>
          <w:lang w:val="en-US" w:eastAsia="zh-CN"/>
        </w:rPr>
        <w:t xml:space="preserve">：</w:t>
      </w:r>
      <w:r/>
    </w:p>
    <w:p>
      <w:pPr>
        <w:ind w:firstLine="843"/>
        <w:jc w:val="left"/>
        <w:keepLines w:val="0"/>
        <w:keepNext w:val="0"/>
        <w:pageBreakBefore w:val="0"/>
        <w:spacing w:line="560" w:lineRule="exact"/>
        <w:widowControl w:val="off"/>
        <w:rPr>
          <w:rFonts w:hint="eastAsia"/>
          <w:lang w:val="en-US" w:eastAsia="zh-CN"/>
        </w:rPr>
      </w:pPr>
      <w:r>
        <w:rPr>
          <w:rFonts w:hint="eastAsia" w:ascii="宋体" w:hAnsi="宋体" w:cs="宋体"/>
          <w:b/>
          <w:bCs/>
          <w:spacing w:val="0"/>
          <w:sz w:val="28"/>
          <w:highlight w:val="none"/>
          <w:lang w:val="en-US" w:eastAsia="zh-CN"/>
        </w:rPr>
        <w:t xml:space="preserve">签订日期</w:t>
      </w:r>
      <w:r>
        <w:rPr>
          <w:rFonts w:hint="eastAsia" w:ascii="宋体" w:hAnsi="宋体" w:cs="宋体"/>
          <w:b w:val="0"/>
          <w:bCs w:val="0"/>
          <w:sz w:val="28"/>
          <w:highlight w:val="none"/>
          <w:lang w:val="en-US" w:eastAsia="zh-CN"/>
        </w:rPr>
        <w:t xml:space="preserve">：</w:t>
      </w:r>
      <w:r>
        <w:rPr>
          <w:rFonts w:hint="eastAsia" w:ascii="宋体" w:hAnsi="宋体" w:eastAsia="宋体" w:cs="宋体"/>
          <w:b w:val="0"/>
          <w:bCs w:val="0"/>
          <w:sz w:val="28"/>
          <w:highlight w:val="none"/>
          <w:u w:val="none"/>
          <w:lang w:val="en-US" w:eastAsia="zh-CN"/>
        </w:rPr>
        <w:t xml:space="preserve"> </w:t>
      </w:r>
      <w:r>
        <w:rPr>
          <w:rFonts w:hint="eastAsia" w:ascii="宋体" w:hAnsi="宋体" w:cs="宋体"/>
          <w:b w:val="0"/>
          <w:bCs w:val="0"/>
          <w:sz w:val="28"/>
          <w:highlight w:val="none"/>
          <w:u w:val="single"/>
          <w:lang w:val="en-US" w:eastAsia="zh-CN"/>
        </w:rPr>
        <w:t xml:space="preserve">           年      月       日</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rPr>
        <w:t xml:space="preserve">根据《中华人民共和国民法典》及有关法律、法规规定</w:t>
      </w:r>
      <w:r>
        <w:rPr>
          <w:rFonts w:hint="eastAsia" w:ascii="宋体" w:hAnsi="宋体" w:eastAsia="宋体" w:cs="宋体"/>
          <w:b w:val="0"/>
          <w:bCs/>
          <w:sz w:val="24"/>
          <w:szCs w:val="24"/>
          <w:u w:val="none"/>
          <w:lang w:val="en-US" w:eastAsia="zh-CN"/>
        </w:rPr>
        <w:t xml:space="preserve">，双方经过平等协商，在真实、充分地表达各自意愿的基础上，达成如下协议，并由双方共同恪守：</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第一条 服务内容和服务要求</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一、工作任务</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建立“土壤数据”资源数据管理应用场景，对土壤三普数字图件、文字报告、指标参数、成果应用等多类资源数据进行统一管理，提高“土壤数据”资源数据的查询和统计功能，建立“土壤数据”应用模块，以实现对新沂市第三次土壤普查相关数据的高效管理、深度分析与广泛应用，为农业生产、耕地质量提升等工作提供有力的数据支持与决策依据。</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二、技术依据</w:t>
      </w:r>
      <w:r/>
    </w:p>
    <w:p>
      <w:pPr>
        <w:ind w:firstLine="480"/>
        <w:pageBreakBefore w:val="0"/>
        <w:spacing w:line="560" w:lineRule="exact"/>
        <w:rPr>
          <w:rFonts w:hint="eastAsia" w:ascii="宋体" w:hAnsi="宋体" w:eastAsia="宋体" w:cs="宋体"/>
          <w:b w:val="0"/>
          <w:bCs/>
          <w:sz w:val="24"/>
          <w:szCs w:val="24"/>
          <w:u w:val="none"/>
          <w:lang w:eastAsia="zh-CN"/>
        </w:rPr>
      </w:pPr>
      <w:r>
        <w:rPr>
          <w:rFonts w:hint="eastAsia" w:ascii="宋体" w:hAnsi="宋体" w:eastAsia="宋体" w:cs="宋体"/>
          <w:b w:val="0"/>
          <w:bCs/>
          <w:sz w:val="24"/>
          <w:szCs w:val="24"/>
          <w:u w:val="none"/>
          <w:lang w:val="en-US" w:eastAsia="zh-CN"/>
        </w:rPr>
        <w:t xml:space="preserve">按国家、省、市等相关现行技术标准和</w:t>
      </w:r>
      <w:r>
        <w:rPr>
          <w:rFonts w:hint="eastAsia" w:ascii="宋体" w:hAnsi="宋体" w:eastAsia="宋体" w:cs="宋体"/>
          <w:b w:val="0"/>
          <w:bCs/>
          <w:sz w:val="24"/>
          <w:szCs w:val="24"/>
          <w:u w:val="none"/>
          <w:lang w:eastAsia="zh-CN"/>
        </w:rPr>
        <w:t xml:space="preserve">技术规程规范</w:t>
      </w:r>
      <w:r>
        <w:rPr>
          <w:rFonts w:hint="eastAsia" w:ascii="宋体" w:hAnsi="宋体" w:eastAsia="宋体" w:cs="宋体"/>
          <w:b w:val="0"/>
          <w:bCs/>
          <w:sz w:val="24"/>
          <w:szCs w:val="24"/>
          <w:u w:val="none"/>
          <w:lang w:val="en-US" w:eastAsia="zh-CN"/>
        </w:rPr>
        <w:t xml:space="preserve">以及后续国家最新要求执行</w:t>
      </w:r>
      <w:r>
        <w:rPr>
          <w:rFonts w:hint="eastAsia" w:ascii="宋体" w:hAnsi="宋体" w:eastAsia="宋体" w:cs="宋体"/>
          <w:b w:val="0"/>
          <w:bCs/>
          <w:sz w:val="24"/>
          <w:szCs w:val="24"/>
          <w:u w:val="none"/>
          <w:lang w:eastAsia="zh-CN"/>
        </w:rPr>
        <w:t xml:space="preserve">。</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三、具体要求：</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（一）功能需求</w:t>
      </w:r>
      <w:r/>
    </w:p>
    <w:p>
      <w:pPr>
        <w:pStyle w:val="1162"/>
        <w:ind w:left="0" w:right="420" w:firstLine="480"/>
        <w:pageBreakBefore w:val="0"/>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建设第三次全国土壤普查管理应用系统，完成数据管理及应用平台功能清单，具体要求如下：</w:t>
      </w:r>
      <w:r/>
    </w:p>
    <w:p>
      <w:pPr>
        <w:pStyle w:val="1162"/>
        <w:ind w:right="420"/>
        <w:pageBreakBefore w:val="0"/>
        <w:spacing w:line="560" w:lineRule="exact"/>
        <w:rPr>
          <w:rFonts w:hint="eastAsia" w:ascii="宋体" w:hAnsi="宋体"/>
          <w:color w:val="000000"/>
          <w:sz w:val="24"/>
          <w:szCs w:val="24"/>
        </w:rPr>
      </w:pPr>
      <w:r>
        <w:rPr>
          <w:rFonts w:hint="eastAsia" w:ascii="宋体" w:hAnsi="宋体"/>
          <w:color w:val="000000"/>
          <w:sz w:val="24"/>
          <w:szCs w:val="24"/>
          <w:lang w:val="en-US" w:eastAsia="zh-CN"/>
        </w:rPr>
        <w:t xml:space="preserve">1、成果总览</w:t>
      </w:r>
      <w:r/>
    </w:p>
    <w:p>
      <w:pPr>
        <w:pStyle w:val="1162"/>
        <w:ind w:right="420"/>
        <w:pageBreakBefore w:val="0"/>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土壤空间数据查看：按土地利用类型、土类 / 亚类 / 土属 / 土种等指标分类展示样点分布；支持主视图下钻，动态展示细分区域统计结果，直观呈现土壤数据资产整体情况。</w:t>
      </w:r>
      <w:r/>
    </w:p>
    <w:p>
      <w:pPr>
        <w:pStyle w:val="1162"/>
        <w:ind w:right="420"/>
        <w:pageBreakBefore w:val="0"/>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土壤数据详情查看：支持不同行政区域层级的数据点位详情查阅；表层样点可查看经纬度、三普检测数据、制备流转数据及现场采样图片等基础与过程数据；剖面样点可查看检测数据、勘查照片及三维立柱图。</w:t>
      </w:r>
      <w:r/>
    </w:p>
    <w:p>
      <w:pPr>
        <w:pStyle w:val="1162"/>
        <w:ind w:right="420"/>
        <w:pageBreakBefore w:val="0"/>
        <w:spacing w:line="560" w:lineRule="exact"/>
        <w:rPr>
          <w:rFonts w:hint="eastAsia" w:ascii="宋体" w:hAnsi="宋体"/>
          <w:color w:val="000000"/>
          <w:sz w:val="24"/>
          <w:szCs w:val="24"/>
        </w:rPr>
      </w:pPr>
      <w:r>
        <w:rPr>
          <w:rFonts w:hint="eastAsia" w:ascii="宋体" w:hAnsi="宋体"/>
          <w:color w:val="000000"/>
          <w:sz w:val="24"/>
          <w:szCs w:val="24"/>
          <w:lang w:val="en-US" w:eastAsia="zh-CN"/>
        </w:rPr>
        <w:t xml:space="preserve">2、样点分布图</w:t>
      </w:r>
      <w:r/>
    </w:p>
    <w:p>
      <w:pPr>
        <w:pStyle w:val="1162"/>
        <w:ind w:right="420"/>
        <w:pageBreakBefore w:val="0"/>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样点分级聚合统计展示：地图缩放时按区县级动态聚合展示样点统计信息，放大至合适比例后显示单个样点具体位置。</w:t>
      </w:r>
      <w:r/>
    </w:p>
    <w:p>
      <w:pPr>
        <w:pStyle w:val="1162"/>
        <w:ind w:right="420"/>
        <w:pageBreakBefore w:val="0"/>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样点分布展示：表层样、剖面样采用专属图标差异化展示；放大后显示样点关键属性柱状图；支持图属联动，点击样点可查看调查属性、实验室检测数据等。</w:t>
      </w:r>
      <w:r/>
    </w:p>
    <w:p>
      <w:pPr>
        <w:pStyle w:val="1162"/>
        <w:ind w:right="420"/>
        <w:pageBreakBefore w:val="0"/>
        <w:spacing w:line="560" w:lineRule="exact"/>
        <w:rPr>
          <w:rFonts w:hint="eastAsia" w:ascii="宋体" w:hAnsi="宋体"/>
          <w:color w:val="000000"/>
          <w:sz w:val="24"/>
          <w:szCs w:val="24"/>
        </w:rPr>
      </w:pPr>
      <w:r>
        <w:rPr>
          <w:rFonts w:hint="eastAsia" w:ascii="宋体" w:hAnsi="宋体"/>
          <w:color w:val="000000"/>
          <w:sz w:val="24"/>
          <w:szCs w:val="24"/>
          <w:lang w:val="en-US" w:eastAsia="zh-CN"/>
        </w:rPr>
        <w:t xml:space="preserve">3、土壤类型图</w:t>
      </w:r>
      <w:r/>
    </w:p>
    <w:p>
      <w:pPr>
        <w:pStyle w:val="1162"/>
        <w:ind w:right="420"/>
        <w:pageBreakBefore w:val="0"/>
        <w:spacing w:line="560" w:lineRule="exact"/>
        <w:rPr>
          <w:rFonts w:hint="eastAsia" w:ascii="宋体" w:hAnsi="宋体" w:eastAsia="宋体" w:cs="Times New Roman"/>
          <w:color w:val="000000"/>
          <w:sz w:val="24"/>
          <w:szCs w:val="24"/>
          <w:lang w:val="en-US" w:eastAsia="zh-CN"/>
        </w:rPr>
      </w:pPr>
      <w:r>
        <w:rPr>
          <w:rFonts w:hint="eastAsia" w:ascii="宋体" w:hAnsi="宋体"/>
          <w:color w:val="000000"/>
          <w:sz w:val="24"/>
          <w:szCs w:val="24"/>
          <w:lang w:val="en-US" w:eastAsia="zh-CN"/>
        </w:rPr>
        <w:t xml:space="preserve">展示土壤类型空间制图成果数据，以数字化图件可视化呈现，提供数据查询、统计服务。</w:t>
      </w:r>
      <w:r>
        <w:rPr>
          <w:rFonts w:hint="eastAsia" w:ascii="宋体" w:hAnsi="宋体" w:eastAsia="宋体" w:cs="Times New Roman"/>
          <w:color w:val="000000"/>
          <w:sz w:val="24"/>
          <w:szCs w:val="24"/>
          <w:lang w:val="en-US" w:eastAsia="zh-CN"/>
        </w:rPr>
        <w:t xml:space="preserve">同时集成二普图展示，并收录土壤分类系统对照表，展示县级二普三普土壤类型演变过程。</w:t>
      </w:r>
      <w:r/>
    </w:p>
    <w:p>
      <w:pPr>
        <w:pStyle w:val="1162"/>
        <w:ind w:right="420"/>
        <w:pageBreakBefore w:val="0"/>
        <w:spacing w:line="560" w:lineRule="exact"/>
        <w:rPr>
          <w:rFonts w:hint="eastAsia" w:ascii="宋体" w:hAnsi="宋体"/>
          <w:color w:val="000000"/>
          <w:sz w:val="24"/>
          <w:szCs w:val="24"/>
        </w:rPr>
      </w:pPr>
      <w:r>
        <w:rPr>
          <w:rFonts w:hint="eastAsia" w:ascii="宋体" w:hAnsi="宋体"/>
          <w:color w:val="000000"/>
          <w:sz w:val="24"/>
          <w:szCs w:val="24"/>
          <w:lang w:val="en-US" w:eastAsia="zh-CN"/>
        </w:rPr>
        <w:t xml:space="preserve">4、土壤物理属性图</w:t>
      </w:r>
      <w:r/>
    </w:p>
    <w:p>
      <w:pPr>
        <w:pStyle w:val="1162"/>
        <w:ind w:right="420"/>
        <w:pageBreakBefore w:val="0"/>
        <w:spacing w:line="560" w:lineRule="exact"/>
        <w:rPr>
          <w:rFonts w:hint="default" w:ascii="宋体" w:hAnsi="宋体" w:eastAsia="宋体" w:cs="Times New Roman"/>
          <w:color w:val="000000"/>
          <w:sz w:val="24"/>
          <w:szCs w:val="24"/>
          <w:lang w:val="en-US" w:eastAsia="zh-CN"/>
        </w:rPr>
      </w:pPr>
      <w:r>
        <w:rPr>
          <w:rFonts w:hint="eastAsia" w:ascii="宋体" w:hAnsi="宋体"/>
          <w:color w:val="000000"/>
          <w:sz w:val="24"/>
          <w:szCs w:val="24"/>
          <w:lang w:val="en-US" w:eastAsia="zh-CN"/>
        </w:rPr>
        <w:t xml:space="preserve">基于土壤容重、机械组成（粉粒、砂粒、黏粒）、含水量等关键字段，展示多空间尺度物理属性空间制图成果。以数字化图件可视化展示，提供查询、统计服务，支持统计数据与成果数据导出。</w:t>
      </w:r>
      <w:r>
        <w:rPr>
          <w:rFonts w:hint="eastAsia" w:ascii="宋体" w:hAnsi="宋体" w:eastAsia="宋体" w:cs="Times New Roman"/>
          <w:color w:val="000000"/>
          <w:sz w:val="24"/>
          <w:szCs w:val="24"/>
          <w:lang w:val="en-US" w:eastAsia="zh-CN"/>
        </w:rPr>
        <w:t xml:space="preserve">要以国土能提供的最小行政区为准，最小是村，进行数据精确查询。分三级查询，县—镇（街）—评价单元。</w:t>
      </w:r>
      <w:r/>
    </w:p>
    <w:p>
      <w:pPr>
        <w:pStyle w:val="1162"/>
        <w:ind w:right="420"/>
        <w:pageBreakBefore w:val="0"/>
        <w:spacing w:line="560" w:lineRule="exact"/>
        <w:rPr>
          <w:rFonts w:hint="eastAsia" w:ascii="宋体" w:hAnsi="宋体"/>
          <w:color w:val="000000"/>
          <w:sz w:val="24"/>
          <w:szCs w:val="24"/>
        </w:rPr>
      </w:pPr>
      <w:r>
        <w:rPr>
          <w:rFonts w:hint="eastAsia" w:ascii="宋体" w:hAnsi="宋体"/>
          <w:color w:val="000000"/>
          <w:sz w:val="24"/>
          <w:szCs w:val="24"/>
          <w:lang w:val="en-US" w:eastAsia="zh-CN"/>
        </w:rPr>
        <w:t xml:space="preserve">5、土壤化学属性图</w:t>
      </w:r>
      <w:r/>
    </w:p>
    <w:p>
      <w:pPr>
        <w:pStyle w:val="1162"/>
        <w:ind w:right="420"/>
        <w:pageBreakBefore w:val="0"/>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基于有机质、氮、磷、钾、pH 值等关键字段，展示多空间尺度化学属性空间制图成果。以数字化图件可视化展示，提供查询、统计服务，支持统计数据与成果数据导出。</w:t>
      </w:r>
      <w:r>
        <w:rPr>
          <w:rFonts w:hint="eastAsia" w:ascii="宋体" w:hAnsi="宋体" w:eastAsia="宋体" w:cs="Times New Roman"/>
          <w:color w:val="000000"/>
          <w:sz w:val="24"/>
          <w:szCs w:val="24"/>
          <w:lang w:val="en-US" w:eastAsia="zh-CN"/>
        </w:rPr>
        <w:t xml:space="preserve">要以国土能提供的最小行政区为准，最小是村，进行数据精确查询。分三级查询，县—镇（街）—评价单元。</w:t>
      </w:r>
      <w:r/>
    </w:p>
    <w:p>
      <w:pPr>
        <w:pStyle w:val="1162"/>
        <w:ind w:right="420"/>
        <w:pageBreakBefore w:val="0"/>
        <w:spacing w:line="560" w:lineRule="exact"/>
        <w:rPr>
          <w:rFonts w:hint="eastAsia" w:ascii="宋体" w:hAnsi="宋体"/>
          <w:color w:val="000000"/>
          <w:sz w:val="24"/>
          <w:szCs w:val="24"/>
        </w:rPr>
      </w:pPr>
      <w:r>
        <w:rPr>
          <w:rFonts w:hint="eastAsia" w:ascii="宋体" w:hAnsi="宋体"/>
          <w:color w:val="000000"/>
          <w:sz w:val="24"/>
          <w:szCs w:val="24"/>
          <w:lang w:val="en-US" w:eastAsia="zh-CN"/>
        </w:rPr>
        <w:t xml:space="preserve">6、土壤数据评价服务</w:t>
      </w:r>
      <w:r/>
    </w:p>
    <w:p>
      <w:pPr>
        <w:pStyle w:val="1162"/>
        <w:ind w:right="420"/>
        <w:pageBreakBefore w:val="0"/>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土壤农业利用适宜性评价：数字化图件可视化展示，提供查询、统计服务，支撑土壤农业利用评价与管理工作。</w:t>
      </w:r>
      <w:r>
        <w:rPr>
          <w:rFonts w:hint="eastAsia" w:ascii="宋体" w:hAnsi="宋体" w:eastAsia="宋体" w:cs="Times New Roman"/>
          <w:color w:val="000000"/>
          <w:sz w:val="24"/>
          <w:szCs w:val="24"/>
          <w:lang w:val="en-US" w:eastAsia="zh-CN"/>
        </w:rPr>
        <w:t xml:space="preserve">要以国土能提供的最小行政区为准，最小是村，进行数据精确查询。分三级查询，县—镇（街）—评价单元。</w:t>
      </w:r>
      <w:r/>
    </w:p>
    <w:p>
      <w:pPr>
        <w:pStyle w:val="1162"/>
        <w:ind w:right="420"/>
        <w:pageBreakBefore w:val="0"/>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耕地质量等级评价：数字化图件可视化展示，提供查询、统计服务。</w:t>
      </w:r>
      <w:r>
        <w:rPr>
          <w:rFonts w:hint="eastAsia" w:ascii="宋体" w:hAnsi="宋体" w:eastAsia="宋体" w:cs="Times New Roman"/>
          <w:color w:val="000000"/>
          <w:sz w:val="24"/>
          <w:szCs w:val="24"/>
          <w:lang w:val="en-US" w:eastAsia="zh-CN"/>
        </w:rPr>
        <w:t xml:space="preserve">要以国土能提供的最小行政区为准，最小是村，进行数据精确查询。分三级查询，县—镇（街）—评价单元。</w:t>
      </w:r>
      <w:r/>
    </w:p>
    <w:p>
      <w:pPr>
        <w:pStyle w:val="1162"/>
        <w:ind w:right="420"/>
        <w:pageBreakBefore w:val="0"/>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土壤障碍评价：数字化图件可视化展示，提供查询、统计服务。</w:t>
      </w:r>
      <w:r>
        <w:rPr>
          <w:rFonts w:hint="eastAsia" w:ascii="宋体" w:hAnsi="宋体" w:eastAsia="宋体" w:cs="Times New Roman"/>
          <w:color w:val="000000"/>
          <w:sz w:val="24"/>
          <w:szCs w:val="24"/>
          <w:lang w:val="en-US" w:eastAsia="zh-CN"/>
        </w:rPr>
        <w:t xml:space="preserve">要以国土能提供的最小行政区为准，最小是村，进行数据精确查询。分三级查询，县—镇（街）—评价单元。</w:t>
      </w:r>
      <w:r/>
    </w:p>
    <w:p>
      <w:pPr>
        <w:pStyle w:val="1162"/>
        <w:ind w:right="420"/>
        <w:pageBreakBefore w:val="0"/>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土特产品土壤适宜性评价：整合农产品数据，以地图形式展示种类与种植区域分布，支持层级分类展示与数据分析。</w:t>
      </w:r>
      <w:r/>
    </w:p>
    <w:p>
      <w:pPr>
        <w:pStyle w:val="1162"/>
        <w:ind w:right="420"/>
        <w:pageBreakBefore w:val="0"/>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高标准农田耕地质量评价：叠加高标准农田范围图与耕地质量等级评价图，完成数据入库、图斑分割、叠加分析、成果校核，支撑高标准农田质量提升。</w:t>
      </w:r>
      <w:r/>
    </w:p>
    <w:p>
      <w:pPr>
        <w:pStyle w:val="1162"/>
        <w:ind w:right="420"/>
        <w:pageBreakBefore w:val="0"/>
        <w:spacing w:line="560" w:lineRule="exact"/>
        <w:rPr>
          <w:rFonts w:hint="eastAsia" w:ascii="宋体" w:hAnsi="宋体"/>
          <w:color w:val="000000"/>
          <w:sz w:val="24"/>
          <w:szCs w:val="24"/>
        </w:rPr>
      </w:pPr>
      <w:r>
        <w:rPr>
          <w:rFonts w:hint="eastAsia" w:ascii="宋体" w:hAnsi="宋体"/>
          <w:color w:val="000000"/>
          <w:sz w:val="24"/>
          <w:szCs w:val="24"/>
          <w:lang w:val="en-US" w:eastAsia="zh-CN"/>
        </w:rPr>
        <w:t xml:space="preserve">7、土壤数据应用服务</w:t>
      </w:r>
      <w:r/>
    </w:p>
    <w:p>
      <w:pPr>
        <w:pStyle w:val="1162"/>
        <w:ind w:right="420"/>
        <w:pageBreakBefore w:val="0"/>
        <w:spacing w:line="560" w:lineRule="exact"/>
        <w:rPr>
          <w:rFonts w:hint="eastAsia" w:ascii="宋体" w:hAnsi="宋体" w:eastAsia="宋体" w:cs="Times New Roman"/>
          <w:color w:val="000000"/>
          <w:sz w:val="24"/>
          <w:szCs w:val="24"/>
          <w:lang w:val="en-US" w:eastAsia="zh-CN"/>
        </w:rPr>
      </w:pPr>
      <w:r>
        <w:rPr>
          <w:rFonts w:hint="eastAsia" w:ascii="宋体" w:hAnsi="宋体"/>
          <w:color w:val="000000"/>
          <w:sz w:val="24"/>
          <w:szCs w:val="24"/>
          <w:lang w:val="en-US" w:eastAsia="zh-CN"/>
        </w:rPr>
        <w:t xml:space="preserve">土壤改良</w:t>
      </w:r>
      <w:r>
        <w:rPr>
          <w:rFonts w:hint="eastAsia" w:ascii="宋体" w:hAnsi="宋体" w:eastAsia="宋体" w:cs="Times New Roman"/>
          <w:color w:val="000000"/>
          <w:sz w:val="24"/>
          <w:szCs w:val="24"/>
          <w:lang w:val="en-US" w:eastAsia="zh-CN"/>
        </w:rPr>
        <w:t xml:space="preserve">：系统通过土壤三普数据，智能分析出当地的障碍因素。</w:t>
      </w:r>
      <w:r/>
    </w:p>
    <w:p>
      <w:pPr>
        <w:pStyle w:val="1162"/>
        <w:ind w:right="420"/>
        <w:pageBreakBefore w:val="0"/>
        <w:spacing w:line="560" w:lineRule="exact"/>
        <w:rPr>
          <w:rFonts w:hint="eastAsia" w:ascii="宋体" w:hAnsi="宋体" w:eastAsia="宋体" w:cs="Times New Roman"/>
          <w:color w:val="000000"/>
          <w:sz w:val="24"/>
          <w:szCs w:val="24"/>
          <w:lang w:val="en-US" w:eastAsia="zh-CN"/>
        </w:rPr>
      </w:pPr>
      <w:r>
        <w:rPr>
          <w:rFonts w:hint="eastAsia" w:ascii="宋体" w:hAnsi="宋体"/>
          <w:color w:val="000000"/>
          <w:sz w:val="24"/>
          <w:szCs w:val="24"/>
          <w:lang w:val="en-US" w:eastAsia="zh-CN"/>
        </w:rPr>
        <w:t xml:space="preserve">耕地质量提</w:t>
      </w:r>
      <w:r>
        <w:rPr>
          <w:rFonts w:hint="eastAsia" w:ascii="宋体" w:hAnsi="宋体" w:eastAsia="宋体" w:cs="Times New Roman"/>
          <w:color w:val="000000"/>
          <w:sz w:val="24"/>
          <w:szCs w:val="24"/>
          <w:lang w:val="en-US" w:eastAsia="zh-CN"/>
        </w:rPr>
        <w:t xml:space="preserve">升：可按照地块，以国土能提供的最小行政区为准，最小是村，点击后智能分析出该地块耕地质量等级较低的主要指标是哪个，目前处于什么数值，用于后期土壤培肥。</w:t>
      </w:r>
      <w:r/>
    </w:p>
    <w:p>
      <w:pPr>
        <w:pStyle w:val="1162"/>
        <w:ind w:right="420"/>
        <w:pageBreakBefore w:val="0"/>
        <w:spacing w:line="560" w:lineRule="exact"/>
        <w:rPr>
          <w:rFonts w:hint="eastAsia" w:ascii="宋体" w:hAnsi="宋体"/>
          <w:color w:val="000000"/>
          <w:sz w:val="24"/>
          <w:szCs w:val="24"/>
          <w:lang w:eastAsia="zh-CN"/>
        </w:rPr>
      </w:pPr>
      <w:r>
        <w:rPr>
          <w:rFonts w:hint="eastAsia" w:ascii="宋体" w:hAnsi="宋体"/>
          <w:color w:val="000000"/>
          <w:sz w:val="24"/>
          <w:szCs w:val="24"/>
          <w:lang w:val="en-US" w:eastAsia="zh-CN"/>
        </w:rPr>
        <w:t xml:space="preserve">土特产品布局优化：结合评价结果与农业区划数据，展示优势、适宜、不适宜、实际种植区域，支持区域对比统计与数据分类展示，指导种植优化。</w:t>
      </w:r>
      <w:r/>
    </w:p>
    <w:p>
      <w:pPr>
        <w:numPr>
          <w:ilvl w:val="0"/>
          <w:numId w:val="17"/>
        </w:numPr>
        <w:ind w:firstLine="480"/>
        <w:pageBreakBefore w:val="0"/>
        <w:spacing w:line="560" w:lineRule="exact"/>
        <w:rPr>
          <w:rFonts w:hint="eastAsia"/>
          <w:lang w:val="en-US" w:eastAsia="zh-CN"/>
        </w:rPr>
      </w:pPr>
      <w:r>
        <w:rPr>
          <w:rFonts w:hint="eastAsia" w:ascii="宋体" w:hAnsi="宋体" w:eastAsia="宋体" w:cs="Times New Roman"/>
          <w:color w:val="000000"/>
          <w:sz w:val="24"/>
          <w:szCs w:val="24"/>
          <w:lang w:val="en-US" w:eastAsia="zh-CN" w:bidi="ar-SA"/>
        </w:rPr>
        <w:t xml:space="preserve">辅助决策智能分析</w:t>
      </w:r>
      <w:r/>
    </w:p>
    <w:p>
      <w:pPr>
        <w:pStyle w:val="837"/>
        <w:ind w:left="0" w:firstLine="480"/>
        <w:pageBreakBefore w:val="0"/>
        <w:spacing w:line="560" w:lineRule="exact"/>
        <w:rPr>
          <w:rFonts w:hint="eastAsia" w:ascii="宋体" w:hAnsi="宋体" w:eastAsia="宋体" w:cs="Times New Roman"/>
          <w:color w:val="000000"/>
          <w:spacing w:val="0"/>
          <w:sz w:val="24"/>
          <w:szCs w:val="24"/>
          <w:lang w:val="en-US" w:eastAsia="zh-CN" w:bidi="ar-SA"/>
        </w:rPr>
      </w:pPr>
      <w:r>
        <w:rPr>
          <w:rFonts w:hint="eastAsia" w:ascii="宋体" w:hAnsi="宋体" w:eastAsia="宋体" w:cs="Times New Roman"/>
          <w:color w:val="000000"/>
          <w:spacing w:val="0"/>
          <w:sz w:val="24"/>
          <w:szCs w:val="24"/>
          <w:lang w:val="en-US" w:eastAsia="zh-CN" w:bidi="ar-SA"/>
        </w:rPr>
        <w:t xml:space="preserve">土壤数据报表：智能系统能够基于三普数据和评价结果，自动生成详细的分析表，分析表涵盖多种维度的数据洞察，包括趋势分析和关键指标可视化，并支持用户将其导出为Excel格式，以便于进一步的数据处理、决策支持。</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（二）其他要求</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1.技术要求：平台应具备良好的稳定性、可扩展性和安全性，采用先进的技术架构和开发方法，确保系统能够长期稳定运行，并能适应未来业务发展的需求。</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2.数据安全：乙方需采取有效的数据安全措施，保障三普数据的保密性、完整性和可用性，防止数据泄露、篡改和丢失。</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3.售后服务：供应商应提供完善的售后服务，包括系统维护、技术支持、故障排除等，确保平台在使用过程中出现的问题能够得到及时解决。同时，应提供3年的免费维护和升级服务。</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4.培训要求：乙方需为甲方相关人员提供系统操作培训，确保用户能够熟练使用平台各项功能。</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第四条 甲方权利义务</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1、向乙方提供本项目所需的已有基础数据和图件等；</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2、协助乙方解决项目中遇到的其他困难；</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3、负责检查监督乙方项目的实施情况；</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4、根据本合同约定，按时向乙方支付应付服务费用；</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5、甲方有积极配合乙方对项目进行验收的义务，验收后应出具验收合格的报告。</w:t>
      </w:r>
      <w:r/>
    </w:p>
    <w:p>
      <w:pPr>
        <w:ind w:firstLine="480"/>
        <w:pageBreakBefore w:val="0"/>
        <w:spacing w:line="560" w:lineRule="exact"/>
        <w:rPr>
          <w:rFonts w:hint="eastAsia" w:ascii="宋体" w:hAnsi="宋体" w:eastAsia="宋体" w:cs="宋体"/>
          <w:b w:val="0"/>
          <w:bCs/>
          <w:sz w:val="24"/>
          <w:szCs w:val="24"/>
          <w:u w:val="none"/>
          <w:lang w:val="zh-CN" w:eastAsia="zh-CN"/>
        </w:rPr>
      </w:pPr>
      <w:r>
        <w:rPr>
          <w:rFonts w:hint="eastAsia" w:ascii="宋体" w:hAnsi="宋体" w:eastAsia="宋体" w:cs="宋体"/>
          <w:b w:val="0"/>
          <w:bCs/>
          <w:sz w:val="24"/>
          <w:szCs w:val="24"/>
          <w:u w:val="none"/>
          <w:lang w:val="en-US" w:eastAsia="zh-CN"/>
        </w:rPr>
        <w:t xml:space="preserve">6、国家法律、法规所规定由甲方承担的其它责任。</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zh-CN" w:eastAsia="zh-CN"/>
        </w:rPr>
        <w:t xml:space="preserve">第</w:t>
      </w:r>
      <w:r>
        <w:rPr>
          <w:rFonts w:hint="eastAsia" w:ascii="宋体" w:hAnsi="宋体" w:eastAsia="宋体" w:cs="宋体"/>
          <w:b w:val="0"/>
          <w:bCs/>
          <w:sz w:val="24"/>
          <w:szCs w:val="24"/>
          <w:u w:val="none"/>
          <w:lang w:val="en-US" w:eastAsia="zh-CN"/>
        </w:rPr>
        <w:t xml:space="preserve">五</w:t>
      </w:r>
      <w:r>
        <w:rPr>
          <w:rFonts w:hint="eastAsia" w:ascii="宋体" w:hAnsi="宋体" w:eastAsia="宋体" w:cs="宋体"/>
          <w:b w:val="0"/>
          <w:bCs/>
          <w:sz w:val="24"/>
          <w:szCs w:val="24"/>
          <w:u w:val="none"/>
          <w:lang w:val="zh-CN" w:eastAsia="zh-CN"/>
        </w:rPr>
        <w:t xml:space="preserve">条 </w:t>
      </w:r>
      <w:r>
        <w:rPr>
          <w:rFonts w:hint="eastAsia" w:ascii="宋体" w:hAnsi="宋体" w:eastAsia="宋体" w:cs="宋体"/>
          <w:b w:val="0"/>
          <w:bCs/>
          <w:sz w:val="24"/>
          <w:szCs w:val="24"/>
          <w:u w:val="none"/>
          <w:lang w:val="en-US" w:eastAsia="zh-CN"/>
        </w:rPr>
        <w:t xml:space="preserve">乙方权利义务</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1、根据本合同的约定，保质保量完成服务内容；</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2、在本合同履行过程中遇到需要甲方配合的，有权要求甲方提供必要的配合和帮助；</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3、乙方应按照合同约定的服务期限向甲方提供服务的成果，配合甲方完成项目验收；</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4、接受项目行业管理部门及政府有关部门的指导，接受甲方的监督；</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5、根据本合同约定，有权要求甲方按时支付合同款项；</w:t>
      </w:r>
      <w:r/>
    </w:p>
    <w:p>
      <w:pPr>
        <w:ind w:firstLine="480"/>
        <w:pageBreakBefore w:val="0"/>
        <w:spacing w:line="560" w:lineRule="exact"/>
        <w:rPr>
          <w:rFonts w:hint="eastAsia" w:ascii="宋体" w:hAnsi="宋体" w:eastAsia="宋体" w:cs="宋体"/>
          <w:b w:val="0"/>
          <w:bCs/>
          <w:sz w:val="24"/>
          <w:szCs w:val="24"/>
          <w:u w:val="none"/>
          <w:lang w:val="zh-CN" w:eastAsia="zh-CN"/>
        </w:rPr>
      </w:pPr>
      <w:r>
        <w:rPr>
          <w:rFonts w:hint="eastAsia" w:ascii="宋体" w:hAnsi="宋体" w:eastAsia="宋体" w:cs="宋体"/>
          <w:b w:val="0"/>
          <w:bCs/>
          <w:sz w:val="24"/>
          <w:szCs w:val="24"/>
          <w:u w:val="none"/>
          <w:lang w:val="en-US" w:eastAsia="zh-CN"/>
        </w:rPr>
        <w:t xml:space="preserve">6、国家法律、法规所规定由乙方承担的其它责任</w:t>
      </w:r>
      <w:r>
        <w:rPr>
          <w:rFonts w:hint="eastAsia" w:ascii="宋体" w:hAnsi="宋体" w:eastAsia="宋体" w:cs="宋体"/>
          <w:b w:val="0"/>
          <w:bCs/>
          <w:sz w:val="24"/>
          <w:szCs w:val="24"/>
          <w:u w:val="none"/>
          <w:lang w:val="zh-CN" w:eastAsia="zh-CN"/>
        </w:rPr>
        <w:t xml:space="preserve">。</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zh-CN" w:eastAsia="zh-CN"/>
        </w:rPr>
        <w:t xml:space="preserve">第</w:t>
      </w:r>
      <w:r>
        <w:rPr>
          <w:rFonts w:hint="eastAsia" w:ascii="宋体" w:hAnsi="宋体" w:eastAsia="宋体" w:cs="宋体"/>
          <w:b w:val="0"/>
          <w:bCs/>
          <w:sz w:val="24"/>
          <w:szCs w:val="24"/>
          <w:u w:val="none"/>
          <w:lang w:val="en-US" w:eastAsia="zh-CN"/>
        </w:rPr>
        <w:t xml:space="preserve">六</w:t>
      </w:r>
      <w:r>
        <w:rPr>
          <w:rFonts w:hint="eastAsia" w:ascii="宋体" w:hAnsi="宋体" w:eastAsia="宋体" w:cs="宋体"/>
          <w:b w:val="0"/>
          <w:bCs/>
          <w:sz w:val="24"/>
          <w:szCs w:val="24"/>
          <w:u w:val="none"/>
          <w:lang w:val="zh-CN" w:eastAsia="zh-CN"/>
        </w:rPr>
        <w:t xml:space="preserve">条 服务期限</w:t>
      </w:r>
      <w:r>
        <w:rPr>
          <w:rFonts w:hint="eastAsia" w:ascii="宋体" w:hAnsi="宋体" w:eastAsia="宋体" w:cs="宋体"/>
          <w:b w:val="0"/>
          <w:bCs/>
          <w:sz w:val="24"/>
          <w:szCs w:val="24"/>
          <w:u w:val="none"/>
          <w:lang w:val="en-US" w:eastAsia="zh-CN"/>
        </w:rPr>
        <w:t xml:space="preserve">和其他要求</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zh-CN" w:eastAsia="zh-CN"/>
        </w:rPr>
        <w:t xml:space="preserve">1、服务期限要求：</w:t>
      </w:r>
      <w:r>
        <w:rPr>
          <w:rFonts w:hint="eastAsia" w:ascii="宋体" w:hAnsi="宋体" w:eastAsia="宋体" w:cs="宋体"/>
          <w:b w:val="0"/>
          <w:bCs/>
          <w:sz w:val="24"/>
          <w:szCs w:val="24"/>
          <w:u w:val="none"/>
          <w:lang w:val="en-US" w:eastAsia="zh-CN"/>
        </w:rPr>
        <w:t xml:space="preserve">合同签订后6个月内完成。</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2、因政策变动、自然灾害、不可抗力、技术变更、以及因甲方或其他经甲方确认等原因导致工作期限延迟的，需相应顺延乙方服务期限，且乙方不构成违约。</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zh-CN" w:eastAsia="zh-CN"/>
        </w:rPr>
        <w:t xml:space="preserve">第</w:t>
      </w:r>
      <w:r>
        <w:rPr>
          <w:rFonts w:hint="eastAsia" w:ascii="宋体" w:hAnsi="宋体" w:eastAsia="宋体" w:cs="宋体"/>
          <w:b w:val="0"/>
          <w:bCs/>
          <w:sz w:val="24"/>
          <w:szCs w:val="24"/>
          <w:u w:val="none"/>
          <w:lang w:val="en-US" w:eastAsia="zh-CN"/>
        </w:rPr>
        <w:t xml:space="preserve">七</w:t>
      </w:r>
      <w:r>
        <w:rPr>
          <w:rFonts w:hint="eastAsia" w:ascii="宋体" w:hAnsi="宋体" w:eastAsia="宋体" w:cs="宋体"/>
          <w:b w:val="0"/>
          <w:bCs/>
          <w:sz w:val="24"/>
          <w:szCs w:val="24"/>
          <w:u w:val="none"/>
          <w:lang w:val="zh-CN" w:eastAsia="zh-CN"/>
        </w:rPr>
        <w:t xml:space="preserve">条 合同款支付</w:t>
      </w:r>
      <w:r/>
    </w:p>
    <w:p>
      <w:pPr>
        <w:ind w:firstLine="480"/>
        <w:pageBreakBefore w:val="0"/>
        <w:spacing w:line="560" w:lineRule="exact"/>
        <w:rPr>
          <w:rFonts w:hint="eastAsia" w:ascii="宋体" w:hAnsi="宋体" w:eastAsia="宋体" w:cs="宋体"/>
          <w:b w:val="0"/>
          <w:bCs/>
          <w:sz w:val="24"/>
          <w:szCs w:val="24"/>
          <w:u w:val="none"/>
          <w:lang w:val="zh-CN" w:eastAsia="zh-CN"/>
        </w:rPr>
      </w:pPr>
      <w:r>
        <w:rPr>
          <w:rFonts w:hint="eastAsia" w:ascii="宋体" w:hAnsi="宋体" w:eastAsia="宋体" w:cs="宋体"/>
          <w:b w:val="0"/>
          <w:bCs/>
          <w:sz w:val="24"/>
          <w:szCs w:val="24"/>
          <w:u w:val="none"/>
          <w:lang w:val="en-US" w:eastAsia="zh-CN"/>
        </w:rPr>
        <w:t xml:space="preserve">1、合同总金额为：人民币</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u w:val="none"/>
          <w:lang w:val="en-US" w:eastAsia="zh-CN"/>
        </w:rPr>
        <w:t xml:space="preserve"> 元（大写：</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u w:val="none"/>
          <w:lang w:val="en-US" w:eastAsia="zh-CN"/>
        </w:rPr>
        <w:t xml:space="preserve">元整）</w:t>
      </w:r>
      <w:r>
        <w:rPr>
          <w:rFonts w:hint="eastAsia" w:ascii="宋体" w:hAnsi="宋体" w:eastAsia="宋体" w:cs="宋体"/>
          <w:b w:val="0"/>
          <w:bCs/>
          <w:sz w:val="24"/>
          <w:szCs w:val="24"/>
          <w:u w:val="none"/>
          <w:lang w:val="zh-CN" w:eastAsia="zh-CN"/>
        </w:rPr>
        <w:t xml:space="preserve">。</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2、具体付款方式：</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完成“土壤数据”资源数据管理应用场景建设，通过专家组验收合格且财政资金到位后一次性支付给乙方。</w:t>
      </w:r>
      <w:r/>
    </w:p>
    <w:p>
      <w:pPr>
        <w:ind w:firstLine="480"/>
        <w:pageBreakBefore w:val="0"/>
        <w:spacing w:line="560" w:lineRule="exact"/>
        <w:rPr>
          <w:rFonts w:hint="eastAsia" w:ascii="宋体" w:hAnsi="宋体" w:eastAsia="宋体" w:cs="宋体"/>
          <w:b w:val="0"/>
          <w:bCs/>
          <w:sz w:val="24"/>
          <w:szCs w:val="24"/>
          <w:u w:val="none"/>
          <w:lang w:val="zh-CN" w:eastAsia="zh-CN"/>
        </w:rPr>
      </w:pPr>
      <w:r>
        <w:rPr>
          <w:rFonts w:hint="eastAsia" w:ascii="宋体" w:hAnsi="宋体" w:eastAsia="宋体" w:cs="宋体"/>
          <w:b w:val="0"/>
          <w:bCs/>
          <w:sz w:val="24"/>
          <w:szCs w:val="24"/>
          <w:u w:val="none"/>
          <w:lang w:val="en-US" w:eastAsia="zh-CN"/>
        </w:rPr>
        <w:t xml:space="preserve">第八条 </w:t>
      </w:r>
      <w:r>
        <w:rPr>
          <w:rFonts w:hint="eastAsia" w:ascii="宋体" w:hAnsi="宋体" w:eastAsia="宋体" w:cs="宋体"/>
          <w:b w:val="0"/>
          <w:bCs/>
          <w:sz w:val="24"/>
          <w:szCs w:val="24"/>
          <w:u w:val="none"/>
          <w:lang w:val="zh-CN" w:eastAsia="zh-CN"/>
        </w:rPr>
        <w:t xml:space="preserve">违约责任</w:t>
      </w:r>
      <w:r>
        <w:rPr>
          <w:rFonts w:hint="eastAsia" w:ascii="宋体" w:hAnsi="宋体" w:eastAsia="宋体" w:cs="宋体"/>
          <w:b w:val="0"/>
          <w:bCs/>
          <w:sz w:val="24"/>
          <w:szCs w:val="24"/>
          <w:u w:val="none"/>
          <w:lang w:val="zh-CN" w:eastAsia="zh-CN"/>
        </w:rPr>
        <w:tab/>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1、乙方提供的服务不符合本合同约定的，乙方应当按照甲方要求更正或修改，直至通过甲方的验收，并承担由此产生的全部费用。</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2、乙方未能按本合同约定的时间提供最终成果，从逾期之日起每日按本合同预估总金额万分之三的数额向甲方支付违约金，违约金总额不超过合同预估总金额的40%；但因不可归责于乙方原因（包括但不限于国家或地方政策原因、甲方原因、政府行为、客观事实、标准变动、不可抗力等）导致的逾期交付，甲方应与乙方协商顺延工期。</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zh-CN" w:eastAsia="zh-CN"/>
        </w:rPr>
        <w:t xml:space="preserve">第</w:t>
      </w:r>
      <w:r>
        <w:rPr>
          <w:rFonts w:hint="eastAsia" w:ascii="宋体" w:hAnsi="宋体" w:eastAsia="宋体" w:cs="宋体"/>
          <w:b w:val="0"/>
          <w:bCs/>
          <w:sz w:val="24"/>
          <w:szCs w:val="24"/>
          <w:u w:val="none"/>
          <w:lang w:val="en-US" w:eastAsia="zh-CN"/>
        </w:rPr>
        <w:t xml:space="preserve">九</w:t>
      </w:r>
      <w:r>
        <w:rPr>
          <w:rFonts w:hint="eastAsia" w:ascii="宋体" w:hAnsi="宋体" w:eastAsia="宋体" w:cs="宋体"/>
          <w:b w:val="0"/>
          <w:bCs/>
          <w:sz w:val="24"/>
          <w:szCs w:val="24"/>
          <w:u w:val="none"/>
          <w:lang w:val="zh-CN" w:eastAsia="zh-CN"/>
        </w:rPr>
        <w:t xml:space="preserve">条 </w:t>
      </w:r>
      <w:r>
        <w:rPr>
          <w:rFonts w:hint="eastAsia" w:ascii="宋体" w:hAnsi="宋体" w:eastAsia="宋体" w:cs="宋体"/>
          <w:b w:val="0"/>
          <w:bCs/>
          <w:sz w:val="24"/>
          <w:szCs w:val="24"/>
          <w:u w:val="none"/>
          <w:lang w:val="en-US" w:eastAsia="zh-CN"/>
        </w:rPr>
        <w:t xml:space="preserve">不可抗力</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在合同有效期内，任何一方由于不可抗力原因（指不能预见，不能避免并不能克服的客观情况，如地震、台风、洪水、战争、疫情、国家宏观政策发生重大变化等）不能履行合同时，应在不可抗力事件结束后7日内以书面形式向对方通报，以减轻可能给对方造成的损失，在取得有关机构的不可抗力证明或三方谅解确认后，允许延期履行或修订合同，并根据情况可部分或全部免于承担违约责任。</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第十条 知识产权</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zh-CN" w:eastAsia="zh-CN"/>
        </w:rPr>
        <w:t xml:space="preserve">1、</w:t>
      </w:r>
      <w:r>
        <w:rPr>
          <w:rFonts w:hint="eastAsia" w:ascii="宋体" w:hAnsi="宋体" w:eastAsia="宋体" w:cs="宋体"/>
          <w:b w:val="0"/>
          <w:bCs/>
          <w:sz w:val="24"/>
          <w:szCs w:val="24"/>
          <w:u w:val="none"/>
          <w:lang w:val="en-US" w:eastAsia="zh-CN"/>
        </w:rPr>
        <w:t xml:space="preserve">乙方应保证所提供的服务或其任何一部分均不会侵犯任何第三方的专利权、商标权或著作权。</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2、本次服务过程中收集、整理及生成的资料数据等的知识产权归甲方所有。</w:t>
      </w:r>
      <w:r/>
    </w:p>
    <w:p>
      <w:pPr>
        <w:ind w:firstLine="480"/>
        <w:pageBreakBefore w:val="0"/>
        <w:spacing w:line="560" w:lineRule="exact"/>
        <w:rPr>
          <w:rFonts w:hint="eastAsia" w:ascii="宋体" w:hAnsi="宋体" w:eastAsia="宋体" w:cs="宋体"/>
          <w:b w:val="0"/>
          <w:bCs/>
          <w:sz w:val="24"/>
          <w:szCs w:val="24"/>
          <w:u w:val="none"/>
          <w:lang w:val="zh-CN" w:eastAsia="zh-CN"/>
        </w:rPr>
      </w:pPr>
      <w:r>
        <w:rPr>
          <w:rFonts w:hint="eastAsia" w:ascii="宋体" w:hAnsi="宋体" w:eastAsia="宋体" w:cs="宋体"/>
          <w:b w:val="0"/>
          <w:bCs/>
          <w:sz w:val="24"/>
          <w:szCs w:val="24"/>
          <w:u w:val="none"/>
          <w:lang w:val="en-US" w:eastAsia="zh-CN"/>
        </w:rPr>
        <w:t xml:space="preserve">3、乙方保证甲方在使用成交服务时，不承担任何涉及知识产权法律诉讼的责任</w:t>
      </w:r>
      <w:r>
        <w:rPr>
          <w:rFonts w:hint="eastAsia" w:ascii="宋体" w:hAnsi="宋体" w:eastAsia="宋体" w:cs="宋体"/>
          <w:b w:val="0"/>
          <w:bCs/>
          <w:sz w:val="24"/>
          <w:szCs w:val="24"/>
          <w:u w:val="none"/>
          <w:lang w:val="zh-CN" w:eastAsia="zh-CN"/>
        </w:rPr>
        <w:t xml:space="preserve">。</w:t>
      </w:r>
      <w:r/>
    </w:p>
    <w:p>
      <w:pPr>
        <w:ind w:firstLine="480"/>
        <w:pageBreakBefore w:val="0"/>
        <w:spacing w:line="560" w:lineRule="exact"/>
        <w:rPr>
          <w:rFonts w:hint="eastAsia" w:ascii="宋体" w:hAnsi="宋体" w:eastAsia="宋体" w:cs="宋体"/>
          <w:b w:val="0"/>
          <w:bCs/>
          <w:sz w:val="24"/>
          <w:szCs w:val="24"/>
          <w:u w:val="none"/>
          <w:lang w:val="zh-CN" w:eastAsia="zh-CN"/>
        </w:rPr>
      </w:pPr>
      <w:r>
        <w:rPr>
          <w:rFonts w:hint="eastAsia" w:ascii="宋体" w:hAnsi="宋体" w:eastAsia="宋体" w:cs="宋体"/>
          <w:b w:val="0"/>
          <w:bCs/>
          <w:sz w:val="24"/>
          <w:szCs w:val="24"/>
          <w:u w:val="none"/>
          <w:lang w:val="zh-CN" w:eastAsia="zh-CN"/>
        </w:rPr>
        <w:t xml:space="preserve">第十</w:t>
      </w:r>
      <w:r>
        <w:rPr>
          <w:rFonts w:hint="eastAsia" w:ascii="宋体" w:hAnsi="宋体" w:eastAsia="宋体" w:cs="宋体"/>
          <w:b w:val="0"/>
          <w:bCs/>
          <w:sz w:val="24"/>
          <w:szCs w:val="24"/>
          <w:u w:val="none"/>
          <w:lang w:val="en-US" w:eastAsia="zh-CN"/>
        </w:rPr>
        <w:t xml:space="preserve">一</w:t>
      </w:r>
      <w:r>
        <w:rPr>
          <w:rFonts w:hint="eastAsia" w:ascii="宋体" w:hAnsi="宋体" w:eastAsia="宋体" w:cs="宋体"/>
          <w:b w:val="0"/>
          <w:bCs/>
          <w:sz w:val="24"/>
          <w:szCs w:val="24"/>
          <w:u w:val="none"/>
          <w:lang w:val="zh-CN" w:eastAsia="zh-CN"/>
        </w:rPr>
        <w:t xml:space="preserve">条 </w:t>
      </w:r>
      <w:r>
        <w:rPr>
          <w:rFonts w:hint="eastAsia" w:ascii="宋体" w:hAnsi="宋体" w:eastAsia="宋体" w:cs="宋体"/>
          <w:b w:val="0"/>
          <w:bCs/>
          <w:sz w:val="24"/>
          <w:szCs w:val="24"/>
          <w:u w:val="none"/>
          <w:lang w:val="en-US" w:eastAsia="zh-CN"/>
        </w:rPr>
        <w:t xml:space="preserve">保密义务</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1、保密内容（包括技术信息和经营信息）；所有项目相关的技术资料和成果及商务文件；</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2、涉密人员范围：甲乙方所有项目参与成员；</w:t>
      </w:r>
      <w:r/>
    </w:p>
    <w:p>
      <w:pPr>
        <w:ind w:firstLine="480"/>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3、保密期限：永久；</w:t>
      </w:r>
      <w:r/>
    </w:p>
    <w:p>
      <w:pPr>
        <w:ind w:firstLine="480"/>
        <w:pageBreakBefore w:val="0"/>
        <w:spacing w:line="560" w:lineRule="exact"/>
        <w:rPr>
          <w:rFonts w:hint="eastAsia" w:ascii="宋体" w:hAnsi="宋体" w:eastAsia="宋体" w:cs="宋体"/>
          <w:b w:val="0"/>
          <w:bCs/>
          <w:sz w:val="24"/>
          <w:szCs w:val="24"/>
          <w:u w:val="none"/>
          <w:lang w:val="zh-CN" w:eastAsia="zh-CN"/>
        </w:rPr>
      </w:pPr>
      <w:r>
        <w:rPr>
          <w:rFonts w:hint="eastAsia" w:ascii="宋体" w:hAnsi="宋体" w:eastAsia="宋体" w:cs="宋体"/>
          <w:b w:val="0"/>
          <w:bCs/>
          <w:sz w:val="24"/>
          <w:szCs w:val="24"/>
          <w:u w:val="none"/>
          <w:lang w:val="en-US" w:eastAsia="zh-CN"/>
        </w:rPr>
        <w:t xml:space="preserve">4、泄密责任：按照国家法律规定执行。</w:t>
      </w:r>
      <w:r/>
    </w:p>
    <w:p>
      <w:pPr>
        <w:ind w:firstLine="480"/>
        <w:pageBreakBefore w:val="0"/>
        <w:spacing w:line="560" w:lineRule="exact"/>
        <w:rPr>
          <w:rFonts w:hint="eastAsia" w:ascii="宋体" w:hAnsi="宋体" w:eastAsia="宋体" w:cs="宋体"/>
          <w:b w:val="0"/>
          <w:bCs/>
          <w:sz w:val="24"/>
          <w:szCs w:val="24"/>
          <w:u w:val="none"/>
          <w:lang w:val="zh-CN" w:eastAsia="zh-CN"/>
        </w:rPr>
      </w:pPr>
      <w:r>
        <w:rPr>
          <w:rFonts w:hint="eastAsia" w:ascii="宋体" w:hAnsi="宋体" w:eastAsia="宋体" w:cs="宋体"/>
          <w:b w:val="0"/>
          <w:bCs/>
          <w:sz w:val="24"/>
          <w:szCs w:val="24"/>
          <w:u w:val="none"/>
          <w:lang w:val="zh-CN" w:eastAsia="zh-CN"/>
        </w:rPr>
        <w:t xml:space="preserve">第十</w:t>
      </w:r>
      <w:r>
        <w:rPr>
          <w:rFonts w:hint="eastAsia" w:ascii="宋体" w:hAnsi="宋体" w:eastAsia="宋体" w:cs="宋体"/>
          <w:b w:val="0"/>
          <w:bCs/>
          <w:sz w:val="24"/>
          <w:szCs w:val="24"/>
          <w:u w:val="none"/>
          <w:lang w:val="en-US" w:eastAsia="zh-CN"/>
        </w:rPr>
        <w:t xml:space="preserve">二</w:t>
      </w:r>
      <w:r>
        <w:rPr>
          <w:rFonts w:hint="eastAsia" w:ascii="宋体" w:hAnsi="宋体" w:eastAsia="宋体" w:cs="宋体"/>
          <w:b w:val="0"/>
          <w:bCs/>
          <w:sz w:val="24"/>
          <w:szCs w:val="24"/>
          <w:u w:val="none"/>
          <w:lang w:val="zh-CN" w:eastAsia="zh-CN"/>
        </w:rPr>
        <w:t xml:space="preserve">条  争议的解决 </w:t>
      </w:r>
      <w:r/>
    </w:p>
    <w:p>
      <w:pPr>
        <w:ind w:firstLine="480"/>
        <w:pageBreakBefore w:val="0"/>
        <w:spacing w:line="560" w:lineRule="exact"/>
        <w:rPr>
          <w:rFonts w:hint="eastAsia" w:ascii="宋体" w:hAnsi="宋体" w:eastAsia="宋体" w:cs="宋体"/>
          <w:b w:val="0"/>
          <w:bCs/>
          <w:sz w:val="24"/>
          <w:szCs w:val="24"/>
          <w:u w:val="none"/>
          <w:lang w:val="zh-CN" w:eastAsia="zh-CN"/>
        </w:rPr>
      </w:pPr>
      <w:r>
        <w:rPr>
          <w:rFonts w:hint="eastAsia" w:ascii="宋体" w:hAnsi="宋体" w:eastAsia="宋体" w:cs="宋体"/>
          <w:b w:val="0"/>
          <w:bCs/>
          <w:sz w:val="24"/>
          <w:szCs w:val="24"/>
          <w:u w:val="none"/>
          <w:lang w:val="zh-CN" w:eastAsia="zh-CN"/>
        </w:rPr>
        <w:t xml:space="preserve">双方因履行本合同而发生的争议，应协商、调解解决。协商、调解不成的，确定按以下方式处理：</w:t>
      </w:r>
      <w:r/>
    </w:p>
    <w:p>
      <w:pPr>
        <w:ind w:firstLine="480"/>
        <w:pageBreakBefore w:val="0"/>
        <w:spacing w:line="560" w:lineRule="exact"/>
        <w:rPr>
          <w:rFonts w:hint="eastAsia" w:ascii="宋体" w:hAnsi="宋体" w:eastAsia="宋体" w:cs="宋体"/>
          <w:b w:val="0"/>
          <w:bCs/>
          <w:sz w:val="24"/>
          <w:szCs w:val="24"/>
          <w:u w:val="none"/>
          <w:lang w:val="zh-CN" w:eastAsia="zh-CN"/>
        </w:rPr>
      </w:pPr>
      <w:r>
        <w:rPr>
          <w:rFonts w:hint="eastAsia" w:ascii="宋体" w:hAnsi="宋体" w:eastAsia="宋体" w:cs="宋体"/>
          <w:b w:val="0"/>
          <w:bCs/>
          <w:sz w:val="24"/>
          <w:szCs w:val="24"/>
          <w:u w:val="none"/>
          <w:lang w:val="zh-CN" w:eastAsia="zh-CN"/>
        </w:rPr>
        <w:t xml:space="preserve">依法向原告所在地有管辖权的人民法院起诉。</w:t>
      </w:r>
      <w:r/>
    </w:p>
    <w:p>
      <w:pPr>
        <w:ind w:firstLine="480"/>
        <w:pageBreakBefore w:val="0"/>
        <w:spacing w:line="560" w:lineRule="exact"/>
        <w:rPr>
          <w:rFonts w:hint="eastAsia" w:ascii="宋体" w:hAnsi="宋体" w:eastAsia="宋体" w:cs="宋体"/>
          <w:b w:val="0"/>
          <w:bCs/>
          <w:sz w:val="24"/>
          <w:szCs w:val="24"/>
          <w:u w:val="none"/>
          <w:lang w:val="zh-CN" w:eastAsia="zh-CN"/>
        </w:rPr>
      </w:pPr>
      <w:r>
        <w:rPr>
          <w:rFonts w:hint="eastAsia" w:ascii="宋体" w:hAnsi="宋体" w:eastAsia="宋体" w:cs="宋体"/>
          <w:b w:val="0"/>
          <w:bCs/>
          <w:sz w:val="24"/>
          <w:szCs w:val="24"/>
          <w:u w:val="none"/>
          <w:lang w:val="zh-CN" w:eastAsia="zh-CN"/>
        </w:rPr>
        <w:t xml:space="preserve">争议解决期间，除正在法院裁判的部分外，合同其他部分继续执行。本合同按照中华人民共和国的法律进行解释。</w:t>
      </w:r>
      <w:r/>
    </w:p>
    <w:p>
      <w:pPr>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r>
      <w:r/>
    </w:p>
    <w:p>
      <w:pPr>
        <w:pageBreakBefore w:val="0"/>
        <w:spacing w:line="560" w:lineRule="exact"/>
        <w:rPr>
          <w:rFonts w:hint="eastAsia" w:ascii="宋体" w:hAnsi="宋体" w:eastAsia="宋体" w:cs="宋体"/>
          <w:b w:val="0"/>
          <w:bCs/>
          <w:sz w:val="24"/>
          <w:szCs w:val="24"/>
          <w:u w:val="none"/>
        </w:rPr>
      </w:pPr>
      <w:r>
        <w:rPr>
          <w:rFonts w:hint="eastAsia" w:ascii="宋体" w:hAnsi="宋体" w:eastAsia="宋体" w:cs="宋体"/>
          <w:b w:val="0"/>
          <w:bCs/>
          <w:sz w:val="24"/>
          <w:szCs w:val="24"/>
          <w:u w:val="none"/>
        </w:rPr>
      </w:r>
      <w:r/>
    </w:p>
    <w:p>
      <w:pPr>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rPr>
        <w:t xml:space="preserve">甲方（盖章）：</w:t>
      </w:r>
      <w:r>
        <w:rPr>
          <w:rFonts w:hint="eastAsia" w:ascii="宋体" w:hAnsi="宋体" w:eastAsia="宋体" w:cs="宋体"/>
          <w:b w:val="0"/>
          <w:bCs/>
          <w:sz w:val="24"/>
          <w:szCs w:val="24"/>
          <w:u w:val="single"/>
        </w:rPr>
        <w:t xml:space="preserve">新沂市农业农村局    </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u w:val="none"/>
        </w:rPr>
        <w:t xml:space="preserve">     </w:t>
      </w:r>
      <w:r>
        <w:rPr>
          <w:rFonts w:hint="eastAsia" w:ascii="宋体" w:hAnsi="宋体" w:eastAsia="宋体" w:cs="宋体"/>
          <w:b w:val="0"/>
          <w:bCs/>
          <w:sz w:val="24"/>
          <w:szCs w:val="24"/>
          <w:u w:val="none"/>
          <w:lang w:val="en-US" w:eastAsia="zh-CN"/>
        </w:rPr>
        <w:t xml:space="preserve">         </w:t>
      </w:r>
      <w:r>
        <w:rPr>
          <w:rFonts w:hint="eastAsia" w:ascii="宋体" w:hAnsi="宋体" w:eastAsia="宋体" w:cs="宋体"/>
          <w:b w:val="0"/>
          <w:bCs/>
          <w:sz w:val="24"/>
          <w:szCs w:val="24"/>
          <w:u w:val="none"/>
        </w:rPr>
        <w:t xml:space="preserve">  </w:t>
      </w:r>
      <w:r>
        <w:rPr>
          <w:rFonts w:hint="eastAsia" w:ascii="宋体" w:hAnsi="宋体" w:eastAsia="宋体" w:cs="宋体"/>
          <w:b w:val="0"/>
          <w:bCs/>
          <w:sz w:val="24"/>
          <w:szCs w:val="24"/>
          <w:u w:val="none"/>
          <w:lang w:val="en-US" w:eastAsia="zh-CN"/>
        </w:rPr>
        <w:t xml:space="preserve"> </w:t>
      </w:r>
      <w:r>
        <w:rPr>
          <w:rFonts w:hint="eastAsia" w:ascii="宋体" w:hAnsi="宋体" w:eastAsia="宋体" w:cs="宋体"/>
          <w:b w:val="0"/>
          <w:bCs/>
          <w:sz w:val="24"/>
          <w:szCs w:val="24"/>
          <w:u w:val="none"/>
        </w:rPr>
        <w:t xml:space="preserve"> </w:t>
      </w:r>
      <w:r>
        <w:rPr>
          <w:rFonts w:hint="eastAsia" w:ascii="宋体" w:hAnsi="宋体" w:eastAsia="宋体" w:cs="宋体"/>
          <w:b w:val="0"/>
          <w:bCs/>
          <w:sz w:val="24"/>
          <w:szCs w:val="24"/>
          <w:u w:val="none"/>
          <w:lang w:val="en-US" w:eastAsia="zh-CN"/>
        </w:rPr>
        <w:t xml:space="preserve"> </w:t>
      </w:r>
      <w:r>
        <w:rPr>
          <w:rFonts w:hint="eastAsia" w:ascii="宋体" w:hAnsi="宋体" w:eastAsia="宋体" w:cs="宋体"/>
          <w:b w:val="0"/>
          <w:bCs/>
          <w:sz w:val="24"/>
          <w:szCs w:val="24"/>
          <w:u w:val="none"/>
        </w:rPr>
        <w:t xml:space="preserve">  </w:t>
      </w:r>
      <w:r>
        <w:rPr>
          <w:rFonts w:hint="eastAsia" w:ascii="宋体" w:hAnsi="宋体" w:eastAsia="宋体" w:cs="宋体"/>
          <w:b w:val="0"/>
          <w:bCs/>
          <w:sz w:val="24"/>
          <w:szCs w:val="24"/>
          <w:u w:val="none"/>
          <w:lang w:val="en-US" w:eastAsia="zh-CN"/>
        </w:rPr>
        <w:t xml:space="preserve"> </w:t>
      </w:r>
      <w:r/>
    </w:p>
    <w:p>
      <w:pPr>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rPr>
        <w:t xml:space="preserve">地址： </w:t>
      </w:r>
      <w:r>
        <w:rPr>
          <w:rFonts w:hint="eastAsia" w:ascii="宋体" w:hAnsi="宋体" w:eastAsia="宋体" w:cs="宋体"/>
          <w:b w:val="0"/>
          <w:bCs/>
          <w:sz w:val="24"/>
          <w:szCs w:val="24"/>
          <w:u w:val="single"/>
        </w:rPr>
        <w:t xml:space="preserve">江苏省新沂市新东路101号 </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u w:val="none"/>
        </w:rPr>
        <w:t xml:space="preserve"> </w:t>
      </w:r>
      <w:r>
        <w:rPr>
          <w:rFonts w:hint="eastAsia" w:ascii="宋体" w:hAnsi="宋体" w:eastAsia="宋体" w:cs="宋体"/>
          <w:b w:val="0"/>
          <w:bCs/>
          <w:sz w:val="24"/>
          <w:szCs w:val="24"/>
          <w:u w:val="none"/>
          <w:lang w:val="en-US" w:eastAsia="zh-CN"/>
        </w:rPr>
        <w:t xml:space="preserve">  </w:t>
      </w:r>
      <w:r>
        <w:rPr>
          <w:rFonts w:hint="eastAsia" w:ascii="宋体" w:hAnsi="宋体" w:eastAsia="宋体" w:cs="宋体"/>
          <w:b w:val="0"/>
          <w:bCs/>
          <w:sz w:val="24"/>
          <w:szCs w:val="24"/>
          <w:u w:val="none"/>
        </w:rPr>
        <w:t xml:space="preserve">          </w:t>
      </w:r>
      <w:r>
        <w:rPr>
          <w:rFonts w:hint="eastAsia" w:ascii="宋体" w:hAnsi="宋体" w:eastAsia="宋体" w:cs="宋体"/>
          <w:b w:val="0"/>
          <w:bCs/>
          <w:sz w:val="24"/>
          <w:szCs w:val="24"/>
          <w:u w:val="none"/>
          <w:lang w:val="en-US" w:eastAsia="zh-CN"/>
        </w:rPr>
        <w:t xml:space="preserve">          </w:t>
      </w:r>
      <w:r/>
    </w:p>
    <w:p>
      <w:pPr>
        <w:pageBreakBefore w:val="0"/>
        <w:spacing w:line="560" w:lineRule="exact"/>
        <w:rPr>
          <w:rFonts w:hint="eastAsia" w:ascii="宋体" w:hAnsi="宋体" w:eastAsia="宋体" w:cs="宋体"/>
          <w:b w:val="0"/>
          <w:bCs/>
          <w:sz w:val="24"/>
          <w:szCs w:val="24"/>
          <w:u w:val="none"/>
        </w:rPr>
      </w:pPr>
      <w:r>
        <w:rPr>
          <w:rFonts w:hint="eastAsia" w:ascii="宋体" w:hAnsi="宋体" w:eastAsia="宋体" w:cs="宋体"/>
          <w:b w:val="0"/>
          <w:bCs/>
          <w:sz w:val="24"/>
          <w:szCs w:val="24"/>
          <w:u w:val="none"/>
        </w:rPr>
        <w:t xml:space="preserve">法定代表人或授权代表：</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u w:val="none"/>
        </w:rPr>
        <w:t xml:space="preserve"> </w:t>
      </w:r>
      <w:r/>
    </w:p>
    <w:p>
      <w:pPr>
        <w:pageBreakBefore w:val="0"/>
        <w:spacing w:line="560" w:lineRule="exact"/>
        <w:rPr>
          <w:rFonts w:hint="eastAsia" w:ascii="宋体" w:hAnsi="宋体" w:eastAsia="宋体" w:cs="宋体"/>
          <w:b w:val="0"/>
          <w:bCs/>
          <w:sz w:val="24"/>
          <w:szCs w:val="24"/>
          <w:u w:val="none"/>
        </w:rPr>
      </w:pPr>
      <w:r>
        <w:rPr>
          <w:rFonts w:hint="eastAsia" w:ascii="宋体" w:hAnsi="宋体" w:eastAsia="宋体" w:cs="宋体"/>
          <w:b w:val="0"/>
          <w:bCs/>
          <w:sz w:val="24"/>
          <w:szCs w:val="24"/>
          <w:u w:val="none"/>
        </w:rPr>
      </w:r>
      <w:r/>
    </w:p>
    <w:p>
      <w:pPr>
        <w:ind w:left="0" w:firstLine="0"/>
        <w:pageBreakBefore w:val="0"/>
        <w:spacing w:line="560" w:lineRule="exact"/>
        <w:rPr>
          <w:rFonts w:hint="eastAsia" w:ascii="宋体" w:hAnsi="宋体" w:eastAsia="宋体" w:cs="宋体"/>
          <w:b w:val="0"/>
          <w:bCs/>
          <w:sz w:val="24"/>
          <w:szCs w:val="24"/>
          <w:u w:val="none"/>
        </w:rPr>
      </w:pPr>
      <w:r>
        <w:rPr>
          <w:rFonts w:hint="eastAsia" w:ascii="宋体" w:hAnsi="宋体" w:eastAsia="宋体" w:cs="宋体"/>
          <w:b w:val="0"/>
          <w:bCs/>
          <w:sz w:val="24"/>
          <w:szCs w:val="24"/>
          <w:u w:val="none"/>
        </w:rPr>
      </w:r>
      <w:r/>
    </w:p>
    <w:p>
      <w:pPr>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rPr>
        <w:t xml:space="preserve">乙方（盖章）：</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u w:val="single"/>
          <w:lang w:val="en-US" w:eastAsia="zh-CN"/>
        </w:rPr>
        <w:t xml:space="preserve">                                  </w:t>
      </w:r>
      <w:r/>
    </w:p>
    <w:p>
      <w:pPr>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rPr>
        <w:t xml:space="preserve">地址：</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u w:val="single"/>
          <w:lang w:val="en-US" w:eastAsia="zh-CN"/>
        </w:rPr>
        <w:t xml:space="preserve">                                             </w:t>
      </w:r>
      <w:r/>
    </w:p>
    <w:p>
      <w:pPr>
        <w:pageBreakBefore w:val="0"/>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rPr>
        <w:t xml:space="preserve">法定代表人或授权代表 ：</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u w:val="single"/>
          <w:lang w:val="en-US" w:eastAsia="zh-CN"/>
        </w:rPr>
        <w:t xml:space="preserve">          </w:t>
      </w:r>
      <w:r/>
    </w:p>
    <w:p>
      <w:pPr>
        <w:ind w:left="0" w:firstLine="720"/>
        <w:pageBreakBefore w:val="0"/>
        <w:spacing w:line="56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p>
      <w:pPr>
        <w:pStyle w:val="988"/>
        <w:pageBreakBefore w:val="0"/>
        <w:spacing w:line="560" w:lineRule="exact"/>
        <w:rPr>
          <w:rFonts w:ascii="宋体" w:hAnsi="宋体" w:cs="宋体"/>
          <w:b/>
          <w:szCs w:val="24"/>
        </w:rPr>
      </w:pPr>
      <w:r>
        <w:rPr>
          <w:rFonts w:ascii="宋体" w:hAnsi="宋体" w:cs="宋体"/>
          <w:b/>
          <w:szCs w:val="24"/>
        </w:rPr>
      </w:r>
      <w:r/>
    </w:p>
    <w:p>
      <w:pPr>
        <w:pStyle w:val="908"/>
        <w:pageBreakBefore w:val="0"/>
        <w:spacing w:line="560" w:lineRule="exact"/>
        <w:rPr>
          <w:rFonts w:hint="eastAsia"/>
        </w:rPr>
      </w:pPr>
      <w:r/>
      <w:bookmarkStart w:id="45" w:name="_Toc31192"/>
      <w:r/>
      <w:bookmarkStart w:id="46" w:name="_Toc3160"/>
      <w:r/>
      <w:bookmarkStart w:id="47" w:name="_Toc2849"/>
      <w:r/>
      <w:bookmarkStart w:id="48" w:name="_Toc28374"/>
      <w:r/>
      <w:r/>
    </w:p>
    <w:p>
      <w:pPr>
        <w:pStyle w:val="1028"/>
        <w:ind w:firstLine="2891"/>
        <w:jc w:val="both"/>
        <w:pageBreakBefore w:val="0"/>
        <w:spacing w:line="560" w:lineRule="exact"/>
        <w:rPr>
          <w:rFonts w:ascii="仿宋" w:hAnsi="仿宋" w:eastAsia="仿宋"/>
          <w:color w:val="000000"/>
          <w:sz w:val="32"/>
          <w:szCs w:val="32"/>
          <w:highlight w:val="yellow"/>
        </w:rPr>
      </w:pPr>
      <w:r/>
      <w:bookmarkStart w:id="49" w:name="_Toc26713"/>
      <w:r/>
      <w:bookmarkStart w:id="50" w:name="_Toc19359"/>
      <w:r>
        <w:rPr>
          <w:rFonts w:hint="eastAsia" w:ascii="仿宋" w:hAnsi="仿宋" w:eastAsia="仿宋"/>
          <w:color w:val="000000"/>
          <w:sz w:val="32"/>
          <w:szCs w:val="32"/>
        </w:rPr>
        <w:t xml:space="preserve">第六章  采购需求</w:t>
      </w:r>
      <w:bookmarkEnd w:id="44"/>
      <w:r/>
      <w:bookmarkEnd w:id="45"/>
      <w:r/>
      <w:bookmarkEnd w:id="46"/>
      <w:r/>
      <w:bookmarkEnd w:id="47"/>
      <w:r/>
      <w:bookmarkEnd w:id="48"/>
      <w:r/>
      <w:bookmarkEnd w:id="49"/>
      <w:r/>
      <w:bookmarkEnd w:id="50"/>
      <w:r/>
      <w:bookmarkStart w:id="51" w:name="_Toc23485"/>
      <w:r/>
      <w:bookmarkStart w:id="52" w:name="_Toc522790136"/>
      <w:r/>
      <w:r/>
    </w:p>
    <w:p>
      <w:pPr>
        <w:pageBreakBefore w:val="0"/>
        <w:spacing w:line="560" w:lineRule="exact"/>
        <w:rPr>
          <w:sz w:val="23"/>
          <w:szCs w:val="23"/>
        </w:rPr>
      </w:pPr>
      <w:r>
        <w:rPr>
          <w:sz w:val="23"/>
          <w:szCs w:val="23"/>
        </w:rPr>
      </w:r>
      <w:r/>
    </w:p>
    <w:p>
      <w:pPr>
        <w:numPr>
          <w:ilvl w:val="0"/>
          <w:numId w:val="18"/>
        </w:numPr>
        <w:pageBreakBefore w:val="0"/>
        <w:spacing w:line="560" w:lineRule="exact"/>
        <w:rPr>
          <w:rFonts w:hint="eastAsia" w:ascii="宋体" w:hAnsi="宋体" w:cs="宋体"/>
          <w:b/>
          <w:bCs/>
          <w:sz w:val="24"/>
          <w:szCs w:val="24"/>
        </w:rPr>
        <w:outlineLvl w:val="0"/>
      </w:pPr>
      <w:r/>
      <w:bookmarkStart w:id="53" w:name="_Toc31619"/>
      <w:r/>
      <w:bookmarkStart w:id="54" w:name="_Toc26430"/>
      <w:r>
        <w:rPr>
          <w:rFonts w:hint="eastAsia" w:ascii="宋体" w:hAnsi="宋体" w:cs="宋体"/>
          <w:b/>
          <w:bCs/>
          <w:sz w:val="24"/>
          <w:szCs w:val="24"/>
        </w:rPr>
        <w:t xml:space="preserve">详细技术参数要求</w:t>
      </w:r>
      <w:bookmarkEnd w:id="53"/>
      <w:r/>
      <w:bookmarkEnd w:id="54"/>
      <w:r/>
      <w:r/>
    </w:p>
    <w:p>
      <w:pPr>
        <w:ind w:firstLine="480"/>
        <w:keepLines w:val="0"/>
        <w:keepNext w:val="0"/>
        <w:pageBreakBefore w:val="0"/>
        <w:spacing w:line="560" w:lineRule="exact"/>
        <w:widowControl w:val="off"/>
        <w:rPr>
          <w:rFonts w:hint="eastAsia" w:ascii="宋体" w:hAnsi="宋体"/>
          <w:sz w:val="24"/>
          <w:szCs w:val="24"/>
          <w:lang w:val="en-US" w:eastAsia="zh-CN"/>
        </w:rPr>
      </w:pPr>
      <w:r>
        <w:rPr>
          <w:rFonts w:hint="eastAsia" w:ascii="宋体" w:hAnsi="宋体"/>
          <w:sz w:val="24"/>
          <w:szCs w:val="24"/>
          <w:lang w:val="en-US" w:eastAsia="zh-CN"/>
        </w:rPr>
        <w:t xml:space="preserve">建设第三次全国土壤普查管理应用系统，完成数据管理及应用平台功能清单，具体要求如下：</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lang w:val="en-US" w:eastAsia="zh-CN"/>
        </w:rPr>
        <w:t xml:space="preserve">1、成果总览</w:t>
      </w:r>
      <w:r/>
    </w:p>
    <w:p>
      <w:pPr>
        <w:ind w:firstLine="480"/>
        <w:keepLines w:val="0"/>
        <w:keepNext w:val="0"/>
        <w:pageBreakBefore w:val="0"/>
        <w:spacing w:line="560" w:lineRule="exact"/>
        <w:widowControl w:val="off"/>
        <w:rPr>
          <w:rFonts w:hint="eastAsia" w:ascii="宋体" w:hAnsi="宋体"/>
          <w:sz w:val="24"/>
          <w:szCs w:val="24"/>
          <w:lang w:val="en-US" w:eastAsia="zh-CN"/>
        </w:rPr>
      </w:pPr>
      <w:r>
        <w:rPr>
          <w:rFonts w:hint="eastAsia" w:ascii="宋体" w:hAnsi="宋体"/>
          <w:sz w:val="24"/>
          <w:szCs w:val="24"/>
          <w:lang w:val="en-US" w:eastAsia="zh-CN"/>
        </w:rPr>
        <w:t xml:space="preserve">土壤空间数据查看：按土地利用类型、土类 / 亚类 / 土属 / 土种等指标分类展示样点分布；支持主视图下钻，动态展示细分区域统计结果，直观呈现土壤数据资产整体情况。</w:t>
      </w:r>
      <w:r/>
    </w:p>
    <w:p>
      <w:pPr>
        <w:ind w:firstLine="480"/>
        <w:keepLines w:val="0"/>
        <w:keepNext w:val="0"/>
        <w:pageBreakBefore w:val="0"/>
        <w:spacing w:line="560" w:lineRule="exact"/>
        <w:widowControl w:val="off"/>
        <w:rPr>
          <w:rFonts w:hint="eastAsia" w:ascii="宋体" w:hAnsi="宋体"/>
          <w:sz w:val="24"/>
          <w:szCs w:val="24"/>
          <w:lang w:val="en-US" w:eastAsia="zh-CN"/>
        </w:rPr>
      </w:pPr>
      <w:r>
        <w:rPr>
          <w:rFonts w:hint="eastAsia" w:ascii="宋体" w:hAnsi="宋体"/>
          <w:sz w:val="24"/>
          <w:szCs w:val="24"/>
          <w:lang w:val="en-US" w:eastAsia="zh-CN"/>
        </w:rPr>
        <w:t xml:space="preserve">土壤数据详情查看：支持不同行政区域层级的数据点位详情查阅；表层样点可查看经纬度、三普检测数据、制备流转数据及现场采样图片等基础与过程数据；剖面样点可查看检测数据、勘查照片及三维立柱图。</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lang w:val="en-US" w:eastAsia="zh-CN"/>
        </w:rPr>
        <w:t xml:space="preserve">2、样点分布图</w:t>
      </w:r>
      <w:r/>
    </w:p>
    <w:p>
      <w:pPr>
        <w:ind w:firstLine="480"/>
        <w:keepLines w:val="0"/>
        <w:keepNext w:val="0"/>
        <w:pageBreakBefore w:val="0"/>
        <w:spacing w:line="560" w:lineRule="exact"/>
        <w:widowControl w:val="off"/>
        <w:rPr>
          <w:rFonts w:hint="eastAsia" w:ascii="宋体" w:hAnsi="宋体"/>
          <w:sz w:val="24"/>
          <w:szCs w:val="24"/>
          <w:lang w:val="en-US" w:eastAsia="zh-CN"/>
        </w:rPr>
      </w:pPr>
      <w:r>
        <w:rPr>
          <w:rFonts w:hint="eastAsia" w:ascii="宋体" w:hAnsi="宋体"/>
          <w:sz w:val="24"/>
          <w:szCs w:val="24"/>
          <w:lang w:val="en-US" w:eastAsia="zh-CN"/>
        </w:rPr>
        <w:t xml:space="preserve">样点分级聚合统计展示：地图缩放时按区县级动态聚合展示样点统计信息，放大至合适比例后显示单个样点具体位置。</w:t>
      </w:r>
      <w:r/>
    </w:p>
    <w:p>
      <w:pPr>
        <w:ind w:firstLine="480"/>
        <w:keepLines w:val="0"/>
        <w:keepNext w:val="0"/>
        <w:pageBreakBefore w:val="0"/>
        <w:spacing w:line="560" w:lineRule="exact"/>
        <w:widowControl w:val="off"/>
        <w:rPr>
          <w:rFonts w:hint="eastAsia" w:ascii="宋体" w:hAnsi="宋体"/>
          <w:sz w:val="24"/>
          <w:szCs w:val="24"/>
          <w:lang w:val="en-US" w:eastAsia="zh-CN"/>
        </w:rPr>
      </w:pPr>
      <w:r>
        <w:rPr>
          <w:rFonts w:hint="eastAsia" w:ascii="宋体" w:hAnsi="宋体"/>
          <w:sz w:val="24"/>
          <w:szCs w:val="24"/>
          <w:lang w:val="en-US" w:eastAsia="zh-CN"/>
        </w:rPr>
        <w:t xml:space="preserve">样点分布展示：表层样、剖面样采用专属图标差异化展示；放大后显示样点关键属性柱状图；支持图属联动，点击样点可查看调查属性、实验室检测数据等。</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lang w:val="en-US" w:eastAsia="zh-CN"/>
        </w:rPr>
        <w:t xml:space="preserve">3、土壤类型图</w:t>
      </w:r>
      <w:r/>
    </w:p>
    <w:p>
      <w:pPr>
        <w:ind w:firstLine="480"/>
        <w:keepLines w:val="0"/>
        <w:keepNext w:val="0"/>
        <w:pageBreakBefore w:val="0"/>
        <w:spacing w:line="560" w:lineRule="exact"/>
        <w:widowControl w:val="off"/>
        <w:rPr>
          <w:rFonts w:hint="eastAsia" w:ascii="宋体" w:hAnsi="宋体"/>
          <w:sz w:val="24"/>
          <w:szCs w:val="24"/>
          <w:lang w:val="en-US" w:eastAsia="zh-CN"/>
        </w:rPr>
      </w:pPr>
      <w:r>
        <w:rPr>
          <w:rFonts w:hint="eastAsia" w:ascii="宋体" w:hAnsi="宋体"/>
          <w:sz w:val="24"/>
          <w:szCs w:val="24"/>
          <w:lang w:val="en-US" w:eastAsia="zh-CN"/>
        </w:rPr>
        <w:t xml:space="preserve">展示土壤类型空间制图成果数据，以数字化图件可视化呈现，提供数据查询、统计服务。同时集成二普图展示，并收录土壤分类系统对照表，展示县级二普三普土壤类型演变过程。</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lang w:val="en-US" w:eastAsia="zh-CN"/>
        </w:rPr>
        <w:t xml:space="preserve">4、土壤物理属性图</w:t>
      </w:r>
      <w:r/>
    </w:p>
    <w:p>
      <w:pPr>
        <w:ind w:firstLine="480"/>
        <w:keepLines w:val="0"/>
        <w:keepNext w:val="0"/>
        <w:pageBreakBefore w:val="0"/>
        <w:spacing w:line="560" w:lineRule="exact"/>
        <w:widowControl w:val="off"/>
        <w:rPr>
          <w:rFonts w:hint="default" w:ascii="宋体" w:hAnsi="宋体"/>
          <w:sz w:val="24"/>
          <w:szCs w:val="24"/>
          <w:lang w:val="en-US" w:eastAsia="zh-CN"/>
        </w:rPr>
      </w:pPr>
      <w:r>
        <w:rPr>
          <w:rFonts w:hint="eastAsia" w:ascii="宋体" w:hAnsi="宋体"/>
          <w:sz w:val="24"/>
          <w:szCs w:val="24"/>
          <w:lang w:val="en-US" w:eastAsia="zh-CN"/>
        </w:rPr>
        <w:t xml:space="preserve">基于土壤容重、机械组成（粉粒、砂粒、黏粒）、含水量等关键字段，展示多空间尺度物理属性空间制图成果。以数字化图件可视化展示，提供查询、统计服务，支持统计数据与成果数据导出。要以国土能提供的最小行政区为准，最小是村，进行数据精确查询。分三级查询，县—镇（街）—评价单元。</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lang w:val="en-US" w:eastAsia="zh-CN"/>
        </w:rPr>
        <w:t xml:space="preserve">5、土壤化学属性图</w:t>
      </w:r>
      <w:r/>
    </w:p>
    <w:p>
      <w:pPr>
        <w:ind w:firstLine="480"/>
        <w:keepLines w:val="0"/>
        <w:keepNext w:val="0"/>
        <w:pageBreakBefore w:val="0"/>
        <w:spacing w:line="560" w:lineRule="exact"/>
        <w:widowControl w:val="off"/>
        <w:rPr>
          <w:rFonts w:hint="eastAsia" w:ascii="宋体" w:hAnsi="宋体"/>
          <w:sz w:val="24"/>
          <w:szCs w:val="24"/>
          <w:lang w:val="en-US" w:eastAsia="zh-CN"/>
        </w:rPr>
      </w:pPr>
      <w:r>
        <w:rPr>
          <w:rFonts w:hint="eastAsia" w:ascii="宋体" w:hAnsi="宋体"/>
          <w:sz w:val="24"/>
          <w:szCs w:val="24"/>
          <w:lang w:val="en-US" w:eastAsia="zh-CN"/>
        </w:rPr>
        <w:t xml:space="preserve">基于有机质、氮、磷、钾、pH 值等关键字段，展示多空间尺度化学属性空间制图成果。以数字化图件可视化展示，提供查询、统计服务，支持统计数据与成果数据导出。要以国土能提供的最小行政区为准，最小是村，进行数据精确查询。分三级查询，县—镇（街）—评价单元。</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lang w:val="en-US" w:eastAsia="zh-CN"/>
        </w:rPr>
        <w:t xml:space="preserve">6、土壤数据评价服务</w:t>
      </w:r>
      <w:r/>
    </w:p>
    <w:p>
      <w:pPr>
        <w:ind w:firstLine="480"/>
        <w:keepLines w:val="0"/>
        <w:keepNext w:val="0"/>
        <w:pageBreakBefore w:val="0"/>
        <w:spacing w:line="560" w:lineRule="exact"/>
        <w:widowControl w:val="off"/>
        <w:rPr>
          <w:rFonts w:hint="eastAsia" w:ascii="宋体" w:hAnsi="宋体"/>
          <w:sz w:val="24"/>
          <w:szCs w:val="24"/>
          <w:lang w:val="en-US" w:eastAsia="zh-CN"/>
        </w:rPr>
      </w:pPr>
      <w:r>
        <w:rPr>
          <w:rFonts w:hint="eastAsia" w:ascii="宋体" w:hAnsi="宋体"/>
          <w:sz w:val="24"/>
          <w:szCs w:val="24"/>
          <w:lang w:val="en-US" w:eastAsia="zh-CN"/>
        </w:rPr>
        <w:t xml:space="preserve">土壤农业利用适宜性评价：数字化图件可视化展示，提供查询、统计服务，支撑土壤农业利用评价与管理工作。要以国土能提供的最小行政区为准，最小是村，进行数据精确查询。分三级查询，县—镇（街）—评价单元。</w:t>
      </w:r>
      <w:r/>
    </w:p>
    <w:p>
      <w:pPr>
        <w:ind w:firstLine="480"/>
        <w:keepLines w:val="0"/>
        <w:keepNext w:val="0"/>
        <w:pageBreakBefore w:val="0"/>
        <w:spacing w:line="560" w:lineRule="exact"/>
        <w:widowControl w:val="off"/>
        <w:rPr>
          <w:rFonts w:hint="eastAsia" w:ascii="宋体" w:hAnsi="宋体"/>
          <w:sz w:val="24"/>
          <w:szCs w:val="24"/>
          <w:lang w:val="en-US" w:eastAsia="zh-CN"/>
        </w:rPr>
      </w:pPr>
      <w:r>
        <w:rPr>
          <w:rFonts w:hint="eastAsia" w:ascii="宋体" w:hAnsi="宋体"/>
          <w:sz w:val="24"/>
          <w:szCs w:val="24"/>
          <w:lang w:val="en-US" w:eastAsia="zh-CN"/>
        </w:rPr>
        <w:t xml:space="preserve">耕地质量等级评价：数字化图件可视化展示，提供查询、统计服务。要以国土能提供的最小行政区为准，最小是村，进行数据精确查询。分三级查询，县—镇（街）—评价单元。</w:t>
      </w:r>
      <w:r/>
    </w:p>
    <w:p>
      <w:pPr>
        <w:ind w:firstLine="480"/>
        <w:keepLines w:val="0"/>
        <w:keepNext w:val="0"/>
        <w:pageBreakBefore w:val="0"/>
        <w:spacing w:line="560" w:lineRule="exact"/>
        <w:widowControl w:val="off"/>
        <w:rPr>
          <w:rFonts w:hint="eastAsia" w:ascii="宋体" w:hAnsi="宋体"/>
          <w:sz w:val="24"/>
          <w:szCs w:val="24"/>
          <w:lang w:val="en-US" w:eastAsia="zh-CN"/>
        </w:rPr>
      </w:pPr>
      <w:r>
        <w:rPr>
          <w:rFonts w:hint="eastAsia" w:ascii="宋体" w:hAnsi="宋体"/>
          <w:sz w:val="24"/>
          <w:szCs w:val="24"/>
          <w:lang w:val="en-US" w:eastAsia="zh-CN"/>
        </w:rPr>
        <w:t xml:space="preserve">土壤障碍评价：数字化图件可视化展示，提供查询、统计服务。要以国土能提供的最小行政区为准，最小是村，进行数据精确查询。分三级查询，县—镇（街）—评价单元。</w:t>
      </w:r>
      <w:r/>
    </w:p>
    <w:p>
      <w:pPr>
        <w:ind w:firstLine="480"/>
        <w:keepLines w:val="0"/>
        <w:keepNext w:val="0"/>
        <w:pageBreakBefore w:val="0"/>
        <w:spacing w:line="560" w:lineRule="exact"/>
        <w:widowControl w:val="off"/>
        <w:rPr>
          <w:rFonts w:hint="eastAsia" w:ascii="宋体" w:hAnsi="宋体"/>
          <w:sz w:val="24"/>
          <w:szCs w:val="24"/>
          <w:lang w:val="en-US" w:eastAsia="zh-CN"/>
        </w:rPr>
      </w:pPr>
      <w:r>
        <w:rPr>
          <w:rFonts w:hint="eastAsia" w:ascii="宋体" w:hAnsi="宋体"/>
          <w:sz w:val="24"/>
          <w:szCs w:val="24"/>
          <w:lang w:val="en-US" w:eastAsia="zh-CN"/>
        </w:rPr>
        <w:t xml:space="preserve">土特产品土壤适宜性评价：整合农产品数据，以地图形式展示种类与种植区域分布，支持层级分类展示与数据分析。</w:t>
      </w:r>
      <w:r/>
    </w:p>
    <w:p>
      <w:pPr>
        <w:ind w:firstLine="480"/>
        <w:keepLines w:val="0"/>
        <w:keepNext w:val="0"/>
        <w:pageBreakBefore w:val="0"/>
        <w:spacing w:line="560" w:lineRule="exact"/>
        <w:widowControl w:val="off"/>
        <w:rPr>
          <w:rFonts w:hint="eastAsia" w:ascii="宋体" w:hAnsi="宋体"/>
          <w:sz w:val="24"/>
          <w:szCs w:val="24"/>
          <w:lang w:val="en-US" w:eastAsia="zh-CN"/>
        </w:rPr>
      </w:pPr>
      <w:r>
        <w:rPr>
          <w:rFonts w:hint="eastAsia" w:ascii="宋体" w:hAnsi="宋体"/>
          <w:sz w:val="24"/>
          <w:szCs w:val="24"/>
          <w:lang w:val="en-US" w:eastAsia="zh-CN"/>
        </w:rPr>
        <w:t xml:space="preserve">高标准农田耕地质量评价：叠加高标准农田范围图与耕地质量等级评价图，完成数据入库、图斑分割、叠加分析、成果校核，支撑高标准农田质量提升。</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lang w:val="en-US" w:eastAsia="zh-CN"/>
        </w:rPr>
        <w:t xml:space="preserve">7、土壤数据应用服务</w:t>
      </w:r>
      <w:r/>
    </w:p>
    <w:p>
      <w:pPr>
        <w:ind w:firstLine="480"/>
        <w:keepLines w:val="0"/>
        <w:keepNext w:val="0"/>
        <w:pageBreakBefore w:val="0"/>
        <w:spacing w:line="560" w:lineRule="exact"/>
        <w:widowControl w:val="off"/>
        <w:rPr>
          <w:rFonts w:hint="eastAsia" w:ascii="宋体" w:hAnsi="宋体"/>
          <w:sz w:val="24"/>
          <w:szCs w:val="24"/>
          <w:lang w:val="en-US" w:eastAsia="zh-CN"/>
        </w:rPr>
      </w:pPr>
      <w:r>
        <w:rPr>
          <w:rFonts w:hint="eastAsia" w:ascii="宋体" w:hAnsi="宋体"/>
          <w:sz w:val="24"/>
          <w:szCs w:val="24"/>
          <w:lang w:val="en-US" w:eastAsia="zh-CN"/>
        </w:rPr>
        <w:t xml:space="preserve">土壤改良：系统通过土壤三普数据，智能分析出当地的障碍因素。</w:t>
      </w:r>
      <w:r/>
    </w:p>
    <w:p>
      <w:pPr>
        <w:ind w:firstLine="480"/>
        <w:keepLines w:val="0"/>
        <w:keepNext w:val="0"/>
        <w:pageBreakBefore w:val="0"/>
        <w:spacing w:line="560" w:lineRule="exact"/>
        <w:widowControl w:val="off"/>
        <w:rPr>
          <w:rFonts w:hint="eastAsia" w:ascii="宋体" w:hAnsi="宋体"/>
          <w:sz w:val="24"/>
          <w:szCs w:val="24"/>
          <w:lang w:val="en-US" w:eastAsia="zh-CN"/>
        </w:rPr>
      </w:pPr>
      <w:r>
        <w:rPr>
          <w:rFonts w:hint="eastAsia" w:ascii="宋体" w:hAnsi="宋体"/>
          <w:sz w:val="24"/>
          <w:szCs w:val="24"/>
          <w:lang w:val="en-US" w:eastAsia="zh-CN"/>
        </w:rPr>
        <w:t xml:space="preserve">耕地质量提升：可按照地块，以国土能提供的最小行政区为准，最小是村，点击后智能分析出该地块耕地质量等级较低的主要指标是哪个，目前处于什么数值，用于后期土壤培肥。</w:t>
      </w:r>
      <w:r/>
    </w:p>
    <w:p>
      <w:pPr>
        <w:ind w:firstLine="480"/>
        <w:keepLines w:val="0"/>
        <w:keepNext w:val="0"/>
        <w:pageBreakBefore w:val="0"/>
        <w:spacing w:line="560" w:lineRule="exact"/>
        <w:widowControl w:val="off"/>
        <w:rPr>
          <w:rFonts w:hint="eastAsia" w:ascii="宋体" w:hAnsi="宋体"/>
          <w:sz w:val="24"/>
          <w:szCs w:val="24"/>
          <w:lang w:eastAsia="zh-CN"/>
        </w:rPr>
      </w:pPr>
      <w:r>
        <w:rPr>
          <w:rFonts w:hint="eastAsia" w:ascii="宋体" w:hAnsi="宋体"/>
          <w:sz w:val="24"/>
          <w:szCs w:val="24"/>
          <w:lang w:val="en-US" w:eastAsia="zh-CN"/>
        </w:rPr>
        <w:t xml:space="preserve">土特产品布局优化：结合评价结果与农业区划数据，展示优势、适宜、不适宜、实际种植区域，支持区域对比统计与数据分类展示，指导种植优化。</w:t>
      </w:r>
      <w:r/>
    </w:p>
    <w:p>
      <w:pPr>
        <w:ind w:firstLine="480"/>
        <w:keepLines w:val="0"/>
        <w:keepNext w:val="0"/>
        <w:pageBreakBefore w:val="0"/>
        <w:spacing w:line="560" w:lineRule="exact"/>
        <w:widowControl w:val="off"/>
        <w:rPr>
          <w:rFonts w:hint="eastAsia" w:ascii="宋体" w:hAnsi="宋体"/>
          <w:sz w:val="24"/>
          <w:szCs w:val="24"/>
          <w:lang w:val="en-US" w:eastAsia="zh-CN"/>
        </w:rPr>
      </w:pPr>
      <w:r>
        <w:rPr>
          <w:rFonts w:hint="eastAsia" w:ascii="宋体" w:hAnsi="宋体"/>
          <w:sz w:val="24"/>
          <w:szCs w:val="24"/>
          <w:lang w:val="en-US" w:eastAsia="zh-CN"/>
        </w:rPr>
        <w:t xml:space="preserve">辅助决策智能分析</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lang w:val="en-US" w:eastAsia="zh-CN"/>
        </w:rPr>
        <w:t xml:space="preserve">土壤数据报表：智能系统能够基于三普数据和评价结果，自动生成详细的分析表，分析表涵盖多种维度的数据洞察，包括趋势分析和关键指标可视化，并支持用户将其导出为Excel格式，以便于进一步的数据处理、决策支持。</w:t>
      </w:r>
      <w:r/>
    </w:p>
    <w:p>
      <w:pPr>
        <w:ind w:firstLine="482"/>
        <w:keepLines w:val="0"/>
        <w:keepNext w:val="0"/>
        <w:pageBreakBefore w:val="0"/>
        <w:spacing w:line="560" w:lineRule="exact"/>
        <w:widowControl w:val="off"/>
        <w:rPr>
          <w:rFonts w:ascii="宋体" w:hAnsi="宋体"/>
          <w:b/>
          <w:sz w:val="24"/>
          <w:szCs w:val="24"/>
        </w:rPr>
      </w:pPr>
      <w:r>
        <w:rPr>
          <w:rFonts w:hint="eastAsia" w:ascii="宋体" w:hAnsi="宋体"/>
          <w:b/>
          <w:color w:val="auto"/>
          <w:sz w:val="24"/>
          <w:szCs w:val="24"/>
          <w:lang w:eastAsia="zh-CN"/>
        </w:rPr>
        <w:t xml:space="preserve">二</w:t>
      </w:r>
      <w:r>
        <w:rPr>
          <w:rFonts w:hint="eastAsia" w:ascii="宋体" w:hAnsi="宋体"/>
          <w:b/>
          <w:color w:val="auto"/>
          <w:sz w:val="24"/>
          <w:szCs w:val="24"/>
        </w:rPr>
        <w:t xml:space="preserve">、项目商务</w:t>
      </w:r>
      <w:r>
        <w:rPr>
          <w:rFonts w:hint="eastAsia" w:ascii="宋体" w:hAnsi="宋体"/>
          <w:b/>
          <w:sz w:val="24"/>
          <w:szCs w:val="24"/>
        </w:rPr>
        <w:t xml:space="preserve">要求 </w:t>
      </w:r>
      <w:r/>
    </w:p>
    <w:p>
      <w:pPr>
        <w:ind w:firstLine="480"/>
        <w:keepLines w:val="0"/>
        <w:keepNext w:val="0"/>
        <w:pageBreakBefore w:val="0"/>
        <w:spacing w:line="560" w:lineRule="exact"/>
        <w:widowControl w:val="off"/>
        <w:rPr>
          <w:rFonts w:hint="eastAsia" w:ascii="宋体" w:hAnsi="宋体"/>
          <w:sz w:val="24"/>
          <w:szCs w:val="24"/>
        </w:rPr>
      </w:pPr>
      <w:r/>
      <w:bookmarkStart w:id="55" w:name="_Toc9289"/>
      <w:r>
        <w:rPr>
          <w:rFonts w:hint="eastAsia" w:ascii="宋体" w:hAnsi="宋体"/>
          <w:sz w:val="24"/>
          <w:szCs w:val="24"/>
        </w:rPr>
        <w:t xml:space="preserve">（一）报价要求</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t xml:space="preserve">项目报价应包括所提供服务过程中产生的各种费用，采购人不再支付报价以外的任何费用。</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t xml:space="preserve">（二）验收</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t xml:space="preserve">1、采购人以采购文件、中标（或成交）供应商的响应文件、合同为依据，成立验收小组，负责对项目进行全面的验收，中标（或成交）人须向采购人提供详细的预验收方案。</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t xml:space="preserve">2、采购人按照国家规定标准验收，没有国家标准的按行业标准验收，无行业标准的按地方或企业标准验收，中标（或成交）供应商应予以配合。涉及安全、消防、环保、货物等其他需要由质检或行业主管部门验收的项目，采购人须约请相关部门和专家参加项目验收。</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t xml:space="preserve">（三）服务期限及后续服务</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t xml:space="preserve">1、本项目服务期限为 0.5 年。在服务期限内如提供服务过程中有货物出现质量问题的，中标（或成交）供应商负责免费更换或维修，所需费用均由中标（或成交）供应商承担，采购人不支付任何费用。</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t xml:space="preserve">2、中标（或成交）供应商须设有7×24小时后续服务电话，负责解答采购人在合同履行过程中遇到的问题，及时提出解决问题的建议和操作方法。如服务（货物）出现问题电话响应无法解决，中标（或成交）人必须在接报修电话后  24   小时内到现场解决问题，且故障修复时间不大于   7  个工作日。</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t xml:space="preserve">3、在服务过程中如使用复杂，中标（或成交）人必须给予免费培训，直到采购人能够熟练使用为止。</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t xml:space="preserve">4、售后服务：免费运维期三年，含bug修复、版本升级、数据维护等。</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t xml:space="preserve">（四）提供服务时间、地点</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t xml:space="preserve">签订合同后3 日内，中标（或成交）供应商按照采购文件指定地点提供服务（货物）。</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t xml:space="preserve">（五）服务期满后，中标（或成交）供应商可以提供优先的有偿服务及按不高于响应文件中相关或类似服务价格收取服务费。</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t xml:space="preserve">（六）付款方式：</w:t>
      </w:r>
      <w:r/>
    </w:p>
    <w:p>
      <w:pPr>
        <w:ind w:firstLine="480"/>
        <w:keepLines w:val="0"/>
        <w:keepNext w:val="0"/>
        <w:pageBreakBefore w:val="0"/>
        <w:spacing w:line="560" w:lineRule="exact"/>
        <w:widowControl w:val="off"/>
        <w:rPr>
          <w:rFonts w:ascii="宋体" w:hAnsi="宋体"/>
          <w:sz w:val="24"/>
          <w:szCs w:val="24"/>
        </w:rPr>
      </w:pPr>
      <w:r>
        <w:rPr>
          <w:rFonts w:hint="eastAsia" w:ascii="宋体" w:hAnsi="宋体"/>
          <w:sz w:val="24"/>
          <w:szCs w:val="24"/>
        </w:rPr>
        <w:t xml:space="preserve">完成“土壤数据”资源数据管理应用场景建设，通过专家组验收合格且财政资金到位后一次性支付给乙方。</w:t>
      </w:r>
      <w:bookmarkEnd w:id="51"/>
      <w:r/>
      <w:bookmarkEnd w:id="52"/>
      <w:r/>
      <w:bookmarkEnd w:id="55"/>
      <w:r/>
      <w:r/>
    </w:p>
    <w:p>
      <w:pPr>
        <w:pageBreakBefore w:val="0"/>
        <w:spacing w:line="560" w:lineRule="exact"/>
        <w:rPr>
          <w:rFonts w:ascii="仿宋" w:hAnsi="仿宋" w:eastAsia="仿宋"/>
          <w:b/>
          <w:bCs/>
          <w:color w:val="000000"/>
          <w:sz w:val="32"/>
          <w:szCs w:val="32"/>
        </w:rPr>
      </w:pPr>
      <w:r/>
      <w:bookmarkStart w:id="56" w:name="_Toc13141"/>
      <w:r>
        <w:rPr>
          <w:rFonts w:ascii="仿宋" w:hAnsi="仿宋" w:eastAsia="仿宋"/>
          <w:b/>
          <w:bCs/>
          <w:color w:val="000000"/>
          <w:sz w:val="32"/>
          <w:szCs w:val="32"/>
        </w:rPr>
        <w:br w:type="page" w:clear="all"/>
      </w:r>
      <w:r>
        <w:rPr>
          <w:rFonts w:hint="eastAsia" w:ascii="仿宋" w:hAnsi="仿宋" w:eastAsia="仿宋"/>
          <w:b/>
          <w:bCs/>
          <w:color w:val="000000"/>
          <w:sz w:val="32"/>
          <w:szCs w:val="32"/>
          <w:lang w:val="en-US" w:eastAsia="zh-CN"/>
        </w:rPr>
        <w:t xml:space="preserve">              </w:t>
      </w:r>
      <w:r>
        <w:rPr>
          <w:rFonts w:hint="eastAsia" w:ascii="仿宋" w:hAnsi="仿宋" w:eastAsia="仿宋"/>
          <w:b/>
          <w:bCs/>
          <w:color w:val="000000"/>
          <w:sz w:val="32"/>
          <w:szCs w:val="32"/>
        </w:rPr>
        <w:t xml:space="preserve">第七章 投标文件相关格式</w:t>
      </w:r>
      <w:bookmarkEnd w:id="56"/>
      <w:r/>
      <w:r/>
    </w:p>
    <w:p>
      <w:pPr>
        <w:pStyle w:val="916"/>
        <w:ind w:firstLine="2891"/>
        <w:pageBreakBefore w:val="0"/>
        <w:spacing w:line="560" w:lineRule="exact"/>
        <w:rPr>
          <w:rFonts w:ascii="仿宋" w:hAnsi="仿宋" w:eastAsia="仿宋"/>
          <w:b/>
          <w:bCs/>
          <w:color w:val="000000"/>
          <w:sz w:val="32"/>
          <w:szCs w:val="32"/>
        </w:rPr>
      </w:pPr>
      <w:r>
        <w:rPr>
          <w:rFonts w:hint="eastAsia" w:ascii="仿宋" w:hAnsi="仿宋" w:eastAsia="仿宋"/>
          <w:b/>
          <w:bCs/>
          <w:color w:val="000000"/>
          <w:sz w:val="32"/>
          <w:szCs w:val="32"/>
        </w:rPr>
        <w:t xml:space="preserve">一、承诺函格式</w:t>
      </w:r>
      <w:r/>
    </w:p>
    <w:p>
      <w:pPr>
        <w:pStyle w:val="916"/>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致：</w:t>
      </w:r>
      <w:r>
        <w:rPr>
          <w:rFonts w:hint="eastAsia" w:ascii="仿宋" w:hAnsi="仿宋" w:eastAsia="仿宋"/>
          <w:color w:val="000000"/>
          <w:sz w:val="28"/>
          <w:szCs w:val="28"/>
          <w:u w:val="single"/>
        </w:rPr>
        <w:t xml:space="preserve">新沂市公共资源交易中心</w:t>
      </w:r>
      <w:r/>
    </w:p>
    <w:p>
      <w:pPr>
        <w:pStyle w:val="916"/>
        <w:ind w:firstLine="601"/>
        <w:jc w:val="both"/>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根据项目</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新沂市第三次全国土壤普查管理应用系统建设项目</w:t>
      </w:r>
      <w:r>
        <w:rPr>
          <w:rFonts w:ascii="仿宋" w:hAnsi="仿宋" w:eastAsia="仿宋"/>
          <w:color w:val="000000"/>
          <w:sz w:val="28"/>
          <w:szCs w:val="28"/>
          <w:u w:val="single"/>
        </w:rPr>
        <w:t xml:space="preserve"> </w:t>
      </w:r>
      <w:r>
        <w:rPr>
          <w:rFonts w:ascii="仿宋" w:hAnsi="仿宋" w:eastAsia="仿宋"/>
          <w:color w:val="000000"/>
          <w:sz w:val="28"/>
          <w:szCs w:val="28"/>
        </w:rPr>
        <w:t xml:space="preserve">[项目编号：</w:t>
      </w:r>
      <w:r/>
    </w:p>
    <w:p>
      <w:pPr>
        <w:pStyle w:val="916"/>
        <w:ind w:firstLine="601"/>
        <w:jc w:val="both"/>
        <w:keepLines w:val="0"/>
        <w:keepNext w:val="0"/>
        <w:pageBreakBefore w:val="0"/>
        <w:spacing w:line="400" w:lineRule="exact"/>
        <w:widowControl w:val="off"/>
        <w:rPr>
          <w:rFonts w:ascii="仿宋" w:hAnsi="仿宋" w:eastAsia="仿宋"/>
          <w:color w:val="000000"/>
          <w:sz w:val="28"/>
          <w:szCs w:val="28"/>
        </w:rPr>
      </w:pPr>
      <w:r>
        <w:rPr>
          <w:rFonts w:hint="eastAsia" w:ascii="仿宋" w:hAnsi="仿宋" w:eastAsia="仿宋"/>
          <w:color w:val="000000"/>
          <w:sz w:val="28"/>
          <w:szCs w:val="28"/>
        </w:rPr>
        <w:t xml:space="preserve">JSZC-320381-XYZX-G2026-0003</w:t>
      </w:r>
      <w:r>
        <w:rPr>
          <w:rFonts w:ascii="仿宋" w:hAnsi="仿宋" w:eastAsia="仿宋"/>
          <w:color w:val="000000"/>
          <w:sz w:val="28"/>
          <w:szCs w:val="28"/>
        </w:rPr>
        <w:t xml:space="preserve">招标文件，</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lang w:val="en-US" w:eastAsia="zh-CN"/>
        </w:rPr>
        <w:t xml:space="preserve">         </w:t>
      </w:r>
      <w:r>
        <w:rPr>
          <w:rFonts w:ascii="仿宋" w:hAnsi="仿宋" w:eastAsia="仿宋"/>
          <w:color w:val="000000"/>
          <w:sz w:val="28"/>
          <w:szCs w:val="28"/>
        </w:rPr>
        <w:t xml:space="preserve">(姓名)代表我方（投标人的名称）全权处理本次投标的有关事宜。</w:t>
      </w:r>
      <w:r/>
    </w:p>
    <w:p>
      <w:pPr>
        <w:pStyle w:val="916"/>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据此函，投标人承诺并同意如下： </w:t>
      </w:r>
      <w:r/>
    </w:p>
    <w:p>
      <w:pPr>
        <w:pStyle w:val="916"/>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1. 投标人唯一投标报价见《开标一览表》。</w:t>
      </w:r>
      <w:r/>
    </w:p>
    <w:p>
      <w:pPr>
        <w:pStyle w:val="916"/>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2. 投标人将按招标文件的规定履行合同责任和义务。</w:t>
      </w:r>
      <w:r/>
    </w:p>
    <w:p>
      <w:pPr>
        <w:pStyle w:val="916"/>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3. 投标人已详细审查全部招标文件。投标人完全理解并同意放弃对这方面有不明及误解的权力。</w:t>
      </w:r>
      <w:r/>
    </w:p>
    <w:p>
      <w:pPr>
        <w:pStyle w:val="916"/>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4. 投标有效期为开标之日后90天。</w:t>
      </w:r>
      <w:r/>
    </w:p>
    <w:p>
      <w:pPr>
        <w:pStyle w:val="916"/>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5. 投标人同意提供按照贵方可能要求的与其投标有关的一切数据或资料，完全理解贵方不一定接受最低价的投标或收到的任何投标。</w:t>
      </w:r>
      <w:r/>
    </w:p>
    <w:p>
      <w:pPr>
        <w:pStyle w:val="916"/>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6. 投标人同意在授予合同后，按照有关规定支付公证费(如有)。</w:t>
      </w:r>
      <w:r/>
    </w:p>
    <w:p>
      <w:pPr>
        <w:pStyle w:val="916"/>
        <w:ind w:right="29"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7. </w:t>
      </w:r>
      <w:r>
        <w:rPr>
          <w:rFonts w:hint="eastAsia" w:ascii="仿宋" w:hAnsi="仿宋" w:eastAsia="仿宋"/>
          <w:color w:val="000000"/>
          <w:sz w:val="28"/>
          <w:szCs w:val="28"/>
        </w:rPr>
        <w:t xml:space="preserve">新沂市公共资源交易中心</w:t>
      </w:r>
      <w:r>
        <w:rPr>
          <w:rFonts w:ascii="仿宋" w:hAnsi="仿宋" w:eastAsia="仿宋"/>
          <w:color w:val="000000"/>
          <w:sz w:val="28"/>
          <w:szCs w:val="28"/>
        </w:rPr>
        <w:t xml:space="preserve">有权将我单位本项目的</w:t>
      </w:r>
      <w:r>
        <w:rPr>
          <w:rFonts w:hint="eastAsia" w:ascii="仿宋" w:hAnsi="仿宋" w:eastAsia="仿宋"/>
          <w:color w:val="000000"/>
          <w:sz w:val="28"/>
          <w:szCs w:val="28"/>
        </w:rPr>
        <w:t xml:space="preserve">《开标一览表》</w:t>
      </w:r>
      <w:r>
        <w:rPr>
          <w:rFonts w:ascii="仿宋" w:hAnsi="仿宋" w:eastAsia="仿宋"/>
          <w:color w:val="000000"/>
          <w:sz w:val="28"/>
          <w:szCs w:val="28"/>
        </w:rPr>
        <w:t xml:space="preserve">和《分项</w:t>
      </w:r>
      <w:r>
        <w:rPr>
          <w:rFonts w:hint="eastAsia" w:ascii="仿宋" w:hAnsi="仿宋" w:eastAsia="仿宋"/>
          <w:color w:val="000000"/>
          <w:sz w:val="28"/>
          <w:szCs w:val="28"/>
        </w:rPr>
        <w:t xml:space="preserve">报价</w:t>
      </w:r>
      <w:r>
        <w:rPr>
          <w:rFonts w:ascii="仿宋" w:hAnsi="仿宋" w:eastAsia="仿宋"/>
          <w:color w:val="000000"/>
          <w:sz w:val="28"/>
          <w:szCs w:val="28"/>
        </w:rPr>
        <w:t xml:space="preserve">表》予以公示，公示的方式由</w:t>
      </w:r>
      <w:r>
        <w:rPr>
          <w:rFonts w:hint="eastAsia" w:ascii="仿宋" w:hAnsi="仿宋" w:eastAsia="仿宋"/>
          <w:color w:val="000000"/>
          <w:sz w:val="28"/>
          <w:szCs w:val="28"/>
        </w:rPr>
        <w:t xml:space="preserve">新沂市公共资源交易中心</w:t>
      </w:r>
      <w:r>
        <w:rPr>
          <w:rFonts w:ascii="仿宋" w:hAnsi="仿宋" w:eastAsia="仿宋"/>
          <w:color w:val="000000"/>
          <w:sz w:val="28"/>
          <w:szCs w:val="28"/>
        </w:rPr>
        <w:t xml:space="preserve">确定。</w:t>
      </w:r>
      <w:r/>
    </w:p>
    <w:p>
      <w:pPr>
        <w:pStyle w:val="916"/>
        <w:ind w:right="29"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16"/>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9. 与本投标有关的一切正式往来信函请寄：</w:t>
      </w:r>
      <w:r/>
    </w:p>
    <w:p>
      <w:pPr>
        <w:pStyle w:val="916"/>
        <w:ind w:firstLine="12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地址： </w:t>
      </w:r>
      <w:r/>
    </w:p>
    <w:p>
      <w:pPr>
        <w:pStyle w:val="916"/>
        <w:ind w:firstLine="12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电话： </w:t>
      </w:r>
      <w:r/>
    </w:p>
    <w:p>
      <w:pPr>
        <w:pStyle w:val="916"/>
        <w:ind w:firstLine="12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传真： </w:t>
      </w:r>
      <w:r/>
    </w:p>
    <w:p>
      <w:pPr>
        <w:pStyle w:val="916"/>
        <w:ind w:firstLine="364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投标人：（盖单位公章）</w:t>
      </w:r>
      <w:r/>
    </w:p>
    <w:p>
      <w:pPr>
        <w:pStyle w:val="916"/>
        <w:ind w:firstLine="364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投标人授权代表：（签字或盖章）  </w:t>
      </w:r>
      <w:r/>
    </w:p>
    <w:p>
      <w:pPr>
        <w:pStyle w:val="916"/>
        <w:ind w:firstLine="364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日期：   年  月  日</w:t>
      </w:r>
      <w:r/>
    </w:p>
    <w:p>
      <w:pPr>
        <w:pStyle w:val="916"/>
        <w:pageBreakBefore w:val="0"/>
        <w:spacing w:line="560" w:lineRule="exact"/>
        <w:rPr>
          <w:rFonts w:ascii="仿宋" w:hAnsi="仿宋" w:eastAsia="仿宋"/>
          <w:b/>
          <w:bCs/>
          <w:color w:val="000000"/>
          <w:sz w:val="30"/>
          <w:szCs w:val="30"/>
        </w:rPr>
      </w:pPr>
      <w:r>
        <w:rPr>
          <w:rFonts w:ascii="仿宋" w:hAnsi="仿宋" w:eastAsia="仿宋"/>
          <w:b/>
          <w:bCs/>
          <w:color w:val="000000"/>
          <w:sz w:val="30"/>
          <w:szCs w:val="30"/>
        </w:rPr>
      </w:r>
      <w:r/>
    </w:p>
    <w:p>
      <w:pPr>
        <w:pStyle w:val="917"/>
        <w:pageBreakBefore w:val="0"/>
        <w:spacing w:line="560" w:lineRule="exact"/>
        <w:rPr>
          <w:rFonts w:ascii="仿宋" w:hAnsi="仿宋" w:eastAsia="仿宋"/>
          <w:b/>
          <w:bCs/>
          <w:color w:val="000000"/>
          <w:sz w:val="30"/>
          <w:szCs w:val="30"/>
        </w:rPr>
      </w:pPr>
      <w:r>
        <w:rPr>
          <w:rFonts w:ascii="仿宋" w:hAnsi="仿宋" w:eastAsia="仿宋"/>
          <w:b/>
          <w:bCs/>
          <w:color w:val="000000"/>
          <w:sz w:val="30"/>
          <w:szCs w:val="30"/>
        </w:rPr>
      </w:r>
      <w:r/>
    </w:p>
    <w:p>
      <w:pPr>
        <w:pStyle w:val="916"/>
        <w:ind w:firstLine="640"/>
        <w:jc w:val="center"/>
        <w:pageBreakBefore w:val="0"/>
        <w:spacing w:line="560" w:lineRule="exact"/>
        <w:rPr>
          <w:rFonts w:ascii="仿宋" w:hAnsi="仿宋" w:eastAsia="仿宋"/>
          <w:b/>
          <w:bCs/>
          <w:color w:val="000000"/>
          <w:sz w:val="30"/>
          <w:szCs w:val="30"/>
        </w:rPr>
      </w:pPr>
      <w:r>
        <w:rPr>
          <w:rFonts w:ascii="仿宋" w:hAnsi="仿宋" w:eastAsia="仿宋"/>
          <w:b/>
          <w:bCs/>
          <w:color w:val="000000"/>
          <w:sz w:val="30"/>
          <w:szCs w:val="30"/>
        </w:rPr>
      </w:r>
      <w:r/>
    </w:p>
    <w:p>
      <w:pPr>
        <w:pStyle w:val="916"/>
        <w:ind w:firstLine="560"/>
        <w:jc w:val="center"/>
        <w:pageBreakBefore w:val="0"/>
        <w:spacing w:line="560" w:lineRule="exact"/>
        <w:rPr>
          <w:rFonts w:ascii="仿宋" w:hAnsi="仿宋" w:eastAsia="仿宋"/>
          <w:color w:val="000000"/>
          <w:sz w:val="28"/>
          <w:szCs w:val="28"/>
        </w:rPr>
      </w:pPr>
      <w:r>
        <w:rPr>
          <w:rFonts w:hint="eastAsia" w:ascii="仿宋" w:hAnsi="仿宋" w:eastAsia="仿宋"/>
          <w:b/>
          <w:bCs/>
          <w:color w:val="000000"/>
          <w:sz w:val="32"/>
          <w:szCs w:val="32"/>
        </w:rPr>
        <w:t xml:space="preserve">二.开标一览表</w:t>
      </w:r>
      <w:r/>
    </w:p>
    <w:p>
      <w:pPr>
        <w:pStyle w:val="916"/>
        <w:ind w:firstLine="600"/>
        <w:pageBreakBefore w:val="0"/>
        <w:spacing w:line="560" w:lineRule="exact"/>
        <w:rPr>
          <w:rFonts w:ascii="仿宋" w:hAnsi="仿宋" w:eastAsia="仿宋"/>
          <w:color w:val="000000"/>
          <w:sz w:val="28"/>
          <w:szCs w:val="28"/>
          <w:u w:val="single"/>
        </w:rPr>
      </w:pPr>
      <w:r>
        <w:rPr>
          <w:rFonts w:ascii="仿宋" w:hAnsi="仿宋" w:eastAsia="仿宋"/>
          <w:color w:val="000000"/>
          <w:sz w:val="28"/>
          <w:szCs w:val="28"/>
        </w:rPr>
        <w:t xml:space="preserve">项目名称：</w:t>
      </w:r>
      <w:r>
        <w:rPr>
          <w:rFonts w:hint="eastAsia" w:ascii="仿宋" w:hAnsi="仿宋" w:eastAsia="仿宋"/>
          <w:color w:val="000000"/>
          <w:sz w:val="28"/>
          <w:szCs w:val="28"/>
        </w:rPr>
        <w:t xml:space="preserve">新沂市第三次全国土壤普查管理应用系统建设项目</w:t>
      </w:r>
      <w:r/>
    </w:p>
    <w:p>
      <w:pPr>
        <w:pStyle w:val="916"/>
        <w:ind w:firstLine="600"/>
        <w:pageBreakBefore w:val="0"/>
        <w:spacing w:line="560" w:lineRule="exact"/>
        <w:rPr>
          <w:rFonts w:hint="eastAsia" w:ascii="仿宋" w:hAnsi="仿宋" w:eastAsia="仿宋"/>
          <w:color w:val="000000"/>
          <w:sz w:val="28"/>
          <w:szCs w:val="28"/>
        </w:rPr>
      </w:pPr>
      <w:r>
        <w:rPr>
          <w:rFonts w:ascii="仿宋" w:hAnsi="仿宋" w:eastAsia="仿宋"/>
          <w:color w:val="000000"/>
          <w:sz w:val="28"/>
          <w:szCs w:val="28"/>
        </w:rPr>
        <w:t xml:space="preserve">项目编号：</w:t>
      </w:r>
      <w:r>
        <w:rPr>
          <w:rFonts w:hint="eastAsia" w:ascii="仿宋" w:hAnsi="仿宋" w:eastAsia="仿宋"/>
          <w:color w:val="000000"/>
          <w:sz w:val="28"/>
          <w:szCs w:val="28"/>
        </w:rPr>
        <w:t xml:space="preserve">JSZC-320381-XYZX-G2026-0003</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货币单位：人民币元</w:t>
      </w:r>
      <w:r/>
    </w:p>
    <w:tbl>
      <w:tblPr>
        <w:tblStyle w:val="807"/>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176"/>
        <w:gridCol w:w="2100"/>
        <w:gridCol w:w="3058"/>
      </w:tblGrid>
      <w:tr>
        <w:trPr>
          <w:cantSplit/>
          <w:jc w:val="center"/>
          <w:trHeight w:val="1163"/>
        </w:trPr>
        <w:tc>
          <w:tcPr>
            <w:tcW w:w="4176" w:type="dxa"/>
            <w:vAlign w:val="center"/>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项目名称</w:t>
            </w:r>
            <w:r/>
          </w:p>
        </w:tc>
        <w:tc>
          <w:tcPr>
            <w:tcW w:w="2100" w:type="dxa"/>
            <w:vAlign w:val="center"/>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项目内容</w:t>
            </w:r>
            <w:r/>
          </w:p>
        </w:tc>
        <w:tc>
          <w:tcPr>
            <w:tcW w:w="3058" w:type="dxa"/>
            <w:vAlign w:val="center"/>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总价（小写）</w:t>
            </w:r>
            <w:r/>
          </w:p>
        </w:tc>
      </w:tr>
      <w:tr>
        <w:trPr>
          <w:cantSplit/>
          <w:jc w:val="center"/>
          <w:trHeight w:val="1214"/>
        </w:trPr>
        <w:tc>
          <w:tcPr>
            <w:tcW w:w="4176" w:type="dxa"/>
            <w:vAlign w:val="center"/>
            <w:textDirection w:val="lrTb"/>
            <w:noWrap w:val="false"/>
          </w:tcPr>
          <w:p>
            <w:pPr>
              <w:pStyle w:val="916"/>
              <w:jc w:val="center"/>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新沂市第三次全国土壤普查管理应用系统建设项目</w:t>
            </w:r>
            <w:r/>
          </w:p>
        </w:tc>
        <w:tc>
          <w:tcPr>
            <w:tcW w:w="2100" w:type="dxa"/>
            <w:vAlign w:val="center"/>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详见投标文件</w:t>
            </w:r>
            <w:r/>
          </w:p>
        </w:tc>
        <w:tc>
          <w:tcPr>
            <w:tcW w:w="3058" w:type="dxa"/>
            <w:vAlign w:val="center"/>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cantSplit/>
          <w:jc w:val="center"/>
          <w:trHeight w:val="1452"/>
        </w:trPr>
        <w:tc>
          <w:tcPr>
            <w:tcW w:w="4176" w:type="dxa"/>
            <w:vAlign w:val="center"/>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总价（大写）：</w:t>
            </w:r>
            <w:r/>
          </w:p>
        </w:tc>
        <w:tc>
          <w:tcPr>
            <w:gridSpan w:val="2"/>
            <w:tcW w:w="5158" w:type="dxa"/>
            <w:vAlign w:val="center"/>
            <w:textDirection w:val="lrTb"/>
            <w:noWrap w:val="false"/>
          </w:tcPr>
          <w:p>
            <w:pPr>
              <w:pStyle w:val="916"/>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bl>
    <w:p>
      <w:pPr>
        <w:pStyle w:val="916"/>
        <w:pageBreakBefore w:val="0"/>
        <w:spacing w:line="560" w:lineRule="exact"/>
        <w:rPr>
          <w:rFonts w:ascii="仿宋" w:hAnsi="仿宋" w:eastAsia="仿宋"/>
          <w:b/>
          <w:color w:val="000000"/>
          <w:sz w:val="28"/>
          <w:szCs w:val="28"/>
        </w:rPr>
      </w:pPr>
      <w:r>
        <w:rPr>
          <w:rFonts w:ascii="仿宋" w:hAnsi="仿宋" w:eastAsia="仿宋"/>
          <w:b/>
          <w:color w:val="000000"/>
          <w:sz w:val="28"/>
          <w:szCs w:val="28"/>
        </w:rPr>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16"/>
        <w:ind w:firstLine="276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16"/>
        <w:ind w:firstLine="276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16"/>
        <w:ind w:firstLine="3080"/>
        <w:pageBreakBefore w:val="0"/>
        <w:spacing w:line="560" w:lineRule="exact"/>
        <w:rPr>
          <w:rFonts w:ascii="仿宋" w:hAnsi="仿宋" w:eastAsia="仿宋"/>
          <w:color w:val="000000"/>
          <w:spacing w:val="6"/>
          <w:sz w:val="28"/>
          <w:szCs w:val="28"/>
        </w:rPr>
      </w:pPr>
      <w:r>
        <w:rPr>
          <w:rFonts w:ascii="仿宋" w:hAnsi="仿宋" w:eastAsia="仿宋"/>
          <w:color w:val="000000"/>
          <w:sz w:val="28"/>
          <w:szCs w:val="28"/>
        </w:rPr>
        <w:t xml:space="preserve">投标人：（盖单位公章）</w:t>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投标人授权代表：（签字或盖章）  </w:t>
      </w:r>
      <w:r/>
    </w:p>
    <w:p>
      <w:pPr>
        <w:pStyle w:val="916"/>
        <w:ind w:firstLine="308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日</w:t>
      </w:r>
      <w:r/>
    </w:p>
    <w:p>
      <w:pPr>
        <w:pStyle w:val="916"/>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916"/>
        <w:ind w:firstLine="560"/>
        <w:jc w:val="center"/>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916"/>
        <w:ind w:firstLine="560"/>
        <w:jc w:val="center"/>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916"/>
        <w:ind w:firstLine="560"/>
        <w:jc w:val="center"/>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917"/>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908"/>
        <w:pageBreakBefore w:val="0"/>
        <w:spacing w:line="560" w:lineRule="exact"/>
      </w:pPr>
      <w:r/>
      <w:r/>
    </w:p>
    <w:p>
      <w:pPr>
        <w:pStyle w:val="916"/>
        <w:ind w:firstLine="3460"/>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916"/>
        <w:ind w:firstLine="3460"/>
        <w:pageBreakBefore w:val="0"/>
        <w:spacing w:line="560" w:lineRule="exact"/>
        <w:rPr>
          <w:rFonts w:ascii="仿宋" w:hAnsi="仿宋" w:eastAsia="仿宋"/>
          <w:b/>
          <w:bCs/>
          <w:color w:val="000000"/>
          <w:sz w:val="32"/>
          <w:szCs w:val="32"/>
        </w:rPr>
      </w:pPr>
      <w:r>
        <w:rPr>
          <w:rFonts w:hint="eastAsia" w:ascii="仿宋" w:hAnsi="仿宋" w:eastAsia="仿宋"/>
          <w:b/>
          <w:bCs/>
          <w:color w:val="000000"/>
          <w:sz w:val="32"/>
          <w:szCs w:val="32"/>
        </w:rPr>
        <w:t xml:space="preserve">三．分项报价表</w:t>
      </w:r>
      <w:r/>
    </w:p>
    <w:p>
      <w:pPr>
        <w:pStyle w:val="916"/>
        <w:ind w:firstLine="640"/>
        <w:jc w:val="center"/>
        <w:pageBreakBefore w:val="0"/>
        <w:spacing w:line="560" w:lineRule="exact"/>
        <w:rPr>
          <w:rFonts w:ascii="仿宋" w:hAnsi="仿宋" w:eastAsia="仿宋"/>
          <w:b/>
          <w:bCs/>
          <w:color w:val="000000"/>
          <w:sz w:val="30"/>
          <w:szCs w:val="30"/>
        </w:rPr>
      </w:pPr>
      <w:r>
        <w:rPr>
          <w:rFonts w:ascii="仿宋" w:hAnsi="仿宋" w:eastAsia="仿宋"/>
          <w:b/>
          <w:bCs/>
          <w:color w:val="000000"/>
          <w:sz w:val="30"/>
          <w:szCs w:val="30"/>
        </w:rPr>
      </w:r>
      <w:r/>
    </w:p>
    <w:p>
      <w:pPr>
        <w:pStyle w:val="916"/>
        <w:ind w:firstLine="640"/>
        <w:jc w:val="center"/>
        <w:pageBreakBefore w:val="0"/>
        <w:spacing w:line="560" w:lineRule="exact"/>
        <w:rPr>
          <w:rFonts w:ascii="仿宋" w:hAnsi="仿宋" w:eastAsia="仿宋"/>
          <w:b/>
          <w:bCs/>
          <w:color w:val="000000"/>
          <w:sz w:val="30"/>
          <w:szCs w:val="30"/>
        </w:rPr>
      </w:pPr>
      <w:r>
        <w:rPr>
          <w:rFonts w:ascii="仿宋" w:hAnsi="仿宋" w:eastAsia="仿宋"/>
          <w:b/>
          <w:bCs/>
          <w:color w:val="000000"/>
          <w:sz w:val="30"/>
          <w:szCs w:val="30"/>
        </w:rPr>
      </w:r>
      <w:r/>
    </w:p>
    <w:p>
      <w:pPr>
        <w:pStyle w:val="916"/>
        <w:ind w:firstLine="3969"/>
        <w:pageBreakBefore w:val="0"/>
        <w:spacing w:line="560" w:lineRule="exact"/>
        <w:rPr>
          <w:rFonts w:ascii="仿宋" w:hAnsi="仿宋" w:eastAsia="仿宋"/>
          <w:b/>
          <w:bCs/>
          <w:color w:val="000000"/>
          <w:sz w:val="30"/>
          <w:szCs w:val="30"/>
        </w:rPr>
      </w:pPr>
      <w:r>
        <w:rPr>
          <w:rFonts w:hint="eastAsia" w:ascii="仿宋" w:hAnsi="仿宋" w:eastAsia="仿宋"/>
          <w:b/>
          <w:bCs/>
          <w:color w:val="000000"/>
          <w:sz w:val="30"/>
          <w:szCs w:val="30"/>
        </w:rPr>
        <w:t xml:space="preserve">【格式自拟】</w:t>
      </w:r>
      <w:r/>
    </w:p>
    <w:p>
      <w:pPr>
        <w:pStyle w:val="916"/>
        <w:ind w:firstLine="560"/>
        <w:jc w:val="center"/>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916"/>
        <w:ind w:firstLine="560"/>
        <w:jc w:val="center"/>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916"/>
        <w:ind w:firstLine="560"/>
        <w:jc w:val="center"/>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916"/>
        <w:ind w:firstLine="560"/>
        <w:jc w:val="center"/>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916"/>
        <w:ind w:firstLine="560"/>
        <w:jc w:val="center"/>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916"/>
        <w:ind w:firstLine="560"/>
        <w:jc w:val="center"/>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916"/>
        <w:ind w:firstLine="560"/>
        <w:jc w:val="center"/>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916"/>
        <w:ind w:firstLine="560"/>
        <w:jc w:val="center"/>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916"/>
        <w:ind w:firstLine="560"/>
        <w:jc w:val="center"/>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916"/>
        <w:ind w:firstLine="560"/>
        <w:jc w:val="center"/>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916"/>
        <w:ind w:firstLine="560"/>
        <w:jc w:val="center"/>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916"/>
        <w:ind w:firstLine="560"/>
        <w:jc w:val="center"/>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908"/>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916"/>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916"/>
        <w:ind w:firstLine="560"/>
        <w:jc w:val="center"/>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916"/>
        <w:ind w:firstLine="560"/>
        <w:jc w:val="center"/>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917"/>
        <w:rPr>
          <w:rFonts w:ascii="仿宋" w:hAnsi="仿宋" w:eastAsia="仿宋"/>
          <w:b/>
          <w:bCs/>
          <w:color w:val="000000"/>
          <w:sz w:val="32"/>
          <w:szCs w:val="32"/>
        </w:rPr>
      </w:pPr>
      <w:r>
        <w:rPr>
          <w:rFonts w:ascii="仿宋" w:hAnsi="仿宋" w:eastAsia="仿宋"/>
          <w:b/>
          <w:bCs/>
          <w:color w:val="000000"/>
          <w:sz w:val="32"/>
          <w:szCs w:val="32"/>
        </w:rPr>
      </w:r>
      <w:r/>
    </w:p>
    <w:p>
      <w:pPr>
        <w:pStyle w:val="908"/>
      </w:pPr>
      <w:r/>
      <w:r/>
    </w:p>
    <w:p>
      <w:pPr>
        <w:pStyle w:val="916"/>
        <w:ind w:firstLine="560"/>
        <w:jc w:val="center"/>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916"/>
        <w:numPr>
          <w:ilvl w:val="0"/>
          <w:numId w:val="19"/>
        </w:numPr>
        <w:ind w:firstLine="2891"/>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t xml:space="preserve">偏离表格式</w:t>
      </w:r>
      <w:r/>
    </w:p>
    <w:p>
      <w:pPr>
        <w:pStyle w:val="917"/>
        <w:numPr>
          <w:ilvl w:val="0"/>
          <w:numId w:val="0"/>
        </w:numPr>
        <w:ind w:firstLine="2891"/>
        <w:jc w:val="both"/>
        <w:spacing w:after="120"/>
        <w:widowControl w:val="off"/>
        <w:rPr>
          <w:rFonts w:hint="eastAsia" w:ascii="仿宋" w:hAnsi="仿宋" w:eastAsia="仿宋" w:cs="Times New Roman"/>
          <w:b/>
          <w:bCs/>
          <w:color w:val="000000"/>
          <w:sz w:val="32"/>
          <w:szCs w:val="32"/>
          <w:lang w:val="en-US" w:eastAsia="zh-CN" w:bidi="ar-SA"/>
        </w:rPr>
      </w:pPr>
      <w:r>
        <w:rPr>
          <w:rFonts w:hint="eastAsia" w:ascii="仿宋" w:hAnsi="仿宋" w:eastAsia="仿宋" w:cs="Times New Roman"/>
          <w:b/>
          <w:bCs/>
          <w:color w:val="000000"/>
          <w:sz w:val="32"/>
          <w:szCs w:val="32"/>
          <w:lang w:val="en-US" w:eastAsia="zh-CN" w:bidi="ar-SA"/>
        </w:rPr>
        <w:t xml:space="preserve">（一）商务偏离表</w:t>
      </w:r>
      <w:r/>
    </w:p>
    <w:p>
      <w:pPr>
        <w:pStyle w:val="916"/>
        <w:ind w:firstLine="600"/>
        <w:pageBreakBefore w:val="0"/>
        <w:spacing w:line="560" w:lineRule="exact"/>
        <w:rPr>
          <w:rFonts w:ascii="仿宋" w:hAnsi="仿宋" w:eastAsia="仿宋"/>
          <w:color w:val="000000"/>
          <w:sz w:val="28"/>
          <w:szCs w:val="28"/>
          <w:u w:val="single"/>
        </w:rPr>
      </w:pPr>
      <w:r>
        <w:rPr>
          <w:rFonts w:ascii="仿宋" w:hAnsi="仿宋" w:eastAsia="仿宋"/>
          <w:color w:val="000000"/>
          <w:sz w:val="28"/>
          <w:szCs w:val="28"/>
        </w:rPr>
        <w:t xml:space="preserve">项目名称：</w:t>
      </w:r>
      <w:r>
        <w:rPr>
          <w:rFonts w:hint="eastAsia" w:ascii="仿宋" w:hAnsi="仿宋" w:eastAsia="仿宋"/>
          <w:color w:val="000000"/>
          <w:sz w:val="28"/>
          <w:szCs w:val="28"/>
        </w:rPr>
        <w:t xml:space="preserve">新沂市第三次全国土壤普查管理应用系统建设项目</w:t>
      </w:r>
      <w:r/>
    </w:p>
    <w:p>
      <w:pPr>
        <w:pStyle w:val="916"/>
        <w:ind w:firstLine="600"/>
        <w:pageBreakBefore w:val="0"/>
        <w:spacing w:line="560" w:lineRule="exact"/>
        <w:rPr>
          <w:rFonts w:ascii="仿宋" w:hAnsi="仿宋" w:eastAsia="仿宋"/>
          <w:color w:val="000000"/>
          <w:sz w:val="28"/>
          <w:szCs w:val="28"/>
          <w:u w:val="single"/>
        </w:rPr>
      </w:pPr>
      <w:r>
        <w:rPr>
          <w:rFonts w:ascii="仿宋" w:hAnsi="仿宋" w:eastAsia="仿宋"/>
          <w:color w:val="000000"/>
          <w:sz w:val="28"/>
          <w:szCs w:val="28"/>
        </w:rPr>
        <w:t xml:space="preserve">项目编号：</w:t>
      </w:r>
      <w:r>
        <w:rPr>
          <w:rFonts w:hint="eastAsia" w:ascii="仿宋" w:hAnsi="仿宋" w:eastAsia="仿宋"/>
          <w:color w:val="000000"/>
          <w:sz w:val="28"/>
          <w:szCs w:val="28"/>
        </w:rPr>
        <w:t xml:space="preserve">JSZC-320381-XYZX-G2026-0003</w:t>
      </w:r>
      <w:r/>
    </w:p>
    <w:tbl>
      <w:tblPr>
        <w:tblStyle w:val="807"/>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W w:w="720" w:type="dxa"/>
            <w:vAlign w:val="center"/>
            <w:textDirection w:val="lrTb"/>
            <w:noWrap w:val="false"/>
          </w:tcPr>
          <w:p>
            <w:pPr>
              <w:pStyle w:val="916"/>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序号</w:t>
            </w:r>
            <w:r/>
          </w:p>
        </w:tc>
        <w:tc>
          <w:tcPr>
            <w:tcW w:w="1404" w:type="dxa"/>
            <w:vAlign w:val="center"/>
            <w:textDirection w:val="lrTb"/>
            <w:noWrap w:val="false"/>
          </w:tcPr>
          <w:p>
            <w:pPr>
              <w:pStyle w:val="916"/>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偏离内容</w:t>
            </w:r>
            <w:r/>
          </w:p>
        </w:tc>
        <w:tc>
          <w:tcPr>
            <w:tcW w:w="1476" w:type="dxa"/>
            <w:vAlign w:val="center"/>
            <w:textDirection w:val="lrTb"/>
            <w:noWrap w:val="false"/>
          </w:tcPr>
          <w:p>
            <w:pPr>
              <w:pStyle w:val="916"/>
              <w:jc w:val="center"/>
              <w:pageBreakBefore w:val="0"/>
              <w:spacing w:line="560" w:lineRule="exact"/>
              <w:rPr>
                <w:rFonts w:ascii="仿宋" w:hAnsi="仿宋" w:eastAsia="仿宋"/>
                <w:caps/>
                <w:color w:val="000000"/>
                <w:sz w:val="28"/>
                <w:szCs w:val="28"/>
              </w:rPr>
            </w:pPr>
            <w:r>
              <w:rPr>
                <w:rFonts w:ascii="仿宋" w:hAnsi="仿宋" w:eastAsia="仿宋"/>
                <w:color w:val="000000"/>
                <w:sz w:val="28"/>
                <w:szCs w:val="28"/>
              </w:rPr>
              <w:t xml:space="preserve">招标文件的要求</w:t>
            </w:r>
            <w:r/>
          </w:p>
        </w:tc>
        <w:tc>
          <w:tcPr>
            <w:tcW w:w="1620" w:type="dxa"/>
            <w:vAlign w:val="center"/>
            <w:textDirection w:val="lrTb"/>
            <w:noWrap w:val="false"/>
          </w:tcPr>
          <w:p>
            <w:pPr>
              <w:pStyle w:val="916"/>
              <w:jc w:val="center"/>
              <w:pageBreakBefore w:val="0"/>
              <w:spacing w:line="560" w:lineRule="exact"/>
              <w:rPr>
                <w:rFonts w:ascii="仿宋" w:hAnsi="仿宋" w:eastAsia="仿宋"/>
                <w:caps/>
                <w:color w:val="000000"/>
                <w:sz w:val="28"/>
                <w:szCs w:val="28"/>
              </w:rPr>
            </w:pPr>
            <w:r>
              <w:rPr>
                <w:rFonts w:ascii="仿宋" w:hAnsi="仿宋" w:eastAsia="仿宋"/>
                <w:color w:val="000000"/>
                <w:sz w:val="28"/>
                <w:szCs w:val="28"/>
              </w:rPr>
              <w:t xml:space="preserve">投标文件中的内容</w:t>
            </w:r>
            <w:r/>
          </w:p>
        </w:tc>
        <w:tc>
          <w:tcPr>
            <w:tcW w:w="1260" w:type="dxa"/>
            <w:vAlign w:val="center"/>
            <w:textDirection w:val="lrTb"/>
            <w:noWrap w:val="false"/>
          </w:tcPr>
          <w:p>
            <w:pPr>
              <w:pStyle w:val="916"/>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（正/负/无）偏离</w:t>
            </w:r>
            <w:r/>
          </w:p>
        </w:tc>
        <w:tc>
          <w:tcPr>
            <w:tcW w:w="2520" w:type="dxa"/>
            <w:vAlign w:val="center"/>
            <w:textDirection w:val="lrTb"/>
            <w:noWrap w:val="false"/>
          </w:tcPr>
          <w:p>
            <w:pPr>
              <w:pStyle w:val="916"/>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说明</w:t>
            </w:r>
            <w:r/>
          </w:p>
        </w:tc>
      </w:tr>
      <w:tr>
        <w:trPr>
          <w:jc w:val="center"/>
          <w:trHeight w:val="794"/>
        </w:trPr>
        <w:tc>
          <w:tcPr>
            <w:tcW w:w="7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bl>
    <w:p>
      <w:pPr>
        <w:pStyle w:val="916"/>
        <w:pageBreakBefore w:val="0"/>
        <w:spacing w:line="560" w:lineRule="exact"/>
        <w:rPr>
          <w:rFonts w:ascii="仿宋" w:hAnsi="仿宋" w:eastAsia="仿宋"/>
          <w:color w:val="000000"/>
          <w:sz w:val="28"/>
          <w:szCs w:val="28"/>
          <w:u w:val="single"/>
        </w:rPr>
      </w:pPr>
      <w:r>
        <w:rPr>
          <w:rFonts w:ascii="仿宋" w:hAnsi="仿宋" w:eastAsia="仿宋"/>
          <w:color w:val="000000"/>
          <w:sz w:val="28"/>
          <w:szCs w:val="28"/>
          <w:u w:val="single"/>
        </w:rPr>
      </w:r>
      <w:r/>
    </w:p>
    <w:p>
      <w:pPr>
        <w:pStyle w:val="916"/>
        <w:ind w:firstLine="562"/>
        <w:pageBreakBefore w:val="0"/>
        <w:spacing w:line="560" w:lineRule="exact"/>
        <w:rPr>
          <w:rFonts w:ascii="仿宋" w:hAnsi="仿宋" w:eastAsia="仿宋"/>
          <w:color w:val="000000"/>
          <w:sz w:val="28"/>
          <w:szCs w:val="28"/>
        </w:rPr>
      </w:pPr>
      <w:r>
        <w:rPr>
          <w:rFonts w:ascii="仿宋" w:hAnsi="仿宋" w:eastAsia="仿宋"/>
          <w:b/>
          <w:color w:val="000000"/>
          <w:sz w:val="28"/>
          <w:szCs w:val="28"/>
        </w:rPr>
        <w:t xml:space="preserve">注</w:t>
      </w:r>
      <w:r>
        <w:rPr>
          <w:rFonts w:ascii="仿宋" w:hAnsi="仿宋" w:eastAsia="仿宋"/>
          <w:color w:val="000000"/>
          <w:sz w:val="28"/>
          <w:szCs w:val="28"/>
        </w:rPr>
        <w:t xml:space="preserve">：投标人的投标文件中的内容与招标文件（含招标文件的澄清或者修改的内容）的要求不同时，逐条列在偏离表中，否则将认为投标人接受招标文件的要求。</w:t>
      </w:r>
      <w:r/>
    </w:p>
    <w:p>
      <w:pPr>
        <w:pStyle w:val="917"/>
        <w:pageBreakBefore w:val="0"/>
        <w:spacing w:line="560" w:lineRule="exact"/>
      </w:pPr>
      <w:r/>
      <w:r/>
    </w:p>
    <w:p>
      <w:pPr>
        <w:pStyle w:val="916"/>
        <w:ind w:firstLine="3360"/>
        <w:pageBreakBefore w:val="0"/>
        <w:spacing w:line="560" w:lineRule="exact"/>
        <w:rPr>
          <w:rFonts w:ascii="仿宋" w:hAnsi="仿宋" w:eastAsia="仿宋"/>
          <w:color w:val="000000"/>
          <w:spacing w:val="6"/>
          <w:sz w:val="28"/>
          <w:szCs w:val="28"/>
        </w:rPr>
      </w:pPr>
      <w:r>
        <w:rPr>
          <w:rFonts w:ascii="仿宋" w:hAnsi="仿宋" w:eastAsia="仿宋"/>
          <w:color w:val="000000"/>
          <w:sz w:val="28"/>
          <w:szCs w:val="28"/>
        </w:rPr>
        <w:t xml:space="preserve">投标人：（盖单位公章）</w:t>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t xml:space="preserve">投标人授权代表：（签字或盖章）  </w:t>
      </w:r>
      <w:r/>
    </w:p>
    <w:p>
      <w:pPr>
        <w:pStyle w:val="916"/>
        <w:ind w:firstLine="336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日</w:t>
      </w:r>
      <w:r/>
    </w:p>
    <w:p>
      <w:pPr>
        <w:pStyle w:val="916"/>
        <w:pageBreakBefore w:val="0"/>
        <w:spacing w:line="560" w:lineRule="exact"/>
        <w:rPr>
          <w:rFonts w:ascii="仿宋" w:hAnsi="仿宋" w:eastAsia="仿宋"/>
          <w:color w:val="000000"/>
          <w:sz w:val="28"/>
          <w:szCs w:val="28"/>
        </w:rPr>
      </w:pPr>
      <w:r>
        <w:rPr>
          <w:rFonts w:ascii="仿宋" w:hAnsi="仿宋" w:eastAsia="仿宋"/>
          <w:bCs/>
          <w:color w:val="000000"/>
          <w:sz w:val="28"/>
          <w:szCs w:val="28"/>
        </w:rPr>
        <w:br w:type="page" w:clear="all"/>
      </w:r>
      <w:r/>
    </w:p>
    <w:p>
      <w:pPr>
        <w:pStyle w:val="917"/>
        <w:numPr>
          <w:ilvl w:val="0"/>
          <w:numId w:val="0"/>
        </w:numPr>
        <w:ind w:firstLine="3213"/>
        <w:jc w:val="both"/>
        <w:spacing w:after="120"/>
        <w:widowControl w:val="off"/>
        <w:rPr>
          <w:rFonts w:hint="eastAsia" w:eastAsia="宋体"/>
          <w:b/>
          <w:bCs/>
          <w:sz w:val="32"/>
          <w:szCs w:val="32"/>
          <w:lang w:eastAsia="zh-CN"/>
        </w:rPr>
      </w:pPr>
      <w:r>
        <w:rPr>
          <w:rFonts w:hint="eastAsia"/>
          <w:b/>
          <w:bCs/>
          <w:sz w:val="32"/>
          <w:szCs w:val="32"/>
          <w:lang w:eastAsia="zh-CN"/>
        </w:rPr>
        <w:t xml:space="preserve">（二）</w:t>
      </w:r>
      <w:r>
        <w:rPr>
          <w:rFonts w:hint="eastAsia" w:ascii="仿宋" w:hAnsi="仿宋" w:eastAsia="仿宋" w:cs="Times New Roman"/>
          <w:b/>
          <w:bCs/>
          <w:color w:val="000000"/>
          <w:sz w:val="32"/>
          <w:szCs w:val="32"/>
          <w:lang w:val="en-US" w:eastAsia="zh-CN" w:bidi="ar-SA"/>
        </w:rPr>
        <w:t xml:space="preserve">技术偏离表</w:t>
      </w:r>
      <w:r/>
    </w:p>
    <w:p>
      <w:pPr>
        <w:pStyle w:val="916"/>
        <w:ind w:firstLine="600"/>
        <w:pageBreakBefore w:val="0"/>
        <w:spacing w:line="560" w:lineRule="exact"/>
        <w:rPr>
          <w:rFonts w:ascii="仿宋" w:hAnsi="仿宋" w:eastAsia="仿宋"/>
          <w:color w:val="000000"/>
          <w:sz w:val="28"/>
          <w:szCs w:val="28"/>
          <w:u w:val="single"/>
        </w:rPr>
      </w:pPr>
      <w:r>
        <w:rPr>
          <w:rFonts w:ascii="仿宋" w:hAnsi="仿宋" w:eastAsia="仿宋"/>
          <w:color w:val="000000"/>
          <w:sz w:val="28"/>
          <w:szCs w:val="28"/>
        </w:rPr>
        <w:t xml:space="preserve">项目名称：</w:t>
      </w:r>
      <w:r>
        <w:rPr>
          <w:rFonts w:hint="eastAsia" w:ascii="仿宋" w:hAnsi="仿宋" w:eastAsia="仿宋"/>
          <w:color w:val="000000"/>
          <w:sz w:val="28"/>
          <w:szCs w:val="28"/>
        </w:rPr>
        <w:t xml:space="preserve">新沂市第三次全国土壤普查管理应用系统建设项目</w:t>
      </w:r>
      <w:r/>
    </w:p>
    <w:p>
      <w:pPr>
        <w:pStyle w:val="916"/>
        <w:ind w:firstLine="600"/>
        <w:pageBreakBefore w:val="0"/>
        <w:spacing w:line="560" w:lineRule="exact"/>
        <w:rPr>
          <w:rFonts w:ascii="仿宋" w:hAnsi="仿宋" w:eastAsia="仿宋"/>
          <w:color w:val="000000"/>
          <w:sz w:val="28"/>
          <w:szCs w:val="28"/>
          <w:u w:val="single"/>
        </w:rPr>
      </w:pPr>
      <w:r>
        <w:rPr>
          <w:rFonts w:ascii="仿宋" w:hAnsi="仿宋" w:eastAsia="仿宋"/>
          <w:color w:val="000000"/>
          <w:sz w:val="28"/>
          <w:szCs w:val="28"/>
        </w:rPr>
        <w:t xml:space="preserve">项目编号：</w:t>
      </w:r>
      <w:r>
        <w:rPr>
          <w:rFonts w:hint="eastAsia" w:ascii="仿宋" w:hAnsi="仿宋" w:eastAsia="仿宋"/>
          <w:color w:val="000000"/>
          <w:sz w:val="28"/>
          <w:szCs w:val="28"/>
        </w:rPr>
        <w:t xml:space="preserve">JSZC-320381-XYZX-G2026-0003</w:t>
      </w:r>
      <w:r/>
    </w:p>
    <w:tbl>
      <w:tblPr>
        <w:tblStyle w:val="807"/>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W w:w="720" w:type="dxa"/>
            <w:vAlign w:val="center"/>
            <w:textDirection w:val="lrTb"/>
            <w:noWrap w:val="false"/>
          </w:tcPr>
          <w:p>
            <w:pPr>
              <w:pStyle w:val="916"/>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序号</w:t>
            </w:r>
            <w:r/>
          </w:p>
        </w:tc>
        <w:tc>
          <w:tcPr>
            <w:tcW w:w="1404" w:type="dxa"/>
            <w:vAlign w:val="center"/>
            <w:textDirection w:val="lrTb"/>
            <w:noWrap w:val="false"/>
          </w:tcPr>
          <w:p>
            <w:pPr>
              <w:pStyle w:val="916"/>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偏离内容</w:t>
            </w:r>
            <w:r/>
          </w:p>
        </w:tc>
        <w:tc>
          <w:tcPr>
            <w:tcW w:w="1476" w:type="dxa"/>
            <w:vAlign w:val="center"/>
            <w:textDirection w:val="lrTb"/>
            <w:noWrap w:val="false"/>
          </w:tcPr>
          <w:p>
            <w:pPr>
              <w:pStyle w:val="916"/>
              <w:jc w:val="center"/>
              <w:pageBreakBefore w:val="0"/>
              <w:spacing w:line="560" w:lineRule="exact"/>
              <w:rPr>
                <w:rFonts w:ascii="仿宋" w:hAnsi="仿宋" w:eastAsia="仿宋"/>
                <w:caps/>
                <w:color w:val="000000"/>
                <w:sz w:val="28"/>
                <w:szCs w:val="28"/>
              </w:rPr>
            </w:pPr>
            <w:r>
              <w:rPr>
                <w:rFonts w:ascii="仿宋" w:hAnsi="仿宋" w:eastAsia="仿宋"/>
                <w:color w:val="000000"/>
                <w:sz w:val="28"/>
                <w:szCs w:val="28"/>
              </w:rPr>
              <w:t xml:space="preserve">招标文件的要求</w:t>
            </w:r>
            <w:r/>
          </w:p>
        </w:tc>
        <w:tc>
          <w:tcPr>
            <w:tcW w:w="1620" w:type="dxa"/>
            <w:vAlign w:val="center"/>
            <w:textDirection w:val="lrTb"/>
            <w:noWrap w:val="false"/>
          </w:tcPr>
          <w:p>
            <w:pPr>
              <w:pStyle w:val="916"/>
              <w:jc w:val="center"/>
              <w:pageBreakBefore w:val="0"/>
              <w:spacing w:line="560" w:lineRule="exact"/>
              <w:rPr>
                <w:rFonts w:ascii="仿宋" w:hAnsi="仿宋" w:eastAsia="仿宋"/>
                <w:caps/>
                <w:color w:val="000000"/>
                <w:sz w:val="28"/>
                <w:szCs w:val="28"/>
              </w:rPr>
            </w:pPr>
            <w:r>
              <w:rPr>
                <w:rFonts w:ascii="仿宋" w:hAnsi="仿宋" w:eastAsia="仿宋"/>
                <w:color w:val="000000"/>
                <w:sz w:val="28"/>
                <w:szCs w:val="28"/>
              </w:rPr>
              <w:t xml:space="preserve">投标文件中的内容</w:t>
            </w:r>
            <w:r/>
          </w:p>
        </w:tc>
        <w:tc>
          <w:tcPr>
            <w:tcW w:w="1260" w:type="dxa"/>
            <w:vAlign w:val="center"/>
            <w:textDirection w:val="lrTb"/>
            <w:noWrap w:val="false"/>
          </w:tcPr>
          <w:p>
            <w:pPr>
              <w:pStyle w:val="916"/>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（正/负/无）偏离</w:t>
            </w:r>
            <w:r/>
          </w:p>
        </w:tc>
        <w:tc>
          <w:tcPr>
            <w:tcW w:w="2520" w:type="dxa"/>
            <w:vAlign w:val="center"/>
            <w:textDirection w:val="lrTb"/>
            <w:noWrap w:val="false"/>
          </w:tcPr>
          <w:p>
            <w:pPr>
              <w:pStyle w:val="916"/>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说明</w:t>
            </w:r>
            <w:r/>
          </w:p>
        </w:tc>
      </w:tr>
      <w:tr>
        <w:trPr>
          <w:jc w:val="center"/>
          <w:trHeight w:val="794"/>
        </w:trPr>
        <w:tc>
          <w:tcPr>
            <w:tcW w:w="7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bl>
    <w:p>
      <w:pPr>
        <w:pStyle w:val="916"/>
        <w:pageBreakBefore w:val="0"/>
        <w:spacing w:line="560" w:lineRule="exact"/>
        <w:rPr>
          <w:rFonts w:ascii="仿宋" w:hAnsi="仿宋" w:eastAsia="仿宋"/>
          <w:color w:val="000000"/>
          <w:sz w:val="28"/>
          <w:szCs w:val="28"/>
          <w:u w:val="single"/>
        </w:rPr>
      </w:pPr>
      <w:r>
        <w:rPr>
          <w:rFonts w:ascii="仿宋" w:hAnsi="仿宋" w:eastAsia="仿宋"/>
          <w:color w:val="000000"/>
          <w:sz w:val="28"/>
          <w:szCs w:val="28"/>
          <w:u w:val="single"/>
        </w:rPr>
      </w:r>
      <w:r/>
    </w:p>
    <w:p>
      <w:pPr>
        <w:pStyle w:val="916"/>
        <w:ind w:firstLine="562"/>
        <w:pageBreakBefore w:val="0"/>
        <w:spacing w:line="560" w:lineRule="exact"/>
        <w:rPr>
          <w:rFonts w:ascii="仿宋" w:hAnsi="仿宋" w:eastAsia="仿宋"/>
          <w:color w:val="000000"/>
          <w:sz w:val="28"/>
          <w:szCs w:val="28"/>
        </w:rPr>
      </w:pPr>
      <w:r>
        <w:rPr>
          <w:rFonts w:ascii="仿宋" w:hAnsi="仿宋" w:eastAsia="仿宋"/>
          <w:b/>
          <w:color w:val="000000"/>
          <w:sz w:val="28"/>
          <w:szCs w:val="28"/>
        </w:rPr>
        <w:t xml:space="preserve">注</w:t>
      </w:r>
      <w:r>
        <w:rPr>
          <w:rFonts w:ascii="仿宋" w:hAnsi="仿宋" w:eastAsia="仿宋"/>
          <w:color w:val="000000"/>
          <w:sz w:val="28"/>
          <w:szCs w:val="28"/>
        </w:rPr>
        <w:t xml:space="preserve">：投标人的投标文件中的内容与招标文件（含招标文件的澄清或者修改的内容）的要求不同时，逐条列在偏离表中，否则将认为投标人接受招标文件的要求。</w:t>
      </w:r>
      <w:r/>
    </w:p>
    <w:p>
      <w:pPr>
        <w:pStyle w:val="917"/>
        <w:pageBreakBefore w:val="0"/>
        <w:spacing w:line="560" w:lineRule="exact"/>
      </w:pPr>
      <w:r/>
      <w:r/>
    </w:p>
    <w:p>
      <w:pPr>
        <w:pStyle w:val="916"/>
        <w:ind w:firstLine="3360"/>
        <w:pageBreakBefore w:val="0"/>
        <w:spacing w:line="560" w:lineRule="exact"/>
        <w:rPr>
          <w:rFonts w:ascii="仿宋" w:hAnsi="仿宋" w:eastAsia="仿宋"/>
          <w:color w:val="000000"/>
          <w:spacing w:val="6"/>
          <w:sz w:val="28"/>
          <w:szCs w:val="28"/>
        </w:rPr>
      </w:pPr>
      <w:r>
        <w:rPr>
          <w:rFonts w:ascii="仿宋" w:hAnsi="仿宋" w:eastAsia="仿宋"/>
          <w:color w:val="000000"/>
          <w:sz w:val="28"/>
          <w:szCs w:val="28"/>
        </w:rPr>
        <w:t xml:space="preserve">投标人：（盖单位公章）</w:t>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t xml:space="preserve">投标人授权代表：（签字或盖章）  </w:t>
      </w:r>
      <w:r/>
    </w:p>
    <w:p>
      <w:pPr>
        <w:pStyle w:val="916"/>
        <w:ind w:firstLine="336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日</w:t>
      </w:r>
      <w:r/>
    </w:p>
    <w:p>
      <w:pPr>
        <w:pStyle w:val="916"/>
        <w:jc w:val="center"/>
        <w:pageBreakBefore w:val="0"/>
        <w:spacing w:line="56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pStyle w:val="916"/>
        <w:jc w:val="both"/>
        <w:pageBreakBefore w:val="0"/>
        <w:spacing w:line="56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pStyle w:val="916"/>
        <w:jc w:val="center"/>
        <w:pageBreakBefore w:val="0"/>
        <w:spacing w:line="560" w:lineRule="exact"/>
        <w:rPr>
          <w:rFonts w:ascii="仿宋" w:hAnsi="仿宋" w:eastAsia="仿宋"/>
          <w:b/>
          <w:color w:val="000000"/>
          <w:sz w:val="32"/>
          <w:szCs w:val="32"/>
        </w:rPr>
      </w:pPr>
      <w:r>
        <w:rPr>
          <w:rFonts w:hint="eastAsia" w:ascii="仿宋" w:hAnsi="仿宋" w:eastAsia="仿宋"/>
          <w:b/>
          <w:color w:val="000000"/>
          <w:sz w:val="32"/>
          <w:szCs w:val="32"/>
        </w:rPr>
        <w:t xml:space="preserve">五</w:t>
      </w:r>
      <w:r>
        <w:rPr>
          <w:rFonts w:ascii="仿宋" w:hAnsi="仿宋" w:eastAsia="仿宋"/>
          <w:b/>
          <w:color w:val="000000"/>
          <w:sz w:val="32"/>
          <w:szCs w:val="32"/>
        </w:rPr>
        <w:t xml:space="preserve">、法定代表人授权书格式</w:t>
      </w:r>
      <w:r/>
    </w:p>
    <w:p>
      <w:pPr>
        <w:pStyle w:val="916"/>
        <w:pageBreakBefore w:val="0"/>
        <w:spacing w:line="560" w:lineRule="exact"/>
        <w:rPr>
          <w:rFonts w:hint="default" w:ascii="仿宋" w:hAnsi="仿宋" w:eastAsia="仿宋"/>
          <w:color w:val="000000"/>
          <w:sz w:val="28"/>
          <w:szCs w:val="28"/>
          <w:lang w:val="en-US" w:eastAsia="zh-CN"/>
        </w:rPr>
      </w:pPr>
      <w:r>
        <w:rPr>
          <w:rFonts w:ascii="仿宋" w:hAnsi="仿宋" w:eastAsia="仿宋"/>
          <w:color w:val="000000"/>
          <w:sz w:val="28"/>
          <w:szCs w:val="28"/>
        </w:rPr>
        <w:t xml:space="preserve">委托人：</w:t>
      </w:r>
      <w:r>
        <w:rPr>
          <w:rFonts w:hint="eastAsia" w:ascii="仿宋" w:hAnsi="仿宋" w:eastAsia="仿宋"/>
          <w:color w:val="000000"/>
          <w:sz w:val="28"/>
          <w:szCs w:val="28"/>
          <w:lang w:val="en-US" w:eastAsia="zh-CN"/>
        </w:rPr>
        <w:t xml:space="preserve">        （公司名称）  </w:t>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地  址：</w:t>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法定代表人（负责人）：               职务：</w:t>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统一社会信用代码：</w:t>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受托人：                   性别：男（女）  </w:t>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年龄：  岁                 民族：   族</w:t>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职务：</w:t>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联系电话：</w:t>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身份证号：</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兹委托（       ）全权代表我企业（公司）参与（</w:t>
      </w:r>
      <w:r>
        <w:rPr>
          <w:rFonts w:hint="eastAsia" w:ascii="仿宋" w:hAnsi="仿宋" w:eastAsia="仿宋"/>
          <w:color w:val="000000"/>
          <w:sz w:val="28"/>
          <w:szCs w:val="28"/>
        </w:rPr>
        <w:t xml:space="preserve">新沂市第三次全国土壤普查管理应用系统建设项目</w:t>
      </w:r>
      <w:r>
        <w:rPr>
          <w:rFonts w:ascii="仿宋" w:hAnsi="仿宋" w:eastAsia="仿宋"/>
          <w:color w:val="000000"/>
          <w:sz w:val="28"/>
          <w:szCs w:val="28"/>
        </w:rPr>
        <w:t xml:space="preserve">）项目（项目编号：</w:t>
      </w:r>
      <w:r>
        <w:rPr>
          <w:rFonts w:hint="eastAsia" w:ascii="仿宋" w:hAnsi="仿宋" w:eastAsia="仿宋"/>
          <w:color w:val="000000"/>
          <w:sz w:val="28"/>
          <w:szCs w:val="28"/>
        </w:rPr>
        <w:t xml:space="preserve">JSZC-320381-XYZX-G2026-0003</w:t>
      </w:r>
      <w:r>
        <w:rPr>
          <w:rFonts w:ascii="仿宋" w:hAnsi="仿宋" w:eastAsia="仿宋"/>
          <w:color w:val="000000"/>
          <w:sz w:val="28"/>
          <w:szCs w:val="28"/>
        </w:rPr>
        <w:t xml:space="preserve">）的招、投标活动及签订合同。（         ）以我企业（公司）名义所为的法律行为及签署的文件，我企业（公司）均予以认可。有关法律责任均由我企业（公司）承担。（         ）无转委托权。委托期限自</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年</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月 </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日起至  年</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月    日止。</w:t>
      </w:r>
      <w:r/>
    </w:p>
    <w:p>
      <w:pPr>
        <w:pStyle w:val="916"/>
        <w:ind w:firstLine="63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特此授权委托。</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委托人（签字或盖章）：     受托人（签字或盖章）：</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法定代表人（签字或盖章）： </w:t>
      </w:r>
      <w:r/>
    </w:p>
    <w:p>
      <w:pPr>
        <w:pStyle w:val="916"/>
        <w:ind w:right="600" w:firstLine="532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年   月   日 </w:t>
      </w:r>
      <w:r/>
    </w:p>
    <w:p>
      <w:pPr>
        <w:pStyle w:val="916"/>
        <w:ind w:firstLine="448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(受托人身份证复印件附后)</w:t>
      </w:r>
      <w:r/>
    </w:p>
    <w:p>
      <w:pPr>
        <w:pStyle w:val="916"/>
        <w:ind w:firstLine="560"/>
        <w:jc w:val="center"/>
        <w:pageBreakBefore w:val="0"/>
        <w:spacing w:line="560" w:lineRule="exact"/>
        <w:rPr>
          <w:rFonts w:hint="eastAsia" w:ascii="仿宋" w:hAnsi="仿宋" w:eastAsia="仿宋"/>
          <w:b/>
          <w:bCs/>
          <w:color w:val="000000"/>
          <w:sz w:val="32"/>
          <w:szCs w:val="32"/>
        </w:rPr>
      </w:pPr>
      <w:r>
        <w:rPr>
          <w:rFonts w:hint="eastAsia" w:ascii="仿宋" w:hAnsi="仿宋" w:eastAsia="仿宋"/>
          <w:b/>
          <w:bCs/>
          <w:color w:val="000000"/>
          <w:sz w:val="32"/>
          <w:szCs w:val="32"/>
        </w:rPr>
      </w:r>
      <w:r/>
    </w:p>
    <w:p>
      <w:pPr>
        <w:pStyle w:val="916"/>
        <w:ind w:firstLine="560"/>
        <w:jc w:val="center"/>
        <w:pageBreakBefore w:val="0"/>
        <w:spacing w:line="560" w:lineRule="exact"/>
        <w:rPr>
          <w:rFonts w:hint="eastAsia" w:ascii="仿宋" w:hAnsi="仿宋" w:eastAsia="仿宋"/>
          <w:b/>
          <w:bCs/>
          <w:color w:val="000000"/>
          <w:sz w:val="32"/>
          <w:szCs w:val="32"/>
        </w:rPr>
      </w:pPr>
      <w:r>
        <w:rPr>
          <w:rFonts w:hint="eastAsia" w:ascii="仿宋" w:hAnsi="仿宋" w:eastAsia="仿宋"/>
          <w:b/>
          <w:bCs/>
          <w:color w:val="000000"/>
          <w:sz w:val="32"/>
          <w:szCs w:val="32"/>
        </w:rPr>
      </w:r>
      <w:r/>
    </w:p>
    <w:p>
      <w:pPr>
        <w:pStyle w:val="916"/>
        <w:ind w:firstLine="560"/>
        <w:jc w:val="center"/>
        <w:pageBreakBefore w:val="0"/>
        <w:spacing w:line="560" w:lineRule="exact"/>
        <w:rPr>
          <w:rFonts w:hint="eastAsia" w:ascii="仿宋" w:hAnsi="仿宋" w:eastAsia="仿宋"/>
          <w:b/>
          <w:bCs/>
          <w:color w:val="000000"/>
          <w:sz w:val="32"/>
          <w:szCs w:val="32"/>
        </w:rPr>
      </w:pPr>
      <w:r>
        <w:rPr>
          <w:rFonts w:hint="eastAsia" w:ascii="仿宋" w:hAnsi="仿宋" w:eastAsia="仿宋"/>
          <w:b/>
          <w:bCs/>
          <w:color w:val="000000"/>
          <w:sz w:val="32"/>
          <w:szCs w:val="32"/>
        </w:rPr>
      </w:r>
      <w:r/>
    </w:p>
    <w:p>
      <w:pPr>
        <w:pStyle w:val="916"/>
        <w:ind w:firstLine="560"/>
        <w:jc w:val="center"/>
        <w:pageBreakBefore w:val="0"/>
        <w:spacing w:line="560" w:lineRule="exact"/>
        <w:rPr>
          <w:rFonts w:ascii="仿宋" w:hAnsi="仿宋" w:eastAsia="仿宋"/>
          <w:b/>
          <w:bCs/>
          <w:color w:val="000000"/>
          <w:sz w:val="32"/>
          <w:szCs w:val="32"/>
        </w:rPr>
      </w:pPr>
      <w:r>
        <w:rPr>
          <w:rFonts w:hint="eastAsia" w:ascii="仿宋" w:hAnsi="仿宋" w:eastAsia="仿宋"/>
          <w:b/>
          <w:bCs/>
          <w:color w:val="000000"/>
          <w:sz w:val="32"/>
          <w:szCs w:val="32"/>
        </w:rPr>
        <w:t xml:space="preserve">六</w:t>
      </w:r>
      <w:r>
        <w:rPr>
          <w:rFonts w:ascii="仿宋" w:hAnsi="仿宋" w:eastAsia="仿宋"/>
          <w:b/>
          <w:bCs/>
          <w:color w:val="000000"/>
          <w:sz w:val="32"/>
          <w:szCs w:val="32"/>
        </w:rPr>
        <w:t xml:space="preserve">、中小企业声明函格式</w:t>
      </w:r>
      <w:r/>
    </w:p>
    <w:p>
      <w:pPr>
        <w:pStyle w:val="916"/>
        <w:ind w:firstLine="624"/>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t xml:space="preserve">项目名称：</w:t>
      </w:r>
      <w:r>
        <w:rPr>
          <w:rFonts w:hint="eastAsia" w:ascii="仿宋" w:hAnsi="仿宋" w:eastAsia="仿宋"/>
          <w:color w:val="000000"/>
          <w:spacing w:val="6"/>
          <w:sz w:val="28"/>
          <w:szCs w:val="28"/>
        </w:rPr>
        <w:t xml:space="preserve">新沂市第三次全国土壤普查管理应用系统建设项目</w:t>
      </w:r>
      <w:r/>
    </w:p>
    <w:p>
      <w:pPr>
        <w:pStyle w:val="916"/>
        <w:ind w:firstLine="624"/>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t xml:space="preserve">项目编号：</w:t>
      </w:r>
      <w:r>
        <w:rPr>
          <w:rFonts w:hint="eastAsia" w:ascii="仿宋" w:hAnsi="仿宋" w:eastAsia="仿宋"/>
          <w:color w:val="000000"/>
          <w:spacing w:val="6"/>
          <w:sz w:val="28"/>
          <w:szCs w:val="28"/>
        </w:rPr>
        <w:t xml:space="preserve">JSZC-320381-XYZX-G2026-0003</w:t>
      </w:r>
      <w:r/>
    </w:p>
    <w:p>
      <w:pPr>
        <w:pStyle w:val="916"/>
        <w:ind w:firstLine="600"/>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本公司郑重声明，根据《政府采购促进中小企业发展管理办法》（财库[2020]46号）的规定，本公司参加（新沂市农业农村局）的（新沂市第三次全国土壤普查管理应用系统建设项目）采购活动，服务全部由符合政策要求的中小企业承接。相关企业的具体情况如下：</w:t>
      </w:r>
      <w:r/>
    </w:p>
    <w:p>
      <w:pPr>
        <w:pStyle w:val="916"/>
        <w:ind w:firstLine="601"/>
        <w:keepLines w:val="0"/>
        <w:keepNext w:val="0"/>
        <w:pageBreakBefore w:val="0"/>
        <w:spacing w:line="560" w:lineRule="exact"/>
        <w:widowControl w:val="off"/>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1.（新沂市第三次全国土壤普查管理应用系统建设项目）</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rPr>
        <w:t xml:space="preserve">制造商为       （企业名称），从业人员（  ）人，营业收入为（   万元），资产总额为（  万元）①，属于          （中型企业、小型企业、微型企业）；</w:t>
      </w:r>
      <w:r/>
    </w:p>
    <w:p>
      <w:pPr>
        <w:pStyle w:val="916"/>
        <w:ind w:firstLine="601"/>
        <w:keepLines w:val="0"/>
        <w:keepNext w:val="0"/>
        <w:pageBreakBefore w:val="0"/>
        <w:spacing w:line="560" w:lineRule="exact"/>
        <w:widowControl w:val="off"/>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w:t>
      </w:r>
      <w:r/>
    </w:p>
    <w:p>
      <w:pPr>
        <w:pStyle w:val="916"/>
        <w:ind w:firstLine="601"/>
        <w:keepLines w:val="0"/>
        <w:keepNext w:val="0"/>
        <w:pageBreakBefore w:val="0"/>
        <w:spacing w:line="560" w:lineRule="exact"/>
        <w:widowControl w:val="off"/>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以上企业，不属于大企业的分支机构，不存在控股股东为大企业的情形，也不存在与大企业的负责人为同一人的情形。</w:t>
      </w:r>
      <w:r/>
    </w:p>
    <w:p>
      <w:pPr>
        <w:pStyle w:val="916"/>
        <w:ind w:firstLine="601"/>
        <w:keepLines w:val="0"/>
        <w:keepNext w:val="0"/>
        <w:pageBreakBefore w:val="0"/>
        <w:spacing w:line="560" w:lineRule="exact"/>
        <w:widowControl w:val="off"/>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本企业对上述声明内容的真实性负责。如有虚假，将依法承担相应责任。</w:t>
      </w:r>
      <w:r/>
    </w:p>
    <w:p>
      <w:pPr>
        <w:pStyle w:val="916"/>
        <w:ind w:firstLine="3640"/>
        <w:pageBreakBefore w:val="0"/>
        <w:spacing w:line="560" w:lineRule="exact"/>
        <w:rPr>
          <w:rFonts w:ascii="仿宋" w:hAnsi="仿宋" w:eastAsia="仿宋"/>
          <w:color w:val="000000"/>
          <w:spacing w:val="6"/>
          <w:sz w:val="28"/>
          <w:szCs w:val="28"/>
        </w:rPr>
      </w:pPr>
      <w:r>
        <w:rPr>
          <w:rFonts w:ascii="仿宋" w:hAnsi="仿宋" w:eastAsia="仿宋"/>
          <w:color w:val="000000"/>
          <w:sz w:val="28"/>
          <w:szCs w:val="28"/>
        </w:rPr>
        <w:t xml:space="preserve">投标人：（盖单位公章）</w:t>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投标人授权代表：（签字或盖章）  </w:t>
      </w:r>
      <w:r/>
    </w:p>
    <w:p>
      <w:pPr>
        <w:pStyle w:val="916"/>
        <w:ind w:firstLine="3640"/>
        <w:pageBreakBefore w:val="0"/>
        <w:spacing w:line="560" w:lineRule="exact"/>
        <w:rPr>
          <w:rFonts w:hint="eastAsia" w:ascii="仿宋" w:hAnsi="仿宋" w:eastAsia="仿宋"/>
          <w:color w:val="000000"/>
          <w:sz w:val="28"/>
          <w:szCs w:val="28"/>
        </w:rPr>
      </w:pPr>
      <w:r>
        <w:rPr>
          <w:rFonts w:ascii="仿宋" w:hAnsi="仿宋" w:eastAsia="仿宋"/>
          <w:color w:val="000000"/>
          <w:sz w:val="28"/>
          <w:szCs w:val="28"/>
        </w:rPr>
        <w:t xml:space="preserve">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日</w:t>
      </w:r>
      <w:r/>
    </w:p>
    <w:p>
      <w:pPr>
        <w:pStyle w:val="1008"/>
        <w:ind w:left="0" w:right="480" w:firstLine="0"/>
        <w:pageBreakBefore w:val="0"/>
        <w:spacing w:line="560" w:lineRule="exact"/>
        <w:rPr>
          <w:rFonts w:ascii="仿宋" w:hAnsi="仿宋" w:eastAsia="仿宋" w:cs="宋体"/>
          <w:sz w:val="24"/>
        </w:rPr>
      </w:pPr>
      <w:r>
        <w:rPr>
          <w:rFonts w:hint="eastAsia" w:ascii="仿宋" w:hAnsi="仿宋" w:eastAsia="仿宋"/>
          <w:color w:val="000000"/>
          <w:sz w:val="28"/>
          <w:szCs w:val="28"/>
        </w:rPr>
        <w:t xml:space="preserve">说明：1、本项目采购的服务属于</w:t>
      </w:r>
      <w:r>
        <w:rPr>
          <w:rFonts w:hint="eastAsia" w:ascii="仿宋" w:hAnsi="仿宋" w:eastAsia="仿宋"/>
          <w:color w:val="000000"/>
          <w:sz w:val="28"/>
          <w:szCs w:val="28"/>
          <w:u w:val="single"/>
        </w:rPr>
        <w:t xml:space="preserve"> 软件开发服务</w:t>
      </w:r>
      <w:r>
        <w:rPr>
          <w:rFonts w:hint="eastAsia" w:ascii="仿宋" w:hAnsi="仿宋" w:eastAsia="仿宋"/>
          <w:color w:val="000000"/>
          <w:sz w:val="28"/>
          <w:szCs w:val="28"/>
        </w:rPr>
        <w:t xml:space="preserve">。</w:t>
      </w:r>
      <w:r/>
    </w:p>
    <w:p>
      <w:pPr>
        <w:pStyle w:val="1008"/>
        <w:ind w:left="0" w:firstLine="0"/>
        <w:pageBreakBefore w:val="0"/>
        <w:spacing w:line="560" w:lineRule="exact"/>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pStyle w:val="1001"/>
        <w:ind w:left="0" w:firstLine="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1001"/>
        <w:jc w:val="center"/>
        <w:pageBreakBefore w:val="0"/>
        <w:spacing w:line="560" w:lineRule="exact"/>
        <w:rPr>
          <w:rFonts w:ascii="仿宋" w:hAnsi="仿宋" w:eastAsia="仿宋"/>
          <w:color w:val="000000"/>
          <w:sz w:val="28"/>
          <w:szCs w:val="28"/>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861060</wp:posOffset>
                </wp:positionH>
                <wp:positionV relativeFrom="paragraph">
                  <wp:posOffset>244475</wp:posOffset>
                </wp:positionV>
                <wp:extent cx="3470275" cy="6943725"/>
                <wp:effectExtent l="19050" t="0" r="0" b="0"/>
                <wp:wrapNone/>
                <wp:docPr id="4" name="图片 3"/>
                <wp:cNvGraphicFramePr/>
                <a:graphic xmlns:a="http://schemas.openxmlformats.org/drawingml/2006/main">
                  <a:graphicData uri="http://schemas.openxmlformats.org/drawingml/2006/picture">
                    <pic:pic xmlns:pic="http://schemas.openxmlformats.org/drawingml/2006/picture">
                      <pic:nvPicPr>
                        <pic:cNvPr id="44" name="图片 3"/>
                        <pic:cNvPicPr>
                          <a:picLocks noChangeArrowheads="1"/>
                        </pic:cNvPicPr>
                        <pic:nvPr/>
                      </pic:nvPicPr>
                      <pic:blipFill>
                        <a:blip r:embed="rId14"/>
                        <a:stretch/>
                      </pic:blipFill>
                      <pic:spPr bwMode="auto">
                        <a:xfrm>
                          <a:off x="0" y="0"/>
                          <a:ext cx="3470275" cy="6943725"/>
                        </a:xfrm>
                        <a:prstGeom prst="rect">
                          <a:avLst/>
                        </a:prstGeom>
                        <a:noFill/>
                        <a:ln w="9525" cmpd="sng">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67.8pt;mso-position-horizontal:absolute;mso-position-vertical-relative:text;margin-top:19.2pt;mso-position-vertical:absolute;width:273.2pt;height:546.8pt;mso-wrap-distance-left:9.0pt;mso-wrap-distance-top:0.0pt;mso-wrap-distance-right:9.0pt;mso-wrap-distance-bottom:0.0pt;" stroked="f" strokeweight="0.75pt">
                <v:path textboxrect="0,0,0,0"/>
                <v:imagedata r:id="rId14" o:title=""/>
              </v:shape>
            </w:pict>
          </mc:Fallback>
        </mc:AlternateContent>
      </w:r>
      <w:r/>
    </w:p>
    <w:p>
      <w:pPr>
        <w:pStyle w:val="916"/>
        <w:pageBreakBefore w:val="0"/>
        <w:spacing w:before="100" w:beforeAutospacing="1" w:after="100" w:afterAutospacing="1" w:line="560" w:lineRule="exact"/>
        <w:widowControl/>
        <w:rPr>
          <w:rFonts w:ascii="仿宋" w:hAnsi="仿宋" w:eastAsia="仿宋"/>
          <w:color w:val="000000"/>
          <w:sz w:val="28"/>
          <w:szCs w:val="28"/>
        </w:rPr>
      </w:pPr>
      <w:r>
        <w:rPr>
          <w:rFonts w:ascii="仿宋" w:hAnsi="仿宋" w:eastAsia="仿宋"/>
          <w:color w:val="000000"/>
          <w:sz w:val="28"/>
          <w:szCs w:val="28"/>
        </w:rPr>
      </w:r>
      <w:r/>
    </w:p>
    <w:p>
      <w:pPr>
        <w:pStyle w:val="916"/>
        <w:jc w:val="center"/>
        <w:pageBreakBefore w:val="0"/>
        <w:spacing w:line="560" w:lineRule="exact"/>
        <w:rPr>
          <w:rFonts w:ascii="仿宋" w:hAnsi="仿宋" w:eastAsia="仿宋"/>
          <w:b/>
          <w:color w:val="000000"/>
          <w:spacing w:val="6"/>
          <w:sz w:val="28"/>
          <w:szCs w:val="28"/>
        </w:rPr>
      </w:pPr>
      <w:r>
        <w:rPr>
          <w:rFonts w:ascii="仿宋" w:hAnsi="仿宋" w:eastAsia="仿宋"/>
          <w:color w:val="000000"/>
          <w:sz w:val="28"/>
          <w:szCs w:val="28"/>
        </w:rPr>
        <w:br w:type="page" w:clear="all"/>
      </w:r>
      <w:r>
        <w:rPr>
          <w:rFonts w:hint="eastAsia" w:ascii="仿宋" w:hAnsi="仿宋" w:eastAsia="仿宋"/>
          <w:b/>
          <w:bCs/>
          <w:color w:val="000000"/>
          <w:sz w:val="32"/>
          <w:szCs w:val="32"/>
        </w:rPr>
        <w:t xml:space="preserve">七</w:t>
      </w:r>
      <w:r>
        <w:rPr>
          <w:rFonts w:ascii="仿宋" w:hAnsi="仿宋" w:eastAsia="仿宋"/>
          <w:b/>
          <w:bCs/>
          <w:color w:val="000000"/>
          <w:sz w:val="32"/>
          <w:szCs w:val="32"/>
        </w:rPr>
        <w:t xml:space="preserve">、残疾人福利性单位声明函格式</w:t>
      </w:r>
      <w:r/>
    </w:p>
    <w:p>
      <w:pPr>
        <w:pStyle w:val="916"/>
        <w:ind w:firstLine="624"/>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r>
      <w:r/>
    </w:p>
    <w:p>
      <w:pPr>
        <w:pStyle w:val="916"/>
        <w:ind w:firstLine="624"/>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t xml:space="preserve">项目名称：</w:t>
      </w:r>
      <w:r>
        <w:rPr>
          <w:rFonts w:hint="eastAsia" w:ascii="仿宋" w:hAnsi="仿宋" w:eastAsia="仿宋"/>
          <w:color w:val="000000"/>
          <w:spacing w:val="6"/>
          <w:sz w:val="28"/>
          <w:szCs w:val="28"/>
        </w:rPr>
        <w:t xml:space="preserve">新沂市第三次全国土壤普查管理应用系统建设项目</w:t>
      </w:r>
      <w:r/>
    </w:p>
    <w:p>
      <w:pPr>
        <w:pStyle w:val="916"/>
        <w:ind w:firstLine="624"/>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t xml:space="preserve">项目编号：</w:t>
      </w:r>
      <w:r>
        <w:rPr>
          <w:rFonts w:hint="eastAsia" w:ascii="仿宋" w:hAnsi="仿宋" w:eastAsia="仿宋"/>
          <w:color w:val="000000"/>
          <w:spacing w:val="6"/>
          <w:sz w:val="28"/>
          <w:szCs w:val="28"/>
        </w:rPr>
        <w:t xml:space="preserve">JSZC-320381-XYZX-G2026-0003</w:t>
      </w:r>
      <w:r/>
    </w:p>
    <w:p>
      <w:pPr>
        <w:pStyle w:val="916"/>
        <w:ind w:firstLine="624"/>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t xml:space="preserve">本单位郑重声明，根据《财政部 民政部 中国残疾人联合会关于促进残疾人就业政府采购政策的通知》（财库</w:t>
      </w:r>
      <w:r>
        <w:rPr>
          <w:rFonts w:ascii="仿宋" w:hAnsi="仿宋" w:eastAsia="仿宋"/>
          <w:color w:val="000000"/>
          <w:sz w:val="28"/>
          <w:szCs w:val="28"/>
        </w:rPr>
        <w:t xml:space="preserve">〔2017〕141</w:t>
      </w:r>
      <w:r>
        <w:rPr>
          <w:rFonts w:ascii="仿宋" w:hAnsi="仿宋" w:eastAsia="仿宋"/>
          <w:color w:val="000000"/>
          <w:spacing w:val="6"/>
          <w:sz w:val="28"/>
          <w:szCs w:val="28"/>
        </w:rPr>
        <w:t xml:space="preserve">号）的规定，本单位为符合条件的残疾人福利性单位，且本单位参加</w:t>
      </w:r>
      <w:r>
        <w:rPr>
          <w:rFonts w:ascii="仿宋" w:hAnsi="仿宋" w:eastAsia="仿宋"/>
          <w:color w:val="000000"/>
          <w:sz w:val="28"/>
          <w:szCs w:val="28"/>
        </w:rPr>
        <w:t xml:space="preserve">______</w:t>
      </w:r>
      <w:r>
        <w:rPr>
          <w:rFonts w:ascii="仿宋" w:hAnsi="仿宋" w:eastAsia="仿宋"/>
          <w:color w:val="000000"/>
          <w:spacing w:val="6"/>
          <w:sz w:val="28"/>
          <w:szCs w:val="28"/>
        </w:rPr>
        <w:t xml:space="preserve">单位的</w:t>
      </w:r>
      <w:r>
        <w:rPr>
          <w:rFonts w:ascii="仿宋" w:hAnsi="仿宋" w:eastAsia="仿宋"/>
          <w:color w:val="000000"/>
          <w:sz w:val="28"/>
          <w:szCs w:val="28"/>
        </w:rPr>
        <w:t xml:space="preserve">______</w:t>
      </w:r>
      <w:r>
        <w:rPr>
          <w:rFonts w:ascii="仿宋" w:hAnsi="仿宋" w:eastAsia="仿宋"/>
          <w:color w:val="000000"/>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916"/>
        <w:ind w:firstLine="624"/>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t xml:space="preserve">本单位对上述声明的真实性负责。如有虚假，将依法承担相应责任。</w:t>
      </w:r>
      <w:r/>
    </w:p>
    <w:p>
      <w:pPr>
        <w:pStyle w:val="916"/>
        <w:ind w:firstLine="624"/>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r>
      <w:r/>
    </w:p>
    <w:p>
      <w:pPr>
        <w:pStyle w:val="916"/>
        <w:ind w:firstLine="584"/>
        <w:pageBreakBefore w:val="0"/>
        <w:spacing w:line="560" w:lineRule="exact"/>
        <w:rPr>
          <w:rFonts w:ascii="仿宋" w:hAnsi="仿宋" w:eastAsia="仿宋"/>
          <w:color w:val="000000"/>
          <w:spacing w:val="6"/>
          <w:sz w:val="28"/>
          <w:szCs w:val="28"/>
        </w:rPr>
      </w:pPr>
      <w:r>
        <w:rPr>
          <w:rFonts w:hint="eastAsia" w:ascii="仿宋" w:hAnsi="仿宋" w:eastAsia="仿宋"/>
          <w:color w:val="000000"/>
          <w:spacing w:val="6"/>
          <w:sz w:val="28"/>
          <w:szCs w:val="28"/>
        </w:rPr>
        <w:t xml:space="preserve">                          </w:t>
      </w:r>
      <w:r>
        <w:rPr>
          <w:rFonts w:ascii="仿宋" w:hAnsi="仿宋" w:eastAsia="仿宋"/>
          <w:color w:val="000000"/>
          <w:sz w:val="28"/>
          <w:szCs w:val="28"/>
        </w:rPr>
        <w:t xml:space="preserve">投标人：（盖单位公章）</w:t>
      </w:r>
      <w:r/>
    </w:p>
    <w:p>
      <w:pPr>
        <w:pStyle w:val="916"/>
        <w:ind w:left="4480" w:hanging="448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t xml:space="preserve">投标人授权代表：（签字或盖章）  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日</w:t>
      </w:r>
      <w:r/>
    </w:p>
    <w:p>
      <w:pPr>
        <w:pStyle w:val="916"/>
        <w:ind w:firstLine="450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16"/>
        <w:jc w:val="center"/>
        <w:pageBreakBefore w:val="0"/>
        <w:spacing w:line="560" w:lineRule="exact"/>
        <w:rPr>
          <w:rFonts w:ascii="仿宋" w:hAnsi="仿宋" w:eastAsia="仿宋"/>
          <w:b/>
          <w:bCs/>
          <w:color w:val="000000"/>
          <w:sz w:val="28"/>
          <w:szCs w:val="28"/>
        </w:rPr>
      </w:pPr>
      <w:r>
        <w:rPr>
          <w:rFonts w:ascii="仿宋" w:hAnsi="仿宋" w:eastAsia="仿宋"/>
          <w:color w:val="000000"/>
          <w:sz w:val="28"/>
          <w:szCs w:val="28"/>
        </w:rPr>
        <w:br w:type="page" w:clear="all"/>
      </w:r>
      <w:r>
        <w:rPr>
          <w:rFonts w:hint="eastAsia" w:ascii="仿宋" w:hAnsi="仿宋" w:eastAsia="仿宋"/>
          <w:b/>
          <w:bCs/>
          <w:color w:val="000000"/>
          <w:sz w:val="32"/>
          <w:szCs w:val="32"/>
        </w:rPr>
        <w:t xml:space="preserve">八</w:t>
      </w:r>
      <w:r>
        <w:rPr>
          <w:rFonts w:ascii="仿宋" w:hAnsi="仿宋" w:eastAsia="仿宋"/>
          <w:b/>
          <w:bCs/>
          <w:color w:val="000000"/>
          <w:sz w:val="32"/>
          <w:szCs w:val="32"/>
        </w:rPr>
        <w:t xml:space="preserve">、投标人参加政府采购活动前3年内在经营活动中没有重大违法记录的书面声明格式</w:t>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16"/>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我单位在参加</w:t>
      </w:r>
      <w:r>
        <w:rPr>
          <w:rFonts w:hint="eastAsia" w:ascii="仿宋" w:hAnsi="仿宋" w:eastAsia="仿宋"/>
          <w:color w:val="000000"/>
          <w:sz w:val="28"/>
          <w:szCs w:val="28"/>
        </w:rPr>
        <w:t xml:space="preserve">(项目名称：新沂市第三次全国土壤普查管理应用系统建设项目）</w:t>
      </w:r>
      <w:r>
        <w:rPr>
          <w:rFonts w:ascii="仿宋" w:hAnsi="仿宋" w:eastAsia="仿宋"/>
          <w:color w:val="000000"/>
          <w:sz w:val="28"/>
          <w:szCs w:val="28"/>
        </w:rPr>
        <w:t xml:space="preserve">（项目编号：</w:t>
      </w:r>
      <w:r>
        <w:rPr>
          <w:rFonts w:hint="eastAsia" w:ascii="仿宋" w:hAnsi="仿宋" w:eastAsia="仿宋"/>
          <w:color w:val="000000"/>
          <w:sz w:val="28"/>
          <w:szCs w:val="28"/>
        </w:rPr>
        <w:t xml:space="preserve">JSZC-320381-XYZX-G2026-0003 </w:t>
      </w:r>
      <w:r>
        <w:rPr>
          <w:rFonts w:ascii="仿宋" w:hAnsi="仿宋" w:eastAsia="仿宋"/>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1027"/>
        <w:ind w:firstLine="600"/>
        <w:pageBreakBefore w:val="0"/>
        <w:spacing w:before="0" w:beforeAutospacing="0" w:after="0" w:afterAutospacing="0" w:line="560" w:lineRule="exact"/>
        <w:rPr>
          <w:rFonts w:ascii="仿宋" w:hAnsi="仿宋" w:eastAsia="仿宋"/>
          <w:color w:val="000000"/>
          <w:sz w:val="28"/>
          <w:szCs w:val="28"/>
        </w:rPr>
      </w:pPr>
      <w:r>
        <w:rPr>
          <w:rFonts w:ascii="仿宋" w:hAnsi="仿宋" w:eastAsia="仿宋"/>
          <w:color w:val="000000"/>
          <w:sz w:val="28"/>
          <w:szCs w:val="28"/>
        </w:rPr>
        <w:t xml:space="preserve">我单位对上述声明的真实性负责。如有虚假，将依法承担相应责任。</w:t>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16"/>
        <w:ind w:firstLine="3360"/>
        <w:pageBreakBefore w:val="0"/>
        <w:spacing w:line="560" w:lineRule="exact"/>
        <w:rPr>
          <w:rFonts w:ascii="仿宋" w:hAnsi="仿宋" w:eastAsia="仿宋"/>
          <w:color w:val="000000"/>
          <w:spacing w:val="6"/>
          <w:sz w:val="28"/>
          <w:szCs w:val="28"/>
        </w:rPr>
      </w:pPr>
      <w:r>
        <w:rPr>
          <w:rFonts w:ascii="仿宋" w:hAnsi="仿宋" w:eastAsia="仿宋"/>
          <w:color w:val="000000"/>
          <w:sz w:val="28"/>
          <w:szCs w:val="28"/>
        </w:rPr>
        <w:t xml:space="preserve">投标人：（盖单位公章）</w:t>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t xml:space="preserve">投标人授权代表：（签字或盖章）  </w:t>
      </w:r>
      <w:r/>
    </w:p>
    <w:p>
      <w:pPr>
        <w:pStyle w:val="916"/>
        <w:ind w:firstLine="336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日</w:t>
      </w:r>
      <w:r/>
    </w:p>
    <w:p>
      <w:pPr>
        <w:pStyle w:val="102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1003"/>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102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1003"/>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16"/>
        <w:rPr>
          <w:rFonts w:ascii="仿宋" w:hAnsi="仿宋" w:eastAsia="仿宋"/>
          <w:color w:val="000000"/>
          <w:sz w:val="28"/>
          <w:szCs w:val="28"/>
        </w:rPr>
      </w:pPr>
      <w:r>
        <w:rPr>
          <w:rFonts w:ascii="仿宋" w:hAnsi="仿宋" w:eastAsia="仿宋"/>
          <w:color w:val="000000"/>
          <w:sz w:val="28"/>
          <w:szCs w:val="28"/>
        </w:rPr>
      </w:r>
      <w:r/>
    </w:p>
    <w:p>
      <w:pPr>
        <w:pStyle w:val="917"/>
        <w:rPr>
          <w:rFonts w:ascii="仿宋" w:hAnsi="仿宋" w:eastAsia="仿宋"/>
          <w:color w:val="000000"/>
          <w:sz w:val="28"/>
          <w:szCs w:val="28"/>
        </w:rPr>
      </w:pPr>
      <w:r>
        <w:rPr>
          <w:rFonts w:ascii="仿宋" w:hAnsi="仿宋" w:eastAsia="仿宋"/>
          <w:color w:val="000000"/>
          <w:sz w:val="28"/>
          <w:szCs w:val="28"/>
        </w:rPr>
      </w:r>
      <w:r/>
    </w:p>
    <w:p>
      <w:pPr>
        <w:pStyle w:val="908"/>
      </w:pPr>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102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1162"/>
        <w:numPr>
          <w:ilvl w:val="0"/>
          <w:numId w:val="20"/>
        </w:numPr>
        <w:ind w:left="0" w:right="420" w:firstLine="0"/>
        <w:jc w:val="both"/>
        <w:pageBreakBefore w:val="0"/>
        <w:spacing w:line="560" w:lineRule="exact"/>
        <w:rPr>
          <w:rFonts w:hint="eastAsia" w:ascii="仿宋" w:hAnsi="仿宋" w:eastAsia="仿宋" w:cs="Times New Roman"/>
          <w:b/>
          <w:bCs/>
          <w:color w:val="000000"/>
          <w:sz w:val="32"/>
          <w:szCs w:val="32"/>
          <w:lang w:val="en-US" w:eastAsia="zh-CN" w:bidi="ar-SA"/>
        </w:rPr>
      </w:pPr>
      <w:r>
        <w:rPr>
          <w:rFonts w:hint="eastAsia" w:ascii="仿宋" w:hAnsi="仿宋" w:eastAsia="仿宋" w:cs="Times New Roman"/>
          <w:b/>
          <w:bCs/>
          <w:color w:val="000000"/>
          <w:sz w:val="32"/>
          <w:szCs w:val="32"/>
          <w:lang w:val="en-US" w:eastAsia="zh-CN" w:bidi="ar-SA"/>
        </w:rPr>
        <w:t xml:space="preserve">具备履行合同所必需的设备和专业技术能力的</w:t>
      </w:r>
      <w:r/>
    </w:p>
    <w:p>
      <w:pPr>
        <w:pStyle w:val="1162"/>
        <w:numPr>
          <w:ilvl w:val="0"/>
          <w:numId w:val="0"/>
        </w:numPr>
        <w:ind w:right="420" w:firstLine="3534"/>
        <w:jc w:val="both"/>
        <w:pageBreakBefore w:val="0"/>
        <w:spacing w:line="560" w:lineRule="exact"/>
        <w:rPr>
          <w:rFonts w:hint="eastAsia" w:ascii="仿宋" w:hAnsi="仿宋" w:eastAsia="仿宋" w:cs="Times New Roman"/>
          <w:b/>
          <w:bCs/>
          <w:color w:val="000000"/>
          <w:sz w:val="32"/>
          <w:szCs w:val="32"/>
          <w:lang w:val="en-US" w:eastAsia="zh-CN" w:bidi="ar-SA"/>
        </w:rPr>
      </w:pPr>
      <w:r>
        <w:rPr>
          <w:rFonts w:hint="eastAsia" w:ascii="仿宋" w:hAnsi="仿宋" w:eastAsia="仿宋" w:cs="Times New Roman"/>
          <w:b/>
          <w:bCs/>
          <w:color w:val="000000"/>
          <w:sz w:val="32"/>
          <w:szCs w:val="32"/>
          <w:lang w:val="en-US" w:eastAsia="zh-CN" w:bidi="ar-SA"/>
        </w:rPr>
        <w:t xml:space="preserve">书面声明</w:t>
      </w:r>
      <w:r/>
    </w:p>
    <w:p>
      <w:pPr>
        <w:ind w:firstLine="480"/>
        <w:pageBreakBefore w:val="0"/>
        <w:spacing w:line="560" w:lineRule="exact"/>
        <w:rPr>
          <w:rFonts w:hint="eastAsia" w:ascii="宋体" w:hAnsi="宋体" w:cs="宋体"/>
          <w:sz w:val="24"/>
        </w:rPr>
      </w:pPr>
      <w:r>
        <w:rPr>
          <w:rFonts w:hint="eastAsia" w:ascii="宋体" w:hAnsi="宋体" w:cs="宋体"/>
          <w:sz w:val="24"/>
        </w:rPr>
      </w:r>
      <w:r/>
    </w:p>
    <w:p>
      <w:pPr>
        <w:ind w:firstLine="480"/>
        <w:pageBreakBefore w:val="0"/>
        <w:spacing w:line="560" w:lineRule="exact"/>
        <w:rPr>
          <w:rFonts w:hint="eastAsia" w:ascii="宋体" w:hAnsi="宋体" w:cs="宋体"/>
          <w:sz w:val="24"/>
        </w:rPr>
      </w:pPr>
      <w:r>
        <w:rPr>
          <w:rFonts w:hint="eastAsia" w:ascii="宋体" w:hAnsi="宋体" w:cs="宋体"/>
          <w:sz w:val="24"/>
        </w:rPr>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项目名称：新沂市第三次全国土壤普查管理应用系统建设项目</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项目编号：JSZC-320381-XYZX-G2026-0003 </w:t>
      </w:r>
      <w:r/>
    </w:p>
    <w:p>
      <w:pPr>
        <w:ind w:firstLine="48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我单位郑重声明：我单位具备履行合同（项目名称：新沂市第三次全国土壤普查管理应用系统建设项目，项目编号：JSZC-320381-XYZX-G2026-0003）所必需的设备和专业技术能力。</w:t>
      </w:r>
      <w:r/>
    </w:p>
    <w:p>
      <w:pPr>
        <w:ind w:firstLine="48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r>
      <w:r/>
    </w:p>
    <w:p>
      <w:pPr>
        <w:ind w:firstLine="48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特此声明。</w:t>
      </w:r>
      <w:r/>
    </w:p>
    <w:p>
      <w:pPr>
        <w:ind w:firstLine="48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我单位对上述声明的真实性负责。如有虚假，将依法承担相应责任。</w:t>
      </w:r>
      <w:r/>
    </w:p>
    <w:p>
      <w:pPr>
        <w:ind w:firstLine="480"/>
        <w:pageBreakBefore w:val="0"/>
        <w:spacing w:line="560" w:lineRule="exact"/>
        <w:rPr>
          <w:rFonts w:hint="eastAsia" w:ascii="宋体" w:hAnsi="宋体" w:cs="宋体"/>
          <w:sz w:val="24"/>
        </w:rPr>
      </w:pPr>
      <w:r>
        <w:rPr>
          <w:rFonts w:hint="eastAsia" w:ascii="宋体" w:hAnsi="宋体" w:cs="宋体"/>
          <w:sz w:val="24"/>
        </w:rPr>
      </w:r>
      <w:r/>
    </w:p>
    <w:p>
      <w:pPr>
        <w:pStyle w:val="808"/>
        <w:pageBreakBefore w:val="0"/>
        <w:spacing w:line="560" w:lineRule="exact"/>
        <w:rPr>
          <w:rFonts w:hint="eastAsia" w:ascii="宋体" w:hAnsi="宋体" w:cs="宋体"/>
          <w:sz w:val="24"/>
        </w:rPr>
      </w:pPr>
      <w:r>
        <w:rPr>
          <w:rFonts w:hint="eastAsia" w:ascii="宋体" w:hAnsi="宋体" w:cs="宋体"/>
          <w:sz w:val="24"/>
        </w:rPr>
      </w:r>
      <w:r/>
    </w:p>
    <w:p>
      <w:pPr>
        <w:pStyle w:val="809"/>
        <w:pageBreakBefore w:val="0"/>
        <w:spacing w:line="560" w:lineRule="exact"/>
        <w:rPr>
          <w:rFonts w:hint="eastAsia" w:ascii="宋体" w:hAnsi="宋体" w:cs="宋体"/>
          <w:sz w:val="24"/>
        </w:rPr>
      </w:pPr>
      <w:r>
        <w:rPr>
          <w:rFonts w:hint="eastAsia" w:ascii="宋体" w:hAnsi="宋体" w:cs="宋体"/>
          <w:sz w:val="24"/>
        </w:rPr>
      </w:r>
      <w:r/>
    </w:p>
    <w:p>
      <w:pPr>
        <w:pageBreakBefore w:val="0"/>
        <w:spacing w:line="560" w:lineRule="exact"/>
        <w:rPr>
          <w:rFonts w:hint="eastAsia" w:ascii="宋体" w:hAnsi="宋体" w:cs="宋体"/>
          <w:sz w:val="24"/>
        </w:rPr>
      </w:pPr>
      <w:r>
        <w:rPr>
          <w:rFonts w:hint="eastAsia" w:ascii="宋体" w:hAnsi="宋体" w:cs="宋体"/>
          <w:sz w:val="24"/>
        </w:rPr>
      </w:r>
      <w:r/>
    </w:p>
    <w:p>
      <w:pPr>
        <w:pStyle w:val="808"/>
        <w:pageBreakBefore w:val="0"/>
        <w:spacing w:line="560" w:lineRule="exact"/>
        <w:rPr>
          <w:rFonts w:hint="eastAsia" w:ascii="宋体" w:hAnsi="宋体" w:cs="宋体"/>
          <w:sz w:val="24"/>
        </w:rPr>
      </w:pPr>
      <w:r>
        <w:rPr>
          <w:rFonts w:hint="eastAsia" w:ascii="宋体" w:hAnsi="宋体" w:cs="宋体"/>
          <w:sz w:val="24"/>
        </w:rPr>
      </w:r>
      <w:r/>
    </w:p>
    <w:p>
      <w:pPr>
        <w:pStyle w:val="809"/>
        <w:pageBreakBefore w:val="0"/>
        <w:spacing w:line="560" w:lineRule="exact"/>
        <w:rPr>
          <w:rFonts w:hint="eastAsia" w:ascii="宋体" w:hAnsi="宋体" w:cs="宋体"/>
          <w:sz w:val="24"/>
        </w:rPr>
      </w:pPr>
      <w:r>
        <w:rPr>
          <w:rFonts w:hint="eastAsia" w:ascii="宋体" w:hAnsi="宋体" w:cs="宋体"/>
          <w:sz w:val="24"/>
        </w:rPr>
      </w:r>
      <w:r/>
    </w:p>
    <w:p>
      <w:pPr>
        <w:pageBreakBefore w:val="0"/>
        <w:spacing w:line="560" w:lineRule="exact"/>
        <w:rPr>
          <w:rFonts w:hint="eastAsia" w:ascii="宋体" w:hAnsi="宋体" w:cs="宋体"/>
          <w:sz w:val="24"/>
        </w:rPr>
      </w:pPr>
      <w:r>
        <w:rPr>
          <w:rFonts w:hint="eastAsia" w:ascii="宋体" w:hAnsi="宋体" w:cs="宋体"/>
          <w:sz w:val="24"/>
        </w:rPr>
      </w:r>
      <w:r/>
    </w:p>
    <w:p>
      <w:pPr>
        <w:pStyle w:val="808"/>
        <w:pageBreakBefore w:val="0"/>
        <w:spacing w:line="560" w:lineRule="exact"/>
        <w:rPr>
          <w:rFonts w:hint="eastAsia"/>
        </w:rPr>
      </w:pPr>
      <w:r>
        <w:rPr>
          <w:rFonts w:hint="eastAsia"/>
        </w:rPr>
      </w:r>
      <w:r/>
    </w:p>
    <w:p>
      <w:pPr>
        <w:pStyle w:val="916"/>
        <w:ind w:firstLine="3920"/>
        <w:pageBreakBefore w:val="0"/>
        <w:spacing w:line="560" w:lineRule="exact"/>
        <w:rPr>
          <w:rFonts w:ascii="仿宋" w:hAnsi="仿宋" w:eastAsia="仿宋"/>
          <w:color w:val="000000"/>
          <w:spacing w:val="6"/>
          <w:sz w:val="28"/>
          <w:szCs w:val="28"/>
        </w:rPr>
      </w:pPr>
      <w:r>
        <w:rPr>
          <w:rFonts w:ascii="仿宋" w:hAnsi="仿宋" w:eastAsia="仿宋"/>
          <w:color w:val="000000"/>
          <w:sz w:val="28"/>
          <w:szCs w:val="28"/>
        </w:rPr>
        <w:t xml:space="preserve">投标人：（盖单位公章）</w:t>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t xml:space="preserve">投标人授权代表：（签字或盖章）  </w:t>
      </w:r>
      <w:r/>
    </w:p>
    <w:p>
      <w:pPr>
        <w:pStyle w:val="916"/>
        <w:ind w:firstLine="392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日</w:t>
      </w:r>
      <w:r/>
    </w:p>
    <w:p>
      <w:pPr>
        <w:pStyle w:val="913"/>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911"/>
        <w:jc w:val="center"/>
        <w:pageBreakBefore w:val="0"/>
        <w:spacing w:line="560" w:lineRule="exact"/>
        <w:rPr>
          <w:rFonts w:ascii="仿宋" w:hAnsi="仿宋" w:eastAsia="仿宋"/>
          <w:b/>
          <w:bCs/>
          <w:color w:val="000000"/>
          <w:sz w:val="32"/>
          <w:szCs w:val="32"/>
        </w:rPr>
      </w:pPr>
      <w:r>
        <w:rPr>
          <w:rFonts w:hint="eastAsia" w:ascii="仿宋" w:hAnsi="仿宋" w:eastAsia="仿宋"/>
          <w:b/>
          <w:bCs/>
          <w:color w:val="000000"/>
          <w:sz w:val="32"/>
          <w:szCs w:val="32"/>
          <w:lang w:eastAsia="zh-CN"/>
        </w:rPr>
        <w:t xml:space="preserve">十</w:t>
      </w:r>
      <w:r>
        <w:rPr>
          <w:rFonts w:ascii="仿宋" w:hAnsi="仿宋" w:eastAsia="仿宋"/>
          <w:b/>
          <w:bCs/>
          <w:color w:val="000000"/>
          <w:sz w:val="32"/>
          <w:szCs w:val="32"/>
        </w:rPr>
        <w:t xml:space="preserve">、方案</w:t>
      </w:r>
      <w:r/>
    </w:p>
    <w:p>
      <w:pPr>
        <w:pStyle w:val="1014"/>
        <w:ind w:left="1275" w:firstLine="0"/>
        <w:jc w:val="center"/>
        <w:pageBreakBefore w:val="0"/>
        <w:spacing w:line="560" w:lineRule="exact"/>
        <w:rPr>
          <w:color w:val="000000"/>
          <w:sz w:val="28"/>
          <w:szCs w:val="28"/>
        </w:rPr>
      </w:pPr>
      <w:r>
        <w:rPr>
          <w:color w:val="000000"/>
          <w:sz w:val="28"/>
          <w:szCs w:val="28"/>
        </w:rPr>
      </w:r>
      <w:r/>
    </w:p>
    <w:p>
      <w:pPr>
        <w:pStyle w:val="1014"/>
        <w:ind w:left="0" w:firstLine="0"/>
        <w:jc w:val="center"/>
        <w:pageBreakBefore w:val="0"/>
        <w:spacing w:line="560" w:lineRule="exact"/>
        <w:rPr>
          <w:color w:val="000000"/>
          <w:sz w:val="28"/>
          <w:szCs w:val="28"/>
        </w:rPr>
      </w:pPr>
      <w:r/>
      <w:bookmarkStart w:id="57" w:name="_Toc8656"/>
      <w:r>
        <w:rPr>
          <w:color w:val="000000"/>
          <w:sz w:val="28"/>
          <w:szCs w:val="28"/>
        </w:rPr>
        <w:t xml:space="preserve">（格式自拟）</w:t>
      </w:r>
      <w:bookmarkEnd w:id="57"/>
      <w:r/>
      <w:r/>
    </w:p>
    <w:p>
      <w:pPr>
        <w:pStyle w:val="916"/>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916"/>
        <w:pageBreakBefore w:val="0"/>
        <w:spacing w:line="560" w:lineRule="exact"/>
        <w:rPr>
          <w:color w:val="000000"/>
        </w:rPr>
      </w:pPr>
      <w:r>
        <w:rPr>
          <w:color w:val="000000"/>
        </w:rPr>
      </w:r>
      <w:r/>
    </w:p>
    <w:p>
      <w:pPr>
        <w:pStyle w:val="981"/>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81"/>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81"/>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81"/>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81"/>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81"/>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81"/>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81"/>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81"/>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81"/>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81"/>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81"/>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982"/>
        <w:pageBreakBefore w:val="0"/>
        <w:spacing w:line="560" w:lineRule="exact"/>
        <w:rPr>
          <w:color w:val="000000"/>
        </w:rPr>
      </w:pPr>
      <w:r>
        <w:rPr>
          <w:color w:val="000000"/>
        </w:rPr>
      </w:r>
      <w:r/>
    </w:p>
    <w:sectPr>
      <w:footerReference w:type="default" r:id="rId12"/>
      <w:footnotePr/>
      <w:endnotePr/>
      <w:type w:val="nextPage"/>
      <w:pgSz w:w="11906" w:h="16838" w:orient="portrait"/>
      <w:pgMar w:top="1440" w:right="1587" w:bottom="1440" w:left="158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Wingdings">
    <w:panose1 w:val="05000000000000000000"/>
  </w:font>
  <w:font w:name="Symbol">
    <w:panose1 w:val="05050102010706020507"/>
  </w:font>
  <w:font w:name="新宋体">
    <w:panose1 w:val="02010609030101010101"/>
  </w:font>
  <w:font w:name="Calibri Light">
    <w:panose1 w:val="020F0302020204030204"/>
  </w:font>
  <w:font w:name="等线">
    <w:panose1 w:val="02010600030101010101"/>
  </w:font>
  <w:font w:name="仿宋">
    <w:panose1 w:val="02010609060101010101"/>
  </w:font>
  <w:font w:name="Cambria">
    <w:panose1 w:val="0204050305040603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rStyle w:val="918"/>
      </w:rPr>
      <w:framePr w:wrap="around" w:vAnchor="text" w:hAnchor="margin" w:xAlign="center" w:y="1"/>
    </w:pPr>
    <w:r>
      <w:fldChar w:fldCharType="begin"/>
    </w:r>
    <w:r>
      <w:rPr>
        <w:rStyle w:val="918"/>
      </w:rPr>
      <w:instrText xml:space="preserve">PAGE  </w:instrText>
    </w:r>
    <w:r>
      <w:fldChar w:fldCharType="end"/>
    </w:r>
    <w:r/>
  </w:p>
  <w:p>
    <w:pPr>
      <w:pStyle w:val="9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2"/>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2405" cy="27749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92099" cy="277471"/>
                      </a:xfrm>
                      <a:prstGeom prst="rect">
                        <a:avLst/>
                      </a:prstGeom>
                      <a:noFill/>
                      <a:ln>
                        <a:noFill/>
                      </a:ln>
                      <a:effectLst/>
                    </wps:spPr>
                    <wps:txbx>
                      <w:txbxContent>
                        <w:p>
                          <w:pPr>
                            <w:pStyle w:val="996"/>
                            <w:tabs>
                              <w:tab w:val="clear" w:pos="4153" w:leader="none"/>
                              <w:tab w:val="clear" w:pos="8306" w:leader="none"/>
                            </w:tabs>
                            <w:rPr>
                              <w:rStyle w:val="918"/>
                              <w:rFonts w:hint="eastAsia" w:ascii="仿宋_GB2312" w:hAnsi="仿宋_GB2312" w:eastAsia="仿宋_GB2312" w:cs="仿宋_GB2312"/>
                            </w:rPr>
                          </w:pPr>
                          <w:r>
                            <w:rPr>
                              <w:rFonts w:hint="eastAsia" w:ascii="仿宋_GB2312" w:hAnsi="仿宋_GB2312" w:eastAsia="仿宋_GB2312" w:cs="仿宋_GB2312"/>
                            </w:rPr>
                          </w:r>
                          <w:r/>
                        </w:p>
                        <w:p>
                          <w:pPr>
                            <w:pStyle w:val="911"/>
                            <w:rPr>
                              <w:rFonts w:hint="eastAsia" w:ascii="仿宋_GB2312" w:hAnsi="仿宋_GB2312" w:eastAsia="仿宋_GB2312" w:cs="仿宋_GB2312"/>
                            </w:rPr>
                          </w:pPr>
                          <w:r>
                            <w:rPr>
                              <w:rFonts w:hint="eastAsia" w:ascii="仿宋_GB2312" w:hAnsi="仿宋_GB2312" w:eastAsia="仿宋_GB2312" w:cs="仿宋_GB2312"/>
                            </w:rPr>
                          </w:r>
                          <w:r/>
                        </w:p>
                      </w:txbxContent>
                    </wps:txbx>
                    <wps:bodyPr wrap="square" lIns="0" tIns="0" rIns="0" bIns="0" upright="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5.1pt;height:21.8pt;mso-wrap-distance-left:9.0pt;mso-wrap-distance-top:0.0pt;mso-wrap-distance-right:9.0pt;mso-wrap-distance-bottom:0.0pt;visibility:visible;" filled="f" stroked="f">
              <v:textbox inset="0,0,0,0">
                <w:txbxContent>
                  <w:p>
                    <w:pPr>
                      <w:pStyle w:val="996"/>
                      <w:tabs>
                        <w:tab w:val="clear" w:pos="4153" w:leader="none"/>
                        <w:tab w:val="clear" w:pos="8306" w:leader="none"/>
                      </w:tabs>
                      <w:rPr>
                        <w:rStyle w:val="918"/>
                        <w:rFonts w:hint="eastAsia" w:ascii="仿宋_GB2312" w:hAnsi="仿宋_GB2312" w:eastAsia="仿宋_GB2312" w:cs="仿宋_GB2312"/>
                      </w:rPr>
                    </w:pPr>
                    <w:r>
                      <w:rPr>
                        <w:rFonts w:hint="eastAsia" w:ascii="仿宋_GB2312" w:hAnsi="仿宋_GB2312" w:eastAsia="仿宋_GB2312" w:cs="仿宋_GB2312"/>
                      </w:rPr>
                    </w:r>
                    <w:r/>
                  </w:p>
                  <w:p>
                    <w:pPr>
                      <w:pStyle w:val="911"/>
                      <w:rPr>
                        <w:rFonts w:hint="eastAsia" w:ascii="仿宋_GB2312" w:hAnsi="仿宋_GB2312" w:eastAsia="仿宋_GB2312" w:cs="仿宋_GB2312"/>
                      </w:rPr>
                    </w:pPr>
                    <w:r>
                      <w:rPr>
                        <w:rFonts w:hint="eastAsia" w:ascii="仿宋_GB2312" w:hAnsi="仿宋_GB2312" w:eastAsia="仿宋_GB2312" w:cs="仿宋_GB2312"/>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6419" cy="139526"/>
              <wp:effectExtent l="3175" t="3175" r="3175" b="3175"/>
              <wp:wrapNone/>
              <wp:docPr id="3" name="文本框 8"/>
              <wp:cNvGraphicFramePr/>
              <a:graphic xmlns:a="http://schemas.openxmlformats.org/drawingml/2006/main">
                <a:graphicData uri="http://schemas.microsoft.com/office/word/2010/wordprocessingShape">
                  <wps:wsp>
                    <wps:cNvPr id="0" name=""/>
                    <wps:cNvSpPr txBox="1"/>
                    <wps:spPr bwMode="auto">
                      <a:xfrm flipH="0" flipV="0">
                        <a:off x="0" y="0"/>
                        <a:ext cx="186419"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7pt;height:11.0pt;mso-wrap-distance-left:9.0pt;mso-wrap-distance-top:0.0pt;mso-wrap-distance-right:9.0pt;mso-wrap-distance-bottom:0.0pt;v-text-anchor:top;visibility:visible;" filled="f" stroked="f" strokeweight="0.50pt">
              <v:textbox inset="0,0,0,0">
                <w:txbxContent>
                  <w:p>
                    <w:pPr>
                      <w:pStyle w:val="85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16"/>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44"/>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6">
    <w:multiLevelType w:val="hybridMultilevel"/>
    <w:lvl w:ilvl="0">
      <w:start w:val="1"/>
      <w:numFmt w:val="bullet"/>
      <w:pStyle w:val="843"/>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pStyle w:val="1161"/>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8">
    <w:multiLevelType w:val="hybridMultilevel"/>
    <w:lvl w:ilvl="0">
      <w:start w:val="9"/>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813"/>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81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pStyle w:val="989"/>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13">
    <w:multiLevelType w:val="hybridMultilevel"/>
    <w:lvl w:ilvl="0">
      <w:start w:val="1"/>
      <w:numFmt w:val="decimal"/>
      <w:pStyle w:val="834"/>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862"/>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822"/>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83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pStyle w:val="831"/>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1"/>
  </w:num>
  <w:num w:numId="3">
    <w:abstractNumId w:val="10"/>
  </w:num>
  <w:num w:numId="4">
    <w:abstractNumId w:val="15"/>
  </w:num>
  <w:num w:numId="5">
    <w:abstractNumId w:val="19"/>
  </w:num>
  <w:num w:numId="6">
    <w:abstractNumId w:val="13"/>
  </w:num>
  <w:num w:numId="7">
    <w:abstractNumId w:val="18"/>
  </w:num>
  <w:num w:numId="8">
    <w:abstractNumId w:val="6"/>
  </w:num>
  <w:num w:numId="9">
    <w:abstractNumId w:val="4"/>
  </w:num>
  <w:num w:numId="10">
    <w:abstractNumId w:val="14"/>
  </w:num>
  <w:num w:numId="11">
    <w:abstractNumId w:val="12"/>
  </w:num>
  <w:num w:numId="12">
    <w:abstractNumId w:val="7"/>
  </w:num>
  <w:num w:numId="13">
    <w:abstractNumId w:val="11"/>
  </w:num>
  <w:num w:numId="14">
    <w:abstractNumId w:val="3"/>
  </w:num>
  <w:num w:numId="15">
    <w:abstractNumId w:val="5"/>
  </w:num>
  <w:num w:numId="16">
    <w:abstractNumId w:val="16"/>
  </w:num>
  <w:num w:numId="17">
    <w:abstractNumId w:val="17"/>
  </w:num>
  <w:num w:numId="18">
    <w:abstractNumId w:val="2"/>
  </w:num>
  <w:num w:numId="19">
    <w:abstractNumId w:val="0"/>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5">
    <w:name w:val="TOC Heading"/>
    <w:uiPriority w:val="39"/>
    <w:unhideWhenUsed/>
  </w:style>
  <w:style w:type="paragraph" w:styleId="796" w:default="1">
    <w:name w:val="Normal"/>
    <w:next w:val="808"/>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97">
    <w:name w:val="Heading 1"/>
    <w:basedOn w:val="796"/>
    <w:next w:val="796"/>
    <w:link w:val="893"/>
    <w:uiPriority w:val="0"/>
    <w:qFormat/>
    <w:pPr>
      <w:keepLines/>
      <w:keepNext/>
      <w:spacing w:before="340" w:beforeAutospacing="0" w:after="330" w:afterAutospacing="0" w:line="576" w:lineRule="auto"/>
      <w:outlineLvl w:val="0"/>
    </w:pPr>
    <w:rPr>
      <w:b/>
      <w:sz w:val="44"/>
    </w:rPr>
  </w:style>
  <w:style w:type="paragraph" w:styleId="798">
    <w:name w:val="Heading 2"/>
    <w:basedOn w:val="796"/>
    <w:next w:val="796"/>
    <w:link w:val="894"/>
    <w:uiPriority w:val="0"/>
    <w:unhideWhenUsed/>
    <w:qFormat/>
    <w:pPr>
      <w:keepLines/>
      <w:keepNext/>
      <w:spacing w:before="260" w:beforeAutospacing="0" w:after="260" w:afterAutospacing="0" w:line="413" w:lineRule="auto"/>
      <w:outlineLvl w:val="1"/>
    </w:pPr>
    <w:rPr>
      <w:rFonts w:ascii="Arial" w:hAnsi="Arial" w:eastAsia="黑体"/>
      <w:b/>
      <w:sz w:val="32"/>
    </w:rPr>
  </w:style>
  <w:style w:type="paragraph" w:styleId="799">
    <w:name w:val="Heading 3"/>
    <w:basedOn w:val="796"/>
    <w:next w:val="796"/>
    <w:link w:val="895"/>
    <w:uiPriority w:val="0"/>
    <w:semiHidden/>
    <w:unhideWhenUsed/>
    <w:qFormat/>
    <w:pPr>
      <w:keepLines/>
      <w:keepNext/>
      <w:spacing w:before="260" w:beforeAutospacing="0" w:after="260" w:afterAutospacing="0" w:line="413" w:lineRule="auto"/>
      <w:outlineLvl w:val="2"/>
    </w:pPr>
    <w:rPr>
      <w:b/>
      <w:sz w:val="32"/>
    </w:rPr>
  </w:style>
  <w:style w:type="paragraph" w:styleId="800">
    <w:name w:val="Heading 4"/>
    <w:basedOn w:val="796"/>
    <w:next w:val="796"/>
    <w:link w:val="892"/>
    <w:uiPriority w:val="0"/>
    <w:semiHidden/>
    <w:unhideWhenUsed/>
    <w:qFormat/>
    <w:pPr>
      <w:keepLines/>
      <w:keepNext/>
      <w:spacing w:before="280" w:beforeAutospacing="0" w:after="290" w:afterAutospacing="0" w:line="372" w:lineRule="auto"/>
      <w:outlineLvl w:val="3"/>
    </w:pPr>
    <w:rPr>
      <w:rFonts w:ascii="Arial" w:hAnsi="Arial" w:eastAsia="黑体"/>
      <w:b/>
      <w:sz w:val="28"/>
    </w:rPr>
  </w:style>
  <w:style w:type="paragraph" w:styleId="801">
    <w:name w:val="Heading 5"/>
    <w:basedOn w:val="796"/>
    <w:next w:val="796"/>
    <w:link w:val="896"/>
    <w:uiPriority w:val="0"/>
    <w:semiHidden/>
    <w:unhideWhenUsed/>
    <w:qFormat/>
    <w:pPr>
      <w:keepLines/>
      <w:keepNext/>
      <w:spacing w:before="280" w:beforeAutospacing="0" w:after="290" w:afterAutospacing="0" w:line="372" w:lineRule="auto"/>
      <w:outlineLvl w:val="4"/>
    </w:pPr>
    <w:rPr>
      <w:b/>
      <w:sz w:val="28"/>
    </w:rPr>
  </w:style>
  <w:style w:type="paragraph" w:styleId="802">
    <w:name w:val="Heading 6"/>
    <w:basedOn w:val="796"/>
    <w:next w:val="796"/>
    <w:link w:val="897"/>
    <w:uiPriority w:val="0"/>
    <w:semiHidden/>
    <w:unhideWhenUsed/>
    <w:qFormat/>
    <w:pPr>
      <w:keepLines/>
      <w:keepNext/>
      <w:spacing w:before="240" w:beforeAutospacing="0" w:after="64" w:afterAutospacing="0" w:line="317" w:lineRule="auto"/>
      <w:outlineLvl w:val="5"/>
    </w:pPr>
    <w:rPr>
      <w:rFonts w:ascii="Arial" w:hAnsi="Arial" w:eastAsia="黑体"/>
      <w:b/>
      <w:sz w:val="24"/>
    </w:rPr>
  </w:style>
  <w:style w:type="paragraph" w:styleId="803">
    <w:name w:val="Heading 7"/>
    <w:basedOn w:val="796"/>
    <w:next w:val="796"/>
    <w:link w:val="898"/>
    <w:uiPriority w:val="0"/>
    <w:semiHidden/>
    <w:unhideWhenUsed/>
    <w:qFormat/>
    <w:pPr>
      <w:keepLines/>
      <w:keepNext/>
      <w:spacing w:before="240" w:beforeAutospacing="0" w:after="64" w:afterAutospacing="0" w:line="317" w:lineRule="auto"/>
      <w:outlineLvl w:val="6"/>
    </w:pPr>
    <w:rPr>
      <w:b/>
      <w:sz w:val="24"/>
    </w:rPr>
  </w:style>
  <w:style w:type="paragraph" w:styleId="804">
    <w:name w:val="Heading 8"/>
    <w:basedOn w:val="796"/>
    <w:next w:val="796"/>
    <w:link w:val="899"/>
    <w:uiPriority w:val="0"/>
    <w:semiHidden/>
    <w:unhideWhenUsed/>
    <w:qFormat/>
    <w:pPr>
      <w:keepLines/>
      <w:keepNext/>
      <w:spacing w:before="240" w:beforeAutospacing="0" w:after="64" w:afterAutospacing="0" w:line="317" w:lineRule="auto"/>
      <w:outlineLvl w:val="7"/>
    </w:pPr>
    <w:rPr>
      <w:rFonts w:ascii="Arial" w:hAnsi="Arial" w:eastAsia="黑体"/>
      <w:sz w:val="24"/>
    </w:rPr>
  </w:style>
  <w:style w:type="paragraph" w:styleId="805">
    <w:name w:val="Heading 9"/>
    <w:basedOn w:val="796"/>
    <w:next w:val="796"/>
    <w:link w:val="900"/>
    <w:uiPriority w:val="0"/>
    <w:semiHidden/>
    <w:unhideWhenUsed/>
    <w:qFormat/>
    <w:pPr>
      <w:keepLines/>
      <w:keepNext/>
      <w:spacing w:before="240" w:beforeAutospacing="0" w:after="64" w:afterAutospacing="0" w:line="317" w:lineRule="auto"/>
      <w:outlineLvl w:val="8"/>
    </w:pPr>
    <w:rPr>
      <w:rFonts w:ascii="Arial" w:hAnsi="Arial" w:eastAsia="黑体"/>
      <w:sz w:val="21"/>
    </w:rPr>
  </w:style>
  <w:style w:type="character" w:styleId="806" w:default="1">
    <w:name w:val="Default Paragraph Font"/>
    <w:uiPriority w:val="0"/>
    <w:semiHidden/>
    <w:qFormat/>
  </w:style>
  <w:style w:type="table" w:styleId="807" w:default="1">
    <w:name w:val="Normal Table"/>
    <w:uiPriority w:val="99"/>
    <w:semiHidden/>
    <w:unhideWhenUsed/>
    <w:qFormat/>
    <w:tblPr>
      <w:tblCellMar>
        <w:left w:w="108" w:type="dxa"/>
        <w:top w:w="0" w:type="dxa"/>
        <w:right w:w="108" w:type="dxa"/>
        <w:bottom w:w="0" w:type="dxa"/>
      </w:tblCellMar>
    </w:tblPr>
  </w:style>
  <w:style w:type="paragraph" w:styleId="808">
    <w:name w:val="Plain Text"/>
    <w:basedOn w:val="796"/>
    <w:next w:val="809"/>
    <w:uiPriority w:val="0"/>
    <w:qFormat/>
    <w:rPr>
      <w:rFonts w:ascii="宋体" w:hAnsi="Courier New"/>
    </w:rPr>
  </w:style>
  <w:style w:type="paragraph" w:styleId="809">
    <w:name w:val="Normal Indent"/>
    <w:basedOn w:val="796"/>
    <w:next w:val="796"/>
    <w:uiPriority w:val="0"/>
    <w:qFormat/>
    <w:pPr>
      <w:ind w:firstLine="420"/>
    </w:pPr>
  </w:style>
  <w:style w:type="paragraph" w:styleId="810">
    <w:name w:val="macro"/>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Theme="minorEastAsia" w:cstheme="minorBidi"/>
      <w:sz w:val="24"/>
      <w:lang w:val="en-US" w:eastAsia="zh-CN"/>
    </w:rPr>
  </w:style>
  <w:style w:type="paragraph" w:styleId="811">
    <w:name w:val="List 3"/>
    <w:basedOn w:val="796"/>
    <w:uiPriority w:val="0"/>
    <w:qFormat/>
    <w:pPr>
      <w:ind w:left="100" w:hanging="200"/>
    </w:pPr>
  </w:style>
  <w:style w:type="paragraph" w:styleId="812">
    <w:name w:val="toc 7"/>
    <w:basedOn w:val="796"/>
    <w:next w:val="796"/>
    <w:uiPriority w:val="0"/>
    <w:qFormat/>
    <w:pPr>
      <w:ind w:left="2520"/>
    </w:pPr>
  </w:style>
  <w:style w:type="paragraph" w:styleId="813">
    <w:name w:val="List Number 2"/>
    <w:basedOn w:val="796"/>
    <w:uiPriority w:val="0"/>
    <w:qFormat/>
    <w:pPr>
      <w:numPr>
        <w:ilvl w:val="0"/>
        <w:numId w:val="1"/>
      </w:numPr>
    </w:pPr>
  </w:style>
  <w:style w:type="paragraph" w:styleId="814">
    <w:name w:val="table of authorities"/>
    <w:basedOn w:val="796"/>
    <w:next w:val="796"/>
    <w:uiPriority w:val="0"/>
    <w:qFormat/>
    <w:pPr>
      <w:ind w:left="420"/>
    </w:pPr>
  </w:style>
  <w:style w:type="paragraph" w:styleId="815">
    <w:name w:val="Note Heading"/>
    <w:basedOn w:val="796"/>
    <w:next w:val="796"/>
    <w:uiPriority w:val="0"/>
    <w:qFormat/>
    <w:pPr>
      <w:jc w:val="center"/>
    </w:pPr>
  </w:style>
  <w:style w:type="paragraph" w:styleId="816">
    <w:name w:val="List Bullet 4"/>
    <w:basedOn w:val="796"/>
    <w:uiPriority w:val="0"/>
    <w:qFormat/>
    <w:pPr>
      <w:numPr>
        <w:ilvl w:val="0"/>
        <w:numId w:val="2"/>
      </w:numPr>
    </w:pPr>
  </w:style>
  <w:style w:type="paragraph" w:styleId="817">
    <w:name w:val="index 8"/>
    <w:basedOn w:val="796"/>
    <w:next w:val="796"/>
    <w:uiPriority w:val="0"/>
    <w:qFormat/>
    <w:pPr>
      <w:ind w:left="1400"/>
    </w:pPr>
  </w:style>
  <w:style w:type="paragraph" w:styleId="818">
    <w:name w:val="E-mail Signature"/>
    <w:basedOn w:val="796"/>
    <w:uiPriority w:val="0"/>
    <w:qFormat/>
  </w:style>
  <w:style w:type="paragraph" w:styleId="819">
    <w:name w:val="List Number"/>
    <w:basedOn w:val="796"/>
    <w:uiPriority w:val="0"/>
    <w:qFormat/>
    <w:pPr>
      <w:numPr>
        <w:ilvl w:val="0"/>
        <w:numId w:val="3"/>
      </w:numPr>
    </w:pPr>
  </w:style>
  <w:style w:type="paragraph" w:styleId="820">
    <w:name w:val="Caption"/>
    <w:basedOn w:val="796"/>
    <w:next w:val="796"/>
    <w:uiPriority w:val="0"/>
    <w:semiHidden/>
    <w:unhideWhenUsed/>
    <w:qFormat/>
    <w:rPr>
      <w:rFonts w:ascii="Arial" w:hAnsi="Arial" w:eastAsia="黑体"/>
      <w:sz w:val="20"/>
    </w:rPr>
  </w:style>
  <w:style w:type="paragraph" w:styleId="821">
    <w:name w:val="index 5"/>
    <w:basedOn w:val="796"/>
    <w:next w:val="796"/>
    <w:uiPriority w:val="0"/>
    <w:qFormat/>
    <w:pPr>
      <w:ind w:left="800"/>
    </w:pPr>
  </w:style>
  <w:style w:type="paragraph" w:styleId="822">
    <w:name w:val="List Bullet"/>
    <w:basedOn w:val="796"/>
    <w:uiPriority w:val="0"/>
    <w:qFormat/>
    <w:pPr>
      <w:numPr>
        <w:ilvl w:val="0"/>
        <w:numId w:val="4"/>
      </w:numPr>
    </w:pPr>
  </w:style>
  <w:style w:type="paragraph" w:styleId="823">
    <w:name w:val="envelope address"/>
    <w:basedOn w:val="796"/>
    <w:uiPriority w:val="0"/>
    <w:qFormat/>
    <w:pPr>
      <w:ind w:left="100"/>
    </w:pPr>
    <w:rPr>
      <w:rFonts w:ascii="Arial" w:hAnsi="Arial"/>
      <w:sz w:val="24"/>
    </w:rPr>
  </w:style>
  <w:style w:type="paragraph" w:styleId="824">
    <w:name w:val="Document Map"/>
    <w:basedOn w:val="796"/>
    <w:uiPriority w:val="0"/>
    <w:qFormat/>
    <w:pPr>
      <w:shd w:val="clear" w:color="auto" w:fill="000080"/>
    </w:pPr>
  </w:style>
  <w:style w:type="paragraph" w:styleId="825">
    <w:name w:val="toa heading"/>
    <w:basedOn w:val="796"/>
    <w:next w:val="796"/>
    <w:uiPriority w:val="0"/>
    <w:qFormat/>
    <w:pPr>
      <w:spacing w:before="120" w:beforeAutospacing="0"/>
    </w:pPr>
    <w:rPr>
      <w:rFonts w:ascii="Arial" w:hAnsi="Arial"/>
      <w:sz w:val="24"/>
    </w:rPr>
  </w:style>
  <w:style w:type="paragraph" w:styleId="826">
    <w:name w:val="annotation text"/>
    <w:basedOn w:val="796"/>
    <w:uiPriority w:val="0"/>
    <w:qFormat/>
    <w:pPr>
      <w:jc w:val="left"/>
    </w:pPr>
  </w:style>
  <w:style w:type="paragraph" w:styleId="827">
    <w:name w:val="index 6"/>
    <w:basedOn w:val="796"/>
    <w:next w:val="796"/>
    <w:uiPriority w:val="0"/>
    <w:qFormat/>
    <w:pPr>
      <w:ind w:left="1000"/>
    </w:pPr>
  </w:style>
  <w:style w:type="paragraph" w:styleId="828">
    <w:name w:val="Salutation"/>
    <w:basedOn w:val="796"/>
    <w:next w:val="796"/>
    <w:uiPriority w:val="0"/>
    <w:qFormat/>
  </w:style>
  <w:style w:type="paragraph" w:styleId="829">
    <w:name w:val="Body Text 3"/>
    <w:basedOn w:val="796"/>
    <w:uiPriority w:val="0"/>
    <w:qFormat/>
    <w:pPr>
      <w:spacing w:after="120" w:afterAutospacing="0"/>
    </w:pPr>
    <w:rPr>
      <w:sz w:val="16"/>
    </w:rPr>
  </w:style>
  <w:style w:type="paragraph" w:styleId="830">
    <w:name w:val="Closing"/>
    <w:basedOn w:val="796"/>
    <w:uiPriority w:val="0"/>
    <w:qFormat/>
    <w:pPr>
      <w:ind w:left="100"/>
    </w:pPr>
  </w:style>
  <w:style w:type="paragraph" w:styleId="831">
    <w:name w:val="List Bullet 3"/>
    <w:basedOn w:val="796"/>
    <w:uiPriority w:val="0"/>
    <w:qFormat/>
    <w:pPr>
      <w:numPr>
        <w:ilvl w:val="0"/>
        <w:numId w:val="5"/>
      </w:numPr>
    </w:pPr>
  </w:style>
  <w:style w:type="paragraph" w:styleId="832">
    <w:name w:val="Body Text"/>
    <w:basedOn w:val="796"/>
    <w:uiPriority w:val="0"/>
    <w:qFormat/>
    <w:pPr>
      <w:spacing w:after="120" w:afterAutospacing="0"/>
    </w:pPr>
  </w:style>
  <w:style w:type="paragraph" w:styleId="833">
    <w:name w:val="Body Text Indent"/>
    <w:basedOn w:val="796"/>
    <w:uiPriority w:val="0"/>
    <w:qFormat/>
    <w:pPr>
      <w:ind w:left="420"/>
      <w:spacing w:after="120" w:afterAutospacing="0"/>
    </w:pPr>
  </w:style>
  <w:style w:type="paragraph" w:styleId="834">
    <w:name w:val="List Number 3"/>
    <w:basedOn w:val="796"/>
    <w:uiPriority w:val="0"/>
    <w:qFormat/>
    <w:pPr>
      <w:numPr>
        <w:ilvl w:val="0"/>
        <w:numId w:val="6"/>
      </w:numPr>
    </w:pPr>
  </w:style>
  <w:style w:type="paragraph" w:styleId="835">
    <w:name w:val="List 2"/>
    <w:basedOn w:val="796"/>
    <w:uiPriority w:val="0"/>
    <w:qFormat/>
    <w:pPr>
      <w:ind w:left="100" w:hanging="200"/>
    </w:pPr>
  </w:style>
  <w:style w:type="paragraph" w:styleId="836">
    <w:name w:val="List Continue"/>
    <w:basedOn w:val="796"/>
    <w:uiPriority w:val="0"/>
    <w:qFormat/>
    <w:pPr>
      <w:ind w:left="420"/>
      <w:spacing w:after="120" w:afterAutospacing="0"/>
    </w:pPr>
  </w:style>
  <w:style w:type="paragraph" w:styleId="837">
    <w:name w:val="Block Text"/>
    <w:basedOn w:val="796"/>
    <w:uiPriority w:val="0"/>
    <w:qFormat/>
    <w:pPr>
      <w:ind w:left="1440"/>
      <w:spacing w:after="120" w:afterAutospacing="0"/>
    </w:pPr>
  </w:style>
  <w:style w:type="paragraph" w:styleId="838">
    <w:name w:val="List Bullet 2"/>
    <w:basedOn w:val="796"/>
    <w:uiPriority w:val="0"/>
    <w:qFormat/>
    <w:pPr>
      <w:numPr>
        <w:ilvl w:val="0"/>
        <w:numId w:val="7"/>
      </w:numPr>
    </w:pPr>
  </w:style>
  <w:style w:type="paragraph" w:styleId="839">
    <w:name w:val="HTML Address"/>
    <w:basedOn w:val="796"/>
    <w:uiPriority w:val="0"/>
    <w:qFormat/>
    <w:rPr>
      <w:i/>
    </w:rPr>
  </w:style>
  <w:style w:type="paragraph" w:styleId="840">
    <w:name w:val="index 4"/>
    <w:basedOn w:val="796"/>
    <w:next w:val="796"/>
    <w:uiPriority w:val="0"/>
    <w:qFormat/>
    <w:pPr>
      <w:ind w:left="600"/>
    </w:pPr>
  </w:style>
  <w:style w:type="paragraph" w:styleId="841">
    <w:name w:val="toc 5"/>
    <w:basedOn w:val="796"/>
    <w:next w:val="796"/>
    <w:uiPriority w:val="0"/>
    <w:qFormat/>
    <w:pPr>
      <w:ind w:left="1680"/>
    </w:pPr>
  </w:style>
  <w:style w:type="paragraph" w:styleId="842">
    <w:name w:val="toc 3"/>
    <w:basedOn w:val="796"/>
    <w:next w:val="796"/>
    <w:uiPriority w:val="0"/>
    <w:qFormat/>
    <w:pPr>
      <w:ind w:left="840"/>
    </w:pPr>
  </w:style>
  <w:style w:type="paragraph" w:styleId="843">
    <w:name w:val="List Bullet 5"/>
    <w:basedOn w:val="796"/>
    <w:uiPriority w:val="0"/>
    <w:qFormat/>
    <w:pPr>
      <w:numPr>
        <w:ilvl w:val="0"/>
        <w:numId w:val="8"/>
      </w:numPr>
    </w:pPr>
  </w:style>
  <w:style w:type="paragraph" w:styleId="844">
    <w:name w:val="List Number 4"/>
    <w:basedOn w:val="796"/>
    <w:uiPriority w:val="0"/>
    <w:qFormat/>
    <w:pPr>
      <w:numPr>
        <w:ilvl w:val="0"/>
        <w:numId w:val="9"/>
      </w:numPr>
    </w:pPr>
  </w:style>
  <w:style w:type="paragraph" w:styleId="845">
    <w:name w:val="toc 8"/>
    <w:basedOn w:val="796"/>
    <w:next w:val="796"/>
    <w:uiPriority w:val="0"/>
    <w:qFormat/>
    <w:pPr>
      <w:ind w:left="2940"/>
    </w:pPr>
  </w:style>
  <w:style w:type="paragraph" w:styleId="846">
    <w:name w:val="index 3"/>
    <w:basedOn w:val="796"/>
    <w:next w:val="796"/>
    <w:uiPriority w:val="0"/>
    <w:qFormat/>
    <w:pPr>
      <w:ind w:left="400"/>
    </w:pPr>
  </w:style>
  <w:style w:type="paragraph" w:styleId="847">
    <w:name w:val="Date"/>
    <w:basedOn w:val="796"/>
    <w:next w:val="796"/>
    <w:uiPriority w:val="0"/>
    <w:qFormat/>
    <w:pPr>
      <w:ind w:left="100"/>
    </w:pPr>
  </w:style>
  <w:style w:type="paragraph" w:styleId="848">
    <w:name w:val="Body Text Indent 2"/>
    <w:basedOn w:val="796"/>
    <w:uiPriority w:val="0"/>
    <w:qFormat/>
    <w:pPr>
      <w:ind w:left="420"/>
      <w:spacing w:after="120" w:afterAutospacing="0" w:line="480" w:lineRule="auto"/>
    </w:pPr>
  </w:style>
  <w:style w:type="paragraph" w:styleId="849">
    <w:name w:val="endnote text"/>
    <w:basedOn w:val="796"/>
    <w:link w:val="901"/>
    <w:uiPriority w:val="0"/>
    <w:qFormat/>
    <w:pPr>
      <w:jc w:val="left"/>
    </w:pPr>
  </w:style>
  <w:style w:type="paragraph" w:styleId="850">
    <w:name w:val="List Continue 5"/>
    <w:basedOn w:val="796"/>
    <w:uiPriority w:val="0"/>
    <w:qFormat/>
    <w:pPr>
      <w:ind w:left="2100"/>
      <w:spacing w:after="120" w:afterAutospacing="0"/>
    </w:pPr>
  </w:style>
  <w:style w:type="paragraph" w:styleId="851">
    <w:name w:val="Balloon Text"/>
    <w:basedOn w:val="796"/>
    <w:link w:val="902"/>
    <w:uiPriority w:val="0"/>
    <w:qFormat/>
    <w:rPr>
      <w:sz w:val="18"/>
    </w:rPr>
  </w:style>
  <w:style w:type="paragraph" w:styleId="852">
    <w:name w:val="Footer"/>
    <w:basedOn w:val="796"/>
    <w:link w:val="903"/>
    <w:uiPriority w:val="0"/>
    <w:qFormat/>
    <w:pPr>
      <w:jc w:val="left"/>
      <w:tabs>
        <w:tab w:val="center" w:pos="4153" w:leader="none"/>
        <w:tab w:val="right" w:pos="8306" w:leader="none"/>
      </w:tabs>
    </w:pPr>
    <w:rPr>
      <w:sz w:val="18"/>
    </w:rPr>
  </w:style>
  <w:style w:type="paragraph" w:styleId="853">
    <w:name w:val="envelope return"/>
    <w:basedOn w:val="796"/>
    <w:uiPriority w:val="0"/>
    <w:qFormat/>
    <w:rPr>
      <w:rFonts w:ascii="Arial" w:hAnsi="Arial"/>
    </w:rPr>
  </w:style>
  <w:style w:type="paragraph" w:styleId="854">
    <w:name w:val="Header"/>
    <w:basedOn w:val="796"/>
    <w:link w:val="90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55">
    <w:name w:val="Signature"/>
    <w:basedOn w:val="796"/>
    <w:uiPriority w:val="0"/>
    <w:qFormat/>
    <w:pPr>
      <w:ind w:left="100"/>
    </w:pPr>
  </w:style>
  <w:style w:type="paragraph" w:styleId="856">
    <w:name w:val="toc 1"/>
    <w:basedOn w:val="796"/>
    <w:next w:val="796"/>
    <w:uiPriority w:val="0"/>
    <w:qFormat/>
  </w:style>
  <w:style w:type="paragraph" w:styleId="857">
    <w:name w:val="List Continue 4"/>
    <w:basedOn w:val="796"/>
    <w:uiPriority w:val="0"/>
    <w:qFormat/>
    <w:pPr>
      <w:ind w:left="1680"/>
      <w:spacing w:after="120" w:afterAutospacing="0"/>
    </w:pPr>
  </w:style>
  <w:style w:type="paragraph" w:styleId="858">
    <w:name w:val="toc 4"/>
    <w:basedOn w:val="796"/>
    <w:next w:val="796"/>
    <w:uiPriority w:val="0"/>
    <w:qFormat/>
    <w:pPr>
      <w:ind w:left="1260"/>
    </w:pPr>
  </w:style>
  <w:style w:type="paragraph" w:styleId="859">
    <w:name w:val="index heading"/>
    <w:basedOn w:val="796"/>
    <w:next w:val="860"/>
    <w:uiPriority w:val="0"/>
    <w:qFormat/>
    <w:rPr>
      <w:rFonts w:ascii="Arial" w:hAnsi="Arial"/>
      <w:b/>
    </w:rPr>
  </w:style>
  <w:style w:type="paragraph" w:styleId="860">
    <w:name w:val="index 1"/>
    <w:basedOn w:val="796"/>
    <w:next w:val="796"/>
    <w:uiPriority w:val="0"/>
    <w:qFormat/>
  </w:style>
  <w:style w:type="paragraph" w:styleId="861">
    <w:name w:val="Subtitle"/>
    <w:basedOn w:val="796"/>
    <w:link w:val="905"/>
    <w:uiPriority w:val="0"/>
    <w:qFormat/>
    <w:pPr>
      <w:jc w:val="center"/>
      <w:spacing w:before="240" w:beforeAutospacing="0" w:after="60" w:afterAutospacing="0" w:line="312" w:lineRule="auto"/>
      <w:outlineLvl w:val="1"/>
    </w:pPr>
    <w:rPr>
      <w:rFonts w:ascii="Arial" w:hAnsi="Arial"/>
      <w:b/>
      <w:sz w:val="32"/>
    </w:rPr>
  </w:style>
  <w:style w:type="paragraph" w:styleId="862">
    <w:name w:val="List Number 5"/>
    <w:basedOn w:val="796"/>
    <w:uiPriority w:val="0"/>
    <w:qFormat/>
    <w:pPr>
      <w:numPr>
        <w:ilvl w:val="0"/>
        <w:numId w:val="10"/>
      </w:numPr>
    </w:pPr>
  </w:style>
  <w:style w:type="paragraph" w:styleId="863">
    <w:name w:val="List"/>
    <w:basedOn w:val="796"/>
    <w:uiPriority w:val="0"/>
    <w:qFormat/>
    <w:pPr>
      <w:ind w:left="200" w:hanging="200"/>
    </w:pPr>
  </w:style>
  <w:style w:type="paragraph" w:styleId="864">
    <w:name w:val="footnote text"/>
    <w:basedOn w:val="796"/>
    <w:link w:val="906"/>
    <w:uiPriority w:val="0"/>
    <w:qFormat/>
    <w:pPr>
      <w:jc w:val="left"/>
    </w:pPr>
    <w:rPr>
      <w:sz w:val="18"/>
    </w:rPr>
  </w:style>
  <w:style w:type="paragraph" w:styleId="865">
    <w:name w:val="toc 6"/>
    <w:basedOn w:val="796"/>
    <w:next w:val="796"/>
    <w:uiPriority w:val="0"/>
    <w:qFormat/>
    <w:pPr>
      <w:ind w:left="2100"/>
    </w:pPr>
  </w:style>
  <w:style w:type="paragraph" w:styleId="866">
    <w:name w:val="List 5"/>
    <w:basedOn w:val="796"/>
    <w:uiPriority w:val="0"/>
    <w:qFormat/>
    <w:pPr>
      <w:ind w:left="100" w:hanging="200"/>
    </w:pPr>
  </w:style>
  <w:style w:type="paragraph" w:styleId="867">
    <w:name w:val="Body Text Indent 3"/>
    <w:basedOn w:val="796"/>
    <w:uiPriority w:val="0"/>
    <w:qFormat/>
    <w:pPr>
      <w:ind w:left="420"/>
      <w:spacing w:after="120" w:afterAutospacing="0"/>
    </w:pPr>
    <w:rPr>
      <w:sz w:val="16"/>
    </w:rPr>
  </w:style>
  <w:style w:type="paragraph" w:styleId="868">
    <w:name w:val="index 7"/>
    <w:basedOn w:val="796"/>
    <w:next w:val="796"/>
    <w:uiPriority w:val="0"/>
    <w:qFormat/>
    <w:pPr>
      <w:ind w:left="1200"/>
    </w:pPr>
  </w:style>
  <w:style w:type="paragraph" w:styleId="869">
    <w:name w:val="index 9"/>
    <w:basedOn w:val="796"/>
    <w:next w:val="796"/>
    <w:uiPriority w:val="0"/>
    <w:qFormat/>
    <w:pPr>
      <w:ind w:left="1600"/>
    </w:pPr>
  </w:style>
  <w:style w:type="paragraph" w:styleId="870">
    <w:name w:val="table of figures"/>
    <w:basedOn w:val="796"/>
    <w:next w:val="796"/>
    <w:uiPriority w:val="0"/>
    <w:qFormat/>
    <w:pPr>
      <w:ind w:hanging="200"/>
    </w:pPr>
  </w:style>
  <w:style w:type="paragraph" w:styleId="871">
    <w:name w:val="toc 2"/>
    <w:basedOn w:val="796"/>
    <w:next w:val="796"/>
    <w:uiPriority w:val="0"/>
    <w:qFormat/>
    <w:pPr>
      <w:ind w:left="420"/>
    </w:pPr>
  </w:style>
  <w:style w:type="paragraph" w:styleId="872">
    <w:name w:val="toc 9"/>
    <w:basedOn w:val="796"/>
    <w:next w:val="796"/>
    <w:uiPriority w:val="0"/>
    <w:qFormat/>
    <w:pPr>
      <w:ind w:left="3360"/>
    </w:pPr>
  </w:style>
  <w:style w:type="paragraph" w:styleId="873">
    <w:name w:val="Body Text 2"/>
    <w:basedOn w:val="796"/>
    <w:uiPriority w:val="0"/>
    <w:qFormat/>
    <w:pPr>
      <w:spacing w:after="120" w:afterAutospacing="0" w:line="480" w:lineRule="auto"/>
    </w:pPr>
  </w:style>
  <w:style w:type="paragraph" w:styleId="874">
    <w:name w:val="List 4"/>
    <w:basedOn w:val="796"/>
    <w:uiPriority w:val="0"/>
    <w:qFormat/>
    <w:pPr>
      <w:ind w:left="100" w:hanging="200"/>
    </w:pPr>
  </w:style>
  <w:style w:type="paragraph" w:styleId="875">
    <w:name w:val="List Continue 2"/>
    <w:basedOn w:val="796"/>
    <w:uiPriority w:val="0"/>
    <w:qFormat/>
    <w:pPr>
      <w:ind w:left="840"/>
      <w:spacing w:after="120" w:afterAutospacing="0"/>
    </w:pPr>
  </w:style>
  <w:style w:type="paragraph" w:styleId="876">
    <w:name w:val="Message Header"/>
    <w:basedOn w:val="796"/>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77">
    <w:name w:val="HTML Preformatted"/>
    <w:basedOn w:val="796"/>
    <w:uiPriority w:val="0"/>
    <w:qFormat/>
    <w:rPr>
      <w:rFonts w:ascii="Courier New" w:hAnsi="Courier New"/>
      <w:sz w:val="20"/>
    </w:rPr>
  </w:style>
  <w:style w:type="paragraph" w:styleId="878">
    <w:name w:val="Normal (Web)"/>
    <w:basedOn w:val="796"/>
    <w:uiPriority w:val="0"/>
    <w:qFormat/>
    <w:rPr>
      <w:sz w:val="24"/>
    </w:rPr>
  </w:style>
  <w:style w:type="paragraph" w:styleId="879">
    <w:name w:val="List Continue 3"/>
    <w:basedOn w:val="796"/>
    <w:uiPriority w:val="0"/>
    <w:qFormat/>
    <w:pPr>
      <w:ind w:left="1260"/>
      <w:spacing w:after="120" w:afterAutospacing="0"/>
    </w:pPr>
  </w:style>
  <w:style w:type="paragraph" w:styleId="880">
    <w:name w:val="index 2"/>
    <w:basedOn w:val="796"/>
    <w:next w:val="796"/>
    <w:uiPriority w:val="0"/>
    <w:qFormat/>
    <w:pPr>
      <w:ind w:left="200"/>
    </w:pPr>
  </w:style>
  <w:style w:type="paragraph" w:styleId="881">
    <w:name w:val="Title"/>
    <w:basedOn w:val="796"/>
    <w:link w:val="907"/>
    <w:uiPriority w:val="0"/>
    <w:qFormat/>
    <w:pPr>
      <w:jc w:val="center"/>
      <w:spacing w:before="240" w:beforeAutospacing="0" w:after="60" w:afterAutospacing="0"/>
      <w:outlineLvl w:val="0"/>
    </w:pPr>
    <w:rPr>
      <w:rFonts w:ascii="Arial" w:hAnsi="Arial"/>
      <w:b/>
      <w:sz w:val="32"/>
    </w:rPr>
  </w:style>
  <w:style w:type="paragraph" w:styleId="882">
    <w:name w:val="annotation subject"/>
    <w:basedOn w:val="826"/>
    <w:next w:val="826"/>
    <w:uiPriority w:val="0"/>
    <w:qFormat/>
    <w:rPr>
      <w:b/>
    </w:rPr>
  </w:style>
  <w:style w:type="paragraph" w:styleId="883">
    <w:name w:val="Body Text First Indent"/>
    <w:basedOn w:val="832"/>
    <w:uiPriority w:val="0"/>
    <w:qFormat/>
    <w:pPr>
      <w:ind w:firstLine="420"/>
    </w:pPr>
  </w:style>
  <w:style w:type="paragraph" w:styleId="884">
    <w:name w:val="Body Text First Indent 2"/>
    <w:basedOn w:val="833"/>
    <w:uiPriority w:val="0"/>
    <w:qFormat/>
    <w:pPr>
      <w:ind w:firstLine="420"/>
    </w:pPr>
  </w:style>
  <w:style w:type="table" w:styleId="88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6">
    <w:name w:val="endnote reference"/>
    <w:uiPriority w:val="99"/>
    <w:unhideWhenUsed/>
    <w:qFormat/>
    <w:rPr>
      <w:vertAlign w:val="superscript"/>
    </w:rPr>
  </w:style>
  <w:style w:type="character" w:styleId="887">
    <w:name w:val="Hyperlink"/>
    <w:uiPriority w:val="99"/>
    <w:unhideWhenUsed/>
    <w:qFormat/>
    <w:rPr>
      <w:color w:val="0000ff"/>
      <w:u w:val="single"/>
    </w:rPr>
  </w:style>
  <w:style w:type="character" w:styleId="888">
    <w:name w:val="annotation reference"/>
    <w:uiPriority w:val="99"/>
    <w:unhideWhenUsed/>
    <w:qFormat/>
    <w:rPr>
      <w:sz w:val="21"/>
      <w:szCs w:val="21"/>
    </w:rPr>
  </w:style>
  <w:style w:type="character" w:styleId="889">
    <w:name w:val="footnote reference"/>
    <w:uiPriority w:val="99"/>
    <w:unhideWhenUsed/>
    <w:qFormat/>
    <w:rPr>
      <w:vertAlign w:val="superscript"/>
    </w:rPr>
  </w:style>
  <w:style w:type="paragraph" w:styleId="890" w:customStyle="1">
    <w:name w:val="文本块111"/>
    <w:basedOn w:val="796"/>
    <w:next w:val="796"/>
    <w:uiPriority w:val="6"/>
    <w:unhideWhenUsed/>
    <w:qFormat/>
    <w:pPr>
      <w:ind w:left="1440" w:right="1440"/>
      <w:spacing w:after="120"/>
    </w:pPr>
  </w:style>
  <w:style w:type="paragraph" w:styleId="891" w:customStyle="1">
    <w:name w:val="标题 31"/>
    <w:next w:val="796"/>
    <w:link w:val="976"/>
    <w:uiPriority w:val="0"/>
    <w:qFormat/>
    <w:pPr>
      <w:keepLines/>
      <w:keepNext/>
      <w:spacing w:before="320" w:after="200"/>
      <w:outlineLvl w:val="2"/>
    </w:pPr>
    <w:rPr>
      <w:rFonts w:ascii="Arial" w:hAnsi="Arial" w:eastAsia="Arial" w:cs="Times New Roman"/>
      <w:sz w:val="30"/>
      <w:szCs w:val="30"/>
      <w:lang w:val="en-US" w:eastAsia="zh-CN" w:bidi="ar-SA"/>
    </w:rPr>
  </w:style>
  <w:style w:type="character" w:styleId="892" w:customStyle="1">
    <w:name w:val="标题 4 Char"/>
    <w:link w:val="800"/>
    <w:uiPriority w:val="9"/>
    <w:qFormat/>
    <w:rPr>
      <w:rFonts w:ascii="Arial" w:hAnsi="Arial" w:eastAsia="黑体"/>
      <w:b/>
      <w:sz w:val="28"/>
    </w:rPr>
  </w:style>
  <w:style w:type="character" w:styleId="893" w:customStyle="1">
    <w:name w:val="标题 1 Char"/>
    <w:link w:val="797"/>
    <w:uiPriority w:val="9"/>
    <w:qFormat/>
    <w:rPr>
      <w:b/>
      <w:sz w:val="44"/>
    </w:rPr>
  </w:style>
  <w:style w:type="character" w:styleId="894" w:customStyle="1">
    <w:name w:val="标题 2 Char1"/>
    <w:link w:val="798"/>
    <w:uiPriority w:val="9"/>
    <w:qFormat/>
    <w:rPr>
      <w:rFonts w:ascii="Arial" w:hAnsi="Arial" w:eastAsia="黑体"/>
      <w:b/>
      <w:sz w:val="32"/>
    </w:rPr>
  </w:style>
  <w:style w:type="character" w:styleId="895" w:customStyle="1">
    <w:name w:val="标题 3 Char"/>
    <w:link w:val="799"/>
    <w:uiPriority w:val="9"/>
    <w:qFormat/>
    <w:rPr>
      <w:b/>
      <w:sz w:val="32"/>
    </w:rPr>
  </w:style>
  <w:style w:type="character" w:styleId="896" w:customStyle="1">
    <w:name w:val="标题 5 Char"/>
    <w:link w:val="801"/>
    <w:uiPriority w:val="9"/>
    <w:qFormat/>
    <w:rPr>
      <w:b/>
      <w:sz w:val="28"/>
    </w:rPr>
  </w:style>
  <w:style w:type="character" w:styleId="897" w:customStyle="1">
    <w:name w:val="标题 6 Char"/>
    <w:link w:val="802"/>
    <w:uiPriority w:val="9"/>
    <w:qFormat/>
    <w:rPr>
      <w:rFonts w:ascii="Arial" w:hAnsi="Arial" w:eastAsia="黑体"/>
      <w:b/>
      <w:sz w:val="24"/>
    </w:rPr>
  </w:style>
  <w:style w:type="character" w:styleId="898" w:customStyle="1">
    <w:name w:val="标题 7 Char"/>
    <w:link w:val="803"/>
    <w:uiPriority w:val="9"/>
    <w:qFormat/>
    <w:rPr>
      <w:b/>
      <w:sz w:val="24"/>
    </w:rPr>
  </w:style>
  <w:style w:type="character" w:styleId="899" w:customStyle="1">
    <w:name w:val="标题 8 Char"/>
    <w:link w:val="804"/>
    <w:uiPriority w:val="9"/>
    <w:qFormat/>
    <w:rPr>
      <w:rFonts w:ascii="Arial" w:hAnsi="Arial" w:eastAsia="黑体"/>
      <w:sz w:val="24"/>
    </w:rPr>
  </w:style>
  <w:style w:type="character" w:styleId="900" w:customStyle="1">
    <w:name w:val="标题 9 Char"/>
    <w:link w:val="805"/>
    <w:uiPriority w:val="9"/>
    <w:qFormat/>
    <w:rPr>
      <w:rFonts w:ascii="Arial" w:hAnsi="Arial" w:eastAsia="黑体"/>
      <w:sz w:val="21"/>
    </w:rPr>
  </w:style>
  <w:style w:type="character" w:styleId="901" w:customStyle="1">
    <w:name w:val="尾注文本 Char"/>
    <w:link w:val="849"/>
    <w:uiPriority w:val="99"/>
    <w:qFormat/>
  </w:style>
  <w:style w:type="character" w:styleId="902" w:customStyle="1">
    <w:name w:val="批注框文本 Char"/>
    <w:link w:val="851"/>
    <w:uiPriority w:val="99"/>
    <w:semiHidden/>
    <w:qFormat/>
    <w:rPr>
      <w:sz w:val="18"/>
    </w:rPr>
  </w:style>
  <w:style w:type="character" w:styleId="903" w:customStyle="1">
    <w:name w:val="页脚 Char"/>
    <w:link w:val="852"/>
    <w:uiPriority w:val="99"/>
    <w:qFormat/>
    <w:rPr>
      <w:sz w:val="18"/>
    </w:rPr>
  </w:style>
  <w:style w:type="character" w:styleId="904" w:customStyle="1">
    <w:name w:val="页眉 Char"/>
    <w:link w:val="854"/>
    <w:uiPriority w:val="99"/>
    <w:qFormat/>
    <w:rPr>
      <w:sz w:val="18"/>
    </w:rPr>
  </w:style>
  <w:style w:type="character" w:styleId="905" w:customStyle="1">
    <w:name w:val="副标题 Char"/>
    <w:link w:val="861"/>
    <w:uiPriority w:val="11"/>
    <w:qFormat/>
    <w:rPr>
      <w:rFonts w:ascii="Arial" w:hAnsi="Arial"/>
      <w:b/>
      <w:sz w:val="32"/>
    </w:rPr>
  </w:style>
  <w:style w:type="character" w:styleId="906" w:customStyle="1">
    <w:name w:val="脚注文本 Char"/>
    <w:link w:val="864"/>
    <w:uiPriority w:val="99"/>
    <w:qFormat/>
    <w:rPr>
      <w:sz w:val="18"/>
    </w:rPr>
  </w:style>
  <w:style w:type="character" w:styleId="907" w:customStyle="1">
    <w:name w:val="标题 Char"/>
    <w:link w:val="881"/>
    <w:uiPriority w:val="10"/>
    <w:qFormat/>
    <w:rPr>
      <w:rFonts w:ascii="Arial" w:hAnsi="Arial"/>
      <w:b/>
      <w:sz w:val="32"/>
    </w:rPr>
  </w:style>
  <w:style w:type="paragraph" w:styleId="908" w:customStyle="1">
    <w:name w:val="正文49"/>
    <w:uiPriority w:val="0"/>
    <w:qFormat/>
    <w:pPr>
      <w:jc w:val="both"/>
      <w:widowControl w:val="off"/>
    </w:pPr>
    <w:rPr>
      <w:rFonts w:ascii="Calibri" w:hAnsi="Calibri" w:eastAsia="宋体" w:cs="Times New Roman"/>
      <w:sz w:val="21"/>
      <w:szCs w:val="22"/>
      <w:lang w:val="en-US" w:eastAsia="zh-CN" w:bidi="ar-SA"/>
    </w:rPr>
  </w:style>
  <w:style w:type="character" w:styleId="909" w:customStyle="1">
    <w:name w:val="标题 7 字符"/>
    <w:link w:val="910"/>
    <w:uiPriority w:val="0"/>
    <w:qFormat/>
    <w:rPr>
      <w:rFonts w:ascii="Arial" w:hAnsi="Arial" w:eastAsia="Arial"/>
      <w:b/>
      <w:bCs/>
      <w:i/>
      <w:iCs/>
      <w:sz w:val="22"/>
      <w:szCs w:val="22"/>
      <w:lang w:bidi="ar-SA"/>
    </w:rPr>
  </w:style>
  <w:style w:type="paragraph" w:styleId="910" w:customStyle="1">
    <w:name w:val="标题 71"/>
    <w:next w:val="911"/>
    <w:link w:val="909"/>
    <w:uiPriority w:val="0"/>
    <w:qFormat/>
    <w:pPr>
      <w:keepLines/>
      <w:keepNext/>
      <w:spacing w:before="320" w:after="200"/>
      <w:outlineLvl w:val="6"/>
    </w:pPr>
    <w:rPr>
      <w:rFonts w:ascii="Arial" w:hAnsi="Arial" w:eastAsia="Arial" w:cs="Times New Roman"/>
      <w:b/>
      <w:bCs/>
      <w:i/>
      <w:iCs/>
      <w:sz w:val="22"/>
      <w:szCs w:val="22"/>
      <w:lang w:val="en-US" w:eastAsia="zh-CN" w:bidi="ar-SA"/>
    </w:rPr>
  </w:style>
  <w:style w:type="paragraph" w:styleId="911" w:customStyle="1">
    <w:name w:val="正文11"/>
    <w:next w:val="912"/>
    <w:link w:val="918"/>
    <w:uiPriority w:val="0"/>
    <w:qFormat/>
    <w:rPr>
      <w:rFonts w:ascii="Times New Roman" w:hAnsi="Times New Roman" w:eastAsia="宋体" w:cs="Times New Roman"/>
      <w:lang w:val="en-US" w:eastAsia="zh-CN" w:bidi="ar-SA"/>
    </w:rPr>
  </w:style>
  <w:style w:type="paragraph" w:styleId="912" w:customStyle="1">
    <w:name w:val="正文文本缩进1"/>
    <w:basedOn w:val="911"/>
    <w:next w:val="913"/>
    <w:uiPriority w:val="0"/>
    <w:qFormat/>
    <w:pPr>
      <w:ind w:firstLine="723"/>
      <w:spacing w:line="360" w:lineRule="auto"/>
    </w:pPr>
    <w:rPr>
      <w:rFonts w:ascii="宋体" w:hAnsi="宋体"/>
      <w:b/>
      <w:bCs/>
      <w:sz w:val="24"/>
      <w:lang w:val="zh-CN"/>
    </w:rPr>
  </w:style>
  <w:style w:type="paragraph" w:styleId="913" w:customStyle="1">
    <w:name w:val="寄信人地址1"/>
    <w:basedOn w:val="911"/>
    <w:uiPriority w:val="0"/>
    <w:qFormat/>
    <w:rPr>
      <w:rFonts w:ascii="Arial" w:hAnsi="Arial"/>
    </w:rPr>
  </w:style>
  <w:style w:type="paragraph" w:styleId="914" w:customStyle="1">
    <w:name w:val="正文首行缩进 21"/>
    <w:basedOn w:val="912"/>
    <w:next w:val="915"/>
    <w:uiPriority w:val="0"/>
    <w:qFormat/>
    <w:pPr>
      <w:ind w:firstLine="420"/>
    </w:pPr>
    <w:rPr>
      <w:sz w:val="20"/>
    </w:rPr>
  </w:style>
  <w:style w:type="paragraph" w:styleId="915" w:customStyle="1">
    <w:name w:val="正文缩进1"/>
    <w:basedOn w:val="916"/>
    <w:next w:val="911"/>
    <w:uiPriority w:val="0"/>
    <w:qFormat/>
    <w:pPr>
      <w:ind w:firstLine="420"/>
    </w:pPr>
  </w:style>
  <w:style w:type="paragraph" w:styleId="916" w:customStyle="1">
    <w:name w:val="正文1"/>
    <w:next w:val="917"/>
    <w:link w:val="919"/>
    <w:uiPriority w:val="0"/>
    <w:qFormat/>
    <w:pPr>
      <w:jc w:val="both"/>
      <w:widowControl w:val="off"/>
    </w:pPr>
    <w:rPr>
      <w:rFonts w:ascii="Times New Roman" w:hAnsi="Times New Roman" w:eastAsia="宋体" w:cs="Times New Roman"/>
      <w:sz w:val="21"/>
      <w:szCs w:val="24"/>
      <w:lang w:val="en-US" w:eastAsia="zh-CN" w:bidi="ar-SA"/>
    </w:rPr>
  </w:style>
  <w:style w:type="paragraph" w:styleId="917" w:customStyle="1">
    <w:name w:val="正文文本1"/>
    <w:basedOn w:val="916"/>
    <w:next w:val="908"/>
    <w:uiPriority w:val="0"/>
    <w:qFormat/>
    <w:pPr>
      <w:spacing w:after="120"/>
    </w:pPr>
    <w:rPr>
      <w:rFonts w:ascii="Calibri" w:hAnsi="Calibri"/>
    </w:rPr>
  </w:style>
  <w:style w:type="character" w:styleId="918" w:customStyle="1">
    <w:name w:val="页码1"/>
    <w:link w:val="911"/>
    <w:uiPriority w:val="0"/>
    <w:qFormat/>
  </w:style>
  <w:style w:type="character" w:styleId="919" w:customStyle="1">
    <w:name w:val="默认段落字体1"/>
    <w:link w:val="916"/>
    <w:uiPriority w:val="0"/>
    <w:qFormat/>
    <w:rPr>
      <w:sz w:val="21"/>
      <w:szCs w:val="24"/>
      <w:lang w:val="en-US" w:eastAsia="zh-CN" w:bidi="ar-SA"/>
    </w:rPr>
  </w:style>
  <w:style w:type="character" w:styleId="920" w:customStyle="1">
    <w:name w:val="标题 1 字符"/>
    <w:link w:val="921"/>
    <w:uiPriority w:val="0"/>
    <w:qFormat/>
    <w:rPr>
      <w:rFonts w:ascii="Arial" w:hAnsi="Arial" w:eastAsia="Arial"/>
      <w:sz w:val="40"/>
      <w:szCs w:val="40"/>
      <w:lang w:bidi="ar-SA"/>
    </w:rPr>
  </w:style>
  <w:style w:type="paragraph" w:styleId="921" w:customStyle="1">
    <w:name w:val="标题 111"/>
    <w:next w:val="911"/>
    <w:link w:val="920"/>
    <w:uiPriority w:val="0"/>
    <w:qFormat/>
    <w:pPr>
      <w:keepLines/>
      <w:keepNext/>
      <w:spacing w:before="480" w:after="200"/>
      <w:outlineLvl w:val="0"/>
    </w:pPr>
    <w:rPr>
      <w:rFonts w:ascii="Arial" w:hAnsi="Arial" w:eastAsia="Arial" w:cs="Times New Roman"/>
      <w:sz w:val="40"/>
      <w:szCs w:val="40"/>
      <w:lang w:val="en-US" w:eastAsia="zh-CN" w:bidi="ar-SA"/>
    </w:rPr>
  </w:style>
  <w:style w:type="character" w:styleId="922" w:customStyle="1">
    <w:name w:val="超链接1"/>
    <w:uiPriority w:val="0"/>
    <w:qFormat/>
    <w:rPr>
      <w:color w:val="0000ff"/>
      <w:u w:val="single"/>
    </w:rPr>
  </w:style>
  <w:style w:type="character" w:styleId="923" w:customStyle="1">
    <w:name w:val="页脚 字符"/>
    <w:link w:val="924"/>
    <w:uiPriority w:val="0"/>
    <w:qFormat/>
  </w:style>
  <w:style w:type="paragraph" w:styleId="924" w:customStyle="1">
    <w:name w:val="页脚11"/>
    <w:basedOn w:val="911"/>
    <w:link w:val="923"/>
    <w:uiPriority w:val="0"/>
    <w:qFormat/>
    <w:pPr>
      <w:tabs>
        <w:tab w:val="center" w:pos="7143" w:leader="none"/>
        <w:tab w:val="right" w:pos="14287" w:leader="none"/>
      </w:tabs>
    </w:pPr>
  </w:style>
  <w:style w:type="character" w:styleId="925" w:customStyle="1">
    <w:name w:val="Subtitle Char"/>
    <w:basedOn w:val="806"/>
    <w:uiPriority w:val="11"/>
    <w:qFormat/>
    <w:rPr>
      <w:sz w:val="24"/>
      <w:szCs w:val="24"/>
    </w:rPr>
  </w:style>
  <w:style w:type="character" w:styleId="926" w:customStyle="1">
    <w:name w:val="Heading 6 Char"/>
    <w:basedOn w:val="806"/>
    <w:uiPriority w:val="9"/>
    <w:qFormat/>
    <w:rPr>
      <w:rFonts w:ascii="Arial" w:hAnsi="Arial" w:eastAsia="Arial" w:cs="Arial"/>
      <w:b/>
      <w:bCs/>
      <w:sz w:val="22"/>
      <w:szCs w:val="22"/>
    </w:rPr>
  </w:style>
  <w:style w:type="character" w:styleId="927" w:customStyle="1">
    <w:name w:val="标题 8 字符"/>
    <w:link w:val="928"/>
    <w:uiPriority w:val="0"/>
    <w:qFormat/>
    <w:rPr>
      <w:rFonts w:ascii="Arial" w:hAnsi="Arial" w:eastAsia="Arial"/>
      <w:i/>
      <w:iCs/>
      <w:sz w:val="22"/>
      <w:szCs w:val="22"/>
      <w:lang w:bidi="ar-SA"/>
    </w:rPr>
  </w:style>
  <w:style w:type="paragraph" w:styleId="928" w:customStyle="1">
    <w:name w:val="标题 81"/>
    <w:next w:val="911"/>
    <w:link w:val="927"/>
    <w:uiPriority w:val="0"/>
    <w:qFormat/>
    <w:pPr>
      <w:keepLines/>
      <w:keepNext/>
      <w:spacing w:before="320" w:after="200"/>
      <w:outlineLvl w:val="7"/>
    </w:pPr>
    <w:rPr>
      <w:rFonts w:ascii="Arial" w:hAnsi="Arial" w:eastAsia="Arial" w:cs="Times New Roman"/>
      <w:i/>
      <w:iCs/>
      <w:sz w:val="22"/>
      <w:szCs w:val="22"/>
      <w:lang w:val="en-US" w:eastAsia="zh-CN" w:bidi="ar-SA"/>
    </w:rPr>
  </w:style>
  <w:style w:type="character" w:styleId="929" w:customStyle="1">
    <w:name w:val="Endnote Text Char"/>
    <w:uiPriority w:val="99"/>
    <w:qFormat/>
    <w:rPr>
      <w:sz w:val="20"/>
    </w:rPr>
  </w:style>
  <w:style w:type="character" w:styleId="930" w:customStyle="1">
    <w:name w:val="Intense Quote Char"/>
    <w:uiPriority w:val="30"/>
    <w:qFormat/>
    <w:rPr>
      <w:i/>
    </w:rPr>
  </w:style>
  <w:style w:type="character" w:styleId="931" w:customStyle="1">
    <w:name w:val="尾注文本 字符"/>
    <w:link w:val="932"/>
    <w:uiPriority w:val="0"/>
    <w:qFormat/>
    <w:rPr>
      <w:lang w:val="en-US" w:eastAsia="zh-CN" w:bidi="ar-SA"/>
    </w:rPr>
  </w:style>
  <w:style w:type="paragraph" w:styleId="932" w:customStyle="1">
    <w:name w:val="尾注文本1"/>
    <w:link w:val="931"/>
    <w:uiPriority w:val="0"/>
    <w:qFormat/>
    <w:rPr>
      <w:rFonts w:ascii="Times New Roman" w:hAnsi="Times New Roman" w:eastAsia="宋体" w:cs="Times New Roman"/>
      <w:lang w:val="en-US" w:eastAsia="zh-CN" w:bidi="ar-SA"/>
    </w:rPr>
  </w:style>
  <w:style w:type="character" w:styleId="933" w:customStyle="1">
    <w:name w:val="Caption Char"/>
    <w:uiPriority w:val="0"/>
    <w:qFormat/>
  </w:style>
  <w:style w:type="character" w:styleId="934" w:customStyle="1">
    <w:name w:val="引用 字符"/>
    <w:link w:val="935"/>
    <w:uiPriority w:val="0"/>
    <w:qFormat/>
    <w:rPr>
      <w:i/>
      <w:lang w:val="en-US" w:eastAsia="zh-CN" w:bidi="ar-SA"/>
    </w:rPr>
  </w:style>
  <w:style w:type="paragraph" w:styleId="935" w:customStyle="1">
    <w:name w:val="引用1"/>
    <w:link w:val="934"/>
    <w:uiPriority w:val="0"/>
    <w:qFormat/>
    <w:pPr>
      <w:ind w:left="720" w:right="720"/>
    </w:pPr>
    <w:rPr>
      <w:rFonts w:ascii="Times New Roman" w:hAnsi="Times New Roman" w:eastAsia="宋体" w:cs="Times New Roman"/>
      <w:i/>
      <w:lang w:val="en-US" w:eastAsia="zh-CN" w:bidi="ar-SA"/>
    </w:rPr>
  </w:style>
  <w:style w:type="character" w:styleId="936" w:customStyle="1">
    <w:name w:val="脚注文本 字符"/>
    <w:link w:val="937"/>
    <w:uiPriority w:val="0"/>
    <w:qFormat/>
    <w:rPr>
      <w:sz w:val="18"/>
      <w:lang w:bidi="ar-SA"/>
    </w:rPr>
  </w:style>
  <w:style w:type="paragraph" w:styleId="937" w:customStyle="1">
    <w:name w:val="脚注文本11"/>
    <w:link w:val="936"/>
    <w:uiPriority w:val="0"/>
    <w:qFormat/>
    <w:pPr>
      <w:spacing w:after="40"/>
    </w:pPr>
    <w:rPr>
      <w:rFonts w:ascii="Times New Roman" w:hAnsi="Times New Roman" w:eastAsia="宋体" w:cs="Times New Roman"/>
      <w:sz w:val="18"/>
      <w:lang w:val="en-US" w:eastAsia="zh-CN" w:bidi="ar-SA"/>
    </w:rPr>
  </w:style>
  <w:style w:type="character" w:styleId="938" w:customStyle="1">
    <w:name w:val="标题 5 字符"/>
    <w:link w:val="939"/>
    <w:uiPriority w:val="0"/>
    <w:qFormat/>
    <w:rPr>
      <w:rFonts w:ascii="Arial" w:hAnsi="Arial" w:eastAsia="Arial"/>
      <w:b/>
      <w:bCs/>
      <w:sz w:val="24"/>
      <w:szCs w:val="24"/>
      <w:lang w:bidi="ar-SA"/>
    </w:rPr>
  </w:style>
  <w:style w:type="paragraph" w:styleId="939" w:customStyle="1">
    <w:name w:val="标题 51"/>
    <w:next w:val="911"/>
    <w:link w:val="938"/>
    <w:uiPriority w:val="0"/>
    <w:qFormat/>
    <w:pPr>
      <w:keepLines/>
      <w:keepNext/>
      <w:spacing w:before="320" w:after="200"/>
      <w:outlineLvl w:val="4"/>
    </w:pPr>
    <w:rPr>
      <w:rFonts w:ascii="Arial" w:hAnsi="Arial" w:eastAsia="Arial" w:cs="Times New Roman"/>
      <w:b/>
      <w:bCs/>
      <w:sz w:val="24"/>
      <w:szCs w:val="24"/>
      <w:lang w:val="en-US" w:eastAsia="zh-CN" w:bidi="ar-SA"/>
    </w:rPr>
  </w:style>
  <w:style w:type="character" w:styleId="940" w:customStyle="1">
    <w:name w:val="页眉 字符"/>
    <w:link w:val="941"/>
    <w:uiPriority w:val="0"/>
    <w:qFormat/>
    <w:rPr>
      <w:lang w:val="en-US" w:eastAsia="zh-CN" w:bidi="ar-SA"/>
    </w:rPr>
  </w:style>
  <w:style w:type="paragraph" w:styleId="941" w:customStyle="1">
    <w:name w:val="页眉11"/>
    <w:link w:val="940"/>
    <w:uiPriority w:val="0"/>
    <w:qFormat/>
    <w:pPr>
      <w:tabs>
        <w:tab w:val="center" w:pos="7143" w:leader="none"/>
        <w:tab w:val="right" w:pos="14287" w:leader="none"/>
      </w:tabs>
    </w:pPr>
    <w:rPr>
      <w:rFonts w:ascii="Times New Roman" w:hAnsi="Times New Roman" w:eastAsia="宋体" w:cs="Times New Roman"/>
      <w:lang w:val="en-US" w:eastAsia="zh-CN" w:bidi="ar-SA"/>
    </w:rPr>
  </w:style>
  <w:style w:type="character" w:styleId="942" w:customStyle="1">
    <w:name w:val="Heading 1 Char"/>
    <w:basedOn w:val="806"/>
    <w:uiPriority w:val="9"/>
    <w:qFormat/>
    <w:rPr>
      <w:rFonts w:ascii="Arial" w:hAnsi="Arial" w:eastAsia="Arial" w:cs="Arial"/>
      <w:sz w:val="40"/>
      <w:szCs w:val="40"/>
    </w:rPr>
  </w:style>
  <w:style w:type="character" w:styleId="943" w:customStyle="1">
    <w:name w:val="Heading 2 Char"/>
    <w:basedOn w:val="806"/>
    <w:uiPriority w:val="9"/>
    <w:qFormat/>
    <w:rPr>
      <w:rFonts w:ascii="Arial" w:hAnsi="Arial" w:eastAsia="Arial" w:cs="Arial"/>
      <w:sz w:val="34"/>
    </w:rPr>
  </w:style>
  <w:style w:type="character" w:styleId="944" w:customStyle="1">
    <w:name w:val="Quote Char"/>
    <w:uiPriority w:val="29"/>
    <w:qFormat/>
    <w:rPr>
      <w:i/>
    </w:rPr>
  </w:style>
  <w:style w:type="character" w:styleId="945" w:customStyle="1">
    <w:name w:val="Heading 4 Char"/>
    <w:basedOn w:val="806"/>
    <w:uiPriority w:val="9"/>
    <w:qFormat/>
    <w:rPr>
      <w:rFonts w:ascii="Arial" w:hAnsi="Arial" w:eastAsia="Arial" w:cs="Arial"/>
      <w:b/>
      <w:bCs/>
      <w:sz w:val="26"/>
      <w:szCs w:val="26"/>
    </w:rPr>
  </w:style>
  <w:style w:type="character" w:styleId="946" w:customStyle="1">
    <w:name w:val="Heading 7 Char"/>
    <w:basedOn w:val="806"/>
    <w:uiPriority w:val="9"/>
    <w:qFormat/>
    <w:rPr>
      <w:rFonts w:ascii="Arial" w:hAnsi="Arial" w:eastAsia="Arial" w:cs="Arial"/>
      <w:b/>
      <w:bCs/>
      <w:i/>
      <w:iCs/>
      <w:sz w:val="22"/>
      <w:szCs w:val="22"/>
    </w:rPr>
  </w:style>
  <w:style w:type="character" w:styleId="947" w:customStyle="1">
    <w:name w:val="Title Char"/>
    <w:basedOn w:val="806"/>
    <w:uiPriority w:val="10"/>
    <w:qFormat/>
    <w:rPr>
      <w:sz w:val="48"/>
      <w:szCs w:val="48"/>
    </w:rPr>
  </w:style>
  <w:style w:type="character" w:styleId="948" w:customStyle="1">
    <w:name w:val="标题 2 字符"/>
    <w:link w:val="949"/>
    <w:uiPriority w:val="0"/>
    <w:qFormat/>
    <w:rPr>
      <w:rFonts w:ascii="Arial" w:hAnsi="Arial" w:eastAsia="Arial"/>
      <w:sz w:val="34"/>
    </w:rPr>
  </w:style>
  <w:style w:type="paragraph" w:styleId="949" w:customStyle="1">
    <w:name w:val="标题 21"/>
    <w:basedOn w:val="911"/>
    <w:next w:val="915"/>
    <w:link w:val="948"/>
    <w:uiPriority w:val="0"/>
    <w:qFormat/>
    <w:pPr>
      <w:keepLines/>
      <w:keepNext/>
      <w:spacing w:before="360" w:after="200"/>
      <w:outlineLvl w:val="1"/>
    </w:pPr>
    <w:rPr>
      <w:rFonts w:ascii="Arial" w:hAnsi="Arial" w:eastAsia="Arial"/>
      <w:sz w:val="34"/>
    </w:rPr>
  </w:style>
  <w:style w:type="character" w:styleId="950" w:customStyle="1">
    <w:name w:val="标题 9 字符"/>
    <w:link w:val="951"/>
    <w:uiPriority w:val="0"/>
    <w:qFormat/>
    <w:rPr>
      <w:rFonts w:ascii="Arial" w:hAnsi="Arial" w:eastAsia="Arial"/>
      <w:i/>
      <w:iCs/>
      <w:sz w:val="21"/>
      <w:szCs w:val="21"/>
      <w:lang w:bidi="ar-SA"/>
    </w:rPr>
  </w:style>
  <w:style w:type="paragraph" w:styleId="951" w:customStyle="1">
    <w:name w:val="标题 91"/>
    <w:next w:val="911"/>
    <w:link w:val="950"/>
    <w:uiPriority w:val="0"/>
    <w:qFormat/>
    <w:pPr>
      <w:keepLines/>
      <w:keepNext/>
      <w:spacing w:before="320" w:after="200"/>
      <w:outlineLvl w:val="8"/>
    </w:pPr>
    <w:rPr>
      <w:rFonts w:ascii="Arial" w:hAnsi="Arial" w:eastAsia="Arial" w:cs="Times New Roman"/>
      <w:i/>
      <w:iCs/>
      <w:sz w:val="21"/>
      <w:szCs w:val="21"/>
      <w:lang w:val="en-US" w:eastAsia="zh-CN" w:bidi="ar-SA"/>
    </w:rPr>
  </w:style>
  <w:style w:type="character" w:styleId="952" w:customStyle="1">
    <w:name w:val="尾注引用1"/>
    <w:uiPriority w:val="0"/>
    <w:qFormat/>
    <w:rPr>
      <w:vertAlign w:val="superscript"/>
    </w:rPr>
  </w:style>
  <w:style w:type="character" w:styleId="953" w:customStyle="1">
    <w:name w:val="标题 字符"/>
    <w:link w:val="954"/>
    <w:uiPriority w:val="0"/>
    <w:qFormat/>
    <w:rPr>
      <w:sz w:val="48"/>
      <w:szCs w:val="48"/>
      <w:lang w:bidi="ar-SA"/>
    </w:rPr>
  </w:style>
  <w:style w:type="paragraph" w:styleId="954" w:customStyle="1">
    <w:name w:val="标题11"/>
    <w:link w:val="953"/>
    <w:uiPriority w:val="0"/>
    <w:qFormat/>
    <w:pPr>
      <w:contextualSpacing/>
      <w:spacing w:before="300" w:after="200"/>
    </w:pPr>
    <w:rPr>
      <w:rFonts w:ascii="Times New Roman" w:hAnsi="Times New Roman" w:eastAsia="宋体" w:cs="Times New Roman"/>
      <w:sz w:val="48"/>
      <w:szCs w:val="48"/>
      <w:lang w:val="en-US" w:eastAsia="zh-CN" w:bidi="ar-SA"/>
    </w:rPr>
  </w:style>
  <w:style w:type="character" w:styleId="955" w:customStyle="1">
    <w:name w:val="标题 4 字符"/>
    <w:link w:val="956"/>
    <w:uiPriority w:val="0"/>
    <w:qFormat/>
    <w:rPr>
      <w:rFonts w:ascii="Arial" w:hAnsi="Arial" w:eastAsia="Arial"/>
      <w:b/>
      <w:bCs/>
      <w:sz w:val="26"/>
      <w:szCs w:val="26"/>
    </w:rPr>
  </w:style>
  <w:style w:type="paragraph" w:styleId="956" w:customStyle="1">
    <w:name w:val="标题 411"/>
    <w:basedOn w:val="911"/>
    <w:next w:val="911"/>
    <w:link w:val="955"/>
    <w:uiPriority w:val="0"/>
    <w:qFormat/>
    <w:pPr>
      <w:keepLines/>
      <w:keepNext/>
      <w:spacing w:before="320" w:after="200"/>
      <w:outlineLvl w:val="3"/>
    </w:pPr>
    <w:rPr>
      <w:rFonts w:ascii="Arial" w:hAnsi="Arial" w:eastAsia="Arial"/>
      <w:b/>
      <w:bCs/>
      <w:sz w:val="26"/>
      <w:szCs w:val="26"/>
    </w:rPr>
  </w:style>
  <w:style w:type="character" w:styleId="957" w:customStyle="1">
    <w:name w:val="明显引用 Char"/>
    <w:link w:val="958"/>
    <w:uiPriority w:val="30"/>
    <w:qFormat/>
    <w:rPr>
      <w:i/>
    </w:rPr>
  </w:style>
  <w:style w:type="paragraph" w:styleId="958">
    <w:name w:val="Intense Quote"/>
    <w:link w:val="9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959" w:customStyle="1">
    <w:name w:val="Footnote Text Char"/>
    <w:uiPriority w:val="99"/>
    <w:qFormat/>
    <w:rPr>
      <w:sz w:val="18"/>
    </w:rPr>
  </w:style>
  <w:style w:type="character" w:styleId="960" w:customStyle="1">
    <w:name w:val="标题 6 字符"/>
    <w:link w:val="961"/>
    <w:uiPriority w:val="0"/>
    <w:qFormat/>
    <w:rPr>
      <w:rFonts w:ascii="Arial" w:hAnsi="Arial" w:eastAsia="Arial"/>
      <w:b/>
      <w:bCs/>
      <w:sz w:val="22"/>
      <w:szCs w:val="22"/>
      <w:lang w:bidi="ar-SA"/>
    </w:rPr>
  </w:style>
  <w:style w:type="paragraph" w:styleId="961" w:customStyle="1">
    <w:name w:val="标题 61"/>
    <w:next w:val="911"/>
    <w:link w:val="960"/>
    <w:uiPriority w:val="0"/>
    <w:qFormat/>
    <w:pPr>
      <w:keepLines/>
      <w:keepNext/>
      <w:spacing w:before="320" w:after="200"/>
      <w:outlineLvl w:val="5"/>
    </w:pPr>
    <w:rPr>
      <w:rFonts w:ascii="Arial" w:hAnsi="Arial" w:eastAsia="Arial" w:cs="Times New Roman"/>
      <w:b/>
      <w:bCs/>
      <w:sz w:val="22"/>
      <w:szCs w:val="22"/>
      <w:lang w:val="en-US" w:eastAsia="zh-CN" w:bidi="ar-SA"/>
    </w:rPr>
  </w:style>
  <w:style w:type="character" w:styleId="962" w:customStyle="1">
    <w:name w:val="Heading 3 Char"/>
    <w:basedOn w:val="806"/>
    <w:uiPriority w:val="9"/>
    <w:qFormat/>
    <w:rPr>
      <w:rFonts w:ascii="Arial" w:hAnsi="Arial" w:eastAsia="Arial" w:cs="Arial"/>
      <w:sz w:val="30"/>
      <w:szCs w:val="30"/>
    </w:rPr>
  </w:style>
  <w:style w:type="character" w:styleId="963" w:customStyle="1">
    <w:name w:val="脚注引用1"/>
    <w:uiPriority w:val="0"/>
    <w:qFormat/>
    <w:rPr>
      <w:vertAlign w:val="superscript"/>
    </w:rPr>
  </w:style>
  <w:style w:type="character" w:styleId="964" w:customStyle="1">
    <w:name w:val="Footer Char"/>
    <w:basedOn w:val="806"/>
    <w:uiPriority w:val="99"/>
    <w:qFormat/>
  </w:style>
  <w:style w:type="character" w:styleId="965" w:customStyle="1">
    <w:name w:val="Header Char"/>
    <w:basedOn w:val="806"/>
    <w:uiPriority w:val="99"/>
    <w:qFormat/>
  </w:style>
  <w:style w:type="character" w:styleId="966" w:customStyle="1">
    <w:name w:val="Heading 8 Char"/>
    <w:basedOn w:val="806"/>
    <w:uiPriority w:val="9"/>
    <w:qFormat/>
    <w:rPr>
      <w:rFonts w:ascii="Arial" w:hAnsi="Arial" w:eastAsia="Arial" w:cs="Arial"/>
      <w:i/>
      <w:iCs/>
      <w:sz w:val="22"/>
      <w:szCs w:val="22"/>
    </w:rPr>
  </w:style>
  <w:style w:type="character" w:styleId="967" w:customStyle="1">
    <w:name w:val="Heading 5 Char"/>
    <w:basedOn w:val="806"/>
    <w:uiPriority w:val="9"/>
    <w:qFormat/>
    <w:rPr>
      <w:rFonts w:ascii="Arial" w:hAnsi="Arial" w:eastAsia="Arial" w:cs="Arial"/>
      <w:b/>
      <w:bCs/>
      <w:sz w:val="24"/>
      <w:szCs w:val="24"/>
    </w:rPr>
  </w:style>
  <w:style w:type="character" w:styleId="968" w:customStyle="1">
    <w:name w:val="Heading 9 Char"/>
    <w:basedOn w:val="806"/>
    <w:uiPriority w:val="9"/>
    <w:qFormat/>
    <w:rPr>
      <w:rFonts w:ascii="Arial" w:hAnsi="Arial" w:eastAsia="Arial" w:cs="Arial"/>
      <w:i/>
      <w:iCs/>
      <w:sz w:val="21"/>
      <w:szCs w:val="21"/>
    </w:rPr>
  </w:style>
  <w:style w:type="character" w:styleId="969" w:customStyle="1">
    <w:name w:val="副标题 字符"/>
    <w:link w:val="970"/>
    <w:uiPriority w:val="0"/>
    <w:qFormat/>
    <w:rPr>
      <w:sz w:val="24"/>
      <w:szCs w:val="24"/>
      <w:lang w:bidi="ar-SA"/>
    </w:rPr>
  </w:style>
  <w:style w:type="paragraph" w:styleId="970" w:customStyle="1">
    <w:name w:val="副标题1"/>
    <w:link w:val="969"/>
    <w:uiPriority w:val="0"/>
    <w:qFormat/>
    <w:pPr>
      <w:spacing w:before="200" w:after="200"/>
    </w:pPr>
    <w:rPr>
      <w:rFonts w:ascii="Times New Roman" w:hAnsi="Times New Roman" w:eastAsia="宋体" w:cs="Times New Roman"/>
      <w:sz w:val="24"/>
      <w:szCs w:val="24"/>
      <w:lang w:val="en-US" w:eastAsia="zh-CN" w:bidi="ar-SA"/>
    </w:rPr>
  </w:style>
  <w:style w:type="character" w:styleId="971" w:customStyle="1">
    <w:name w:val="引用 Char"/>
    <w:link w:val="972"/>
    <w:uiPriority w:val="29"/>
    <w:qFormat/>
    <w:rPr>
      <w:i/>
    </w:rPr>
  </w:style>
  <w:style w:type="paragraph" w:styleId="972">
    <w:name w:val="Quote"/>
    <w:link w:val="971"/>
    <w:uiPriority w:val="29"/>
    <w:qFormat/>
    <w:pPr>
      <w:ind w:left="720" w:right="720"/>
    </w:pPr>
    <w:rPr>
      <w:rFonts w:ascii="Times New Roman" w:hAnsi="Times New Roman" w:eastAsia="宋体" w:cs="Times New Roman"/>
      <w:i/>
      <w:lang w:val="en-US" w:eastAsia="zh-CN" w:bidi="ar-SA"/>
    </w:rPr>
  </w:style>
  <w:style w:type="character" w:styleId="973" w:customStyle="1">
    <w:name w:val="默认段落字体11"/>
    <w:uiPriority w:val="0"/>
    <w:qFormat/>
  </w:style>
  <w:style w:type="character" w:styleId="974" w:customStyle="1">
    <w:name w:val="明显引用 字符"/>
    <w:link w:val="975"/>
    <w:uiPriority w:val="0"/>
    <w:qFormat/>
    <w:rPr>
      <w:i/>
      <w:shd w:val="clear" w:color="auto" w:fill="f2f2f2"/>
      <w:lang w:val="en-US" w:eastAsia="zh-CN" w:bidi="ar-SA"/>
    </w:rPr>
  </w:style>
  <w:style w:type="paragraph" w:styleId="975" w:customStyle="1">
    <w:name w:val="明显引用1"/>
    <w:link w:val="97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976" w:customStyle="1">
    <w:name w:val="标题 3 字符"/>
    <w:link w:val="891"/>
    <w:uiPriority w:val="0"/>
    <w:qFormat/>
    <w:rPr>
      <w:rFonts w:ascii="Arial" w:hAnsi="Arial" w:eastAsia="Arial"/>
      <w:sz w:val="30"/>
      <w:szCs w:val="30"/>
      <w:lang w:bidi="ar-SA"/>
    </w:rPr>
  </w:style>
  <w:style w:type="character" w:styleId="977" w:customStyle="1">
    <w:name w:val="标题 2 Char"/>
    <w:uiPriority w:val="0"/>
    <w:qFormat/>
    <w:rPr>
      <w:rFonts w:ascii="Cambria" w:hAnsi="Cambria" w:eastAsia="宋体"/>
      <w:b/>
      <w:bCs/>
      <w:sz w:val="28"/>
      <w:szCs w:val="32"/>
    </w:rPr>
  </w:style>
  <w:style w:type="paragraph" w:styleId="978" w:customStyle="1">
    <w:name w:val="章标题"/>
    <w:basedOn w:val="916"/>
    <w:next w:val="911"/>
    <w:uiPriority w:val="0"/>
    <w:qFormat/>
    <w:pPr>
      <w:jc w:val="center"/>
      <w:spacing w:before="158" w:after="153" w:line="1292" w:lineRule="atLeast"/>
      <w:widowControl/>
    </w:pPr>
    <w:rPr>
      <w:rFonts w:ascii="Arial" w:hAnsi="Calibri" w:eastAsia="黑体"/>
      <w:sz w:val="31"/>
      <w:szCs w:val="22"/>
      <w:lang w:eastAsia="en-US" w:bidi="en-US"/>
    </w:rPr>
  </w:style>
  <w:style w:type="paragraph" w:styleId="979" w:customStyle="1">
    <w:name w:val="日期1"/>
    <w:basedOn w:val="916"/>
    <w:next w:val="916"/>
    <w:uiPriority w:val="0"/>
    <w:qFormat/>
    <w:rPr>
      <w:rFonts w:eastAsia="仿宋_GB2312"/>
      <w:sz w:val="28"/>
      <w:szCs w:val="20"/>
    </w:rPr>
  </w:style>
  <w:style w:type="paragraph" w:styleId="980" w:customStyle="1">
    <w:name w:val="p0"/>
    <w:basedOn w:val="916"/>
    <w:uiPriority w:val="0"/>
    <w:qFormat/>
    <w:pPr>
      <w:widowControl/>
    </w:pPr>
    <w:rPr>
      <w:szCs w:val="21"/>
    </w:rPr>
  </w:style>
  <w:style w:type="paragraph" w:styleId="981" w:customStyle="1">
    <w:name w:val="正文1121"/>
    <w:next w:val="982"/>
    <w:uiPriority w:val="0"/>
    <w:qFormat/>
    <w:pPr>
      <w:jc w:val="both"/>
      <w:widowControl w:val="off"/>
    </w:pPr>
    <w:rPr>
      <w:rFonts w:ascii="Times New Roman" w:hAnsi="Times New Roman" w:eastAsia="宋体" w:cs="Times New Roman"/>
      <w:sz w:val="21"/>
      <w:szCs w:val="24"/>
      <w:lang w:val="en-US" w:eastAsia="zh-CN" w:bidi="ar-SA"/>
    </w:rPr>
  </w:style>
  <w:style w:type="paragraph" w:styleId="982" w:customStyle="1">
    <w:name w:val="标题 41"/>
    <w:basedOn w:val="983"/>
    <w:next w:val="981"/>
    <w:uiPriority w:val="0"/>
    <w:qFormat/>
    <w:pPr>
      <w:keepLines/>
      <w:keepNext/>
      <w:spacing w:before="280" w:after="290" w:line="376" w:lineRule="auto"/>
      <w:outlineLvl w:val="3"/>
    </w:pPr>
    <w:rPr>
      <w:rFonts w:ascii="Cambria" w:hAnsi="Cambria"/>
      <w:b/>
      <w:bCs/>
      <w:sz w:val="28"/>
      <w:szCs w:val="28"/>
    </w:rPr>
  </w:style>
  <w:style w:type="paragraph" w:styleId="983" w:customStyle="1">
    <w:name w:val="正文12"/>
    <w:next w:val="982"/>
    <w:uiPriority w:val="0"/>
    <w:qFormat/>
    <w:pPr>
      <w:jc w:val="both"/>
      <w:widowControl w:val="off"/>
    </w:pPr>
    <w:rPr>
      <w:rFonts w:ascii="Times New Roman" w:hAnsi="Times New Roman" w:eastAsia="宋体" w:cs="Times New Roman"/>
      <w:sz w:val="21"/>
      <w:szCs w:val="24"/>
      <w:lang w:val="en-US" w:eastAsia="zh-CN" w:bidi="ar-SA"/>
    </w:rPr>
  </w:style>
  <w:style w:type="paragraph" w:styleId="984" w:customStyle="1">
    <w:name w:val="01、普通正文"/>
    <w:basedOn w:val="796"/>
    <w:next w:val="865"/>
    <w:uiPriority w:val="0"/>
    <w:qFormat/>
    <w:pPr>
      <w:tabs>
        <w:tab w:val="left" w:pos="0" w:leader="none"/>
      </w:tabs>
    </w:pPr>
  </w:style>
  <w:style w:type="paragraph" w:styleId="985" w:customStyle="1">
    <w:name w:val="目录 21"/>
    <w:next w:val="911"/>
    <w:uiPriority w:val="0"/>
    <w:qFormat/>
    <w:pPr>
      <w:ind w:left="283"/>
      <w:spacing w:after="57"/>
    </w:pPr>
    <w:rPr>
      <w:rFonts w:ascii="Times New Roman" w:hAnsi="Times New Roman" w:eastAsia="宋体" w:cs="Times New Roman"/>
      <w:lang w:val="en-US" w:eastAsia="zh-CN" w:bidi="ar-SA"/>
    </w:rPr>
  </w:style>
  <w:style w:type="paragraph" w:styleId="986">
    <w:name w:val="List Paragraph"/>
    <w:basedOn w:val="796"/>
    <w:uiPriority w:val="34"/>
    <w:qFormat/>
    <w:pPr>
      <w:contextualSpacing/>
      <w:ind w:left="720"/>
    </w:pPr>
  </w:style>
  <w:style w:type="paragraph" w:styleId="987" w:customStyle="1">
    <w:name w:val="Default"/>
    <w:next w:val="870"/>
    <w:uiPriority w:val="0"/>
    <w:qFormat/>
    <w:pPr>
      <w:widowControl w:val="off"/>
    </w:pPr>
    <w:rPr>
      <w:rFonts w:ascii="宋体" w:hAnsi="Times New Roman" w:eastAsia="宋体" w:cs="Times New Roman"/>
      <w:color w:val="000000"/>
      <w:sz w:val="24"/>
      <w:szCs w:val="24"/>
      <w:lang w:val="en-US" w:eastAsia="zh-CN" w:bidi="ar-SA"/>
    </w:rPr>
  </w:style>
  <w:style w:type="paragraph" w:styleId="988" w:customStyle="1">
    <w:name w:val="UserStyle_1"/>
    <w:uiPriority w:val="0"/>
    <w:qFormat/>
    <w:pPr>
      <w:spacing w:line="300" w:lineRule="auto"/>
    </w:pPr>
    <w:rPr>
      <w:rFonts w:ascii="Arial" w:hAnsi="Arial" w:eastAsia="宋体" w:cs="Times New Roman"/>
      <w:sz w:val="21"/>
      <w:szCs w:val="21"/>
      <w:lang w:val="en-US" w:eastAsia="zh-CN" w:bidi="ar-SA"/>
    </w:rPr>
  </w:style>
  <w:style w:type="paragraph" w:styleId="989" w:customStyle="1">
    <w:name w:val="UserStyle_0"/>
    <w:basedOn w:val="796"/>
    <w:next w:val="988"/>
    <w:uiPriority w:val="0"/>
    <w:qFormat/>
    <w:pPr>
      <w:numPr>
        <w:ilvl w:val="4"/>
        <w:numId w:val="11"/>
      </w:numPr>
      <w:keepLines/>
      <w:keepNext/>
      <w:spacing w:before="280" w:after="156" w:line="377" w:lineRule="auto"/>
    </w:pPr>
    <w:rPr>
      <w:rFonts w:ascii="Arial" w:hAnsi="Arial" w:eastAsia="黑体"/>
      <w:b/>
      <w:sz w:val="24"/>
      <w:szCs w:val="28"/>
    </w:rPr>
  </w:style>
  <w:style w:type="paragraph" w:styleId="990" w:customStyle="1">
    <w:name w:val="列出段落1"/>
    <w:basedOn w:val="796"/>
    <w:uiPriority w:val="34"/>
    <w:qFormat/>
    <w:pPr>
      <w:ind w:firstLine="420"/>
    </w:pPr>
  </w:style>
  <w:style w:type="paragraph" w:styleId="991" w:customStyle="1">
    <w:name w:val="目录 91"/>
    <w:next w:val="911"/>
    <w:uiPriority w:val="0"/>
    <w:qFormat/>
    <w:pPr>
      <w:ind w:left="2268"/>
      <w:spacing w:after="57"/>
    </w:pPr>
    <w:rPr>
      <w:rFonts w:ascii="Times New Roman" w:hAnsi="Times New Roman" w:eastAsia="宋体" w:cs="Times New Roman"/>
      <w:lang w:val="en-US" w:eastAsia="zh-CN" w:bidi="ar-SA"/>
    </w:rPr>
  </w:style>
  <w:style w:type="paragraph" w:styleId="992" w:customStyle="1">
    <w:name w:val="目录 41"/>
    <w:next w:val="911"/>
    <w:uiPriority w:val="0"/>
    <w:qFormat/>
    <w:pPr>
      <w:ind w:left="850"/>
      <w:spacing w:after="57"/>
    </w:pPr>
    <w:rPr>
      <w:rFonts w:ascii="Times New Roman" w:hAnsi="Times New Roman" w:eastAsia="宋体" w:cs="Times New Roman"/>
      <w:lang w:val="en-US" w:eastAsia="zh-CN" w:bidi="ar-SA"/>
    </w:rPr>
  </w:style>
  <w:style w:type="paragraph" w:styleId="993" w:customStyle="1">
    <w:name w:val="TOC 标题1"/>
    <w:uiPriority w:val="39"/>
    <w:unhideWhenUsed/>
    <w:qFormat/>
    <w:rPr>
      <w:rFonts w:ascii="Times New Roman" w:hAnsi="Times New Roman" w:eastAsia="宋体" w:cs="Times New Roman"/>
      <w:lang w:val="en-US" w:eastAsia="zh-CN" w:bidi="ar-SA"/>
    </w:rPr>
  </w:style>
  <w:style w:type="paragraph" w:styleId="994" w:customStyle="1">
    <w:name w:val="目录 71"/>
    <w:next w:val="911"/>
    <w:uiPriority w:val="0"/>
    <w:qFormat/>
    <w:pPr>
      <w:ind w:left="1701"/>
      <w:spacing w:after="57"/>
    </w:pPr>
    <w:rPr>
      <w:rFonts w:ascii="Times New Roman" w:hAnsi="Times New Roman" w:eastAsia="宋体" w:cs="Times New Roman"/>
      <w:lang w:val="en-US" w:eastAsia="zh-CN" w:bidi="ar-SA"/>
    </w:rPr>
  </w:style>
  <w:style w:type="paragraph" w:styleId="995" w:customStyle="1">
    <w:name w:val="纯文本1"/>
    <w:basedOn w:val="916"/>
    <w:uiPriority w:val="0"/>
    <w:qFormat/>
    <w:rPr>
      <w:rFonts w:ascii="宋体" w:hAnsi="Courier New"/>
      <w:sz w:val="20"/>
      <w:szCs w:val="20"/>
    </w:rPr>
  </w:style>
  <w:style w:type="paragraph" w:styleId="996" w:customStyle="1">
    <w:name w:val="页脚1"/>
    <w:basedOn w:val="916"/>
    <w:uiPriority w:val="0"/>
    <w:qFormat/>
    <w:pPr>
      <w:jc w:val="left"/>
      <w:tabs>
        <w:tab w:val="center" w:pos="4153" w:leader="none"/>
        <w:tab w:val="right" w:pos="8306" w:leader="none"/>
      </w:tabs>
    </w:pPr>
    <w:rPr>
      <w:sz w:val="18"/>
      <w:szCs w:val="18"/>
    </w:rPr>
  </w:style>
  <w:style w:type="paragraph" w:styleId="997" w:customStyle="1">
    <w:name w:val="正文文本11"/>
    <w:basedOn w:val="911"/>
    <w:next w:val="998"/>
    <w:uiPriority w:val="0"/>
    <w:qFormat/>
    <w:pPr>
      <w:spacing w:after="120"/>
    </w:pPr>
  </w:style>
  <w:style w:type="paragraph" w:styleId="998" w:customStyle="1">
    <w:name w:val="一级条标题"/>
    <w:basedOn w:val="978"/>
    <w:next w:val="99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9" w:customStyle="1">
    <w:name w:val="段"/>
    <w:basedOn w:val="916"/>
    <w:next w:val="911"/>
    <w:uiPriority w:val="0"/>
    <w:qFormat/>
    <w:pPr>
      <w:ind w:firstLine="200"/>
      <w:widowControl/>
    </w:pPr>
    <w:rPr>
      <w:rFonts w:ascii="宋体"/>
    </w:rPr>
  </w:style>
  <w:style w:type="paragraph" w:styleId="1000" w:customStyle="1">
    <w:name w:val="正文缩进11"/>
    <w:basedOn w:val="911"/>
    <w:next w:val="911"/>
    <w:uiPriority w:val="0"/>
    <w:qFormat/>
    <w:pPr>
      <w:ind w:firstLine="420"/>
    </w:pPr>
  </w:style>
  <w:style w:type="paragraph" w:styleId="1001" w:customStyle="1">
    <w:name w:val="文本块1"/>
    <w:basedOn w:val="916"/>
    <w:uiPriority w:val="0"/>
    <w:qFormat/>
    <w:pPr>
      <w:ind w:left="1440" w:right="1440"/>
      <w:spacing w:after="120"/>
    </w:pPr>
  </w:style>
  <w:style w:type="paragraph" w:styleId="1002" w:customStyle="1">
    <w:name w:val="样式 首行缩进:  2 字符"/>
    <w:basedOn w:val="911"/>
    <w:uiPriority w:val="0"/>
    <w:qFormat/>
    <w:pPr>
      <w:ind w:firstLine="200"/>
      <w:spacing w:line="400" w:lineRule="exact"/>
    </w:pPr>
    <w:rPr>
      <w:rFonts w:ascii="Calibri" w:hAnsi="Calibri"/>
      <w:sz w:val="24"/>
      <w:szCs w:val="24"/>
    </w:rPr>
  </w:style>
  <w:style w:type="paragraph" w:styleId="1003" w:customStyle="1">
    <w:name w:val="索引 51"/>
    <w:basedOn w:val="916"/>
    <w:next w:val="916"/>
    <w:uiPriority w:val="0"/>
    <w:qFormat/>
    <w:pPr>
      <w:ind w:left="798"/>
      <w:jc w:val="left"/>
    </w:pPr>
    <w:rPr>
      <w:rFonts w:ascii="Calibri" w:hAnsi="Calibri"/>
    </w:rPr>
  </w:style>
  <w:style w:type="paragraph" w:styleId="1004" w:customStyle="1">
    <w:name w:val="_Style 8"/>
    <w:basedOn w:val="796"/>
    <w:uiPriority w:val="0"/>
    <w:qFormat/>
    <w:pPr>
      <w:ind w:firstLine="420"/>
    </w:pPr>
    <w:rPr>
      <w:rFonts w:ascii="Calibri" w:hAnsi="Calibri"/>
    </w:rPr>
  </w:style>
  <w:style w:type="paragraph" w:styleId="1005" w:customStyle="1">
    <w:name w:val="Table Paragraph"/>
    <w:basedOn w:val="911"/>
    <w:uiPriority w:val="0"/>
    <w:qFormat/>
    <w:rPr>
      <w:rFonts w:ascii="仿宋" w:hAnsi="仿宋" w:eastAsia="仿宋"/>
      <w:sz w:val="22"/>
      <w:szCs w:val="22"/>
      <w:lang w:val="zh-CN" w:bidi="zh-CN"/>
    </w:rPr>
  </w:style>
  <w:style w:type="paragraph" w:styleId="1006">
    <w:name w:val="No Spacing"/>
    <w:uiPriority w:val="1"/>
    <w:qFormat/>
    <w:rPr>
      <w:rFonts w:ascii="Times New Roman" w:hAnsi="Times New Roman" w:eastAsia="宋体" w:cs="Times New Roman"/>
      <w:lang w:val="en-US" w:eastAsia="zh-CN" w:bidi="ar-SA"/>
    </w:rPr>
  </w:style>
  <w:style w:type="paragraph" w:styleId="1007" w:customStyle="1">
    <w:name w:val="列表段落"/>
    <w:basedOn w:val="911"/>
    <w:uiPriority w:val="0"/>
    <w:qFormat/>
    <w:pPr>
      <w:ind w:firstLine="420"/>
    </w:pPr>
  </w:style>
  <w:style w:type="paragraph" w:styleId="1008" w:customStyle="1">
    <w:name w:val="正文文本缩进11"/>
    <w:basedOn w:val="796"/>
    <w:uiPriority w:val="0"/>
    <w:qFormat/>
    <w:pPr>
      <w:ind w:left="420"/>
      <w:spacing w:after="120"/>
    </w:pPr>
  </w:style>
  <w:style w:type="paragraph" w:styleId="1009" w:customStyle="1">
    <w:name w:val="目录 111"/>
    <w:next w:val="911"/>
    <w:uiPriority w:val="0"/>
    <w:qFormat/>
    <w:pPr>
      <w:spacing w:after="57"/>
    </w:pPr>
    <w:rPr>
      <w:rFonts w:ascii="Times New Roman" w:hAnsi="Times New Roman" w:eastAsia="宋体" w:cs="Times New Roman"/>
      <w:lang w:val="en-US" w:eastAsia="zh-CN" w:bidi="ar-SA"/>
    </w:rPr>
  </w:style>
  <w:style w:type="paragraph" w:styleId="1010" w:customStyle="1">
    <w:name w:val="题注1"/>
    <w:next w:val="911"/>
    <w:uiPriority w:val="0"/>
    <w:qFormat/>
    <w:pPr>
      <w:spacing w:line="276" w:lineRule="auto"/>
    </w:pPr>
    <w:rPr>
      <w:rFonts w:ascii="Times New Roman" w:hAnsi="Times New Roman" w:eastAsia="宋体" w:cs="Times New Roman"/>
      <w:b/>
      <w:bCs/>
      <w:color w:val="4f81bd"/>
      <w:sz w:val="18"/>
      <w:szCs w:val="18"/>
      <w:lang w:val="en-US" w:eastAsia="zh-CN" w:bidi="ar-SA"/>
    </w:rPr>
  </w:style>
  <w:style w:type="paragraph" w:styleId="1011" w:customStyle="1">
    <w:name w:val="目录 61"/>
    <w:next w:val="911"/>
    <w:uiPriority w:val="0"/>
    <w:qFormat/>
    <w:pPr>
      <w:ind w:left="1417"/>
      <w:spacing w:after="57"/>
    </w:pPr>
    <w:rPr>
      <w:rFonts w:ascii="Times New Roman" w:hAnsi="Times New Roman" w:eastAsia="宋体" w:cs="Times New Roman"/>
      <w:lang w:val="en-US" w:eastAsia="zh-CN" w:bidi="ar-SA"/>
    </w:rPr>
  </w:style>
  <w:style w:type="paragraph" w:styleId="1012" w:customStyle="1">
    <w:name w:val="样式1"/>
    <w:basedOn w:val="1013"/>
    <w:uiPriority w:val="0"/>
    <w:qFormat/>
    <w:pPr>
      <w:jc w:val="left"/>
      <w:spacing w:before="0" w:after="0" w:line="360" w:lineRule="auto"/>
    </w:pPr>
    <w:rPr>
      <w:rFonts w:ascii="仿宋_GB2312" w:hAnsi="宋体" w:eastAsia="仿宋_GB2312"/>
      <w:sz w:val="28"/>
      <w:szCs w:val="28"/>
    </w:rPr>
  </w:style>
  <w:style w:type="paragraph" w:styleId="1013" w:customStyle="1">
    <w:name w:val="标题1"/>
    <w:basedOn w:val="916"/>
    <w:next w:val="916"/>
    <w:uiPriority w:val="0"/>
    <w:qFormat/>
    <w:pPr>
      <w:jc w:val="center"/>
      <w:spacing w:before="240" w:after="60"/>
      <w:outlineLvl w:val="0"/>
    </w:pPr>
    <w:rPr>
      <w:rFonts w:ascii="Calibri Light" w:hAnsi="Calibri Light"/>
      <w:b/>
      <w:bCs/>
      <w:sz w:val="32"/>
      <w:szCs w:val="32"/>
    </w:rPr>
  </w:style>
  <w:style w:type="paragraph" w:styleId="1014" w:customStyle="1">
    <w:name w:val="正文文本缩进 21"/>
    <w:basedOn w:val="911"/>
    <w:uiPriority w:val="0"/>
    <w:qFormat/>
    <w:pPr>
      <w:ind w:left="630" w:firstLine="645"/>
    </w:pPr>
    <w:rPr>
      <w:rFonts w:ascii="Arial" w:hAnsi="Arial" w:eastAsia="仿宋_GB2312"/>
      <w:sz w:val="32"/>
      <w:szCs w:val="32"/>
    </w:rPr>
  </w:style>
  <w:style w:type="paragraph" w:styleId="1015" w:customStyle="1">
    <w:name w:val="目录 81"/>
    <w:next w:val="911"/>
    <w:uiPriority w:val="0"/>
    <w:qFormat/>
    <w:pPr>
      <w:ind w:left="1984"/>
      <w:spacing w:after="57"/>
    </w:pPr>
    <w:rPr>
      <w:rFonts w:ascii="Times New Roman" w:hAnsi="Times New Roman" w:eastAsia="宋体" w:cs="Times New Roman"/>
      <w:lang w:val="en-US" w:eastAsia="zh-CN" w:bidi="ar-SA"/>
    </w:rPr>
  </w:style>
  <w:style w:type="paragraph" w:styleId="1016" w:customStyle="1">
    <w:name w:val="首行缩进"/>
    <w:basedOn w:val="911"/>
    <w:uiPriority w:val="0"/>
    <w:qFormat/>
    <w:pPr>
      <w:ind w:firstLine="480"/>
      <w:spacing w:line="360" w:lineRule="auto"/>
    </w:pPr>
    <w:rPr>
      <w:rFonts w:ascii="宋体" w:hAnsi="宋体"/>
      <w:sz w:val="24"/>
    </w:rPr>
  </w:style>
  <w:style w:type="paragraph" w:styleId="1017" w:customStyle="1">
    <w:name w:val="无间隔1"/>
    <w:uiPriority w:val="0"/>
    <w:qFormat/>
    <w:rPr>
      <w:rFonts w:ascii="Times New Roman" w:hAnsi="Times New Roman" w:eastAsia="宋体" w:cs="Times New Roman"/>
      <w:lang w:val="en-US" w:eastAsia="zh-CN" w:bidi="ar-SA"/>
    </w:rPr>
  </w:style>
  <w:style w:type="paragraph" w:styleId="1018" w:customStyle="1">
    <w:name w:val="纯文本11"/>
    <w:basedOn w:val="911"/>
    <w:uiPriority w:val="0"/>
    <w:qFormat/>
    <w:rPr>
      <w:rFonts w:ascii="宋体" w:hAnsi="Courier New"/>
      <w:sz w:val="21"/>
      <w:szCs w:val="21"/>
    </w:rPr>
  </w:style>
  <w:style w:type="paragraph" w:styleId="1019" w:customStyle="1">
    <w:name w:val="页眉1"/>
    <w:basedOn w:val="916"/>
    <w:uiPriority w:val="0"/>
    <w:qFormat/>
    <w:pPr>
      <w:jc w:val="center"/>
      <w:tabs>
        <w:tab w:val="center" w:pos="4153" w:leader="none"/>
        <w:tab w:val="right" w:pos="8306" w:leader="none"/>
      </w:tabs>
      <w:pBdr>
        <w:bottom w:val="single" w:color="000000" w:sz="6" w:space="1"/>
      </w:pBdr>
    </w:pPr>
    <w:rPr>
      <w:sz w:val="18"/>
      <w:szCs w:val="18"/>
    </w:rPr>
  </w:style>
  <w:style w:type="paragraph" w:styleId="1020" w:customStyle="1">
    <w:name w:val="目录 31"/>
    <w:next w:val="911"/>
    <w:uiPriority w:val="0"/>
    <w:qFormat/>
    <w:pPr>
      <w:ind w:left="567"/>
      <w:spacing w:after="57"/>
    </w:pPr>
    <w:rPr>
      <w:rFonts w:ascii="Times New Roman" w:hAnsi="Times New Roman" w:eastAsia="宋体" w:cs="Times New Roman"/>
      <w:lang w:val="en-US" w:eastAsia="zh-CN" w:bidi="ar-SA"/>
    </w:rPr>
  </w:style>
  <w:style w:type="paragraph" w:styleId="1021" w:customStyle="1">
    <w:name w:val="TOC 标题11"/>
    <w:uiPriority w:val="0"/>
    <w:qFormat/>
    <w:rPr>
      <w:rFonts w:ascii="Times New Roman" w:hAnsi="Times New Roman" w:eastAsia="宋体" w:cs="Times New Roman"/>
      <w:lang w:val="en-US" w:eastAsia="zh-CN" w:bidi="ar-SA"/>
    </w:rPr>
  </w:style>
  <w:style w:type="paragraph" w:styleId="1022" w:customStyle="1">
    <w:name w:val="批注文字1"/>
    <w:basedOn w:val="911"/>
    <w:uiPriority w:val="0"/>
    <w:qFormat/>
  </w:style>
  <w:style w:type="paragraph" w:styleId="1023" w:customStyle="1">
    <w:name w:val="03、“注：”正文(加粗，首行缩进2字符)"/>
    <w:basedOn w:val="984"/>
    <w:uiPriority w:val="0"/>
    <w:qFormat/>
    <w:pPr>
      <w:ind w:firstLine="480"/>
    </w:pPr>
    <w:rPr>
      <w:b/>
    </w:rPr>
  </w:style>
  <w:style w:type="paragraph" w:styleId="1024" w:customStyle="1">
    <w:name w:val="目录 11"/>
    <w:basedOn w:val="916"/>
    <w:next w:val="916"/>
    <w:uiPriority w:val="0"/>
    <w:qFormat/>
  </w:style>
  <w:style w:type="paragraph" w:styleId="1025" w:customStyle="1">
    <w:name w:val="目录 51"/>
    <w:next w:val="911"/>
    <w:uiPriority w:val="0"/>
    <w:qFormat/>
    <w:pPr>
      <w:ind w:left="1134"/>
      <w:spacing w:after="57"/>
    </w:pPr>
    <w:rPr>
      <w:rFonts w:ascii="Times New Roman" w:hAnsi="Times New Roman" w:eastAsia="宋体" w:cs="Times New Roman"/>
      <w:lang w:val="en-US" w:eastAsia="zh-CN" w:bidi="ar-SA"/>
    </w:rPr>
  </w:style>
  <w:style w:type="paragraph" w:styleId="1026" w:customStyle="1">
    <w:name w:val="图表目录1"/>
    <w:next w:val="911"/>
    <w:uiPriority w:val="0"/>
    <w:qFormat/>
    <w:rPr>
      <w:rFonts w:ascii="Times New Roman" w:hAnsi="Times New Roman" w:eastAsia="宋体" w:cs="Times New Roman"/>
      <w:lang w:val="en-US" w:eastAsia="zh-CN" w:bidi="ar-SA"/>
    </w:rPr>
  </w:style>
  <w:style w:type="paragraph" w:styleId="1027" w:customStyle="1">
    <w:name w:val="普通(网站)1"/>
    <w:basedOn w:val="916"/>
    <w:uiPriority w:val="0"/>
    <w:qFormat/>
    <w:pPr>
      <w:jc w:val="left"/>
      <w:spacing w:before="100" w:beforeAutospacing="1" w:after="100" w:afterAutospacing="1"/>
      <w:widowControl/>
    </w:pPr>
    <w:rPr>
      <w:rFonts w:ascii="宋体" w:hAnsi="宋体"/>
      <w:sz w:val="24"/>
    </w:rPr>
  </w:style>
  <w:style w:type="paragraph" w:styleId="1028" w:customStyle="1">
    <w:name w:val="标题 11"/>
    <w:basedOn w:val="916"/>
    <w:next w:val="916"/>
    <w:uiPriority w:val="0"/>
    <w:qFormat/>
    <w:pPr>
      <w:jc w:val="center"/>
      <w:keepLines/>
      <w:keepNext/>
      <w:spacing w:line="578" w:lineRule="auto"/>
      <w:outlineLvl w:val="0"/>
    </w:pPr>
    <w:rPr>
      <w:rFonts w:eastAsia="新宋体"/>
      <w:b/>
      <w:bCs/>
      <w:sz w:val="30"/>
      <w:szCs w:val="44"/>
    </w:rPr>
  </w:style>
  <w:style w:type="paragraph" w:styleId="1029" w:customStyle="1">
    <w:name w:val="脚注文本1"/>
    <w:basedOn w:val="916"/>
    <w:next w:val="1003"/>
    <w:uiPriority w:val="0"/>
    <w:qFormat/>
    <w:pPr>
      <w:jc w:val="left"/>
    </w:pPr>
    <w:rPr>
      <w:rFonts w:ascii="宋体" w:eastAsia="Times New Roman"/>
      <w:sz w:val="18"/>
      <w:szCs w:val="18"/>
    </w:rPr>
  </w:style>
  <w:style w:type="paragraph" w:styleId="1030" w:customStyle="1">
    <w:name w:val="WPSOffice手动目录 1"/>
    <w:uiPriority w:val="0"/>
    <w:qFormat/>
    <w:rPr>
      <w:rFonts w:ascii="Arial" w:hAnsi="Arial" w:eastAsia="宋体" w:cs="Times New Roman"/>
      <w:lang w:val="en-US" w:eastAsia="zh-CN" w:bidi="ar-SA"/>
    </w:rPr>
  </w:style>
  <w:style w:type="paragraph" w:styleId="1031" w:customStyle="1">
    <w:name w:val="BodyText1I"/>
    <w:basedOn w:val="1032"/>
    <w:uiPriority w:val="99"/>
    <w:qFormat/>
    <w:pPr>
      <w:ind w:firstLine="420"/>
    </w:pPr>
  </w:style>
  <w:style w:type="paragraph" w:styleId="1032" w:customStyle="1">
    <w:name w:val="BodyText"/>
    <w:basedOn w:val="796"/>
    <w:uiPriority w:val="99"/>
    <w:qFormat/>
    <w:pPr>
      <w:spacing w:after="120"/>
    </w:pPr>
  </w:style>
  <w:style w:type="table" w:styleId="1033" w:customStyle="1">
    <w:name w:val="Bordered - Accent 2"/>
    <w:uiPriority w:val="0"/>
    <w:qFormat/>
    <w:tblPr>
      <w:tblCellMar>
        <w:left w:w="0" w:type="dxa"/>
        <w:top w:w="0" w:type="dxa"/>
        <w:right w:w="0" w:type="dxa"/>
        <w:bottom w:w="0" w:type="dxa"/>
      </w:tblCellMar>
    </w:tblPr>
  </w:style>
  <w:style w:type="table" w:styleId="1034" w:customStyle="1">
    <w:name w:val="Grid Table 2 - Accent 6"/>
    <w:uiPriority w:val="0"/>
    <w:qFormat/>
    <w:tblPr>
      <w:tblCellMar>
        <w:left w:w="0" w:type="dxa"/>
        <w:top w:w="0" w:type="dxa"/>
        <w:right w:w="0" w:type="dxa"/>
        <w:bottom w:w="0" w:type="dxa"/>
      </w:tblCellMar>
    </w:tblPr>
  </w:style>
  <w:style w:type="table" w:styleId="1035" w:customStyle="1">
    <w:name w:val="Bordered &amp; Lined - Accent 2"/>
    <w:uiPriority w:val="0"/>
    <w:qFormat/>
    <w:rPr>
      <w:color w:val="404040"/>
    </w:rPr>
    <w:tblPr>
      <w:tblCellMar>
        <w:left w:w="0" w:type="dxa"/>
        <w:top w:w="0" w:type="dxa"/>
        <w:right w:w="0" w:type="dxa"/>
        <w:bottom w:w="0" w:type="dxa"/>
      </w:tblCellMar>
    </w:tblPr>
  </w:style>
  <w:style w:type="table" w:styleId="1036" w:customStyle="1">
    <w:name w:val="List Table 6 Colorful - Accent 4"/>
    <w:uiPriority w:val="0"/>
    <w:qFormat/>
    <w:tblPr>
      <w:tblCellMar>
        <w:left w:w="0" w:type="dxa"/>
        <w:top w:w="0" w:type="dxa"/>
        <w:right w:w="0" w:type="dxa"/>
        <w:bottom w:w="0" w:type="dxa"/>
      </w:tblCellMar>
    </w:tblPr>
  </w:style>
  <w:style w:type="table" w:styleId="1037" w:customStyle="1">
    <w:name w:val="Grid Table 7 Colorful - Accent 6"/>
    <w:uiPriority w:val="0"/>
    <w:qFormat/>
    <w:tblPr>
      <w:tblCellMar>
        <w:left w:w="0" w:type="dxa"/>
        <w:top w:w="0" w:type="dxa"/>
        <w:right w:w="0" w:type="dxa"/>
        <w:bottom w:w="0" w:type="dxa"/>
      </w:tblCellMar>
    </w:tblPr>
  </w:style>
  <w:style w:type="table" w:styleId="1038" w:customStyle="1">
    <w:name w:val="Grid Table 4 - Accent 3"/>
    <w:uiPriority w:val="0"/>
    <w:qFormat/>
    <w:tblPr>
      <w:tblCellMar>
        <w:left w:w="0" w:type="dxa"/>
        <w:top w:w="0" w:type="dxa"/>
        <w:right w:w="0" w:type="dxa"/>
        <w:bottom w:w="0" w:type="dxa"/>
      </w:tblCellMar>
    </w:tblPr>
  </w:style>
  <w:style w:type="table" w:styleId="1039" w:customStyle="1">
    <w:name w:val="Grid Table 3 - Accent 2"/>
    <w:uiPriority w:val="0"/>
    <w:qFormat/>
    <w:tblPr>
      <w:tblCellMar>
        <w:left w:w="0" w:type="dxa"/>
        <w:top w:w="0" w:type="dxa"/>
        <w:right w:w="0" w:type="dxa"/>
        <w:bottom w:w="0" w:type="dxa"/>
      </w:tblCellMar>
    </w:tblPr>
  </w:style>
  <w:style w:type="table" w:styleId="1040" w:customStyle="1">
    <w:name w:val="List Table 5 Dark"/>
    <w:uiPriority w:val="0"/>
    <w:qFormat/>
    <w:tblPr>
      <w:tblCellMar>
        <w:left w:w="0" w:type="dxa"/>
        <w:top w:w="0" w:type="dxa"/>
        <w:right w:w="0" w:type="dxa"/>
        <w:bottom w:w="0" w:type="dxa"/>
      </w:tblCellMar>
    </w:tblPr>
  </w:style>
  <w:style w:type="table" w:styleId="1041" w:customStyle="1">
    <w:name w:val="Plain Table 1"/>
    <w:uiPriority w:val="0"/>
    <w:qFormat/>
    <w:tblPr>
      <w:tblCellMar>
        <w:left w:w="0" w:type="dxa"/>
        <w:top w:w="0" w:type="dxa"/>
        <w:right w:w="0" w:type="dxa"/>
        <w:bottom w:w="0" w:type="dxa"/>
      </w:tblCellMar>
    </w:tblPr>
  </w:style>
  <w:style w:type="table" w:styleId="1042" w:customStyle="1">
    <w:name w:val="List Table 6 Colorful - Accent 2"/>
    <w:uiPriority w:val="0"/>
    <w:qFormat/>
    <w:tblPr>
      <w:tblCellMar>
        <w:left w:w="0" w:type="dxa"/>
        <w:top w:w="0" w:type="dxa"/>
        <w:right w:w="0" w:type="dxa"/>
        <w:bottom w:w="0" w:type="dxa"/>
      </w:tblCellMar>
    </w:tblPr>
  </w:style>
  <w:style w:type="table" w:styleId="1043" w:customStyle="1">
    <w:name w:val="Bordered &amp; Lined - Accent 6"/>
    <w:uiPriority w:val="0"/>
    <w:qFormat/>
    <w:rPr>
      <w:color w:val="404040"/>
    </w:rPr>
    <w:tblPr>
      <w:tblCellMar>
        <w:left w:w="0" w:type="dxa"/>
        <w:top w:w="0" w:type="dxa"/>
        <w:right w:w="0" w:type="dxa"/>
        <w:bottom w:w="0" w:type="dxa"/>
      </w:tblCellMar>
    </w:tblPr>
  </w:style>
  <w:style w:type="table" w:styleId="1044" w:customStyle="1">
    <w:name w:val="List Table 4 - Accent 3"/>
    <w:uiPriority w:val="0"/>
    <w:qFormat/>
    <w:tblPr>
      <w:tblCellMar>
        <w:left w:w="0" w:type="dxa"/>
        <w:top w:w="0" w:type="dxa"/>
        <w:right w:w="0" w:type="dxa"/>
        <w:bottom w:w="0" w:type="dxa"/>
      </w:tblCellMar>
    </w:tblPr>
  </w:style>
  <w:style w:type="table" w:styleId="1045" w:customStyle="1">
    <w:name w:val="List Table 2 - Accent 1"/>
    <w:uiPriority w:val="0"/>
    <w:qFormat/>
    <w:tblPr>
      <w:tblCellMar>
        <w:left w:w="0" w:type="dxa"/>
        <w:top w:w="0" w:type="dxa"/>
        <w:right w:w="0" w:type="dxa"/>
        <w:bottom w:w="0" w:type="dxa"/>
      </w:tblCellMar>
    </w:tblPr>
  </w:style>
  <w:style w:type="table" w:styleId="1046" w:customStyle="1">
    <w:name w:val="List Table 6 Colorful - Accent 1"/>
    <w:uiPriority w:val="0"/>
    <w:qFormat/>
    <w:tblPr>
      <w:tblCellMar>
        <w:left w:w="0" w:type="dxa"/>
        <w:top w:w="0" w:type="dxa"/>
        <w:right w:w="0" w:type="dxa"/>
        <w:bottom w:w="0" w:type="dxa"/>
      </w:tblCellMar>
    </w:tblPr>
  </w:style>
  <w:style w:type="table" w:styleId="1047" w:customStyle="1">
    <w:name w:val="List Table 1 Light - Accent 5"/>
    <w:uiPriority w:val="0"/>
    <w:qFormat/>
    <w:tblPr>
      <w:tblCellMar>
        <w:left w:w="0" w:type="dxa"/>
        <w:top w:w="0" w:type="dxa"/>
        <w:right w:w="0" w:type="dxa"/>
        <w:bottom w:w="0" w:type="dxa"/>
      </w:tblCellMar>
    </w:tblPr>
  </w:style>
  <w:style w:type="table" w:styleId="1048" w:customStyle="1">
    <w:name w:val="List Table 1 Light - Accent 4"/>
    <w:uiPriority w:val="0"/>
    <w:qFormat/>
    <w:tblPr>
      <w:tblCellMar>
        <w:left w:w="0" w:type="dxa"/>
        <w:top w:w="0" w:type="dxa"/>
        <w:right w:w="0" w:type="dxa"/>
        <w:bottom w:w="0" w:type="dxa"/>
      </w:tblCellMar>
    </w:tblPr>
  </w:style>
  <w:style w:type="table" w:styleId="1049" w:customStyle="1">
    <w:name w:val="Grid Table 4 - Accent 1"/>
    <w:uiPriority w:val="0"/>
    <w:qFormat/>
    <w:tblPr>
      <w:tblCellMar>
        <w:left w:w="0" w:type="dxa"/>
        <w:top w:w="0" w:type="dxa"/>
        <w:right w:w="0" w:type="dxa"/>
        <w:bottom w:w="0" w:type="dxa"/>
      </w:tblCellMar>
    </w:tblPr>
  </w:style>
  <w:style w:type="table" w:styleId="1050" w:customStyle="1">
    <w:name w:val="Grid Table 4"/>
    <w:uiPriority w:val="0"/>
    <w:qFormat/>
    <w:tblPr>
      <w:tblCellMar>
        <w:left w:w="0" w:type="dxa"/>
        <w:top w:w="0" w:type="dxa"/>
        <w:right w:w="0" w:type="dxa"/>
        <w:bottom w:w="0" w:type="dxa"/>
      </w:tblCellMar>
    </w:tblPr>
  </w:style>
  <w:style w:type="table" w:styleId="1051" w:customStyle="1">
    <w:name w:val="Bordered &amp; Lined - Accent"/>
    <w:uiPriority w:val="0"/>
    <w:qFormat/>
    <w:rPr>
      <w:color w:val="404040"/>
    </w:rPr>
    <w:tblPr>
      <w:tblCellMar>
        <w:left w:w="0" w:type="dxa"/>
        <w:top w:w="0" w:type="dxa"/>
        <w:right w:w="0" w:type="dxa"/>
        <w:bottom w:w="0" w:type="dxa"/>
      </w:tblCellMar>
    </w:tblPr>
  </w:style>
  <w:style w:type="table" w:styleId="1052" w:customStyle="1">
    <w:name w:val="List Table 4 - Accent 5"/>
    <w:uiPriority w:val="0"/>
    <w:qFormat/>
    <w:tblPr>
      <w:tblCellMar>
        <w:left w:w="0" w:type="dxa"/>
        <w:top w:w="0" w:type="dxa"/>
        <w:right w:w="0" w:type="dxa"/>
        <w:bottom w:w="0" w:type="dxa"/>
      </w:tblCellMar>
    </w:tblPr>
  </w:style>
  <w:style w:type="table" w:styleId="1053" w:customStyle="1">
    <w:name w:val="Grid Table 7 Colorful - Accent 1"/>
    <w:uiPriority w:val="0"/>
    <w:qFormat/>
    <w:tblPr>
      <w:tblCellMar>
        <w:left w:w="0" w:type="dxa"/>
        <w:top w:w="0" w:type="dxa"/>
        <w:right w:w="0" w:type="dxa"/>
        <w:bottom w:w="0" w:type="dxa"/>
      </w:tblCellMar>
    </w:tblPr>
  </w:style>
  <w:style w:type="table" w:styleId="1054" w:customStyle="1">
    <w:name w:val="Grid Table 2 - Accent 4"/>
    <w:uiPriority w:val="0"/>
    <w:qFormat/>
    <w:tblPr>
      <w:tblCellMar>
        <w:left w:w="0" w:type="dxa"/>
        <w:top w:w="0" w:type="dxa"/>
        <w:right w:w="0" w:type="dxa"/>
        <w:bottom w:w="0" w:type="dxa"/>
      </w:tblCellMar>
    </w:tblPr>
  </w:style>
  <w:style w:type="table" w:styleId="1055" w:customStyle="1">
    <w:name w:val="Lined - Accent 6"/>
    <w:uiPriority w:val="0"/>
    <w:qFormat/>
    <w:rPr>
      <w:color w:val="404040"/>
    </w:rPr>
    <w:tblPr>
      <w:tblCellMar>
        <w:left w:w="0" w:type="dxa"/>
        <w:top w:w="0" w:type="dxa"/>
        <w:right w:w="0" w:type="dxa"/>
        <w:bottom w:w="0" w:type="dxa"/>
      </w:tblCellMar>
    </w:tblPr>
  </w:style>
  <w:style w:type="table" w:styleId="1056" w:customStyle="1">
    <w:name w:val="Grid Table 6 Colorful - Accent 4"/>
    <w:uiPriority w:val="0"/>
    <w:qFormat/>
    <w:tblPr>
      <w:tblCellMar>
        <w:left w:w="0" w:type="dxa"/>
        <w:top w:w="0" w:type="dxa"/>
        <w:right w:w="0" w:type="dxa"/>
        <w:bottom w:w="0" w:type="dxa"/>
      </w:tblCellMar>
    </w:tblPr>
  </w:style>
  <w:style w:type="table" w:styleId="1057" w:customStyle="1">
    <w:name w:val="Grid Table 2"/>
    <w:uiPriority w:val="0"/>
    <w:qFormat/>
    <w:tblPr>
      <w:tblCellMar>
        <w:left w:w="0" w:type="dxa"/>
        <w:top w:w="0" w:type="dxa"/>
        <w:right w:w="0" w:type="dxa"/>
        <w:bottom w:w="0" w:type="dxa"/>
      </w:tblCellMar>
    </w:tblPr>
  </w:style>
  <w:style w:type="table" w:styleId="1058" w:customStyle="1">
    <w:name w:val="List Table 5 Dark - Accent 6"/>
    <w:uiPriority w:val="0"/>
    <w:qFormat/>
    <w:tblPr>
      <w:tblCellMar>
        <w:left w:w="0" w:type="dxa"/>
        <w:top w:w="0" w:type="dxa"/>
        <w:right w:w="0" w:type="dxa"/>
        <w:bottom w:w="0" w:type="dxa"/>
      </w:tblCellMar>
    </w:tblPr>
  </w:style>
  <w:style w:type="table" w:styleId="1059" w:customStyle="1">
    <w:name w:val="List Table 1 Light - Accent 2"/>
    <w:uiPriority w:val="0"/>
    <w:qFormat/>
    <w:tblPr>
      <w:tblCellMar>
        <w:left w:w="0" w:type="dxa"/>
        <w:top w:w="0" w:type="dxa"/>
        <w:right w:w="0" w:type="dxa"/>
        <w:bottom w:w="0" w:type="dxa"/>
      </w:tblCellMar>
    </w:tblPr>
  </w:style>
  <w:style w:type="table" w:styleId="1060" w:customStyle="1">
    <w:name w:val="Grid Table 3 - Accent 5"/>
    <w:uiPriority w:val="0"/>
    <w:qFormat/>
    <w:tblPr>
      <w:tblCellMar>
        <w:left w:w="0" w:type="dxa"/>
        <w:top w:w="0" w:type="dxa"/>
        <w:right w:w="0" w:type="dxa"/>
        <w:bottom w:w="0" w:type="dxa"/>
      </w:tblCellMar>
    </w:tblPr>
  </w:style>
  <w:style w:type="table" w:styleId="1061" w:customStyle="1">
    <w:name w:val="List Table 2"/>
    <w:uiPriority w:val="0"/>
    <w:qFormat/>
    <w:tblPr>
      <w:tblCellMar>
        <w:left w:w="0" w:type="dxa"/>
        <w:top w:w="0" w:type="dxa"/>
        <w:right w:w="0" w:type="dxa"/>
        <w:bottom w:w="0" w:type="dxa"/>
      </w:tblCellMar>
    </w:tblPr>
  </w:style>
  <w:style w:type="table" w:styleId="1062" w:customStyle="1">
    <w:name w:val="Grid Table 6 Colorful - Accent 6"/>
    <w:uiPriority w:val="0"/>
    <w:qFormat/>
    <w:tblPr>
      <w:tblCellMar>
        <w:left w:w="0" w:type="dxa"/>
        <w:top w:w="0" w:type="dxa"/>
        <w:right w:w="0" w:type="dxa"/>
        <w:bottom w:w="0" w:type="dxa"/>
      </w:tblCellMar>
    </w:tblPr>
  </w:style>
  <w:style w:type="table" w:styleId="1063" w:customStyle="1">
    <w:name w:val="Grid Table 4 - Accent 4"/>
    <w:uiPriority w:val="0"/>
    <w:qFormat/>
    <w:tblPr>
      <w:tblCellMar>
        <w:left w:w="0" w:type="dxa"/>
        <w:top w:w="0" w:type="dxa"/>
        <w:right w:w="0" w:type="dxa"/>
        <w:bottom w:w="0" w:type="dxa"/>
      </w:tblCellMar>
    </w:tblPr>
  </w:style>
  <w:style w:type="table" w:styleId="1064" w:customStyle="1">
    <w:name w:val="List Table 4 - Accent 1"/>
    <w:uiPriority w:val="0"/>
    <w:qFormat/>
    <w:tblPr>
      <w:tblCellMar>
        <w:left w:w="0" w:type="dxa"/>
        <w:top w:w="0" w:type="dxa"/>
        <w:right w:w="0" w:type="dxa"/>
        <w:bottom w:w="0" w:type="dxa"/>
      </w:tblCellMar>
    </w:tblPr>
  </w:style>
  <w:style w:type="table" w:styleId="1065" w:customStyle="1">
    <w:name w:val="List Table 5 Dark - Accent 3"/>
    <w:uiPriority w:val="0"/>
    <w:qFormat/>
    <w:tblPr>
      <w:tblCellMar>
        <w:left w:w="0" w:type="dxa"/>
        <w:top w:w="0" w:type="dxa"/>
        <w:right w:w="0" w:type="dxa"/>
        <w:bottom w:w="0" w:type="dxa"/>
      </w:tblCellMar>
    </w:tblPr>
  </w:style>
  <w:style w:type="table" w:styleId="1066" w:customStyle="1">
    <w:name w:val="Grid Table 7 Colorful - Accent 3"/>
    <w:uiPriority w:val="0"/>
    <w:qFormat/>
    <w:tblPr>
      <w:tblCellMar>
        <w:left w:w="0" w:type="dxa"/>
        <w:top w:w="0" w:type="dxa"/>
        <w:right w:w="0" w:type="dxa"/>
        <w:bottom w:w="0" w:type="dxa"/>
      </w:tblCellMar>
    </w:tblPr>
  </w:style>
  <w:style w:type="table" w:styleId="1067" w:customStyle="1">
    <w:name w:val="Grid Table 2 - Accent 2"/>
    <w:uiPriority w:val="0"/>
    <w:qFormat/>
    <w:tblPr>
      <w:tblCellMar>
        <w:left w:w="0" w:type="dxa"/>
        <w:top w:w="0" w:type="dxa"/>
        <w:right w:w="0" w:type="dxa"/>
        <w:bottom w:w="0" w:type="dxa"/>
      </w:tblCellMar>
    </w:tblPr>
  </w:style>
  <w:style w:type="table" w:styleId="1068" w:customStyle="1">
    <w:name w:val="List Table 6 Colorful - Accent 5"/>
    <w:uiPriority w:val="0"/>
    <w:qFormat/>
    <w:tblPr>
      <w:tblCellMar>
        <w:left w:w="0" w:type="dxa"/>
        <w:top w:w="0" w:type="dxa"/>
        <w:right w:w="0" w:type="dxa"/>
        <w:bottom w:w="0" w:type="dxa"/>
      </w:tblCellMar>
    </w:tblPr>
  </w:style>
  <w:style w:type="table" w:styleId="1069" w:customStyle="1">
    <w:name w:val="List Table 1 Light - Accent 1"/>
    <w:uiPriority w:val="0"/>
    <w:qFormat/>
    <w:tblPr>
      <w:tblCellMar>
        <w:left w:w="0" w:type="dxa"/>
        <w:top w:w="0" w:type="dxa"/>
        <w:right w:w="0" w:type="dxa"/>
        <w:bottom w:w="0" w:type="dxa"/>
      </w:tblCellMar>
    </w:tblPr>
  </w:style>
  <w:style w:type="table" w:styleId="1070" w:customStyle="1">
    <w:name w:val="Grid Table 1 Light - Accent 4"/>
    <w:uiPriority w:val="0"/>
    <w:qFormat/>
    <w:tblPr>
      <w:tblCellMar>
        <w:left w:w="0" w:type="dxa"/>
        <w:top w:w="0" w:type="dxa"/>
        <w:right w:w="0" w:type="dxa"/>
        <w:bottom w:w="0" w:type="dxa"/>
      </w:tblCellMar>
    </w:tblPr>
  </w:style>
  <w:style w:type="table" w:styleId="1071" w:customStyle="1">
    <w:name w:val="Bordered - Accent 3"/>
    <w:uiPriority w:val="0"/>
    <w:qFormat/>
    <w:tblPr>
      <w:tblCellMar>
        <w:left w:w="0" w:type="dxa"/>
        <w:top w:w="0" w:type="dxa"/>
        <w:right w:w="0" w:type="dxa"/>
        <w:bottom w:w="0" w:type="dxa"/>
      </w:tblCellMar>
    </w:tblPr>
  </w:style>
  <w:style w:type="table" w:styleId="1072" w:customStyle="1">
    <w:name w:val="Grid Table 3 - Accent 4"/>
    <w:uiPriority w:val="0"/>
    <w:qFormat/>
    <w:tblPr>
      <w:tblCellMar>
        <w:left w:w="0" w:type="dxa"/>
        <w:top w:w="0" w:type="dxa"/>
        <w:right w:w="0" w:type="dxa"/>
        <w:bottom w:w="0" w:type="dxa"/>
      </w:tblCellMar>
    </w:tblPr>
  </w:style>
  <w:style w:type="table" w:styleId="1073" w:customStyle="1">
    <w:name w:val="Lined - Accent"/>
    <w:uiPriority w:val="0"/>
    <w:qFormat/>
    <w:rPr>
      <w:color w:val="404040"/>
    </w:rPr>
    <w:tblPr>
      <w:tblCellMar>
        <w:left w:w="0" w:type="dxa"/>
        <w:top w:w="0" w:type="dxa"/>
        <w:right w:w="0" w:type="dxa"/>
        <w:bottom w:w="0" w:type="dxa"/>
      </w:tblCellMar>
    </w:tblPr>
  </w:style>
  <w:style w:type="table" w:styleId="1074" w:customStyle="1">
    <w:name w:val="List Table 5 Dark - Accent 2"/>
    <w:uiPriority w:val="0"/>
    <w:qFormat/>
    <w:tblPr>
      <w:tblCellMar>
        <w:left w:w="0" w:type="dxa"/>
        <w:top w:w="0" w:type="dxa"/>
        <w:right w:w="0" w:type="dxa"/>
        <w:bottom w:w="0" w:type="dxa"/>
      </w:tblCellMar>
    </w:tblPr>
  </w:style>
  <w:style w:type="table" w:styleId="1075" w:customStyle="1">
    <w:name w:val="Bordered - Accent 4"/>
    <w:uiPriority w:val="0"/>
    <w:qFormat/>
    <w:tblPr>
      <w:tblCellMar>
        <w:left w:w="0" w:type="dxa"/>
        <w:top w:w="0" w:type="dxa"/>
        <w:right w:w="0" w:type="dxa"/>
        <w:bottom w:w="0" w:type="dxa"/>
      </w:tblCellMar>
    </w:tblPr>
  </w:style>
  <w:style w:type="table" w:styleId="1076" w:customStyle="1">
    <w:name w:val="Grid Table 3 - Accent 6"/>
    <w:uiPriority w:val="0"/>
    <w:qFormat/>
    <w:tblPr>
      <w:tblCellMar>
        <w:left w:w="0" w:type="dxa"/>
        <w:top w:w="0" w:type="dxa"/>
        <w:right w:w="0" w:type="dxa"/>
        <w:bottom w:w="0" w:type="dxa"/>
      </w:tblCellMar>
    </w:tblPr>
  </w:style>
  <w:style w:type="table" w:styleId="1077" w:customStyle="1">
    <w:name w:val="List Table 3 - Accent 3"/>
    <w:uiPriority w:val="0"/>
    <w:qFormat/>
    <w:tblPr>
      <w:tblCellMar>
        <w:left w:w="0" w:type="dxa"/>
        <w:top w:w="0" w:type="dxa"/>
        <w:right w:w="0" w:type="dxa"/>
        <w:bottom w:w="0" w:type="dxa"/>
      </w:tblCellMar>
    </w:tblPr>
  </w:style>
  <w:style w:type="table" w:styleId="1078" w:customStyle="1">
    <w:name w:val="Grid Table 7 Colorful - Accent 5"/>
    <w:uiPriority w:val="0"/>
    <w:qFormat/>
    <w:tblPr>
      <w:tblCellMar>
        <w:left w:w="0" w:type="dxa"/>
        <w:top w:w="0" w:type="dxa"/>
        <w:right w:w="0" w:type="dxa"/>
        <w:bottom w:w="0" w:type="dxa"/>
      </w:tblCellMar>
    </w:tblPr>
  </w:style>
  <w:style w:type="table" w:styleId="1079" w:customStyle="1">
    <w:name w:val="Bordered - Accent 5"/>
    <w:uiPriority w:val="0"/>
    <w:qFormat/>
    <w:tblPr>
      <w:tblCellMar>
        <w:left w:w="0" w:type="dxa"/>
        <w:top w:w="0" w:type="dxa"/>
        <w:right w:w="0" w:type="dxa"/>
        <w:bottom w:w="0" w:type="dxa"/>
      </w:tblCellMar>
    </w:tblPr>
  </w:style>
  <w:style w:type="table" w:styleId="1080" w:customStyle="1">
    <w:name w:val="Bordered"/>
    <w:uiPriority w:val="0"/>
    <w:qFormat/>
    <w:tblPr>
      <w:tblCellMar>
        <w:left w:w="0" w:type="dxa"/>
        <w:top w:w="0" w:type="dxa"/>
        <w:right w:w="0" w:type="dxa"/>
        <w:bottom w:w="0" w:type="dxa"/>
      </w:tblCellMar>
    </w:tblPr>
  </w:style>
  <w:style w:type="table" w:styleId="1081" w:customStyle="1">
    <w:name w:val="Grid Table 5 Dark - Accent 6"/>
    <w:uiPriority w:val="0"/>
    <w:qFormat/>
    <w:tblPr>
      <w:tblCellMar>
        <w:left w:w="0" w:type="dxa"/>
        <w:top w:w="0" w:type="dxa"/>
        <w:right w:w="0" w:type="dxa"/>
        <w:bottom w:w="0" w:type="dxa"/>
      </w:tblCellMar>
    </w:tblPr>
  </w:style>
  <w:style w:type="table" w:styleId="1082" w:customStyle="1">
    <w:name w:val="Grid Table 3 - Accent 1"/>
    <w:uiPriority w:val="0"/>
    <w:qFormat/>
    <w:tblPr>
      <w:tblCellMar>
        <w:left w:w="0" w:type="dxa"/>
        <w:top w:w="0" w:type="dxa"/>
        <w:right w:w="0" w:type="dxa"/>
        <w:bottom w:w="0" w:type="dxa"/>
      </w:tblCellMar>
    </w:tblPr>
  </w:style>
  <w:style w:type="table" w:styleId="1083" w:customStyle="1">
    <w:name w:val="Bordered - Accent 6"/>
    <w:uiPriority w:val="0"/>
    <w:qFormat/>
    <w:tblPr>
      <w:tblCellMar>
        <w:left w:w="0" w:type="dxa"/>
        <w:top w:w="0" w:type="dxa"/>
        <w:right w:w="0" w:type="dxa"/>
        <w:bottom w:w="0" w:type="dxa"/>
      </w:tblCellMar>
    </w:tblPr>
  </w:style>
  <w:style w:type="table" w:styleId="1084" w:customStyle="1">
    <w:name w:val="List Table 4 - Accent 4"/>
    <w:uiPriority w:val="0"/>
    <w:qFormat/>
    <w:tblPr>
      <w:tblCellMar>
        <w:left w:w="0" w:type="dxa"/>
        <w:top w:w="0" w:type="dxa"/>
        <w:right w:w="0" w:type="dxa"/>
        <w:bottom w:w="0" w:type="dxa"/>
      </w:tblCellMar>
    </w:tblPr>
  </w:style>
  <w:style w:type="table" w:styleId="1085" w:customStyle="1">
    <w:name w:val="Grid Table 1 Light - Accent 2"/>
    <w:uiPriority w:val="0"/>
    <w:qFormat/>
    <w:tblPr>
      <w:tblCellMar>
        <w:left w:w="0" w:type="dxa"/>
        <w:top w:w="0" w:type="dxa"/>
        <w:right w:w="0" w:type="dxa"/>
        <w:bottom w:w="0" w:type="dxa"/>
      </w:tblCellMar>
    </w:tblPr>
  </w:style>
  <w:style w:type="table" w:styleId="1086" w:customStyle="1">
    <w:name w:val="List Table 5 Dark - Accent 4"/>
    <w:uiPriority w:val="0"/>
    <w:qFormat/>
    <w:tblPr>
      <w:tblCellMar>
        <w:left w:w="0" w:type="dxa"/>
        <w:top w:w="0" w:type="dxa"/>
        <w:right w:w="0" w:type="dxa"/>
        <w:bottom w:w="0" w:type="dxa"/>
      </w:tblCellMar>
    </w:tblPr>
  </w:style>
  <w:style w:type="table" w:styleId="1087" w:customStyle="1">
    <w:name w:val="普通表格1"/>
    <w:uiPriority w:val="0"/>
    <w:qFormat/>
    <w:tblPr>
      <w:tblCellMar>
        <w:left w:w="0" w:type="dxa"/>
        <w:top w:w="0" w:type="dxa"/>
        <w:right w:w="0" w:type="dxa"/>
        <w:bottom w:w="0" w:type="dxa"/>
      </w:tblCellMar>
    </w:tblPr>
  </w:style>
  <w:style w:type="table" w:styleId="1088" w:customStyle="1">
    <w:name w:val="Grid Table 7 Colorful"/>
    <w:uiPriority w:val="0"/>
    <w:qFormat/>
    <w:tblPr>
      <w:tblCellMar>
        <w:left w:w="0" w:type="dxa"/>
        <w:top w:w="0" w:type="dxa"/>
        <w:right w:w="0" w:type="dxa"/>
        <w:bottom w:w="0" w:type="dxa"/>
      </w:tblCellMar>
    </w:tblPr>
  </w:style>
  <w:style w:type="table" w:styleId="1089" w:customStyle="1">
    <w:name w:val="List Table 7 Colorful - Accent 4"/>
    <w:uiPriority w:val="0"/>
    <w:qFormat/>
    <w:tblPr>
      <w:tblCellMar>
        <w:left w:w="0" w:type="dxa"/>
        <w:top w:w="0" w:type="dxa"/>
        <w:right w:w="0" w:type="dxa"/>
        <w:bottom w:w="0" w:type="dxa"/>
      </w:tblCellMar>
    </w:tblPr>
  </w:style>
  <w:style w:type="table" w:styleId="1090" w:customStyle="1">
    <w:name w:val="List Table 1 Light"/>
    <w:uiPriority w:val="0"/>
    <w:qFormat/>
    <w:tblPr>
      <w:tblCellMar>
        <w:left w:w="0" w:type="dxa"/>
        <w:top w:w="0" w:type="dxa"/>
        <w:right w:w="0" w:type="dxa"/>
        <w:bottom w:w="0" w:type="dxa"/>
      </w:tblCellMar>
    </w:tblPr>
  </w:style>
  <w:style w:type="table" w:styleId="1091" w:customStyle="1">
    <w:name w:val="Grid Table 2 - Accent 3"/>
    <w:uiPriority w:val="0"/>
    <w:qFormat/>
    <w:tblPr>
      <w:tblCellMar>
        <w:left w:w="0" w:type="dxa"/>
        <w:top w:w="0" w:type="dxa"/>
        <w:right w:w="0" w:type="dxa"/>
        <w:bottom w:w="0" w:type="dxa"/>
      </w:tblCellMar>
    </w:tblPr>
  </w:style>
  <w:style w:type="table" w:styleId="1092" w:customStyle="1">
    <w:name w:val="List Table 3"/>
    <w:uiPriority w:val="0"/>
    <w:qFormat/>
    <w:tblPr>
      <w:tblCellMar>
        <w:left w:w="0" w:type="dxa"/>
        <w:top w:w="0" w:type="dxa"/>
        <w:right w:w="0" w:type="dxa"/>
        <w:bottom w:w="0" w:type="dxa"/>
      </w:tblCellMar>
    </w:tblPr>
  </w:style>
  <w:style w:type="table" w:styleId="1093" w:customStyle="1">
    <w:name w:val="Grid Table 3 - Accent 3"/>
    <w:uiPriority w:val="0"/>
    <w:qFormat/>
    <w:tblPr>
      <w:tblCellMar>
        <w:left w:w="0" w:type="dxa"/>
        <w:top w:w="0" w:type="dxa"/>
        <w:right w:w="0" w:type="dxa"/>
        <w:bottom w:w="0" w:type="dxa"/>
      </w:tblCellMar>
    </w:tblPr>
  </w:style>
  <w:style w:type="table" w:styleId="1094" w:customStyle="1">
    <w:name w:val="List Table 6 Colorful - Accent 3"/>
    <w:uiPriority w:val="0"/>
    <w:qFormat/>
    <w:tblPr>
      <w:tblCellMar>
        <w:left w:w="0" w:type="dxa"/>
        <w:top w:w="0" w:type="dxa"/>
        <w:right w:w="0" w:type="dxa"/>
        <w:bottom w:w="0" w:type="dxa"/>
      </w:tblCellMar>
    </w:tblPr>
  </w:style>
  <w:style w:type="table" w:styleId="1095" w:customStyle="1">
    <w:name w:val="Grid Table 5 Dark - Accent 3"/>
    <w:uiPriority w:val="0"/>
    <w:qFormat/>
    <w:tblPr>
      <w:tblCellMar>
        <w:left w:w="0" w:type="dxa"/>
        <w:top w:w="0" w:type="dxa"/>
        <w:right w:w="0" w:type="dxa"/>
        <w:bottom w:w="0" w:type="dxa"/>
      </w:tblCellMar>
    </w:tblPr>
  </w:style>
  <w:style w:type="table" w:styleId="1096" w:customStyle="1">
    <w:name w:val="Bordered &amp; Lined - Accent 1"/>
    <w:uiPriority w:val="0"/>
    <w:qFormat/>
    <w:rPr>
      <w:color w:val="404040"/>
    </w:rPr>
    <w:tblPr>
      <w:tblCellMar>
        <w:left w:w="0" w:type="dxa"/>
        <w:top w:w="0" w:type="dxa"/>
        <w:right w:w="0" w:type="dxa"/>
        <w:bottom w:w="0" w:type="dxa"/>
      </w:tblCellMar>
    </w:tblPr>
  </w:style>
  <w:style w:type="table" w:styleId="1097" w:customStyle="1">
    <w:name w:val="List Table 1 Light - Accent 6"/>
    <w:uiPriority w:val="0"/>
    <w:qFormat/>
    <w:tblPr>
      <w:tblCellMar>
        <w:left w:w="0" w:type="dxa"/>
        <w:top w:w="0" w:type="dxa"/>
        <w:right w:w="0" w:type="dxa"/>
        <w:bottom w:w="0" w:type="dxa"/>
      </w:tblCellMar>
    </w:tblPr>
  </w:style>
  <w:style w:type="table" w:styleId="1098" w:customStyle="1">
    <w:name w:val="Plain Table 5"/>
    <w:uiPriority w:val="0"/>
    <w:qFormat/>
    <w:tblPr>
      <w:tblCellMar>
        <w:left w:w="0" w:type="dxa"/>
        <w:top w:w="0" w:type="dxa"/>
        <w:right w:w="0" w:type="dxa"/>
        <w:bottom w:w="0" w:type="dxa"/>
      </w:tblCellMar>
    </w:tblPr>
  </w:style>
  <w:style w:type="table" w:styleId="1099" w:customStyle="1">
    <w:name w:val="List Table 7 Colorful - Accent 3"/>
    <w:uiPriority w:val="0"/>
    <w:qFormat/>
    <w:tblPr>
      <w:tblCellMar>
        <w:left w:w="0" w:type="dxa"/>
        <w:top w:w="0" w:type="dxa"/>
        <w:right w:w="0" w:type="dxa"/>
        <w:bottom w:w="0" w:type="dxa"/>
      </w:tblCellMar>
    </w:tblPr>
  </w:style>
  <w:style w:type="table" w:styleId="1100" w:customStyle="1">
    <w:name w:val="Grid Table 4 - Accent 2"/>
    <w:uiPriority w:val="0"/>
    <w:qFormat/>
    <w:tblPr>
      <w:tblCellMar>
        <w:left w:w="0" w:type="dxa"/>
        <w:top w:w="0" w:type="dxa"/>
        <w:right w:w="0" w:type="dxa"/>
        <w:bottom w:w="0" w:type="dxa"/>
      </w:tblCellMar>
    </w:tblPr>
  </w:style>
  <w:style w:type="table" w:styleId="1101" w:customStyle="1">
    <w:name w:val="List Table 7 Colorful - Accent 2"/>
    <w:uiPriority w:val="0"/>
    <w:qFormat/>
    <w:tblPr>
      <w:tblCellMar>
        <w:left w:w="0" w:type="dxa"/>
        <w:top w:w="0" w:type="dxa"/>
        <w:right w:w="0" w:type="dxa"/>
        <w:bottom w:w="0" w:type="dxa"/>
      </w:tblCellMar>
    </w:tblPr>
  </w:style>
  <w:style w:type="table" w:styleId="1102" w:customStyle="1">
    <w:name w:val="List Table 2 - Accent 6"/>
    <w:uiPriority w:val="0"/>
    <w:qFormat/>
    <w:tblPr>
      <w:tblCellMar>
        <w:left w:w="0" w:type="dxa"/>
        <w:top w:w="0" w:type="dxa"/>
        <w:right w:w="0" w:type="dxa"/>
        <w:bottom w:w="0" w:type="dxa"/>
      </w:tblCellMar>
    </w:tblPr>
  </w:style>
  <w:style w:type="table" w:styleId="1103" w:customStyle="1">
    <w:name w:val="网格型1"/>
    <w:uiPriority w:val="0"/>
    <w:qFormat/>
    <w:tblPr>
      <w:tblCellMar>
        <w:left w:w="0" w:type="dxa"/>
        <w:top w:w="0" w:type="dxa"/>
        <w:right w:w="0" w:type="dxa"/>
        <w:bottom w:w="0" w:type="dxa"/>
      </w:tblCellMar>
    </w:tblPr>
  </w:style>
  <w:style w:type="table" w:styleId="1104" w:customStyle="1">
    <w:name w:val="List Table 2 - Accent 5"/>
    <w:uiPriority w:val="0"/>
    <w:qFormat/>
    <w:tblPr>
      <w:tblCellMar>
        <w:left w:w="0" w:type="dxa"/>
        <w:top w:w="0" w:type="dxa"/>
        <w:right w:w="0" w:type="dxa"/>
        <w:bottom w:w="0" w:type="dxa"/>
      </w:tblCellMar>
    </w:tblPr>
  </w:style>
  <w:style w:type="table" w:styleId="1105" w:customStyle="1">
    <w:name w:val="Grid Table 5 Dark - Accent 2"/>
    <w:uiPriority w:val="0"/>
    <w:qFormat/>
    <w:tblPr>
      <w:tblCellMar>
        <w:left w:w="0" w:type="dxa"/>
        <w:top w:w="0" w:type="dxa"/>
        <w:right w:w="0" w:type="dxa"/>
        <w:bottom w:w="0" w:type="dxa"/>
      </w:tblCellMar>
    </w:tblPr>
  </w:style>
  <w:style w:type="table" w:styleId="1106" w:customStyle="1">
    <w:name w:val="List Table 6 Colorful - Accent 6"/>
    <w:uiPriority w:val="0"/>
    <w:qFormat/>
    <w:tblPr>
      <w:tblCellMar>
        <w:left w:w="0" w:type="dxa"/>
        <w:top w:w="0" w:type="dxa"/>
        <w:right w:w="0" w:type="dxa"/>
        <w:bottom w:w="0" w:type="dxa"/>
      </w:tblCellMar>
    </w:tblPr>
  </w:style>
  <w:style w:type="table" w:styleId="1107" w:customStyle="1">
    <w:name w:val="Grid Table 5 Dark- Accent 1"/>
    <w:uiPriority w:val="0"/>
    <w:qFormat/>
    <w:tblPr>
      <w:tblCellMar>
        <w:left w:w="0" w:type="dxa"/>
        <w:top w:w="0" w:type="dxa"/>
        <w:right w:w="0" w:type="dxa"/>
        <w:bottom w:w="0" w:type="dxa"/>
      </w:tblCellMar>
    </w:tblPr>
  </w:style>
  <w:style w:type="table" w:styleId="1108" w:customStyle="1">
    <w:name w:val="Plain Table 4"/>
    <w:uiPriority w:val="0"/>
    <w:qFormat/>
    <w:tblPr>
      <w:tblCellMar>
        <w:left w:w="0" w:type="dxa"/>
        <w:top w:w="0" w:type="dxa"/>
        <w:right w:w="0" w:type="dxa"/>
        <w:bottom w:w="0" w:type="dxa"/>
      </w:tblCellMar>
    </w:tblPr>
  </w:style>
  <w:style w:type="table" w:styleId="1109" w:customStyle="1">
    <w:name w:val="List Table 2 - Accent 2"/>
    <w:uiPriority w:val="0"/>
    <w:qFormat/>
    <w:tblPr>
      <w:tblCellMar>
        <w:left w:w="0" w:type="dxa"/>
        <w:top w:w="0" w:type="dxa"/>
        <w:right w:w="0" w:type="dxa"/>
        <w:bottom w:w="0" w:type="dxa"/>
      </w:tblCellMar>
    </w:tblPr>
  </w:style>
  <w:style w:type="table" w:styleId="1110" w:customStyle="1">
    <w:name w:val="Plain Table 3"/>
    <w:uiPriority w:val="0"/>
    <w:qFormat/>
    <w:tblPr>
      <w:tblCellMar>
        <w:left w:w="0" w:type="dxa"/>
        <w:top w:w="0" w:type="dxa"/>
        <w:right w:w="0" w:type="dxa"/>
        <w:bottom w:w="0" w:type="dxa"/>
      </w:tblCellMar>
    </w:tblPr>
  </w:style>
  <w:style w:type="table" w:styleId="1111" w:customStyle="1">
    <w:name w:val="Lined - Accent 4"/>
    <w:uiPriority w:val="0"/>
    <w:qFormat/>
    <w:rPr>
      <w:color w:val="404040"/>
    </w:rPr>
    <w:tblPr>
      <w:tblCellMar>
        <w:left w:w="0" w:type="dxa"/>
        <w:top w:w="0" w:type="dxa"/>
        <w:right w:w="0" w:type="dxa"/>
        <w:bottom w:w="0" w:type="dxa"/>
      </w:tblCellMar>
    </w:tblPr>
  </w:style>
  <w:style w:type="table" w:styleId="1112" w:customStyle="1">
    <w:name w:val="Grid Table 4 - Accent 5"/>
    <w:uiPriority w:val="0"/>
    <w:qFormat/>
    <w:tblPr>
      <w:tblCellMar>
        <w:left w:w="0" w:type="dxa"/>
        <w:top w:w="0" w:type="dxa"/>
        <w:right w:w="0" w:type="dxa"/>
        <w:bottom w:w="0" w:type="dxa"/>
      </w:tblCellMar>
    </w:tblPr>
  </w:style>
  <w:style w:type="table" w:styleId="1113" w:customStyle="1">
    <w:name w:val="Lined - Accent 3"/>
    <w:uiPriority w:val="0"/>
    <w:qFormat/>
    <w:rPr>
      <w:color w:val="404040"/>
    </w:rPr>
    <w:tblPr>
      <w:tblCellMar>
        <w:left w:w="0" w:type="dxa"/>
        <w:top w:w="0" w:type="dxa"/>
        <w:right w:w="0" w:type="dxa"/>
        <w:bottom w:w="0" w:type="dxa"/>
      </w:tblCellMar>
    </w:tblPr>
  </w:style>
  <w:style w:type="table" w:styleId="1114" w:customStyle="1">
    <w:name w:val="List Table 3 - Accent 6"/>
    <w:uiPriority w:val="0"/>
    <w:qFormat/>
    <w:tblPr>
      <w:tblCellMar>
        <w:left w:w="0" w:type="dxa"/>
        <w:top w:w="0" w:type="dxa"/>
        <w:right w:w="0" w:type="dxa"/>
        <w:bottom w:w="0" w:type="dxa"/>
      </w:tblCellMar>
    </w:tblPr>
  </w:style>
  <w:style w:type="table" w:styleId="1115" w:customStyle="1">
    <w:name w:val="Plain Table 2"/>
    <w:uiPriority w:val="0"/>
    <w:qFormat/>
    <w:tblPr>
      <w:tblCellMar>
        <w:left w:w="0" w:type="dxa"/>
        <w:top w:w="0" w:type="dxa"/>
        <w:right w:w="0" w:type="dxa"/>
        <w:bottom w:w="0" w:type="dxa"/>
      </w:tblCellMar>
    </w:tblPr>
  </w:style>
  <w:style w:type="table" w:styleId="1116" w:customStyle="1">
    <w:name w:val="List Table 7 Colorful"/>
    <w:uiPriority w:val="0"/>
    <w:qFormat/>
    <w:tblPr>
      <w:tblCellMar>
        <w:left w:w="0" w:type="dxa"/>
        <w:top w:w="0" w:type="dxa"/>
        <w:right w:w="0" w:type="dxa"/>
        <w:bottom w:w="0" w:type="dxa"/>
      </w:tblCellMar>
    </w:tblPr>
  </w:style>
  <w:style w:type="table" w:styleId="1117" w:customStyle="1">
    <w:name w:val="Grid Table 6 Colorful - Accent 2"/>
    <w:uiPriority w:val="0"/>
    <w:qFormat/>
    <w:tblPr>
      <w:tblCellMar>
        <w:left w:w="0" w:type="dxa"/>
        <w:top w:w="0" w:type="dxa"/>
        <w:right w:w="0" w:type="dxa"/>
        <w:bottom w:w="0" w:type="dxa"/>
      </w:tblCellMar>
    </w:tblPr>
  </w:style>
  <w:style w:type="table" w:styleId="1118" w:customStyle="1">
    <w:name w:val="List Table 7 Colorful - Accent 6"/>
    <w:uiPriority w:val="0"/>
    <w:qFormat/>
    <w:tblPr>
      <w:tblCellMar>
        <w:left w:w="0" w:type="dxa"/>
        <w:top w:w="0" w:type="dxa"/>
        <w:right w:w="0" w:type="dxa"/>
        <w:bottom w:w="0" w:type="dxa"/>
      </w:tblCellMar>
    </w:tblPr>
  </w:style>
  <w:style w:type="table" w:styleId="1119" w:customStyle="1">
    <w:name w:val="List Table 2 - Accent 3"/>
    <w:uiPriority w:val="0"/>
    <w:qFormat/>
    <w:tblPr>
      <w:tblCellMar>
        <w:left w:w="0" w:type="dxa"/>
        <w:top w:w="0" w:type="dxa"/>
        <w:right w:w="0" w:type="dxa"/>
        <w:bottom w:w="0" w:type="dxa"/>
      </w:tblCellMar>
    </w:tblPr>
  </w:style>
  <w:style w:type="table" w:styleId="1120" w:customStyle="1">
    <w:name w:val="Grid Table 1 Light - Accent 5"/>
    <w:uiPriority w:val="0"/>
    <w:qFormat/>
    <w:tblPr>
      <w:tblCellMar>
        <w:left w:w="0" w:type="dxa"/>
        <w:top w:w="0" w:type="dxa"/>
        <w:right w:w="0" w:type="dxa"/>
        <w:bottom w:w="0" w:type="dxa"/>
      </w:tblCellMar>
    </w:tblPr>
  </w:style>
  <w:style w:type="table" w:styleId="1121" w:customStyle="1">
    <w:name w:val="List Table 3 - Accent 2"/>
    <w:uiPriority w:val="0"/>
    <w:qFormat/>
    <w:tblPr>
      <w:tblCellMar>
        <w:left w:w="0" w:type="dxa"/>
        <w:top w:w="0" w:type="dxa"/>
        <w:right w:w="0" w:type="dxa"/>
        <w:bottom w:w="0" w:type="dxa"/>
      </w:tblCellMar>
    </w:tblPr>
  </w:style>
  <w:style w:type="table" w:styleId="1122" w:customStyle="1">
    <w:name w:val="Grid Table 4 - Accent 6"/>
    <w:uiPriority w:val="0"/>
    <w:qFormat/>
    <w:tblPr>
      <w:tblCellMar>
        <w:left w:w="0" w:type="dxa"/>
        <w:top w:w="0" w:type="dxa"/>
        <w:right w:w="0" w:type="dxa"/>
        <w:bottom w:w="0" w:type="dxa"/>
      </w:tblCellMar>
    </w:tblPr>
  </w:style>
  <w:style w:type="table" w:styleId="1123" w:customStyle="1">
    <w:name w:val="Lined - Accent 5"/>
    <w:uiPriority w:val="0"/>
    <w:qFormat/>
    <w:rPr>
      <w:color w:val="404040"/>
    </w:rPr>
    <w:tblPr>
      <w:tblCellMar>
        <w:left w:w="0" w:type="dxa"/>
        <w:top w:w="0" w:type="dxa"/>
        <w:right w:w="0" w:type="dxa"/>
        <w:bottom w:w="0" w:type="dxa"/>
      </w:tblCellMar>
    </w:tblPr>
  </w:style>
  <w:style w:type="table" w:styleId="1124" w:customStyle="1">
    <w:name w:val="Grid Table 5 Dark - Accent 5"/>
    <w:uiPriority w:val="0"/>
    <w:qFormat/>
    <w:tblPr>
      <w:tblCellMar>
        <w:left w:w="0" w:type="dxa"/>
        <w:top w:w="0" w:type="dxa"/>
        <w:right w:w="0" w:type="dxa"/>
        <w:bottom w:w="0" w:type="dxa"/>
      </w:tblCellMar>
    </w:tblPr>
  </w:style>
  <w:style w:type="table" w:styleId="1125" w:customStyle="1">
    <w:name w:val="普通表格11"/>
    <w:uiPriority w:val="0"/>
    <w:qFormat/>
    <w:tblPr>
      <w:tblCellMar>
        <w:left w:w="0" w:type="dxa"/>
        <w:top w:w="0" w:type="dxa"/>
        <w:right w:w="0" w:type="dxa"/>
        <w:bottom w:w="0" w:type="dxa"/>
      </w:tblCellMar>
    </w:tblPr>
  </w:style>
  <w:style w:type="table" w:styleId="1126" w:customStyle="1">
    <w:name w:val="List Table 7 Colorful - Accent 5"/>
    <w:uiPriority w:val="0"/>
    <w:qFormat/>
    <w:tblPr>
      <w:tblCellMar>
        <w:left w:w="0" w:type="dxa"/>
        <w:top w:w="0" w:type="dxa"/>
        <w:right w:w="0" w:type="dxa"/>
        <w:bottom w:w="0" w:type="dxa"/>
      </w:tblCellMar>
    </w:tblPr>
  </w:style>
  <w:style w:type="table" w:styleId="1127" w:customStyle="1">
    <w:name w:val="Grid Table 1 Light - Accent 1"/>
    <w:uiPriority w:val="0"/>
    <w:qFormat/>
    <w:tblPr>
      <w:tblCellMar>
        <w:left w:w="0" w:type="dxa"/>
        <w:top w:w="0" w:type="dxa"/>
        <w:right w:w="0" w:type="dxa"/>
        <w:bottom w:w="0" w:type="dxa"/>
      </w:tblCellMar>
    </w:tblPr>
  </w:style>
  <w:style w:type="table" w:styleId="1128" w:customStyle="1">
    <w:name w:val="List Table 7 Colorful - Accent 1"/>
    <w:uiPriority w:val="0"/>
    <w:qFormat/>
    <w:tblPr>
      <w:tblCellMar>
        <w:left w:w="0" w:type="dxa"/>
        <w:top w:w="0" w:type="dxa"/>
        <w:right w:w="0" w:type="dxa"/>
        <w:bottom w:w="0" w:type="dxa"/>
      </w:tblCellMar>
    </w:tblPr>
  </w:style>
  <w:style w:type="table" w:styleId="1129" w:customStyle="1">
    <w:name w:val="List Table 3 - Accent 1"/>
    <w:uiPriority w:val="0"/>
    <w:qFormat/>
    <w:tblPr>
      <w:tblCellMar>
        <w:left w:w="0" w:type="dxa"/>
        <w:top w:w="0" w:type="dxa"/>
        <w:right w:w="0" w:type="dxa"/>
        <w:bottom w:w="0" w:type="dxa"/>
      </w:tblCellMar>
    </w:tblPr>
  </w:style>
  <w:style w:type="table" w:styleId="1130" w:customStyle="1">
    <w:name w:val="Lined - Accent 1"/>
    <w:uiPriority w:val="0"/>
    <w:qFormat/>
    <w:rPr>
      <w:color w:val="404040"/>
    </w:rPr>
    <w:tblPr>
      <w:tblCellMar>
        <w:left w:w="0" w:type="dxa"/>
        <w:top w:w="0" w:type="dxa"/>
        <w:right w:w="0" w:type="dxa"/>
        <w:bottom w:w="0" w:type="dxa"/>
      </w:tblCellMar>
    </w:tblPr>
  </w:style>
  <w:style w:type="table" w:styleId="1131" w:customStyle="1">
    <w:name w:val="List Table 2 - Accent 4"/>
    <w:uiPriority w:val="0"/>
    <w:qFormat/>
    <w:tblPr>
      <w:tblCellMar>
        <w:left w:w="0" w:type="dxa"/>
        <w:top w:w="0" w:type="dxa"/>
        <w:right w:w="0" w:type="dxa"/>
        <w:bottom w:w="0" w:type="dxa"/>
      </w:tblCellMar>
    </w:tblPr>
  </w:style>
  <w:style w:type="table" w:styleId="1132" w:customStyle="1">
    <w:name w:val="Grid Table 5 Dark- Accent 4"/>
    <w:uiPriority w:val="0"/>
    <w:qFormat/>
    <w:tblPr>
      <w:tblCellMar>
        <w:left w:w="0" w:type="dxa"/>
        <w:top w:w="0" w:type="dxa"/>
        <w:right w:w="0" w:type="dxa"/>
        <w:bottom w:w="0" w:type="dxa"/>
      </w:tblCellMar>
    </w:tblPr>
  </w:style>
  <w:style w:type="table" w:styleId="1133" w:customStyle="1">
    <w:name w:val="List Table 3 - Accent 4"/>
    <w:uiPriority w:val="0"/>
    <w:qFormat/>
    <w:tblPr>
      <w:tblCellMar>
        <w:left w:w="0" w:type="dxa"/>
        <w:top w:w="0" w:type="dxa"/>
        <w:right w:w="0" w:type="dxa"/>
        <w:bottom w:w="0" w:type="dxa"/>
      </w:tblCellMar>
    </w:tblPr>
  </w:style>
  <w:style w:type="table" w:styleId="1134" w:customStyle="1">
    <w:name w:val="Grid Table 5 Dark"/>
    <w:uiPriority w:val="0"/>
    <w:qFormat/>
    <w:tblPr>
      <w:tblCellMar>
        <w:left w:w="0" w:type="dxa"/>
        <w:top w:w="0" w:type="dxa"/>
        <w:right w:w="0" w:type="dxa"/>
        <w:bottom w:w="0" w:type="dxa"/>
      </w:tblCellMar>
    </w:tblPr>
  </w:style>
  <w:style w:type="table" w:styleId="1135" w:customStyle="1">
    <w:name w:val="Grid Table 1 Light"/>
    <w:uiPriority w:val="0"/>
    <w:qFormat/>
    <w:tblPr>
      <w:tblCellMar>
        <w:left w:w="0" w:type="dxa"/>
        <w:top w:w="0" w:type="dxa"/>
        <w:right w:w="0" w:type="dxa"/>
        <w:bottom w:w="0" w:type="dxa"/>
      </w:tblCellMar>
    </w:tblPr>
  </w:style>
  <w:style w:type="table" w:styleId="1136" w:customStyle="1">
    <w:name w:val="Grid Table 6 Colorful"/>
    <w:uiPriority w:val="0"/>
    <w:qFormat/>
    <w:tblPr>
      <w:tblCellMar>
        <w:left w:w="0" w:type="dxa"/>
        <w:top w:w="0" w:type="dxa"/>
        <w:right w:w="0" w:type="dxa"/>
        <w:bottom w:w="0" w:type="dxa"/>
      </w:tblCellMar>
    </w:tblPr>
  </w:style>
  <w:style w:type="table" w:styleId="1137" w:customStyle="1">
    <w:name w:val="Table Grid Light"/>
    <w:uiPriority w:val="0"/>
    <w:qFormat/>
    <w:tblPr>
      <w:tblCellMar>
        <w:left w:w="0" w:type="dxa"/>
        <w:top w:w="0" w:type="dxa"/>
        <w:right w:w="0" w:type="dxa"/>
        <w:bottom w:w="0" w:type="dxa"/>
      </w:tblCellMar>
    </w:tblPr>
  </w:style>
  <w:style w:type="table" w:styleId="1138" w:customStyle="1">
    <w:name w:val="Bordered - Accent 1"/>
    <w:uiPriority w:val="0"/>
    <w:qFormat/>
    <w:tblPr>
      <w:tblCellMar>
        <w:left w:w="0" w:type="dxa"/>
        <w:top w:w="0" w:type="dxa"/>
        <w:right w:w="0" w:type="dxa"/>
        <w:bottom w:w="0" w:type="dxa"/>
      </w:tblCellMar>
    </w:tblPr>
  </w:style>
  <w:style w:type="table" w:styleId="1139" w:customStyle="1">
    <w:name w:val="Grid Table 1 Light - Accent 3"/>
    <w:uiPriority w:val="0"/>
    <w:qFormat/>
    <w:tblPr>
      <w:tblCellMar>
        <w:left w:w="0" w:type="dxa"/>
        <w:top w:w="0" w:type="dxa"/>
        <w:right w:w="0" w:type="dxa"/>
        <w:bottom w:w="0" w:type="dxa"/>
      </w:tblCellMar>
    </w:tblPr>
  </w:style>
  <w:style w:type="table" w:styleId="1140" w:customStyle="1">
    <w:name w:val="List Table 6 Colorful"/>
    <w:uiPriority w:val="0"/>
    <w:qFormat/>
    <w:tblPr>
      <w:tblCellMar>
        <w:left w:w="0" w:type="dxa"/>
        <w:top w:w="0" w:type="dxa"/>
        <w:right w:w="0" w:type="dxa"/>
        <w:bottom w:w="0" w:type="dxa"/>
      </w:tblCellMar>
    </w:tblPr>
  </w:style>
  <w:style w:type="table" w:styleId="1141" w:customStyle="1">
    <w:name w:val="List Table 4 - Accent 6"/>
    <w:uiPriority w:val="0"/>
    <w:qFormat/>
    <w:tblPr>
      <w:tblCellMar>
        <w:left w:w="0" w:type="dxa"/>
        <w:top w:w="0" w:type="dxa"/>
        <w:right w:w="0" w:type="dxa"/>
        <w:bottom w:w="0" w:type="dxa"/>
      </w:tblCellMar>
    </w:tblPr>
  </w:style>
  <w:style w:type="table" w:styleId="1142" w:customStyle="1">
    <w:name w:val="Bordered &amp; Lined - Accent 4"/>
    <w:uiPriority w:val="0"/>
    <w:qFormat/>
    <w:rPr>
      <w:color w:val="404040"/>
    </w:rPr>
    <w:tblPr>
      <w:tblCellMar>
        <w:left w:w="0" w:type="dxa"/>
        <w:top w:w="0" w:type="dxa"/>
        <w:right w:w="0" w:type="dxa"/>
        <w:bottom w:w="0" w:type="dxa"/>
      </w:tblCellMar>
    </w:tblPr>
  </w:style>
  <w:style w:type="table" w:styleId="1143" w:customStyle="1">
    <w:name w:val="List Table 1 Light - Accent 3"/>
    <w:uiPriority w:val="0"/>
    <w:qFormat/>
    <w:tblPr>
      <w:tblCellMar>
        <w:left w:w="0" w:type="dxa"/>
        <w:top w:w="0" w:type="dxa"/>
        <w:right w:w="0" w:type="dxa"/>
        <w:bottom w:w="0" w:type="dxa"/>
      </w:tblCellMar>
    </w:tblPr>
  </w:style>
  <w:style w:type="table" w:styleId="1144" w:customStyle="1">
    <w:name w:val="Grid Table 7 Colorful - Accent 2"/>
    <w:uiPriority w:val="0"/>
    <w:qFormat/>
    <w:tblPr>
      <w:tblCellMar>
        <w:left w:w="0" w:type="dxa"/>
        <w:top w:w="0" w:type="dxa"/>
        <w:right w:w="0" w:type="dxa"/>
        <w:bottom w:w="0" w:type="dxa"/>
      </w:tblCellMar>
    </w:tblPr>
  </w:style>
  <w:style w:type="table" w:styleId="1145" w:customStyle="1">
    <w:name w:val="List Table 4"/>
    <w:uiPriority w:val="0"/>
    <w:qFormat/>
    <w:tblPr>
      <w:tblCellMar>
        <w:left w:w="0" w:type="dxa"/>
        <w:top w:w="0" w:type="dxa"/>
        <w:right w:w="0" w:type="dxa"/>
        <w:bottom w:w="0" w:type="dxa"/>
      </w:tblCellMar>
    </w:tblPr>
  </w:style>
  <w:style w:type="table" w:styleId="1146" w:customStyle="1">
    <w:name w:val="Grid Table 2 - Accent 5"/>
    <w:uiPriority w:val="0"/>
    <w:qFormat/>
    <w:tblPr>
      <w:tblCellMar>
        <w:left w:w="0" w:type="dxa"/>
        <w:top w:w="0" w:type="dxa"/>
        <w:right w:w="0" w:type="dxa"/>
        <w:bottom w:w="0" w:type="dxa"/>
      </w:tblCellMar>
    </w:tblPr>
  </w:style>
  <w:style w:type="table" w:styleId="1147" w:customStyle="1">
    <w:name w:val="Grid Table 6 Colorful - Accent 3"/>
    <w:uiPriority w:val="0"/>
    <w:qFormat/>
    <w:tblPr>
      <w:tblCellMar>
        <w:left w:w="0" w:type="dxa"/>
        <w:top w:w="0" w:type="dxa"/>
        <w:right w:w="0" w:type="dxa"/>
        <w:bottom w:w="0" w:type="dxa"/>
      </w:tblCellMar>
    </w:tblPr>
  </w:style>
  <w:style w:type="table" w:styleId="1148" w:customStyle="1">
    <w:name w:val="Bordered &amp; Lined - Accent 3"/>
    <w:uiPriority w:val="0"/>
    <w:qFormat/>
    <w:rPr>
      <w:color w:val="404040"/>
    </w:rPr>
    <w:tblPr>
      <w:tblCellMar>
        <w:left w:w="0" w:type="dxa"/>
        <w:top w:w="0" w:type="dxa"/>
        <w:right w:w="0" w:type="dxa"/>
        <w:bottom w:w="0" w:type="dxa"/>
      </w:tblCellMar>
    </w:tblPr>
  </w:style>
  <w:style w:type="table" w:styleId="1149" w:customStyle="1">
    <w:name w:val="Grid Table 1 Light - Accent 6"/>
    <w:uiPriority w:val="0"/>
    <w:qFormat/>
    <w:tblPr>
      <w:tblCellMar>
        <w:left w:w="0" w:type="dxa"/>
        <w:top w:w="0" w:type="dxa"/>
        <w:right w:w="0" w:type="dxa"/>
        <w:bottom w:w="0" w:type="dxa"/>
      </w:tblCellMar>
    </w:tblPr>
  </w:style>
  <w:style w:type="table" w:styleId="1150" w:customStyle="1">
    <w:name w:val="List Table 5 Dark - Accent 1"/>
    <w:uiPriority w:val="0"/>
    <w:qFormat/>
    <w:tblPr>
      <w:tblCellMar>
        <w:left w:w="0" w:type="dxa"/>
        <w:top w:w="0" w:type="dxa"/>
        <w:right w:w="0" w:type="dxa"/>
        <w:bottom w:w="0" w:type="dxa"/>
      </w:tblCellMar>
    </w:tblPr>
  </w:style>
  <w:style w:type="table" w:styleId="1151" w:customStyle="1">
    <w:name w:val="Bordered &amp; Lined - Accent 5"/>
    <w:uiPriority w:val="0"/>
    <w:qFormat/>
    <w:rPr>
      <w:color w:val="404040"/>
    </w:rPr>
    <w:tblPr>
      <w:tblCellMar>
        <w:left w:w="0" w:type="dxa"/>
        <w:top w:w="0" w:type="dxa"/>
        <w:right w:w="0" w:type="dxa"/>
        <w:bottom w:w="0" w:type="dxa"/>
      </w:tblCellMar>
    </w:tblPr>
  </w:style>
  <w:style w:type="table" w:styleId="1152" w:customStyle="1">
    <w:name w:val="Grid Table 7 Colorful - Accent 4"/>
    <w:uiPriority w:val="0"/>
    <w:qFormat/>
    <w:tblPr>
      <w:tblCellMar>
        <w:left w:w="0" w:type="dxa"/>
        <w:top w:w="0" w:type="dxa"/>
        <w:right w:w="0" w:type="dxa"/>
        <w:bottom w:w="0" w:type="dxa"/>
      </w:tblCellMar>
    </w:tblPr>
  </w:style>
  <w:style w:type="table" w:styleId="1153" w:customStyle="1">
    <w:name w:val="List Table 4 - Accent 2"/>
    <w:uiPriority w:val="0"/>
    <w:qFormat/>
    <w:tblPr>
      <w:tblCellMar>
        <w:left w:w="0" w:type="dxa"/>
        <w:top w:w="0" w:type="dxa"/>
        <w:right w:w="0" w:type="dxa"/>
        <w:bottom w:w="0" w:type="dxa"/>
      </w:tblCellMar>
    </w:tblPr>
  </w:style>
  <w:style w:type="table" w:styleId="1154" w:customStyle="1">
    <w:name w:val="Grid Table 3"/>
    <w:uiPriority w:val="0"/>
    <w:qFormat/>
    <w:tblPr>
      <w:tblCellMar>
        <w:left w:w="0" w:type="dxa"/>
        <w:top w:w="0" w:type="dxa"/>
        <w:right w:w="0" w:type="dxa"/>
        <w:bottom w:w="0" w:type="dxa"/>
      </w:tblCellMar>
    </w:tblPr>
  </w:style>
  <w:style w:type="table" w:styleId="1155" w:customStyle="1">
    <w:name w:val="Grid Table 6 Colorful - Accent 5"/>
    <w:uiPriority w:val="0"/>
    <w:qFormat/>
    <w:tblPr>
      <w:tblCellMar>
        <w:left w:w="0" w:type="dxa"/>
        <w:top w:w="0" w:type="dxa"/>
        <w:right w:w="0" w:type="dxa"/>
        <w:bottom w:w="0" w:type="dxa"/>
      </w:tblCellMar>
    </w:tblPr>
  </w:style>
  <w:style w:type="table" w:styleId="1156" w:customStyle="1">
    <w:name w:val="Lined - Accent 2"/>
    <w:uiPriority w:val="0"/>
    <w:qFormat/>
    <w:rPr>
      <w:color w:val="404040"/>
    </w:rPr>
    <w:tblPr>
      <w:tblCellMar>
        <w:left w:w="0" w:type="dxa"/>
        <w:top w:w="0" w:type="dxa"/>
        <w:right w:w="0" w:type="dxa"/>
        <w:bottom w:w="0" w:type="dxa"/>
      </w:tblCellMar>
    </w:tblPr>
  </w:style>
  <w:style w:type="table" w:styleId="1157" w:customStyle="1">
    <w:name w:val="Grid Table 2 - Accent 1"/>
    <w:uiPriority w:val="0"/>
    <w:qFormat/>
    <w:tblPr>
      <w:tblCellMar>
        <w:left w:w="0" w:type="dxa"/>
        <w:top w:w="0" w:type="dxa"/>
        <w:right w:w="0" w:type="dxa"/>
        <w:bottom w:w="0" w:type="dxa"/>
      </w:tblCellMar>
    </w:tblPr>
  </w:style>
  <w:style w:type="table" w:styleId="1158" w:customStyle="1">
    <w:name w:val="List Table 3 - Accent 5"/>
    <w:uiPriority w:val="0"/>
    <w:qFormat/>
    <w:tblPr>
      <w:tblCellMar>
        <w:left w:w="0" w:type="dxa"/>
        <w:top w:w="0" w:type="dxa"/>
        <w:right w:w="0" w:type="dxa"/>
        <w:bottom w:w="0" w:type="dxa"/>
      </w:tblCellMar>
    </w:tblPr>
  </w:style>
  <w:style w:type="table" w:styleId="1159" w:customStyle="1">
    <w:name w:val="List Table 5 Dark - Accent 5"/>
    <w:uiPriority w:val="0"/>
    <w:qFormat/>
    <w:tblPr>
      <w:tblCellMar>
        <w:left w:w="0" w:type="dxa"/>
        <w:top w:w="0" w:type="dxa"/>
        <w:right w:w="0" w:type="dxa"/>
        <w:bottom w:w="0" w:type="dxa"/>
      </w:tblCellMar>
    </w:tblPr>
  </w:style>
  <w:style w:type="table" w:styleId="1160" w:customStyle="1">
    <w:name w:val="Grid Table 6 Colorful - Accent 1"/>
    <w:uiPriority w:val="0"/>
    <w:qFormat/>
    <w:tblPr>
      <w:tblCellMar>
        <w:left w:w="0" w:type="dxa"/>
        <w:top w:w="0" w:type="dxa"/>
        <w:right w:w="0" w:type="dxa"/>
        <w:bottom w:w="0" w:type="dxa"/>
      </w:tblCellMar>
    </w:tblPr>
  </w:style>
  <w:style w:type="paragraph" w:styleId="1161" w:customStyle="1">
    <w:name w:val="标题 311"/>
    <w:basedOn w:val="796"/>
    <w:next w:val="796"/>
    <w:uiPriority w:val="0"/>
    <w:qFormat/>
    <w:pPr>
      <w:numPr>
        <w:ilvl w:val="2"/>
        <w:numId w:val="12"/>
      </w:numPr>
      <w:spacing w:before="120" w:line="360" w:lineRule="auto"/>
      <w:tabs>
        <w:tab w:val="left" w:pos="900" w:leader="none"/>
      </w:tabs>
      <w:outlineLvl w:val="2"/>
    </w:pPr>
    <w:rPr>
      <w:rFonts w:eastAsia="黑体"/>
      <w:b/>
      <w:sz w:val="28"/>
      <w:szCs w:val="20"/>
    </w:rPr>
  </w:style>
  <w:style w:type="paragraph" w:styleId="1162" w:customStyle="1">
    <w:name w:val="列出段落"/>
    <w:basedOn w:val="796"/>
    <w:uiPriority w:val="34"/>
    <w:qFormat/>
    <w:pPr>
      <w:ind w:firstLine="420"/>
      <w:jc w:val="left"/>
      <w:spacing w:line="360" w:lineRule="atLeast"/>
    </w:pPr>
    <w:rPr>
      <w:sz w:val="24"/>
    </w:rPr>
  </w:style>
  <w:style w:type="character" w:styleId="1163" w:customStyle="1">
    <w:name w:val="font61"/>
    <w:basedOn w:val="806"/>
    <w:uiPriority w:val="0"/>
    <w:qFormat/>
    <w:rPr>
      <w:rFonts w:hint="eastAsia" w:ascii="仿宋" w:hAnsi="仿宋" w:eastAsia="仿宋" w:cs="仿宋"/>
      <w:color w:val="auto"/>
      <w:sz w:val="24"/>
      <w:szCs w:val="24"/>
      <w:u w:val="none"/>
    </w:rPr>
  </w:style>
  <w:style w:type="character" w:styleId="1164" w:customStyle="1">
    <w:name w:val="font51"/>
    <w:basedOn w:val="806"/>
    <w:uiPriority w:val="0"/>
    <w:qFormat/>
    <w:rPr>
      <w:rFonts w:hint="eastAsia" w:ascii="仿宋" w:hAnsi="仿宋" w:eastAsia="仿宋" w:cs="仿宋"/>
      <w:color w:val="000000"/>
      <w:sz w:val="24"/>
      <w:szCs w:val="24"/>
      <w:u w:val="none"/>
    </w:rPr>
  </w:style>
  <w:style w:type="character" w:styleId="1165" w:customStyle="1">
    <w:name w:val="font81"/>
    <w:basedOn w:val="806"/>
    <w:uiPriority w:val="0"/>
    <w:qFormat/>
    <w:rPr>
      <w:rFonts w:hint="eastAsia" w:ascii="仿宋" w:hAnsi="仿宋" w:eastAsia="仿宋" w:cs="仿宋"/>
      <w:color w:val="auto"/>
      <w:sz w:val="24"/>
      <w:szCs w:val="24"/>
      <w:u w:val="none"/>
    </w:rPr>
  </w:style>
  <w:style w:type="numbering" w:styleId="11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沈苗苗</cp:lastModifiedBy>
  <cp:revision>9</cp:revision>
  <dcterms:created xsi:type="dcterms:W3CDTF">2024-05-04T01:42:00Z</dcterms:created>
  <dcterms:modified xsi:type="dcterms:W3CDTF">2026-05-22T03:22:24Z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F7FA65A4D8BA4FB5B1DF9060F705C506_13</vt:lpwstr>
  </property>
  <property fmtid="{D5CDD505-2E9C-101B-9397-08002B2CF9AE}" pid="4" name="KSOTemplateDocerSaveRecord">
    <vt:lpwstr>eyJoZGlkIjoiYmNhZjE3OTZjYTQ0NDJjZmFkNDhkYjEyOTI4Y2U1ZTYiLCJ1c2VySWQiOiI1NTUxMjg4NzIifQ==</vt:lpwstr>
  </property>
</Properties>
</file>