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val="0"/>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1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left="2244" w:hanging="1606"/>
        <w:jc w:val="left"/>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徐州市云龙区垃圾资源化转运及处理建设项目-设备设施采购</w:t>
      </w:r>
      <w:r/>
    </w:p>
    <w:p>
      <w:pPr>
        <w:ind w:firstLine="643"/>
        <w:jc w:val="left"/>
        <w:keepLines w:val="0"/>
        <w:keepNext w:val="0"/>
        <w:spacing w:line="360" w:lineRule="auto"/>
        <w:rPr>
          <w:rFonts w:hint="eastAsia" w:ascii="宋体" w:hAnsi="宋体" w:eastAsia="宋体" w:cs="宋体"/>
          <w:b/>
          <w:bCs/>
          <w:color w:val="auto"/>
          <w:sz w:val="32"/>
          <w:szCs w:val="32"/>
          <w:highlight w:val="yellow"/>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JSZC-320303-JZGC-C2026-0002</w:t>
      </w:r>
      <w:r/>
    </w:p>
    <w:p>
      <w:pPr>
        <w:pStyle w:val="816"/>
        <w:ind w:firstLine="643"/>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徐州市云龙区城市管理局</w:t>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val="0"/>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玖洲工程项目管理(徐州)有限公司</w:t>
      </w:r>
      <w:r/>
    </w:p>
    <w:p>
      <w:pPr>
        <w:pStyle w:val="816"/>
        <w:keepLines w:val="0"/>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77"/>
        <w:ind w:firstLine="0"/>
        <w:jc w:val="center"/>
        <w:keepLines w:val="0"/>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月</w:t>
      </w:r>
      <w:r/>
    </w:p>
    <w:p>
      <w:pPr>
        <w:pStyle w:val="877"/>
        <w:ind w:firstLine="0"/>
        <w:jc w:val="center"/>
        <w:keepLines w:val="0"/>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77"/>
        <w:ind w:firstLine="0"/>
        <w:jc w:val="center"/>
        <w:keepLines w:val="0"/>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玖洲工程项目管理(徐州)有限公司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徐州市云龙区垃圾资源化转运及处理建设项目-设备设施采购</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徐州市云龙区垃圾资源化转运及处理建设项目-设备设施采购</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t xml:space="preserve">JSZC-320303-JZGC-C2026-0002</w:t>
      </w:r>
      <w:r>
        <w:rPr>
          <w:rFonts w:hint="eastAsia" w:ascii="宋体" w:hAnsi="宋体" w:cs="宋体"/>
          <w:color w:val="auto"/>
          <w:sz w:val="24"/>
          <w:highlight w:val="none"/>
          <w:lang w:eastAsia="zh-CN"/>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keepLines w:val="0"/>
        <w:keepNext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1.投标截止时间：</w:t>
      </w:r>
      <w:r>
        <w:rPr>
          <w:rFonts w:hint="eastAsia" w:ascii="宋体" w:hAnsi="宋体" w:cs="宋体"/>
          <w:color w:val="auto"/>
          <w:sz w:val="24"/>
          <w:highlight w:val="white"/>
          <w:lang w:eastAsia="zh-CN"/>
        </w:rPr>
        <w:t xml:space="preserve">2026年6月18日北京时间09:30</w:t>
      </w:r>
      <w:r/>
    </w:p>
    <w:p>
      <w:pPr>
        <w:ind w:firstLine="480"/>
        <w:keepLines w:val="0"/>
        <w:keepNext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white"/>
        </w:rPr>
        <w:t xml:space="preserve">2.开标时间：</w:t>
      </w:r>
      <w:r>
        <w:rPr>
          <w:rFonts w:hint="eastAsia" w:ascii="宋体" w:hAnsi="宋体" w:cs="宋体"/>
          <w:color w:val="auto"/>
          <w:sz w:val="24"/>
          <w:highlight w:val="white"/>
          <w:lang w:eastAsia="zh-CN"/>
        </w:rPr>
        <w:t xml:space="preserve">2026年6月18日北京时间09:30</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）-业务工作-用户登录，点击“苏采云”进入系统“开标大厅”。</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1.名称:徐州市云龙区城市管理局</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2.地址:江苏省徐州市云龙区淮海文博园18号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3.采购项目联系人:</w:t>
      </w:r>
      <w:r>
        <w:rPr>
          <w:rFonts w:hint="eastAsia" w:ascii="宋体" w:hAnsi="宋体" w:eastAsia="宋体" w:cs="宋体"/>
          <w:color w:val="auto"/>
          <w:sz w:val="24"/>
          <w:highlight w:val="none"/>
          <w:lang w:val="en-US" w:eastAsia="zh-CN"/>
        </w:rPr>
        <w:t xml:space="preserve">赵晨</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4.电话:</w:t>
      </w:r>
      <w:r>
        <w:rPr>
          <w:rFonts w:hint="eastAsia" w:ascii="宋体" w:hAnsi="宋体" w:eastAsia="宋体" w:cs="宋体"/>
          <w:color w:val="auto"/>
          <w:sz w:val="24"/>
          <w:highlight w:val="none"/>
          <w:lang w:val="en-US" w:eastAsia="zh-CN"/>
        </w:rPr>
        <w:t xml:space="preserve">0516-85901090</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玖洲工程项目管理(徐州)有限公司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江苏省徐州市云龙区沂蒙路18号淮海经济区金融服务中心六区5号楼-603</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联系方法：15162080101</w:t>
      </w:r>
      <w:r>
        <w:rPr>
          <w:rFonts w:hint="eastAsia" w:ascii="宋体" w:hAnsi="宋体" w:cs="宋体"/>
          <w:color w:val="auto"/>
          <w:sz w:val="24"/>
          <w:highlight w:val="none"/>
          <w:lang w:val="en-US" w:eastAsia="zh-CN"/>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cs="宋体"/>
          <w:color w:val="auto"/>
          <w:sz w:val="24"/>
          <w:highlight w:val="none"/>
          <w:lang w:eastAsia="zh-CN"/>
        </w:rPr>
        <w:t xml:space="preserve">谢梅梅</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28"/>
          <w:szCs w:val="28"/>
          <w:highlight w:val="none"/>
        </w:rPr>
        <w:t xml:space="preserve">第二章  投标人须知</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四、开标、评标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五、中标和合同</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六、询问和质疑</w:t>
      </w:r>
      <w:r/>
    </w:p>
    <w:p>
      <w:pPr>
        <w:keepLines w:val="0"/>
        <w:keepNext w:val="0"/>
        <w:spacing w:line="360" w:lineRule="auto"/>
        <w:rPr>
          <w:rFonts w:hint="eastAsia" w:ascii="宋体" w:hAnsi="宋体" w:eastAsia="宋体" w:cs="宋体"/>
          <w:color w:val="auto"/>
          <w:sz w:val="28"/>
          <w:szCs w:val="28"/>
          <w:highlight w:val="none"/>
          <w:lang w:val="en-US" w:eastAsia="zh-CN"/>
        </w:rPr>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8"/>
          <w:szCs w:val="28"/>
          <w:highlight w:val="none"/>
          <w:lang w:val="en-US" w:eastAsia="zh-CN"/>
        </w:rPr>
        <w:t xml:space="preserve">七、电子招标投标交易平台</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一、总则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.不具备招标文件中规定的资格要求的；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1.投标(响应)报价低于采购项目预算50%的，即投标(响应)报价&lt;采购项目预算×50%；</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2.投标(响应)报价低于采购项目最高限价45%的，即投标(响应)报价&lt;采购项目最高限价×45%；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或者提供的书面说明、证明材料不能证明其报价合理性的，评审委员会应当将其作为无效投标(响应)处理。审查相关情况应当在评审报告中进行记录。</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（财库〔2015〕124号文件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六、定标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七、政府采购合同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八、询问和质疑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67"/>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09"/>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条款项号</w:t>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本项目采购人：</w:t>
            </w:r>
            <w:r>
              <w:rPr>
                <w:rFonts w:hint="eastAsia" w:ascii="宋体" w:hAnsi="宋体" w:cs="宋体"/>
                <w:color w:val="000000" w:themeColor="text1"/>
                <w:sz w:val="24"/>
                <w:szCs w:val="24"/>
                <w:highlight w:val="none"/>
                <w:lang w:eastAsia="zh-CN"/>
                <w14:textFill>
                  <w14:solidFill>
                    <w14:schemeClr w14:val="tx1"/>
                  </w14:solidFill>
                </w14:textFill>
              </w:rPr>
              <w:t xml:space="preserve">徐州市云龙区城市管理局</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本次采购采用的政府采购方式：公开招标。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玖洲工程项目管理(徐州)有限公司</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采购项目预算金额</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235万元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本项目对样品的要求：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90天。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招标文件售价：免费。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采购代理机构代理费用的收取标准和方式：按照徐州市政府采购协会发布的《徐州市政府采购代理服务行业收费指导价》标准的90%计取。根据苏财规（2026）1号文件相关规定，</w:t>
            </w:r>
            <w:bookmarkStart w:id="4" w:name="_GoBack"/>
            <w:r/>
            <w:bookmarkEnd w:id="4"/>
            <w:r>
              <w:rPr>
                <w:rFonts w:ascii="宋体" w:hAnsi="宋体" w:eastAsia="宋体" w:cs="宋体"/>
                <w:color w:val="000000" w:themeColor="text1"/>
                <w:sz w:val="24"/>
                <w14:textFill>
                  <w14:solidFill>
                    <w14:schemeClr w14:val="tx1"/>
                  </w14:solidFill>
                </w14:textFill>
              </w:rPr>
              <w:t xml:space="preserve">本项目代理服务费、专家评审费用已纳进本项目预算，由采购人支付。</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现场考察：不组织现场考察。</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开标前答疑会：不召开开标前答疑会。</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w:t>
            </w:r>
            <w:r/>
          </w:p>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000000" w:themeColor="text1"/>
                <w:sz w:val="24"/>
                <w:szCs w:val="24"/>
                <w:highlight w:val="none"/>
                <w14:textFill>
                  <w14:solidFill>
                    <w14:schemeClr w14:val="tx1"/>
                  </w14:solidFill>
                </w14:textFill>
              </w:rPr>
              <w:t xml:space="preserve">发布本项目的“</w:t>
            </w:r>
            <w:r>
              <w:rPr>
                <w:rFonts w:hint="eastAsia" w:ascii="宋体" w:hAnsi="宋体" w:eastAsia="宋体" w:cs="宋体"/>
                <w:color w:val="000000" w:themeColor="text1"/>
                <w:sz w:val="24"/>
                <w:szCs w:val="24"/>
                <w:highlight w:val="none"/>
                <w14:textFill>
                  <w14:solidFill>
                    <w14:schemeClr w14:val="tx1"/>
                  </w14:solidFill>
                </w14:textFill>
              </w:rPr>
              <w:t xml:space="preserve">终止公告</w:t>
            </w:r>
            <w:r>
              <w:rPr>
                <w:rFonts w:hint="eastAsia" w:ascii="宋体" w:hAnsi="宋体" w:eastAsia="宋体" w:cs="宋体"/>
                <w:bCs/>
                <w:color w:val="000000" w:themeColor="text1"/>
                <w:sz w:val="24"/>
                <w:szCs w:val="24"/>
                <w:highlight w:val="none"/>
                <w14:textFill>
                  <w14:solidFill>
                    <w14:schemeClr w14:val="tx1"/>
                  </w14:solidFill>
                </w14:textFill>
              </w:rPr>
              <w:t xml:space="preserve">”后采购代理机构已尽通知义务。敬请各潜在投标人关注本项目的“</w:t>
            </w:r>
            <w:r>
              <w:rPr>
                <w:rFonts w:hint="eastAsia" w:ascii="宋体" w:hAnsi="宋体" w:eastAsia="宋体" w:cs="宋体"/>
                <w:color w:val="000000" w:themeColor="text1"/>
                <w:sz w:val="24"/>
                <w:szCs w:val="24"/>
                <w:highlight w:val="none"/>
                <w14:textFill>
                  <w14:solidFill>
                    <w14:schemeClr w14:val="tx1"/>
                  </w14:solidFill>
                </w14:textFill>
              </w:rPr>
              <w:t xml:space="preserve">终止公告</w:t>
            </w:r>
            <w:r>
              <w:rPr>
                <w:rFonts w:hint="eastAsia" w:ascii="宋体" w:hAnsi="宋体" w:eastAsia="宋体" w:cs="宋体"/>
                <w:bCs/>
                <w:color w:val="000000" w:themeColor="text1"/>
                <w:sz w:val="24"/>
                <w:szCs w:val="24"/>
                <w:highlight w:val="none"/>
                <w14:textFill>
                  <w14:solidFill>
                    <w14:schemeClr w14:val="tx1"/>
                  </w14:solidFill>
                </w14:textFill>
              </w:rPr>
              <w:t xml:space="preserve">”，否则，将自行承担相应的风险。</w:t>
            </w:r>
            <w:r/>
          </w:p>
        </w:tc>
      </w:tr>
      <w:tr>
        <w:trPr>
          <w:trHeight w:val="28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投标人信用信息查询渠道及截止时点、信用信息查询记录和证据留存的具体方式、信用信息的使用规则等：</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由采购人查询信用信息。</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二、查询渠道：</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“信用中国”网（www.creditchina.gov.cn）；</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“信用江苏”网（http://credit.jiangsu.gov.cn）；</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“信用中国（江苏徐州）”网（www.xuzhoucredit.gov.cn）；</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三、截止时点（查询环节）：资格审查结束前。</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四、信用信息查询记录和证据留存的具体方式：</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网页截屏打印，与其他采购文件一并保存。</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五、信用信息的使用规则：</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投标人的资格要求：</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符合《中华人民共和国政府采购法》第二十二条规定；</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val="0"/>
                <w:color w:val="000000" w:themeColor="text1"/>
                <w:sz w:val="24"/>
                <w:szCs w:val="24"/>
                <w:highlight w:val="none"/>
                <w14:textFill>
                  <w14:solidFill>
                    <w14:schemeClr w14:val="tx1"/>
                  </w14:solidFill>
                </w14:textFill>
              </w:rPr>
              <w:t xml:space="preserve">属于专门面向中小微企业采购的项目。</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w:t>
            </w:r>
            <w:r/>
          </w:p>
          <w:p>
            <w:pPr>
              <w:ind w:left="0" w:right="0" w:firstLine="0"/>
              <w:jc w:val="both"/>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ind w:left="0" w:righ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14:textFill>
                  <w14:solidFill>
                    <w14:schemeClr w14:val="tx1"/>
                  </w14:solidFill>
                </w14:textFill>
              </w:rPr>
              <w:t xml:space="preserve">本项目</w:t>
            </w:r>
            <w:r>
              <w:rPr>
                <w:rFonts w:hint="eastAsia" w:ascii="宋体" w:hAnsi="宋体" w:cs="宋体"/>
                <w:b w:val="0"/>
                <w:bCs w:val="0"/>
                <w:color w:val="000000" w:themeColor="text1"/>
                <w:sz w:val="24"/>
                <w:szCs w:val="24"/>
                <w:lang w:val="en-US" w:eastAsia="zh-CN"/>
                <w14:textFill>
                  <w14:solidFill>
                    <w14:schemeClr w14:val="tx1"/>
                  </w14:solidFill>
                </w14:textFill>
              </w:rPr>
              <w:t xml:space="preserve">不</w:t>
            </w:r>
            <w:r>
              <w:rPr>
                <w:rFonts w:hint="eastAsia" w:ascii="宋体" w:hAnsi="宋体" w:eastAsia="宋体" w:cs="宋体"/>
                <w:b w:val="0"/>
                <w:bCs w:val="0"/>
                <w:color w:val="000000" w:themeColor="text1"/>
                <w:sz w:val="24"/>
                <w:szCs w:val="24"/>
                <w14:textFill>
                  <w14:solidFill>
                    <w14:schemeClr w14:val="tx1"/>
                  </w14:solidFill>
                </w14:textFill>
              </w:rPr>
              <w:t xml:space="preserve">接受联合体投标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"http://jszfcg.jsczt.cn/"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w:t>
            </w:r>
            <w:bookmarkStart w:id="0" w:name="_Hlt91509263"/>
            <w:r/>
            <w:bookmarkStart w:id="1" w:name="_Hlt91509264"/>
            <w:r>
              <w:rPr>
                <w:rFonts w:hint="eastAsia" w:ascii="宋体" w:hAnsi="宋体" w:eastAsia="宋体" w:cs="宋体"/>
                <w:bCs/>
                <w:color w:val="000000" w:themeColor="text1"/>
                <w:sz w:val="24"/>
                <w:szCs w:val="24"/>
                <w:highlight w:val="none"/>
                <w14:textFill>
                  <w14:solidFill>
                    <w14:schemeClr w14:val="tx1"/>
                  </w14:solidFill>
                </w14:textFill>
              </w:rPr>
              <w:t xml:space="preserve">z</w:t>
            </w:r>
            <w:bookmarkEnd w:id="0"/>
            <w:r/>
            <w:bookmarkEnd w:id="1"/>
            <w:r>
              <w:rPr>
                <w:rFonts w:hint="eastAsia" w:ascii="宋体" w:hAnsi="宋体" w:eastAsia="宋体" w:cs="宋体"/>
                <w:bCs/>
                <w:color w:val="000000" w:themeColor="text1"/>
                <w:sz w:val="24"/>
                <w:szCs w:val="24"/>
                <w:highlight w:val="none"/>
                <w14:textFill>
                  <w14:solidFill>
                    <w14:schemeClr w14:val="tx1"/>
                  </w14:solidFill>
                </w14:textFill>
              </w:rPr>
              <w:t xml:space="preserve">t.cn/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投标文件编制要求：</w:t>
            </w:r>
            <w:r>
              <w:rPr>
                <w:rFonts w:hint="eastAsia" w:ascii="宋体" w:hAnsi="宋体" w:eastAsia="宋体" w:cs="宋体"/>
                <w:b/>
                <w:bCs/>
                <w:color w:val="000000" w:themeColor="text1"/>
                <w:sz w:val="24"/>
                <w:szCs w:val="24"/>
                <w:highlight w:val="none"/>
                <w14:textFill>
                  <w14:solidFill>
                    <w14:schemeClr w14:val="tx1"/>
                  </w14:solidFill>
                </w14:textFill>
              </w:rPr>
              <w:t xml:space="preserve">（以电子采购文件提供的格式和要求为准）</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基本目录</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《开标一览表》（加盖电子签章，政府采购客户端工具输入报价自动生成，）；</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资格条件</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必须提供，否则投标将被拒绝）</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投标人合法有效的法人或者其他组织的营业执照等证明文件，自然人的身份证明，以上证明文件提供原件的扫描件</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至少提供：</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投标人的提交首次投标文件时间前6个月内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（不含“首次投标文件提交的截止时间”当月）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任何日期的资产负债表和利润表月报表扫描件各一份；或投标人基本开户银行出具的有效的资信证明扫描件；或其上一年度经审计的财务报告扫描件；</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3、投标人的提交首次投标文件时间前6个月内任何1月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（不含“首次投标文件提交的截止时间”当月）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依法缴纳税收和社会保障资金的相关材料扫描件各一份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；或依法免税或不需要缴纳社会保障资金的投标人应提供相应其依法免税或不需要缴纳社会保障资金的证明文件扫描件；</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4、具备履行合同所必需的设备和专业技术能力的证明材料。</w:t>
            </w:r>
            <w:r>
              <w:rPr>
                <w:rFonts w:hint="eastAsia" w:ascii="宋体" w:hAnsi="宋体" w:eastAsia="宋体" w:cs="宋体"/>
                <w:b w:val="0"/>
                <w:bCs w:val="0"/>
                <w:color w:val="000000" w:themeColor="text1"/>
                <w:sz w:val="24"/>
                <w:szCs w:val="24"/>
                <w14:textFill>
                  <w14:solidFill>
                    <w14:schemeClr w14:val="tx1"/>
                  </w14:solidFill>
                </w14:textFill>
              </w:rPr>
              <w:t xml:space="preserve">即提供投标人</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具备履行合同所必需的设备和专业技术能力的书面声明，</w:t>
            </w:r>
            <w:r>
              <w:rPr>
                <w:rFonts w:hint="eastAsia" w:ascii="宋体" w:hAnsi="宋体" w:eastAsia="宋体" w:cs="宋体"/>
                <w:b w:val="0"/>
                <w:bCs w:val="0"/>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5、投标人参加政府采购活动前3年内在经营活动中没有重大违法记录的书面声明(原件，格式见招标文件第七章《投标文件相关格式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三、符合条件（</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必须提供，否则在符合性审查时按照投标无效处理</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（一）报价</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1、《开标一览表》（加盖电子签章，格式见招标文件第七章《投标文件相关格式》）；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2、《分项价格表》（加盖电子签章，格式见招标文件第七章《投标文件相关格式》）；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（二）商务资信</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法定代表人授权书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（三）技术响应</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1、《偏离表》（加盖电子签章，格式见招标文件第七章《投标文件相关格式》）。</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综合评审评分项</w:t>
            </w:r>
            <w:r/>
          </w:p>
          <w:p>
            <w:pPr>
              <w:ind w:left="0" w:right="0" w:firstLine="0"/>
              <w:jc w:val="both"/>
              <w:keepLines w:val="0"/>
              <w:keepNext w:val="0"/>
              <w:pageBreakBefore w:val="0"/>
              <w:spacing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t xml:space="preserve">（一）技术部分</w:t>
            </w:r>
            <w:r/>
          </w:p>
          <w:p>
            <w:pPr>
              <w:ind w:left="0" w:right="0" w:firstLine="0"/>
              <w:jc w:val="both"/>
              <w:keepLines w:val="0"/>
              <w:keepNext w:val="0"/>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要求见招标文件第四章《评标标准》、第六章《采购需求》</w:t>
            </w:r>
            <w:r/>
          </w:p>
          <w:p>
            <w:pPr>
              <w:ind w:left="0" w:right="0" w:firstLine="0"/>
              <w:jc w:val="both"/>
              <w:keepLines w:val="0"/>
              <w:keepNext w:val="0"/>
              <w:pageBreakBefore w:val="0"/>
              <w:spacing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商务部分</w:t>
            </w:r>
            <w:r/>
          </w:p>
          <w:p>
            <w:pPr>
              <w:ind w:left="0" w:right="0" w:firstLine="0"/>
              <w:jc w:val="both"/>
              <w:keepLines w:val="0"/>
              <w:keepNext w:val="0"/>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要求见招标文件第四章《评标标准》。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14:textFill>
                  <w14:solidFill>
                    <w14:schemeClr w14:val="tx1"/>
                  </w14:solidFill>
                </w14:textFill>
              </w:rPr>
              <w:t xml:space="preserve">价格折扣文件格式：</w:t>
            </w:r>
            <w:r/>
          </w:p>
          <w:p>
            <w:pPr>
              <w:ind w:left="0" w:firstLine="0"/>
              <w:jc w:val="both"/>
              <w:keepLines w:val="0"/>
              <w:keepNext w:val="0"/>
              <w:pageBreakBefore w:val="0"/>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本项目</w:t>
            </w:r>
            <w:r>
              <w:rPr>
                <w:rFonts w:hint="eastAsia" w:ascii="宋体" w:hAnsi="宋体" w:cs="宋体"/>
                <w:b/>
                <w:bCs/>
                <w:color w:val="000000" w:themeColor="text1"/>
                <w:sz w:val="24"/>
                <w:szCs w:val="24"/>
                <w:lang w:val="en-US" w:eastAsia="zh-CN"/>
                <w14:textFill>
                  <w14:solidFill>
                    <w14:schemeClr w14:val="tx1"/>
                  </w14:solidFill>
                </w14:textFill>
              </w:rPr>
              <w:t xml:space="preserve">不</w:t>
            </w:r>
            <w:r>
              <w:rPr>
                <w:rFonts w:hint="eastAsia" w:ascii="宋体" w:hAnsi="宋体" w:eastAsia="宋体" w:cs="宋体"/>
                <w:b/>
                <w:bCs/>
                <w:color w:val="000000" w:themeColor="text1"/>
                <w:sz w:val="24"/>
                <w:szCs w:val="24"/>
                <w14:textFill>
                  <w14:solidFill>
                    <w14:schemeClr w14:val="tx1"/>
                  </w14:solidFill>
                </w14:textFill>
              </w:rPr>
              <w:t xml:space="preserve">属于专门面向中小微企业采购的项目</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如为中小微企业（含中型、小型、微型企业，下同），</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投标文件中提供《中小企业声明函》（加盖电子签章，必须提供，填写完整，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格式见招标文件第七章《投标文件相关格式</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，如不填写完整或未按要求填写的，视为无效）。</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《中小企业声明函》查询渠道用微信搜索“中小企业规模类型自测小程序”。</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投标人为监狱企业的，提供省级以上监狱管理局、戒毒管理局（含新疆生产建设兵团）出具的属于监狱企业的证明文件的扫描件。</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注：具体以《财政部 司法部关于政府采购支持监狱企业发展有关问题的通知》（财库〔2014〕68号）的规定为准。</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①安置的残疾人占本单位在职职工人数的比例不低于25%（含25%），并且安置的残疾人人数不少于10人（含10人）；</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②依法与安置的每位残疾人签订了一年以上（含一年）的劳动合同或服务协议；</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③为安置的每位残疾人按月足额缴纳了基本养老保险、基本医疗保险、失业保险、工伤保险和生育保险等社会保险费；</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both"/>
              <w:keepLines w:val="0"/>
              <w:keepNext w:val="0"/>
              <w:pageBreakBefore w:val="0"/>
              <w:spacing w:line="360" w:lineRule="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val="0"/>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lang w:eastAsia="zh-CN"/>
                <w14:textFill>
                  <w14:solidFill>
                    <w14:schemeClr w14:val="tx1"/>
                  </w14:solidFill>
                </w14:textFill>
              </w:rPr>
              <w:t xml:space="preserve">投标人《关于符合本国产品标准的声明函》</w:t>
            </w:r>
            <w:r>
              <w:rPr>
                <w:rFonts w:hint="eastAsia" w:ascii="宋体" w:hAnsi="宋体" w:eastAsia="宋体" w:cs="宋体"/>
                <w:b w:val="0"/>
                <w:bCs/>
                <w:color w:val="000000" w:themeColor="text1"/>
                <w:sz w:val="24"/>
                <w:szCs w:val="24"/>
                <w:lang w:eastAsia="zh-CN"/>
                <w14:textFill>
                  <w14:solidFill>
                    <w14:schemeClr w14:val="tx1"/>
                  </w14:solidFill>
                </w14:textFill>
              </w:rPr>
              <w:t xml:space="preserve">（填写完整，加盖电子签章，格式见招标文件第七章《投标文件相关格式》）</w:t>
            </w:r>
            <w:r>
              <w:rPr>
                <w:rFonts w:hint="eastAsia" w:ascii="宋体" w:hAnsi="宋体" w:eastAsia="宋体" w:cs="宋体"/>
                <w:b w:val="0"/>
                <w:bCs/>
                <w:color w:val="000000" w:themeColor="text1"/>
                <w:sz w:val="24"/>
                <w:szCs w:val="24"/>
                <w14:textFill>
                  <w14:solidFill>
                    <w14:schemeClr w14:val="tx1"/>
                  </w14:solidFill>
                </w14:textFill>
              </w:rPr>
              <w:t xml:space="preserve">。（请填写完整，如不填写完整或未按要求填写的，视为无效）</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ind w:left="0" w:firstLine="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1、投标人应对以上文件的合法性、真实性负责。</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19.5</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投标文件的退还：投标文件不退还投标人，若采购人索取中标人的数据电文形式的投标文件，须在双方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政府采购合同后，由采购代理机构提供给采购人。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投标文件的密封、签署、盖章要求：</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二、投标文件的签署要求：见招标文件第七章《投标文件相关格式》。</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19.8</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投标人未按规定加密的投标文件，“苏采云”系统应当拒收并提示。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19.9</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不接受超过</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235万元</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（人民币）</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（采购预算金额）</w:t>
            </w:r>
            <w:bookmarkStart w:id="2" w:name="OLE_LINK1"/>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的投标报价。</w:t>
            </w:r>
            <w:bookmarkEnd w:id="2"/>
            <w:r>
              <w:rPr>
                <w:rFonts w:ascii="宋体" w:hAnsi="宋体" w:cs="宋体"/>
                <w:b/>
                <w:bCs/>
                <w:color w:val="000000" w:themeColor="text1"/>
                <w:sz w:val="24"/>
                <w:highlight w:val="none"/>
                <w14:textFill>
                  <w14:solidFill>
                    <w14:schemeClr w14:val="tx1"/>
                  </w14:solidFill>
                </w14:textFill>
              </w:rPr>
              <w:t xml:space="preserve">报价包括但不限于产品价、税金、运费、安装、</w:t>
            </w:r>
            <w:r>
              <w:rPr>
                <w:rFonts w:hint="eastAsia" w:ascii="宋体" w:hAnsi="宋体" w:cs="宋体"/>
                <w:b/>
                <w:bCs/>
                <w:color w:val="000000" w:themeColor="text1"/>
                <w:sz w:val="24"/>
                <w:highlight w:val="none"/>
                <w:lang w:val="en-US" w:eastAsia="zh-CN"/>
                <w14:textFill>
                  <w14:solidFill>
                    <w14:schemeClr w14:val="tx1"/>
                  </w14:solidFill>
                </w14:textFill>
              </w:rPr>
              <w:t xml:space="preserve">调试</w:t>
            </w:r>
            <w:r>
              <w:rPr>
                <w:rFonts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运行维护、</w:t>
            </w:r>
            <w:r>
              <w:rPr>
                <w:rFonts w:ascii="宋体" w:hAnsi="宋体" w:cs="宋体"/>
                <w:b/>
                <w:bCs/>
                <w:color w:val="000000" w:themeColor="text1"/>
                <w:sz w:val="24"/>
                <w:highlight w:val="none"/>
                <w14:textFill>
                  <w14:solidFill>
                    <w14:schemeClr w14:val="tx1"/>
                  </w14:solidFill>
                </w14:textFill>
              </w:rPr>
              <w:t xml:space="preserve">保险、培训、售后服务、投标人的利润等全部费用。采购人不再支付报价以外的任何费用。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投标人不需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缴纳</w:t>
            </w:r>
            <w:r>
              <w:rPr>
                <w:rFonts w:hint="eastAsia" w:ascii="宋体" w:hAnsi="宋体" w:eastAsia="宋体" w:cs="宋体"/>
                <w:b/>
                <w:bCs/>
                <w:color w:val="000000" w:themeColor="text1"/>
                <w:sz w:val="24"/>
                <w:szCs w:val="24"/>
                <w:highlight w:val="none"/>
                <w14:textFill>
                  <w14:solidFill>
                    <w14:schemeClr w14:val="tx1"/>
                  </w14:solidFill>
                </w14:textFill>
              </w:rPr>
              <w:t xml:space="preserve">投标保证金。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22.1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投标截止时间：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09:30</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w:t>
            </w:r>
            <w:r/>
          </w:p>
          <w:p>
            <w:pPr>
              <w:numPr>
                <w:ilvl w:val="0"/>
                <w:numId w:val="3"/>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投标文件提交与接收时间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提交投标文件截止时间（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white"/>
                <w14:textFill>
                  <w14:solidFill>
                    <w14:schemeClr w14:val="tx1"/>
                  </w14:solidFill>
                </w14:textFill>
              </w:rPr>
              <w:t xml:space="preserve">）前。</w:t>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投标文件提交与接收地点：</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投标人应当通过“苏采云”系统提交数据电文形式的投标文件（即电子投标），“苏采云”系统自动接收，在达到开标时间后，使用CA数字证书解密各自投标文件。</w:t>
            </w:r>
            <w:r/>
          </w:p>
          <w:p>
            <w:pPr>
              <w:numPr>
                <w:ilvl w:val="0"/>
                <w:numId w:val="0"/>
              </w:num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特别说明：政府采购客户端工具需要导出加密的投标文件（后缀名为zip）。投标文件不得超过150M！（以系统为准）名为“.kedt”）后，离线编制投标文件。采购文件（后缀名为“.kedt”）。</w:t>
            </w:r>
            <w:r/>
          </w:p>
        </w:tc>
      </w:tr>
      <w:tr>
        <w:trPr>
          <w:trHeight w:val="582"/>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招标文件对本项目分包的规定：采购人不允许采用分包方式履行合同。</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四、开标、评标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开标时间及地点：</w:t>
            </w:r>
            <w:r/>
          </w:p>
          <w:p>
            <w:pPr>
              <w:pStyle w:val="851"/>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yellow"/>
                <w:lang w:eastAsia="zh-CN"/>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1</w:t>
            </w: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white"/>
                <w14:textFill>
                  <w14:solidFill>
                    <w14:schemeClr w14:val="tx1"/>
                  </w14:solidFill>
                </w14:textFill>
              </w:rPr>
              <w:t xml:space="preserve">开标时间：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09:30</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开标地点：“苏采云”系统（网址： http://jszfcg.jsczt.cn/）“开标大厅”或进入徐州政府采购网（网址：</w:t>
            </w:r>
            <w:r>
              <w:rPr>
                <w:rFonts w:hint="eastAsia" w:ascii="宋体" w:hAnsi="宋体" w:cs="宋体"/>
                <w:b/>
                <w:bCs/>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b/>
                <w:bCs/>
                <w:color w:val="000000" w:themeColor="text1"/>
                <w:sz w:val="24"/>
                <w:szCs w:val="24"/>
                <w:highlight w:val="none"/>
                <w14:textFill>
                  <w14:solidFill>
                    <w14:schemeClr w14:val="tx1"/>
                  </w14:solidFill>
                </w14:textFill>
              </w:rPr>
              <w:t xml:space="preserve">）--业务工作--用户登录，点击“苏采云”进入系统“开标大厅”。</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szCs w:val="24"/>
                <w:highlight w:val="none"/>
                <w14:textFill>
                  <w14:solidFill>
                    <w14:schemeClr w14:val="tx1"/>
                  </w14:solidFill>
                </w14:textFill>
              </w:rPr>
              <w:t xml:space="preserve">在评标期间，请投标人保持在线。</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本项目的评标方法：综合评分法。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五、中标和合同</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trHeight w:val="132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特别说明：按照《政府采购法》及其实施条例以及相关规定，中标或者成交后无正当理由拒不与采购人签订政府采购合同的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在一至三年内禁止参加政府采购活动，列入政府采购严重违法失信行为记录名单。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六、询问和质疑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2、供应商在法定质疑期内一次性提出针对同一采购程序环节的质疑。</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质疑接收人：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谢梅梅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联系电话：15162080101</w:t>
            </w:r>
            <w:r/>
          </w:p>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江苏省徐州市云龙区沂蒙路18号淮海经济区金融服务中心六区5号楼-603</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附加说明</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中标人在收到中标通知书时，须向采购代理机构提交《开标一览表》和《分项价格表》的数据文件（WORD格式）。</w:t>
            </w:r>
            <w:r/>
          </w:p>
        </w:tc>
      </w:tr>
    </w:tbl>
    <w:p>
      <w:pPr>
        <w:pStyle w:val="844"/>
        <w:ind w:left="0" w:firstLine="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10"/>
        <w:keepLines w:val="0"/>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4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6"/>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收款人：</w:t>
      </w:r>
      <w:r>
        <w:rPr>
          <w:rFonts w:hint="eastAsia" w:ascii="宋体" w:hAnsi="宋体" w:cs="宋体"/>
          <w:color w:val="auto"/>
          <w:sz w:val="24"/>
          <w:highlight w:val="none"/>
          <w:lang w:val="en-US" w:eastAsia="zh-CN"/>
        </w:rPr>
        <w:t xml:space="preserve">玖洲工程项目管理(徐州)有限公司</w:t>
      </w:r>
      <w:r>
        <w:rPr>
          <w:rFonts w:hint="eastAsia" w:ascii="宋体" w:hAnsi="宋体" w:eastAsia="宋体" w:cs="宋体"/>
          <w:color w:val="auto"/>
          <w:sz w:val="24"/>
          <w:highlight w:val="none"/>
          <w:lang w:val="en-US" w:eastAsia="zh-CN"/>
        </w:rPr>
        <w:t xml:space="preserve"> </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开户银行：中国建设银行睢宁县支行 </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账号：32050171743600003165</w:t>
      </w:r>
      <w:r/>
    </w:p>
    <w:p>
      <w:pP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10"/>
        <w:rPr>
          <w:rFonts w:hint="eastAsia"/>
        </w:rPr>
      </w:pPr>
      <w:r>
        <w:rPr>
          <w:rFonts w:hint="eastAsia"/>
        </w:rPr>
      </w:r>
      <w:r/>
    </w:p>
    <w:p>
      <w:pPr>
        <w:numPr>
          <w:ilvl w:val="0"/>
          <w:numId w:val="4"/>
        </w:numPr>
        <w:jc w:val="center"/>
        <w:keepLines w:val="0"/>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1154"/>
        <w:tblW w:w="91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3"/>
        <w:gridCol w:w="1384"/>
        <w:gridCol w:w="6462"/>
      </w:tblGrid>
      <w:tr>
        <w:trPr>
          <w:trHeight w:val="403"/>
        </w:trPr>
        <w:tc>
          <w:tcPr>
            <w:gridSpan w:val="2"/>
            <w:tcW w:w="2497" w:type="dxa"/>
            <w:vAlign w:val="top"/>
            <w:textDirection w:val="lrTb"/>
            <w:noWrap w:val="false"/>
          </w:tcPr>
          <w:p>
            <w:pPr>
              <w:pStyle w:val="1157"/>
              <w:ind w:left="904"/>
              <w:spacing w:before="119" w:line="216" w:lineRule="auto"/>
              <w:rPr>
                <w:highlight w:val="none"/>
              </w:rPr>
            </w:pPr>
            <w:r>
              <w:rPr>
                <w:b/>
                <w:bCs/>
                <w:spacing w:val="-10"/>
                <w:highlight w:val="none"/>
              </w:rPr>
              <w:t xml:space="preserve">项</w:t>
            </w:r>
            <w:r>
              <w:rPr>
                <w:spacing w:val="29"/>
                <w:highlight w:val="none"/>
              </w:rPr>
              <w:t xml:space="preserve">  </w:t>
            </w:r>
            <w:r>
              <w:rPr>
                <w:b/>
                <w:bCs/>
                <w:spacing w:val="-10"/>
                <w:highlight w:val="none"/>
              </w:rPr>
              <w:t xml:space="preserve">目</w:t>
            </w:r>
            <w:r/>
          </w:p>
        </w:tc>
        <w:tc>
          <w:tcPr>
            <w:tcW w:w="6462" w:type="dxa"/>
            <w:vAlign w:val="top"/>
            <w:textDirection w:val="lrTb"/>
            <w:noWrap w:val="false"/>
          </w:tcPr>
          <w:p>
            <w:pPr>
              <w:pStyle w:val="1157"/>
              <w:ind w:left="2769"/>
              <w:spacing w:before="119" w:line="216" w:lineRule="auto"/>
              <w:rPr>
                <w:highlight w:val="none"/>
              </w:rPr>
            </w:pPr>
            <w:r>
              <w:rPr>
                <w:b/>
                <w:bCs/>
                <w:spacing w:val="-5"/>
                <w:highlight w:val="none"/>
              </w:rPr>
              <w:t xml:space="preserve">评分细则</w:t>
            </w:r>
            <w:r/>
          </w:p>
        </w:tc>
      </w:tr>
      <w:tr>
        <w:trPr>
          <w:trHeight w:val="7616"/>
        </w:trPr>
        <w:tc>
          <w:tcPr>
            <w:tcW w:w="1113" w:type="dxa"/>
            <w:vAlign w:val="top"/>
            <w:textDirection w:val="lrTb"/>
            <w:noWrap w:val="false"/>
          </w:tcPr>
          <w:p>
            <w:pPr>
              <w:spacing w:line="288" w:lineRule="auto"/>
              <w:rPr>
                <w:rFonts w:ascii="Arial"/>
                <w:sz w:val="21"/>
                <w:highlight w:val="none"/>
              </w:rPr>
            </w:pPr>
            <w:r>
              <w:rPr>
                <w:rFonts w:ascii="Arial"/>
                <w:sz w:val="21"/>
                <w:highlight w:val="none"/>
              </w:rPr>
            </w:r>
            <w:r/>
          </w:p>
          <w:p>
            <w:pPr>
              <w:pStyle w:val="1157"/>
              <w:ind w:left="218" w:right="167" w:firstLine="141"/>
              <w:spacing w:before="78" w:line="241" w:lineRule="auto"/>
              <w:rPr>
                <w:highlight w:val="none"/>
              </w:rPr>
            </w:pPr>
            <w:r>
              <w:rPr>
                <w:spacing w:val="-6"/>
                <w:highlight w:val="none"/>
              </w:rPr>
              <w:t xml:space="preserve">价格</w:t>
            </w:r>
            <w:r>
              <w:rPr>
                <w:spacing w:val="49"/>
                <w:highlight w:val="none"/>
              </w:rPr>
              <w:t xml:space="preserve">部分</w:t>
            </w:r>
            <w:r>
              <w:rPr>
                <w:highlight w:val="none"/>
              </w:rPr>
              <w:t xml:space="preserve"> </w:t>
            </w:r>
            <w:r>
              <w:rPr>
                <w:spacing w:val="-13"/>
                <w:highlight w:val="none"/>
              </w:rPr>
              <w:t xml:space="preserve">(</w:t>
            </w:r>
            <w:r>
              <w:rPr>
                <w:rFonts w:hint="eastAsia"/>
                <w:spacing w:val="-13"/>
                <w:highlight w:val="none"/>
                <w:lang w:val="en-US" w:eastAsia="zh-CN"/>
              </w:rPr>
              <w:t xml:space="preserve">30</w:t>
            </w:r>
            <w:r>
              <w:rPr>
                <w:spacing w:val="-48"/>
                <w:highlight w:val="none"/>
              </w:rPr>
              <w:t xml:space="preserve"> </w:t>
            </w:r>
            <w:r>
              <w:rPr>
                <w:spacing w:val="-13"/>
                <w:highlight w:val="none"/>
              </w:rPr>
              <w:t xml:space="preserve">分)</w:t>
            </w:r>
            <w:r/>
          </w:p>
        </w:tc>
        <w:tc>
          <w:tcPr>
            <w:tcW w:w="1384" w:type="dxa"/>
            <w:vAlign w:val="top"/>
            <w:textDirection w:val="lrTb"/>
            <w:noWrap w:val="false"/>
          </w:tcPr>
          <w:p>
            <w:pPr>
              <w:spacing w:line="443" w:lineRule="auto"/>
              <w:rPr>
                <w:rFonts w:ascii="Arial"/>
                <w:sz w:val="21"/>
                <w:highlight w:val="none"/>
              </w:rPr>
            </w:pPr>
            <w:r>
              <w:rPr>
                <w:rFonts w:ascii="Arial"/>
                <w:sz w:val="21"/>
                <w:highlight w:val="none"/>
              </w:rPr>
            </w:r>
            <w:r/>
          </w:p>
          <w:p>
            <w:pPr>
              <w:pStyle w:val="1157"/>
              <w:ind w:left="354" w:right="303" w:firstLine="107"/>
              <w:spacing w:before="78" w:line="242" w:lineRule="auto"/>
              <w:rPr>
                <w:highlight w:val="none"/>
              </w:rPr>
            </w:pPr>
            <w:r>
              <w:rPr>
                <w:spacing w:val="-6"/>
                <w:highlight w:val="none"/>
              </w:rPr>
              <w:t xml:space="preserve">价格</w:t>
            </w:r>
            <w:r>
              <w:rPr>
                <w:highlight w:val="none"/>
              </w:rPr>
              <w:t xml:space="preserve"> </w:t>
            </w:r>
            <w:r>
              <w:rPr>
                <w:spacing w:val="-13"/>
                <w:highlight w:val="none"/>
              </w:rPr>
              <w:t xml:space="preserve">(</w:t>
            </w:r>
            <w:r>
              <w:rPr>
                <w:rFonts w:hint="eastAsia"/>
                <w:spacing w:val="-13"/>
                <w:highlight w:val="none"/>
                <w:lang w:val="en-US" w:eastAsia="zh-CN"/>
              </w:rPr>
              <w:t xml:space="preserve">3</w:t>
            </w:r>
            <w:r>
              <w:rPr>
                <w:spacing w:val="-13"/>
                <w:highlight w:val="none"/>
              </w:rPr>
              <w:t xml:space="preserve">0</w:t>
            </w:r>
            <w:r>
              <w:rPr>
                <w:spacing w:val="-48"/>
                <w:highlight w:val="none"/>
              </w:rPr>
              <w:t xml:space="preserve"> </w:t>
            </w:r>
            <w:r>
              <w:rPr>
                <w:spacing w:val="-13"/>
                <w:highlight w:val="none"/>
              </w:rPr>
              <w:t xml:space="preserve">分)</w:t>
            </w:r>
            <w:r/>
          </w:p>
        </w:tc>
        <w:tc>
          <w:tcPr>
            <w:tcW w:w="6462" w:type="dxa"/>
            <w:vAlign w:val="top"/>
            <w:textDirection w:val="lrTb"/>
            <w:noWrap w:val="false"/>
          </w:tcPr>
          <w:p>
            <w:pPr>
              <w:pStyle w:val="1157"/>
              <w:ind w:left="117" w:right="146" w:hanging="5"/>
              <w:jc w:val="both"/>
              <w:spacing w:before="114" w:line="308" w:lineRule="auto"/>
            </w:pPr>
            <w:r>
              <w:rPr>
                <w:spacing w:val="-3"/>
                <w:highlight w:val="none"/>
              </w:rPr>
              <w:t xml:space="preserve">各投标人价格得分=最低报价（投标人的最低评审价格）÷各投标人评审价格×30。</w:t>
            </w:r>
            <w:r/>
          </w:p>
          <w:p>
            <w:pPr>
              <w:pStyle w:val="1157"/>
              <w:ind w:left="117" w:right="146" w:hanging="5"/>
              <w:jc w:val="both"/>
              <w:spacing w:before="114" w:line="308" w:lineRule="auto"/>
            </w:pPr>
            <w:r>
              <w:rPr>
                <w:spacing w:val="-3"/>
                <w:highlight w:val="none"/>
              </w:rPr>
              <w:t xml:space="preserve">投标人为“小型、微型、监狱企业、享受政府采购支持政策的残疾人福利性单位的（以投标人投标文件中提供的相关材料为准），投标人评审价格=《开标一览表》中的“总价” *（1-10%）得分四舍五入保留小数点后2位。</w:t>
            </w:r>
            <w:r/>
          </w:p>
          <w:p>
            <w:pPr>
              <w:pStyle w:val="1157"/>
              <w:ind w:left="117" w:right="146" w:hanging="5"/>
              <w:jc w:val="both"/>
              <w:spacing w:before="114" w:line="308" w:lineRule="auto"/>
            </w:pPr>
            <w:r>
              <w:rPr>
                <w:spacing w:val="-3"/>
                <w:highlight w:val="none"/>
              </w:rPr>
              <w:t xml:space="preserve">政府采购活动中既有本国产品又有非本国产品参与竞争的，依法对本国产品给予价格评审优惠，对本国产品的报价给予20%的价格扣除，用扣除后的价格参与评审。</w:t>
            </w:r>
            <w:r/>
          </w:p>
          <w:p>
            <w:pPr>
              <w:pStyle w:val="1157"/>
              <w:ind w:left="117" w:right="146" w:hanging="5"/>
              <w:jc w:val="both"/>
              <w:spacing w:before="114" w:line="308" w:lineRule="auto"/>
            </w:pPr>
            <w:r>
              <w:rPr>
                <w:spacing w:val="-3"/>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57"/>
              <w:ind w:left="117" w:right="146" w:hanging="5"/>
              <w:jc w:val="both"/>
              <w:spacing w:before="114" w:line="308" w:lineRule="auto"/>
              <w:rPr>
                <w:spacing w:val="-3"/>
                <w:highlight w:val="none"/>
              </w:rPr>
            </w:pPr>
            <w:r>
              <w:rPr>
                <w:spacing w:val="-3"/>
                <w:highlight w:val="none"/>
              </w:rPr>
              <w:t xml:space="preserve">该投标人的评审价格=《开标一览表》中的“总价”*（100%-20%）</w:t>
            </w:r>
            <w:r/>
            <w:r>
              <w:rPr>
                <w:spacing w:val="-3"/>
                <w:highlight w:val="none"/>
              </w:rPr>
            </w:r>
            <w:r/>
            <w:r>
              <w:rPr>
                <w:spacing w:val="-3"/>
                <w:highlight w:val="none"/>
              </w:rPr>
            </w:r>
            <w:r>
              <w:rPr>
                <w:spacing w:val="-3"/>
                <w:highlight w:val="none"/>
              </w:rPr>
            </w:r>
            <w:r>
              <w:rPr>
                <w:spacing w:val="-3"/>
                <w:highlight w:val="none"/>
              </w:rPr>
            </w:r>
          </w:p>
        </w:tc>
      </w:tr>
      <w:tr>
        <w:trPr>
          <w:trHeight w:val="2269"/>
        </w:trPr>
        <w:tc>
          <w:tcPr>
            <w:tcW w:w="1113" w:type="dxa"/>
            <w:vAlign w:val="top"/>
            <w:vMerge w:val="restart"/>
            <w:textDirection w:val="lrTb"/>
            <w:noWrap w:val="false"/>
          </w:tcPr>
          <w:p>
            <w:pPr>
              <w:spacing w:line="423" w:lineRule="auto"/>
              <w:rPr>
                <w:rFonts w:ascii="Arial"/>
                <w:sz w:val="21"/>
                <w:highlight w:val="none"/>
              </w:rPr>
            </w:pPr>
            <w:r>
              <w:rPr>
                <w:rFonts w:ascii="Arial"/>
                <w:sz w:val="21"/>
                <w:highlight w:val="none"/>
              </w:rPr>
            </w:r>
            <w:r/>
          </w:p>
          <w:p>
            <w:pPr>
              <w:pStyle w:val="1157"/>
              <w:ind w:left="278" w:right="227" w:firstLine="84"/>
              <w:jc w:val="both"/>
              <w:spacing w:before="78" w:line="241" w:lineRule="auto"/>
              <w:rPr>
                <w:highlight w:val="none"/>
              </w:rPr>
            </w:pPr>
            <w:r>
              <w:rPr>
                <w:spacing w:val="-8"/>
                <w:highlight w:val="none"/>
              </w:rPr>
              <w:t xml:space="preserve">商务</w:t>
            </w:r>
            <w:r>
              <w:rPr>
                <w:spacing w:val="35"/>
                <w:highlight w:val="none"/>
              </w:rPr>
              <w:t xml:space="preserve">部分</w:t>
            </w:r>
            <w:r>
              <w:rPr>
                <w:spacing w:val="-16"/>
                <w:highlight w:val="none"/>
              </w:rPr>
              <w:t xml:space="preserve">(</w:t>
            </w:r>
            <w:r>
              <w:rPr>
                <w:rFonts w:hint="eastAsia"/>
                <w:spacing w:val="-16"/>
                <w:highlight w:val="none"/>
                <w:lang w:val="en-US" w:eastAsia="zh-CN"/>
              </w:rPr>
              <w:t xml:space="preserve">7</w:t>
            </w:r>
            <w:r>
              <w:rPr>
                <w:spacing w:val="-48"/>
                <w:highlight w:val="none"/>
              </w:rPr>
              <w:t xml:space="preserve"> </w:t>
            </w:r>
            <w:r>
              <w:rPr>
                <w:spacing w:val="-16"/>
                <w:highlight w:val="none"/>
              </w:rPr>
              <w:t xml:space="preserve">分)</w:t>
            </w:r>
            <w:r/>
          </w:p>
        </w:tc>
        <w:tc>
          <w:tcPr>
            <w:tcW w:w="1384" w:type="dxa"/>
            <w:vAlign w:val="center"/>
            <w:textDirection w:val="lrTb"/>
            <w:noWrap w:val="false"/>
          </w:tcPr>
          <w:p>
            <w:pPr>
              <w:jc w:val="center"/>
              <w:spacing w:line="360" w:lineRule="auto"/>
              <w:rPr>
                <w:spacing w:val="-5"/>
                <w:highlight w:val="none"/>
              </w:rPr>
            </w:pPr>
            <w:r>
              <w:rPr>
                <w:rFonts w:hint="eastAsia" w:ascii="宋体" w:hAnsi="宋体" w:cs="宋体"/>
                <w:sz w:val="24"/>
                <w:highlight w:val="none"/>
              </w:rPr>
              <w:t xml:space="preserve">公司资质（2分）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投标人具有</w:t>
            </w:r>
            <w:r>
              <w:rPr>
                <w:rFonts w:hint="eastAsia" w:ascii="宋体" w:hAnsi="宋体" w:cs="宋体"/>
                <w:sz w:val="24"/>
                <w:highlight w:val="none"/>
                <w:lang w:val="en-US" w:eastAsia="zh-CN"/>
              </w:rPr>
              <w:t xml:space="preserve">建筑机电安装工程</w:t>
            </w:r>
            <w:r>
              <w:rPr>
                <w:rFonts w:hint="eastAsia" w:ascii="宋体" w:hAnsi="宋体" w:cs="宋体"/>
                <w:sz w:val="24"/>
                <w:highlight w:val="none"/>
              </w:rPr>
              <w:t xml:space="preserve">专业承包三级及以上证书，提供</w:t>
            </w:r>
            <w:r>
              <w:rPr>
                <w:rFonts w:hint="eastAsia" w:ascii="宋体" w:hAnsi="宋体" w:cs="宋体"/>
                <w:sz w:val="24"/>
                <w:highlight w:val="none"/>
                <w:lang w:val="en-US" w:eastAsia="zh-CN"/>
              </w:rPr>
              <w:t xml:space="preserve">建筑机电安装工程</w:t>
            </w:r>
            <w:r>
              <w:rPr>
                <w:rFonts w:hint="eastAsia" w:ascii="宋体" w:hAnsi="宋体" w:cs="宋体"/>
                <w:sz w:val="24"/>
                <w:highlight w:val="none"/>
              </w:rPr>
              <w:t xml:space="preserve">专业承包三级得1分；提供</w:t>
            </w:r>
            <w:r>
              <w:rPr>
                <w:rFonts w:hint="eastAsia" w:ascii="宋体" w:hAnsi="宋体" w:cs="宋体"/>
                <w:sz w:val="24"/>
                <w:highlight w:val="none"/>
                <w:lang w:val="en-US" w:eastAsia="zh-CN"/>
              </w:rPr>
              <w:t xml:space="preserve">建筑机电安装工程</w:t>
            </w:r>
            <w:r>
              <w:rPr>
                <w:rFonts w:hint="eastAsia" w:ascii="宋体" w:hAnsi="宋体" w:cs="宋体"/>
                <w:sz w:val="24"/>
                <w:highlight w:val="none"/>
              </w:rPr>
              <w:t xml:space="preserve">专业承包二级及以上得2分。本项最高得2分。</w:t>
            </w:r>
            <w:r/>
          </w:p>
          <w:p>
            <w:pPr>
              <w:spacing w:line="360" w:lineRule="auto"/>
              <w:rPr>
                <w:b/>
                <w:bCs/>
                <w:spacing w:val="-2"/>
                <w:highlight w:val="none"/>
              </w:rPr>
            </w:pPr>
            <w:r>
              <w:rPr>
                <w:rFonts w:hint="eastAsia" w:ascii="宋体" w:hAnsi="宋体" w:cs="宋体"/>
                <w:b/>
                <w:bCs/>
                <w:sz w:val="24"/>
                <w:highlight w:val="none"/>
              </w:rPr>
              <w:t xml:space="preserve">（注：须提供证书原件的彩色扫描件，不提供不得分；证书须在有效期内。）</w:t>
            </w:r>
            <w:r/>
          </w:p>
        </w:tc>
      </w:tr>
      <w:tr>
        <w:trPr>
          <w:trHeight w:val="1409"/>
        </w:trPr>
        <w:tc>
          <w:tcPr>
            <w:tcW w:w="1113" w:type="dxa"/>
            <w:vAlign w:val="top"/>
            <w:vMerge w:val="continue"/>
            <w:textDirection w:val="lrTb"/>
            <w:noWrap w:val="false"/>
          </w:tcPr>
          <w:p>
            <w:pPr>
              <w:pStyle w:val="1157"/>
              <w:ind w:left="278" w:right="227" w:firstLine="84"/>
              <w:jc w:val="both"/>
              <w:spacing w:before="78" w:line="241" w:lineRule="auto"/>
              <w:rPr>
                <w:spacing w:val="-8"/>
                <w:highlight w:val="none"/>
              </w:rPr>
            </w:pPr>
            <w:r>
              <w:rPr>
                <w:spacing w:val="-8"/>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企业综合实力</w:t>
            </w:r>
            <w:r/>
          </w:p>
          <w:p>
            <w:pPr>
              <w:jc w:val="center"/>
              <w:spacing w:line="360" w:lineRule="auto"/>
              <w:rPr>
                <w:spacing w:val="-5"/>
                <w:highlight w:val="none"/>
              </w:rPr>
            </w:pPr>
            <w:r>
              <w:rPr>
                <w:rFonts w:hint="eastAsia" w:ascii="宋体" w:hAnsi="宋体" w:cs="宋体"/>
                <w:sz w:val="24"/>
                <w:highlight w:val="none"/>
              </w:rPr>
              <w:t xml:space="preserve">（3分）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投标人具有有效的ISO三体系认证（ISO9001质量管理体系认证、ISO14001环境管理体系认证、ISO45001职业健康安全管理体系）证书，每有一项得1分，最高得3分。</w:t>
            </w:r>
            <w:r/>
          </w:p>
          <w:p>
            <w:pPr>
              <w:spacing w:line="360" w:lineRule="auto"/>
              <w:rPr>
                <w:b/>
                <w:bCs/>
                <w:spacing w:val="-2"/>
                <w:highlight w:val="none"/>
              </w:rPr>
            </w:pPr>
            <w:r>
              <w:rPr>
                <w:rFonts w:hint="eastAsia" w:ascii="宋体" w:hAnsi="宋体" w:cs="宋体"/>
                <w:b/>
                <w:bCs/>
                <w:sz w:val="24"/>
                <w:highlight w:val="none"/>
              </w:rPr>
              <w:t xml:space="preserve">（注：认证须在国家市场监督管理总局全国认证认可信息公共服务平台(http://cx.cnca.cn/CertECloud/result/skipResultList)可查询，且证书状态须为有效，否则不得分。提供证书原件彩色扫描件及查询截图加盖公章，未提供的不得分。）</w:t>
            </w:r>
            <w:r/>
          </w:p>
        </w:tc>
      </w:tr>
      <w:tr>
        <w:trPr>
          <w:trHeight w:val="1826"/>
        </w:trPr>
        <w:tc>
          <w:tcPr>
            <w:tcW w:w="1113" w:type="dxa"/>
            <w:vAlign w:val="top"/>
            <w:vMerge w:val="continue"/>
            <w:textDirection w:val="lrTb"/>
            <w:noWrap w:val="false"/>
          </w:tcPr>
          <w:p>
            <w:pPr>
              <w:pStyle w:val="1157"/>
              <w:ind w:left="278" w:right="227" w:firstLine="84"/>
              <w:jc w:val="both"/>
              <w:spacing w:before="78" w:line="241" w:lineRule="auto"/>
              <w:rPr>
                <w:highlight w:val="none"/>
              </w:rPr>
            </w:pPr>
            <w:r>
              <w:rPr>
                <w:highlight w:val="none"/>
              </w:rPr>
            </w:r>
            <w:r/>
          </w:p>
        </w:tc>
        <w:tc>
          <w:tcPr>
            <w:tcW w:w="1384" w:type="dxa"/>
            <w:vAlign w:val="top"/>
            <w:textDirection w:val="lrTb"/>
            <w:noWrap w:val="false"/>
          </w:tcPr>
          <w:p>
            <w:pPr>
              <w:spacing w:line="290"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pStyle w:val="1157"/>
              <w:ind w:left="414" w:right="363" w:firstLine="45"/>
              <w:spacing w:before="78" w:line="242" w:lineRule="auto"/>
              <w:rPr>
                <w:highlight w:val="none"/>
              </w:rPr>
            </w:pPr>
            <w:r>
              <w:rPr>
                <w:spacing w:val="-5"/>
                <w:highlight w:val="none"/>
              </w:rPr>
              <w:t xml:space="preserve">业绩</w:t>
            </w:r>
            <w:r>
              <w:rPr>
                <w:spacing w:val="-16"/>
                <w:highlight w:val="none"/>
              </w:rPr>
              <w:t xml:space="preserve">(</w:t>
            </w:r>
            <w:r>
              <w:rPr>
                <w:rFonts w:hint="eastAsia"/>
                <w:spacing w:val="-16"/>
                <w:highlight w:val="none"/>
                <w:lang w:val="en-US" w:eastAsia="zh-CN"/>
              </w:rPr>
              <w:t xml:space="preserve">2</w:t>
            </w:r>
            <w:r>
              <w:rPr>
                <w:spacing w:val="-48"/>
                <w:highlight w:val="none"/>
              </w:rPr>
              <w:t xml:space="preserve"> </w:t>
            </w:r>
            <w:r>
              <w:rPr>
                <w:spacing w:val="-16"/>
                <w:highlight w:val="none"/>
              </w:rPr>
              <w:t xml:space="preserve">分)</w:t>
            </w:r>
            <w:r/>
          </w:p>
        </w:tc>
        <w:tc>
          <w:tcPr>
            <w:tcW w:w="6462" w:type="dxa"/>
            <w:vAlign w:val="top"/>
            <w:textDirection w:val="lrTb"/>
            <w:noWrap w:val="false"/>
          </w:tcPr>
          <w:p>
            <w:pPr>
              <w:pStyle w:val="1157"/>
              <w:ind w:left="113" w:right="146"/>
              <w:jc w:val="both"/>
              <w:spacing w:before="39" w:line="276" w:lineRule="auto"/>
              <w:rPr>
                <w:highlight w:val="none"/>
              </w:rPr>
            </w:pPr>
            <w:r>
              <w:rPr>
                <w:spacing w:val="-6"/>
                <w:highlight w:val="none"/>
              </w:rPr>
              <w:t xml:space="preserve">供应商自</w:t>
            </w:r>
            <w:r>
              <w:rPr>
                <w:spacing w:val="-37"/>
                <w:highlight w:val="none"/>
              </w:rPr>
              <w:t xml:space="preserve"> </w:t>
            </w:r>
            <w:r>
              <w:rPr>
                <w:spacing w:val="-6"/>
                <w:highlight w:val="none"/>
              </w:rPr>
              <w:t xml:space="preserve">202</w:t>
            </w:r>
            <w:r>
              <w:rPr>
                <w:rFonts w:hint="eastAsia"/>
                <w:spacing w:val="-6"/>
                <w:highlight w:val="none"/>
                <w:lang w:val="en-US" w:eastAsia="zh-CN"/>
              </w:rPr>
              <w:t xml:space="preserve">3</w:t>
            </w:r>
            <w:r>
              <w:rPr>
                <w:spacing w:val="-49"/>
                <w:highlight w:val="none"/>
              </w:rPr>
              <w:t xml:space="preserve"> </w:t>
            </w:r>
            <w:r>
              <w:rPr>
                <w:spacing w:val="-6"/>
                <w:highlight w:val="none"/>
              </w:rPr>
              <w:t xml:space="preserve">年</w:t>
            </w:r>
            <w:r>
              <w:rPr>
                <w:rFonts w:hint="eastAsia"/>
                <w:spacing w:val="-33"/>
                <w:highlight w:val="none"/>
                <w:lang w:val="en-US" w:eastAsia="zh-CN"/>
              </w:rPr>
              <w:t xml:space="preserve">5</w:t>
            </w:r>
            <w:r>
              <w:rPr>
                <w:spacing w:val="-6"/>
                <w:highlight w:val="none"/>
              </w:rPr>
              <w:t xml:space="preserve">月</w:t>
            </w:r>
            <w:r>
              <w:rPr>
                <w:spacing w:val="-33"/>
                <w:highlight w:val="none"/>
              </w:rPr>
              <w:t xml:space="preserve"> </w:t>
            </w:r>
            <w:r>
              <w:rPr>
                <w:spacing w:val="-6"/>
                <w:highlight w:val="none"/>
              </w:rPr>
              <w:t xml:space="preserve">1 日（含）以来承担过类似垃圾中转</w:t>
            </w:r>
            <w:r>
              <w:rPr>
                <w:spacing w:val="-2"/>
                <w:highlight w:val="none"/>
              </w:rPr>
              <w:t xml:space="preserve">站压缩设备维修项目，每有一项得</w:t>
            </w:r>
            <w:r>
              <w:rPr>
                <w:spacing w:val="-48"/>
                <w:highlight w:val="none"/>
              </w:rPr>
              <w:t xml:space="preserve"> </w:t>
            </w:r>
            <w:r>
              <w:rPr>
                <w:spacing w:val="-2"/>
                <w:highlight w:val="none"/>
              </w:rPr>
              <w:t xml:space="preserve">2</w:t>
            </w:r>
            <w:r>
              <w:rPr>
                <w:spacing w:val="-47"/>
                <w:highlight w:val="none"/>
              </w:rPr>
              <w:t xml:space="preserve"> </w:t>
            </w:r>
            <w:r>
              <w:rPr>
                <w:spacing w:val="-2"/>
                <w:highlight w:val="none"/>
              </w:rPr>
              <w:t xml:space="preserve">分，最高得</w:t>
            </w:r>
            <w:r>
              <w:rPr>
                <w:spacing w:val="-52"/>
                <w:highlight w:val="none"/>
              </w:rPr>
              <w:t xml:space="preserve"> </w:t>
            </w:r>
            <w:r>
              <w:rPr>
                <w:rFonts w:hint="eastAsia"/>
                <w:spacing w:val="-3"/>
                <w:highlight w:val="none"/>
                <w:lang w:val="en-US" w:eastAsia="zh-CN"/>
              </w:rPr>
              <w:t xml:space="preserve">2</w:t>
            </w:r>
            <w:r>
              <w:rPr>
                <w:spacing w:val="-3"/>
                <w:highlight w:val="none"/>
              </w:rPr>
              <w:t xml:space="preserve">分，最低</w:t>
            </w:r>
            <w:r>
              <w:rPr>
                <w:spacing w:val="-9"/>
                <w:highlight w:val="none"/>
              </w:rPr>
              <w:t xml:space="preserve">得</w:t>
            </w:r>
            <w:r>
              <w:rPr>
                <w:spacing w:val="-48"/>
                <w:highlight w:val="none"/>
              </w:rPr>
              <w:t xml:space="preserve"> </w:t>
            </w:r>
            <w:r>
              <w:rPr>
                <w:spacing w:val="-9"/>
                <w:highlight w:val="none"/>
              </w:rPr>
              <w:t xml:space="preserve">0</w:t>
            </w:r>
            <w:r>
              <w:rPr>
                <w:spacing w:val="-48"/>
                <w:highlight w:val="none"/>
              </w:rPr>
              <w:t xml:space="preserve"> </w:t>
            </w:r>
            <w:r>
              <w:rPr>
                <w:spacing w:val="-9"/>
                <w:highlight w:val="none"/>
              </w:rPr>
              <w:t xml:space="preserve">分。</w:t>
            </w:r>
            <w:r/>
          </w:p>
          <w:p>
            <w:pPr>
              <w:pStyle w:val="1157"/>
              <w:ind w:left="115" w:right="245" w:hanging="1"/>
              <w:spacing w:before="73" w:line="261" w:lineRule="auto"/>
              <w:rPr>
                <w:highlight w:val="none"/>
              </w:rPr>
            </w:pPr>
            <w:r>
              <w:rPr>
                <w:b/>
                <w:bCs/>
                <w:spacing w:val="-2"/>
                <w:highlight w:val="none"/>
              </w:rPr>
              <w:t xml:space="preserve">提供证明材料扫描件加盖投标人电子签章(以合同</w:t>
            </w:r>
            <w:r>
              <w:rPr>
                <w:b/>
                <w:bCs/>
                <w:spacing w:val="-3"/>
                <w:highlight w:val="none"/>
              </w:rPr>
              <w:t xml:space="preserve">签订时间为准,仅上传协议书等关键页内容即可)。</w:t>
            </w:r>
            <w:r/>
          </w:p>
        </w:tc>
      </w:tr>
      <w:tr>
        <w:trPr>
          <w:trHeight w:val="6343"/>
        </w:trPr>
        <w:tc>
          <w:tcPr>
            <w:tcBorders>
              <w:bottom w:val="none" w:color="000000" w:sz="4" w:space="0"/>
            </w:tcBorders>
            <w:tcW w:w="1113" w:type="dxa"/>
            <w:vAlign w:val="top"/>
            <w:vMerge w:val="restart"/>
            <w:textDirection w:val="lrTb"/>
            <w:noWrap w:val="false"/>
          </w:tcPr>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pStyle w:val="1157"/>
              <w:ind w:left="209" w:right="196" w:hanging="4"/>
              <w:jc w:val="both"/>
              <w:spacing w:before="78"/>
              <w:rPr>
                <w:highlight w:val="none"/>
              </w:rPr>
            </w:pPr>
            <w:r>
              <w:rPr>
                <w:rFonts w:hint="eastAsia"/>
                <w:spacing w:val="-3"/>
                <w:highlight w:val="none"/>
                <w:lang w:val="en-US" w:eastAsia="zh-CN"/>
              </w:rPr>
              <w:t xml:space="preserve">技术部分</w:t>
            </w:r>
            <w:r>
              <w:rPr>
                <w:spacing w:val="35"/>
                <w:highlight w:val="none"/>
              </w:rPr>
              <w:t xml:space="preserve">（</w:t>
            </w:r>
            <w:r>
              <w:rPr>
                <w:rFonts w:hint="eastAsia"/>
                <w:spacing w:val="35"/>
                <w:highlight w:val="none"/>
                <w:lang w:val="en-US" w:eastAsia="zh-CN"/>
              </w:rPr>
              <w:t xml:space="preserve">63</w:t>
            </w:r>
            <w:r>
              <w:rPr>
                <w:spacing w:val="53"/>
                <w:highlight w:val="none"/>
              </w:rPr>
              <w:t xml:space="preserve">分）</w:t>
            </w:r>
            <w:r/>
          </w:p>
        </w:tc>
        <w:tc>
          <w:tcPr>
            <w:tcW w:w="1384"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工艺设计方案</w:t>
            </w:r>
            <w:r/>
          </w:p>
          <w:p>
            <w:pPr>
              <w:spacing w:line="360" w:lineRule="auto"/>
              <w:rPr>
                <w:highlight w:val="none"/>
              </w:rPr>
            </w:pPr>
            <w:r>
              <w:rPr>
                <w:rFonts w:hint="eastAsia" w:ascii="宋体" w:hAnsi="宋体" w:cs="宋体"/>
                <w:sz w:val="24"/>
                <w:highlight w:val="none"/>
              </w:rPr>
              <w:t xml:space="preserve">（10分）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根据投标人工艺设计方案进行打分：</w:t>
            </w:r>
            <w:r/>
          </w:p>
          <w:p>
            <w:pPr>
              <w:spacing w:line="360" w:lineRule="auto"/>
              <w:rPr>
                <w:rFonts w:ascii="宋体" w:hAnsi="宋体" w:cs="宋体"/>
                <w:sz w:val="24"/>
                <w:highlight w:val="none"/>
              </w:rPr>
            </w:pPr>
            <w:r>
              <w:rPr>
                <w:rFonts w:hint="eastAsia" w:ascii="宋体" w:hAnsi="宋体" w:cs="宋体"/>
                <w:sz w:val="24"/>
                <w:highlight w:val="none"/>
              </w:rPr>
              <w:t xml:space="preserve">1、包括但不限于工艺设计、工艺成熟程度、技术先进性、设备选型是否满足技术要求；</w:t>
            </w:r>
            <w:r/>
          </w:p>
          <w:p>
            <w:pPr>
              <w:spacing w:line="360" w:lineRule="auto"/>
              <w:rPr>
                <w:rFonts w:ascii="宋体" w:hAnsi="宋体" w:cs="宋体"/>
                <w:sz w:val="24"/>
                <w:highlight w:val="none"/>
              </w:rPr>
            </w:pPr>
            <w:r>
              <w:rPr>
                <w:rFonts w:hint="eastAsia" w:ascii="宋体" w:hAnsi="宋体" w:cs="宋体"/>
                <w:sz w:val="24"/>
                <w:highlight w:val="none"/>
              </w:rPr>
              <w:t xml:space="preserve">（1）方案合理、逻辑清晰，切实可行的得5分；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（2）方案合理、逻辑清晰，较可行的得3分；</w:t>
            </w:r>
            <w:r/>
          </w:p>
          <w:p>
            <w:pPr>
              <w:spacing w:line="360" w:lineRule="auto"/>
              <w:rPr>
                <w:rFonts w:ascii="宋体" w:hAnsi="宋体" w:cs="宋体"/>
                <w:sz w:val="24"/>
                <w:highlight w:val="none"/>
              </w:rPr>
            </w:pPr>
            <w:r>
              <w:rPr>
                <w:rFonts w:hint="eastAsia" w:ascii="宋体" w:hAnsi="宋体" w:cs="宋体"/>
                <w:sz w:val="24"/>
                <w:highlight w:val="none"/>
              </w:rPr>
              <w:t xml:space="preserve">（3）方案合理、逻辑清晰，基本可行的得1分；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（4）未提供方案或方案不满足要求得0分。</w:t>
            </w:r>
            <w:r/>
          </w:p>
          <w:p>
            <w:pPr>
              <w:spacing w:line="360" w:lineRule="auto"/>
              <w:rPr>
                <w:rFonts w:ascii="宋体" w:hAnsi="宋体" w:cs="宋体"/>
                <w:sz w:val="24"/>
                <w:highlight w:val="none"/>
              </w:rPr>
            </w:pPr>
            <w:r>
              <w:rPr>
                <w:rFonts w:hint="eastAsia" w:ascii="宋体" w:hAnsi="宋体" w:cs="宋体"/>
                <w:sz w:val="24"/>
                <w:highlight w:val="none"/>
              </w:rPr>
              <w:t xml:space="preserve">2、包括但不限于药剂添加、系统完整度、自控程度及控制逻辑是否清晰等；</w:t>
            </w:r>
            <w:r/>
          </w:p>
          <w:p>
            <w:pPr>
              <w:spacing w:line="360" w:lineRule="auto"/>
              <w:rPr>
                <w:rFonts w:ascii="宋体" w:hAnsi="宋体" w:cs="宋体"/>
                <w:sz w:val="24"/>
                <w:highlight w:val="none"/>
              </w:rPr>
            </w:pPr>
            <w:r>
              <w:rPr>
                <w:rFonts w:hint="eastAsia" w:ascii="宋体" w:hAnsi="宋体" w:cs="宋体"/>
                <w:sz w:val="24"/>
                <w:highlight w:val="none"/>
              </w:rPr>
              <w:t xml:space="preserve">（1）方案合理、逻辑清晰，切实可行的得5分；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（2）方案合理、逻辑清晰，较可行的得3分；</w:t>
            </w:r>
            <w:r/>
          </w:p>
          <w:p>
            <w:pPr>
              <w:spacing w:line="360" w:lineRule="auto"/>
              <w:rPr>
                <w:rFonts w:ascii="宋体" w:hAnsi="宋体" w:cs="宋体"/>
                <w:sz w:val="24"/>
                <w:highlight w:val="none"/>
              </w:rPr>
            </w:pPr>
            <w:r>
              <w:rPr>
                <w:rFonts w:hint="eastAsia" w:ascii="宋体" w:hAnsi="宋体" w:cs="宋体"/>
                <w:sz w:val="24"/>
                <w:highlight w:val="none"/>
              </w:rPr>
              <w:t xml:space="preserve">（3）方案合理、逻辑清晰，基本可行的得1分；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（4）未提供方案或方案不满足要求得0分。</w:t>
            </w:r>
            <w:r/>
          </w:p>
          <w:p>
            <w:pPr>
              <w:spacing w:line="360" w:lineRule="auto"/>
              <w:rPr>
                <w:highlight w:val="none"/>
              </w:rPr>
            </w:pPr>
            <w:r>
              <w:rPr>
                <w:rFonts w:hint="eastAsia" w:ascii="宋体" w:hAnsi="宋体" w:cs="宋体"/>
                <w:b/>
                <w:bCs/>
                <w:sz w:val="24"/>
                <w:highlight w:val="none"/>
              </w:rPr>
              <w:t xml:space="preserve">本项最高得10分，最低得0分。</w:t>
            </w:r>
            <w:r/>
          </w:p>
        </w:tc>
      </w:tr>
      <w:tr>
        <w:trPr>
          <w:trHeight w:val="416"/>
        </w:trPr>
        <w:tc>
          <w:tcPr>
            <w:tcBorders>
              <w:top w:val="none" w:color="000000" w:sz="4" w:space="0"/>
              <w:bottom w:val="none" w:color="000000" w:sz="4" w:space="0"/>
            </w:tcBorders>
            <w:tcW w:w="1113" w:type="dxa"/>
            <w:vAlign w:val="top"/>
            <w:vMerge w:val="continue"/>
            <w:textDirection w:val="lrTb"/>
            <w:noWrap w:val="false"/>
          </w:tcPr>
          <w:p>
            <w:pPr>
              <w:rPr>
                <w:rFonts w:ascii="Arial"/>
                <w:sz w:val="21"/>
                <w:highlight w:val="none"/>
              </w:rPr>
            </w:pPr>
            <w:r>
              <w:rPr>
                <w:rFonts w:ascii="Arial"/>
                <w:sz w:val="21"/>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实施方案</w:t>
            </w:r>
            <w:r/>
          </w:p>
          <w:p>
            <w:pPr>
              <w:jc w:val="center"/>
              <w:spacing w:line="360" w:lineRule="auto"/>
              <w:rPr>
                <w:highlight w:val="none"/>
              </w:rPr>
            </w:pPr>
            <w:r>
              <w:rPr>
                <w:rFonts w:hint="eastAsia" w:ascii="宋体" w:hAnsi="宋体" w:cs="宋体"/>
                <w:sz w:val="24"/>
                <w:highlight w:val="none"/>
              </w:rPr>
              <w:t xml:space="preserve">（10分）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根据投标人提供的实施方案合理性和完备性进行打分：现场提出具体实施方案，按时保质的情况下完工，包括但不限于实施内容、进度要求等。</w:t>
            </w:r>
            <w:r/>
          </w:p>
          <w:p>
            <w:pPr>
              <w:spacing w:line="360" w:lineRule="auto"/>
              <w:rPr>
                <w:rFonts w:ascii="宋体" w:hAnsi="宋体" w:cs="宋体"/>
                <w:sz w:val="24"/>
                <w:highlight w:val="none"/>
              </w:rPr>
            </w:pPr>
            <w:r>
              <w:rPr>
                <w:rFonts w:hint="eastAsia" w:ascii="宋体" w:hAnsi="宋体" w:cs="宋体"/>
                <w:sz w:val="24"/>
                <w:highlight w:val="none"/>
              </w:rPr>
              <w:t xml:space="preserve">（1）方案、流程合理、切实可行的得10分；</w:t>
            </w:r>
            <w:r/>
          </w:p>
          <w:p>
            <w:pPr>
              <w:spacing w:line="360" w:lineRule="auto"/>
              <w:rPr>
                <w:rFonts w:ascii="宋体" w:hAnsi="宋体" w:cs="宋体"/>
                <w:sz w:val="24"/>
                <w:highlight w:val="none"/>
              </w:rPr>
            </w:pPr>
            <w:r>
              <w:rPr>
                <w:rFonts w:hint="eastAsia" w:ascii="宋体" w:hAnsi="宋体" w:cs="宋体"/>
                <w:sz w:val="24"/>
                <w:highlight w:val="none"/>
              </w:rPr>
              <w:t xml:space="preserve">（2）方案、流程较合理、较可行的得6分；</w:t>
            </w:r>
            <w:r/>
          </w:p>
          <w:p>
            <w:pPr>
              <w:spacing w:line="360" w:lineRule="auto"/>
              <w:rPr>
                <w:rFonts w:ascii="宋体" w:hAnsi="宋体" w:cs="宋体"/>
                <w:sz w:val="24"/>
                <w:highlight w:val="none"/>
              </w:rPr>
            </w:pPr>
            <w:r>
              <w:rPr>
                <w:rFonts w:hint="eastAsia" w:ascii="宋体" w:hAnsi="宋体" w:cs="宋体"/>
                <w:sz w:val="24"/>
                <w:highlight w:val="none"/>
              </w:rPr>
              <w:t xml:space="preserve">（3）方案、流程不够合理、基本可行的得4分；</w:t>
            </w:r>
            <w:r/>
          </w:p>
          <w:p>
            <w:pPr>
              <w:spacing w:line="360" w:lineRule="auto"/>
              <w:rPr>
                <w:rFonts w:ascii="宋体" w:hAnsi="宋体" w:cs="宋体"/>
                <w:sz w:val="24"/>
                <w:highlight w:val="none"/>
              </w:rPr>
            </w:pPr>
            <w:r>
              <w:rPr>
                <w:rFonts w:hint="eastAsia" w:ascii="宋体" w:hAnsi="宋体" w:cs="宋体"/>
                <w:sz w:val="24"/>
                <w:highlight w:val="none"/>
              </w:rPr>
              <w:t xml:space="preserve">（4）方案、流程不合理、可行性低得1分；</w:t>
            </w:r>
            <w:r/>
          </w:p>
          <w:p>
            <w:pPr>
              <w:spacing w:line="360" w:lineRule="auto"/>
              <w:rPr>
                <w:rFonts w:ascii="宋体" w:hAnsi="宋体" w:cs="宋体"/>
                <w:sz w:val="24"/>
                <w:highlight w:val="none"/>
              </w:rPr>
            </w:pPr>
            <w:r>
              <w:rPr>
                <w:rFonts w:hint="eastAsia" w:ascii="宋体" w:hAnsi="宋体" w:cs="宋体"/>
                <w:sz w:val="24"/>
                <w:highlight w:val="none"/>
              </w:rPr>
              <w:t xml:space="preserve">（5）未提供方案或方案不满足要求得0分。</w:t>
            </w:r>
            <w:r/>
          </w:p>
          <w:p>
            <w:pPr>
              <w:pStyle w:val="810"/>
              <w:spacing w:line="360" w:lineRule="auto"/>
              <w:rPr>
                <w:highlight w:val="none"/>
              </w:rPr>
            </w:pPr>
            <w:r>
              <w:rPr>
                <w:rFonts w:hint="eastAsia" w:ascii="宋体" w:hAnsi="宋体" w:cs="宋体"/>
                <w:b/>
                <w:bCs/>
                <w:sz w:val="24"/>
                <w:highlight w:val="none"/>
              </w:rPr>
              <w:t xml:space="preserve">本项最高得10分，最低得0分。</w:t>
            </w:r>
            <w:r/>
          </w:p>
        </w:tc>
      </w:tr>
      <w:tr>
        <w:trPr>
          <w:trHeight w:val="6852"/>
        </w:trPr>
        <w:tc>
          <w:tcPr>
            <w:tcBorders>
              <w:top w:val="none" w:color="000000" w:sz="4" w:space="0"/>
              <w:bottom w:val="none" w:color="000000" w:sz="4" w:space="0"/>
            </w:tcBorders>
            <w:tcW w:w="1113" w:type="dxa"/>
            <w:vAlign w:val="top"/>
            <w:vMerge w:val="continue"/>
            <w:textDirection w:val="lrTb"/>
            <w:noWrap w:val="false"/>
          </w:tcPr>
          <w:p>
            <w:pPr>
              <w:rPr>
                <w:rFonts w:ascii="Arial"/>
                <w:sz w:val="21"/>
                <w:highlight w:val="none"/>
              </w:rPr>
            </w:pPr>
            <w:r>
              <w:rPr>
                <w:rFonts w:ascii="Arial"/>
                <w:sz w:val="21"/>
                <w:highlight w:val="none"/>
              </w:rPr>
            </w:r>
            <w:r/>
          </w:p>
        </w:tc>
        <w:tc>
          <w:tcPr>
            <w:tcW w:w="1384"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安装、调试、培训方案</w:t>
            </w:r>
            <w:r/>
          </w:p>
          <w:p>
            <w:pPr>
              <w:jc w:val="center"/>
              <w:spacing w:line="360" w:lineRule="auto"/>
              <w:rPr>
                <w:highlight w:val="none"/>
              </w:rPr>
            </w:pPr>
            <w:r>
              <w:rPr>
                <w:rFonts w:hint="eastAsia" w:ascii="宋体" w:hAnsi="宋体" w:cs="宋体"/>
                <w:sz w:val="24"/>
                <w:highlight w:val="none"/>
              </w:rPr>
              <w:t xml:space="preserve">（10分）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1、根据投标人提供的方案合理性和完备性进行打分：项目实施过程中有切实可行的运输、设备进场、吊装就位，及安装等内容。</w:t>
            </w:r>
            <w:r/>
          </w:p>
          <w:p>
            <w:pPr>
              <w:spacing w:line="360" w:lineRule="auto"/>
              <w:rPr>
                <w:rFonts w:ascii="宋体" w:hAnsi="宋体" w:cs="宋体"/>
                <w:sz w:val="24"/>
                <w:highlight w:val="none"/>
              </w:rPr>
            </w:pPr>
            <w:r>
              <w:rPr>
                <w:rFonts w:hint="eastAsia" w:ascii="宋体" w:hAnsi="宋体" w:cs="宋体"/>
                <w:sz w:val="24"/>
                <w:highlight w:val="none"/>
              </w:rPr>
              <w:t xml:space="preserve">（1）方案、流程合理、切实可行的得5分；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（2）方案、流程较合理、较可行的得3分；</w:t>
            </w:r>
            <w:r/>
          </w:p>
          <w:p>
            <w:pPr>
              <w:spacing w:line="360" w:lineRule="auto"/>
              <w:rPr>
                <w:rFonts w:ascii="宋体" w:hAnsi="宋体" w:cs="宋体"/>
                <w:sz w:val="24"/>
                <w:highlight w:val="none"/>
              </w:rPr>
            </w:pPr>
            <w:r>
              <w:rPr>
                <w:rFonts w:hint="eastAsia" w:ascii="宋体" w:hAnsi="宋体" w:cs="宋体"/>
                <w:sz w:val="24"/>
                <w:highlight w:val="none"/>
              </w:rPr>
              <w:t xml:space="preserve">（3）方案、流程不够合理、基本可行的得1分；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（4）未提供方案或方案不满足要求得0分。</w:t>
            </w:r>
            <w:r/>
          </w:p>
          <w:p>
            <w:pPr>
              <w:spacing w:line="360" w:lineRule="auto"/>
              <w:rPr>
                <w:rFonts w:ascii="宋体" w:hAnsi="宋体" w:cs="宋体"/>
                <w:sz w:val="24"/>
                <w:highlight w:val="none"/>
              </w:rPr>
            </w:pPr>
            <w:r>
              <w:rPr>
                <w:rFonts w:hint="eastAsia" w:ascii="宋体" w:hAnsi="宋体" w:cs="宋体"/>
                <w:sz w:val="24"/>
                <w:highlight w:val="none"/>
              </w:rPr>
              <w:t xml:space="preserve">2、根据投标人提供的培训、调试方案合理性和完备性进行打分：投标人的调试方案、试运行方案、培训方案等方面进行打分。</w:t>
            </w:r>
            <w:r/>
          </w:p>
          <w:p>
            <w:pPr>
              <w:spacing w:line="360" w:lineRule="auto"/>
              <w:rPr>
                <w:rFonts w:ascii="宋体" w:hAnsi="宋体" w:cs="宋体"/>
                <w:sz w:val="24"/>
                <w:highlight w:val="none"/>
              </w:rPr>
            </w:pPr>
            <w:r>
              <w:rPr>
                <w:rFonts w:hint="eastAsia" w:ascii="宋体" w:hAnsi="宋体" w:cs="宋体"/>
                <w:sz w:val="24"/>
                <w:highlight w:val="none"/>
              </w:rPr>
              <w:t xml:space="preserve">（1）方案、流程合理、切实可行的得5分；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（2）方案、流程较合理、较可行的得3分；</w:t>
            </w:r>
            <w:r/>
          </w:p>
          <w:p>
            <w:pPr>
              <w:pStyle w:val="810"/>
              <w:spacing w:line="360" w:lineRule="auto"/>
              <w:rPr>
                <w:rFonts w:ascii="宋体" w:hAnsi="宋体" w:cs="宋体"/>
                <w:sz w:val="24"/>
                <w:highlight w:val="none"/>
              </w:rPr>
            </w:pPr>
            <w:r>
              <w:rPr>
                <w:rFonts w:hint="eastAsia" w:ascii="宋体" w:hAnsi="宋体" w:cs="宋体"/>
                <w:sz w:val="24"/>
                <w:highlight w:val="none"/>
              </w:rPr>
              <w:t xml:space="preserve">（3）方案、流程不够合理、基本可行的得1分；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（4）未提供方案或方案不满足要求得0分。</w:t>
            </w:r>
            <w:r/>
          </w:p>
          <w:p>
            <w:pPr>
              <w:spacing w:line="360" w:lineRule="auto"/>
              <w:rPr>
                <w:highlight w:val="none"/>
              </w:rPr>
            </w:pPr>
            <w:r>
              <w:rPr>
                <w:rFonts w:hint="eastAsia" w:ascii="宋体" w:hAnsi="宋体" w:cs="宋体"/>
                <w:b/>
                <w:bCs/>
                <w:sz w:val="24"/>
                <w:highlight w:val="none"/>
              </w:rPr>
              <w:t xml:space="preserve">本项最高得10分，最低得0分。</w:t>
            </w:r>
            <w:r/>
          </w:p>
        </w:tc>
      </w:tr>
      <w:tr>
        <w:trPr>
          <w:trHeight w:val="4134"/>
        </w:trPr>
        <w:tc>
          <w:tcPr>
            <w:tcBorders>
              <w:top w:val="none" w:color="000000" w:sz="4" w:space="0"/>
              <w:bottom w:val="none" w:color="000000" w:sz="4" w:space="0"/>
            </w:tcBorders>
            <w:tcW w:w="1113" w:type="dxa"/>
            <w:vAlign w:val="top"/>
            <w:vMerge w:val="continue"/>
            <w:textDirection w:val="lrTb"/>
            <w:noWrap w:val="false"/>
          </w:tcPr>
          <w:p>
            <w:pPr>
              <w:rPr>
                <w:rFonts w:ascii="Arial"/>
                <w:sz w:val="21"/>
                <w:highlight w:val="none"/>
              </w:rPr>
            </w:pPr>
            <w:r>
              <w:rPr>
                <w:rFonts w:ascii="Arial"/>
                <w:sz w:val="21"/>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环保措施</w:t>
            </w:r>
            <w:r/>
          </w:p>
          <w:p>
            <w:pPr>
              <w:jc w:val="center"/>
              <w:spacing w:line="360" w:lineRule="auto"/>
              <w:rPr>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根据投标人采用的环保措施方案合理性和完备性进行打分：</w:t>
            </w:r>
            <w:r/>
          </w:p>
          <w:p>
            <w:pPr>
              <w:spacing w:line="360" w:lineRule="auto"/>
              <w:rPr>
                <w:rFonts w:ascii="宋体" w:hAnsi="宋体" w:cs="宋体"/>
                <w:sz w:val="24"/>
                <w:highlight w:val="none"/>
              </w:rPr>
            </w:pPr>
            <w:r>
              <w:rPr>
                <w:rFonts w:hint="eastAsia" w:ascii="宋体" w:hAnsi="宋体" w:cs="宋体"/>
                <w:sz w:val="24"/>
                <w:highlight w:val="none"/>
              </w:rPr>
              <w:t xml:space="preserve">投标人应具备的减少环境影响的措施包括并不限于减少排放、减少噪音、减少能耗、减少水耗、减少废物产生等；</w:t>
            </w:r>
            <w:r/>
          </w:p>
          <w:p>
            <w:pPr>
              <w:spacing w:line="360" w:lineRule="auto"/>
              <w:rPr>
                <w:rFonts w:ascii="宋体" w:hAnsi="宋体" w:cs="宋体"/>
                <w:sz w:val="24"/>
                <w:highlight w:val="none"/>
              </w:rPr>
            </w:pPr>
            <w:r>
              <w:rPr>
                <w:rFonts w:hint="eastAsia" w:ascii="宋体" w:hAnsi="宋体" w:cs="宋体"/>
                <w:sz w:val="24"/>
                <w:highlight w:val="none"/>
              </w:rPr>
              <w:t xml:space="preserve">（1）环保措施方案措施合理，切实可行的得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（2）环保措施方案措施合理、较可行的得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（3）环保措施方案措施合理、基本可行的得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（3）环保措施方案措施</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合理、</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（4）未提供方案得0分。</w:t>
            </w:r>
            <w:r/>
          </w:p>
          <w:p>
            <w:pPr>
              <w:pStyle w:val="810"/>
              <w:spacing w:line="360" w:lineRule="auto"/>
              <w:rPr>
                <w:highlight w:val="none"/>
              </w:rPr>
            </w:pPr>
            <w:r>
              <w:rPr>
                <w:rFonts w:hint="eastAsia" w:ascii="宋体" w:hAnsi="宋体" w:cs="宋体"/>
                <w:b/>
                <w:bCs/>
                <w:sz w:val="24"/>
                <w:highlight w:val="none"/>
              </w:rPr>
              <w:t xml:space="preserve">本项最高得</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分，最低得0分。</w:t>
            </w:r>
            <w:r/>
          </w:p>
        </w:tc>
      </w:tr>
      <w:tr>
        <w:trPr>
          <w:trHeight w:val="3683"/>
        </w:trPr>
        <w:tc>
          <w:tcPr>
            <w:tcBorders>
              <w:top w:val="none" w:color="000000" w:sz="4" w:space="0"/>
              <w:bottom w:val="none" w:color="000000" w:sz="4" w:space="0"/>
            </w:tcBorders>
            <w:tcW w:w="1113" w:type="dxa"/>
            <w:vAlign w:val="top"/>
            <w:vMerge w:val="continue"/>
            <w:textDirection w:val="lrTb"/>
            <w:noWrap w:val="false"/>
          </w:tcPr>
          <w:p>
            <w:pPr>
              <w:rPr>
                <w:rFonts w:ascii="Arial"/>
                <w:sz w:val="21"/>
                <w:highlight w:val="none"/>
              </w:rPr>
            </w:pPr>
            <w:r>
              <w:rPr>
                <w:rFonts w:ascii="Arial"/>
                <w:sz w:val="21"/>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应急预案</w:t>
            </w:r>
            <w:r/>
          </w:p>
          <w:p>
            <w:pPr>
              <w:pStyle w:val="810"/>
              <w:jc w:val="center"/>
              <w:spacing w:line="360" w:lineRule="auto"/>
              <w:rPr>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tc>
        <w:tc>
          <w:tcPr>
            <w:tcW w:w="6462"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根据投标人提供的应急预案合理性和完备性进行打分：项目实施过程中有切实可行的应急预案、安全施工预案等。</w:t>
            </w:r>
            <w:r/>
          </w:p>
          <w:p>
            <w:pPr>
              <w:spacing w:line="360" w:lineRule="auto"/>
              <w:rPr>
                <w:rFonts w:ascii="宋体" w:hAnsi="宋体" w:cs="宋体"/>
                <w:sz w:val="24"/>
                <w:highlight w:val="none"/>
              </w:rPr>
            </w:pPr>
            <w:r>
              <w:rPr>
                <w:rFonts w:hint="eastAsia" w:ascii="宋体" w:hAnsi="宋体" w:cs="宋体"/>
                <w:sz w:val="24"/>
                <w:highlight w:val="none"/>
              </w:rPr>
              <w:t xml:space="preserve">（1）预案合理、切实可行的得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（2）预案较合理、较可行的得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（3）预案不够合理、基本可行的得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预案</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合理、</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（4）未提供预案或预案不满足要求得0分。</w:t>
            </w:r>
            <w:r/>
          </w:p>
          <w:p>
            <w:pPr>
              <w:pStyle w:val="810"/>
              <w:spacing w:line="360" w:lineRule="auto"/>
              <w:rPr>
                <w:highlight w:val="none"/>
              </w:rPr>
            </w:pPr>
            <w:r>
              <w:rPr>
                <w:rFonts w:hint="eastAsia" w:ascii="宋体" w:hAnsi="宋体" w:cs="宋体"/>
                <w:b/>
                <w:bCs/>
                <w:sz w:val="24"/>
                <w:highlight w:val="none"/>
              </w:rPr>
              <w:t xml:space="preserve">本项最高得</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分，最低得0分。</w:t>
            </w:r>
            <w:r/>
          </w:p>
        </w:tc>
      </w:tr>
      <w:tr>
        <w:trPr>
          <w:trHeight w:val="3234"/>
        </w:trPr>
        <w:tc>
          <w:tcPr>
            <w:tcBorders>
              <w:top w:val="none" w:color="000000" w:sz="4" w:space="0"/>
            </w:tcBorders>
            <w:tcW w:w="1113" w:type="dxa"/>
            <w:vAlign w:val="top"/>
            <w:vMerge w:val="continue"/>
            <w:textDirection w:val="lrTb"/>
            <w:noWrap w:val="false"/>
          </w:tcPr>
          <w:p>
            <w:pPr>
              <w:rPr>
                <w:rFonts w:ascii="Arial"/>
                <w:sz w:val="21"/>
                <w:highlight w:val="none"/>
              </w:rPr>
            </w:pPr>
            <w:r>
              <w:rPr>
                <w:rFonts w:ascii="Arial"/>
                <w:sz w:val="21"/>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合理化建议</w:t>
            </w:r>
            <w:r/>
          </w:p>
          <w:p>
            <w:pPr>
              <w:jc w:val="center"/>
              <w:spacing w:line="360" w:lineRule="auto"/>
              <w:rPr>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根据投标人提供有指导性的合理化建议进行评分。</w:t>
            </w:r>
            <w:r/>
          </w:p>
          <w:p>
            <w:pPr>
              <w:spacing w:line="360" w:lineRule="auto"/>
              <w:rPr>
                <w:rFonts w:ascii="宋体" w:hAnsi="宋体" w:cs="宋体"/>
                <w:sz w:val="24"/>
                <w:highlight w:val="none"/>
              </w:rPr>
            </w:pPr>
            <w:r>
              <w:rPr>
                <w:rFonts w:hint="eastAsia" w:ascii="宋体" w:hAnsi="宋体" w:cs="宋体"/>
                <w:sz w:val="24"/>
                <w:highlight w:val="none"/>
              </w:rPr>
              <w:t xml:space="preserve">（1）建议合理、切实可行的得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（2）建议较合理、较可行的得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（3）建议不够合理、基本可行的得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建议不合理、</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（4）未提供建议或建议不满足要求得0分。</w:t>
            </w:r>
            <w:r/>
          </w:p>
          <w:p>
            <w:pPr>
              <w:pStyle w:val="810"/>
              <w:spacing w:line="360" w:lineRule="auto"/>
              <w:rPr>
                <w:highlight w:val="none"/>
              </w:rPr>
            </w:pPr>
            <w:r>
              <w:rPr>
                <w:rFonts w:hint="eastAsia" w:ascii="宋体" w:hAnsi="宋体" w:cs="宋体"/>
                <w:b/>
                <w:bCs/>
                <w:sz w:val="24"/>
                <w:highlight w:val="none"/>
              </w:rPr>
              <w:t xml:space="preserve">本项最高得</w:t>
            </w:r>
            <w:r>
              <w:rPr>
                <w:rFonts w:hint="eastAsia" w:ascii="宋体" w:hAnsi="宋体" w:cs="宋体"/>
                <w:b/>
                <w:bCs/>
                <w:sz w:val="24"/>
                <w:highlight w:val="none"/>
                <w:lang w:val="en-US" w:eastAsia="zh-CN"/>
              </w:rPr>
              <w:t xml:space="preserve">8</w:t>
            </w:r>
            <w:r>
              <w:rPr>
                <w:rFonts w:hint="eastAsia" w:ascii="宋体" w:hAnsi="宋体" w:cs="宋体"/>
                <w:b/>
                <w:bCs/>
                <w:sz w:val="24"/>
                <w:highlight w:val="none"/>
              </w:rPr>
              <w:t xml:space="preserve">分，最低得0分。</w:t>
            </w:r>
            <w:r/>
          </w:p>
        </w:tc>
      </w:tr>
      <w:tr>
        <w:trPr>
          <w:trHeight w:val="2190"/>
        </w:trPr>
        <w:tc>
          <w:tcPr>
            <w:tcW w:w="1113" w:type="dxa"/>
            <w:vAlign w:val="top"/>
            <w:textDirection w:val="lrTb"/>
            <w:noWrap w:val="false"/>
          </w:tcPr>
          <w:p>
            <w:pPr>
              <w:rPr>
                <w:rFonts w:ascii="Arial"/>
                <w:sz w:val="21"/>
                <w:highlight w:val="none"/>
              </w:rPr>
            </w:pPr>
            <w:r>
              <w:rPr>
                <w:rFonts w:ascii="Arial"/>
                <w:sz w:val="21"/>
                <w:highlight w:val="none"/>
              </w:rPr>
            </w:r>
            <w:r/>
          </w:p>
          <w:p>
            <w:pPr>
              <w:pStyle w:val="1157"/>
              <w:ind w:left="119" w:right="285" w:hanging="1"/>
              <w:jc w:val="both"/>
              <w:spacing w:before="78" w:line="241" w:lineRule="auto"/>
              <w:rPr>
                <w:highlight w:val="none"/>
              </w:rPr>
            </w:pPr>
            <w:r>
              <w:rPr>
                <w:highlight w:val="none"/>
              </w:rPr>
            </w:r>
            <w:r/>
          </w:p>
        </w:tc>
        <w:tc>
          <w:tcPr>
            <w:tcW w:w="1384"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售后服务</w:t>
            </w:r>
            <w:r/>
          </w:p>
          <w:p>
            <w:pPr>
              <w:jc w:val="center"/>
              <w:spacing w:line="360" w:lineRule="auto"/>
              <w:rPr>
                <w:highlight w:val="none"/>
              </w:rPr>
            </w:pPr>
            <w:r>
              <w:rPr>
                <w:rFonts w:hint="eastAsia" w:ascii="宋体" w:hAnsi="宋体" w:cs="宋体"/>
                <w:sz w:val="24"/>
                <w:highlight w:val="none"/>
              </w:rPr>
              <w:t xml:space="preserve">（11分）</w:t>
            </w:r>
            <w:r/>
          </w:p>
        </w:tc>
        <w:tc>
          <w:tcPr>
            <w:tcW w:w="646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1、根据投标人提供的售后服务方案（内容包括：技术服务、培训、售后服务响应等内容），由评审小组综合评审后打分；</w:t>
            </w:r>
            <w:r/>
          </w:p>
          <w:p>
            <w:pPr>
              <w:spacing w:line="360" w:lineRule="auto"/>
              <w:rPr>
                <w:rFonts w:ascii="宋体" w:hAnsi="宋体" w:cs="宋体"/>
                <w:sz w:val="24"/>
                <w:highlight w:val="none"/>
              </w:rPr>
            </w:pPr>
            <w:r>
              <w:rPr>
                <w:rFonts w:hint="eastAsia" w:ascii="宋体" w:hAnsi="宋体" w:cs="宋体"/>
                <w:sz w:val="24"/>
                <w:highlight w:val="none"/>
              </w:rPr>
              <w:t xml:space="preserve">（1）售后服务方案全面详尽、措施切实可行的得7分；</w:t>
            </w:r>
            <w:r/>
          </w:p>
          <w:p>
            <w:pPr>
              <w:spacing w:line="360" w:lineRule="auto"/>
              <w:rPr>
                <w:rFonts w:ascii="宋体" w:hAnsi="宋体" w:cs="宋体"/>
                <w:sz w:val="24"/>
                <w:highlight w:val="none"/>
              </w:rPr>
            </w:pPr>
            <w:r>
              <w:rPr>
                <w:rFonts w:hint="eastAsia" w:ascii="宋体" w:hAnsi="宋体" w:cs="宋体"/>
                <w:sz w:val="24"/>
                <w:highlight w:val="none"/>
              </w:rPr>
              <w:t xml:space="preserve">（2）售后服务方案全面详尽、措施较可行的得4分；</w:t>
            </w:r>
            <w:r/>
          </w:p>
          <w:p>
            <w:pPr>
              <w:spacing w:line="360" w:lineRule="auto"/>
              <w:rPr>
                <w:rFonts w:ascii="宋体" w:hAnsi="宋体" w:cs="宋体"/>
                <w:sz w:val="24"/>
                <w:highlight w:val="none"/>
              </w:rPr>
            </w:pPr>
            <w:r>
              <w:rPr>
                <w:rFonts w:hint="eastAsia" w:ascii="宋体" w:hAnsi="宋体" w:cs="宋体"/>
                <w:sz w:val="24"/>
                <w:highlight w:val="none"/>
              </w:rPr>
              <w:t xml:space="preserve">（3）售后服务方案全面详尽、措施可行的得2分；</w:t>
            </w:r>
            <w:r/>
          </w:p>
          <w:p>
            <w:pPr>
              <w:spacing w:line="360" w:lineRule="auto"/>
              <w:rPr>
                <w:rFonts w:ascii="宋体" w:hAnsi="宋体" w:cs="宋体"/>
                <w:sz w:val="24"/>
                <w:highlight w:val="none"/>
              </w:rPr>
            </w:pPr>
            <w:r>
              <w:rPr>
                <w:rFonts w:hint="eastAsia" w:ascii="宋体" w:hAnsi="宋体" w:cs="宋体"/>
                <w:sz w:val="24"/>
                <w:highlight w:val="none"/>
              </w:rPr>
              <w:t xml:space="preserve">（4）未提供方案或方案不满足要求得0分。</w:t>
            </w:r>
            <w:r/>
          </w:p>
          <w:p>
            <w:pPr>
              <w:spacing w:line="360" w:lineRule="auto"/>
              <w:rPr>
                <w:rFonts w:ascii="宋体" w:hAnsi="宋体" w:cs="宋体"/>
                <w:sz w:val="24"/>
                <w:highlight w:val="none"/>
              </w:rPr>
            </w:pPr>
            <w:r>
              <w:rPr>
                <w:rFonts w:hint="eastAsia" w:ascii="宋体" w:hAnsi="宋体" w:cs="宋体"/>
                <w:sz w:val="24"/>
                <w:highlight w:val="none"/>
              </w:rPr>
              <w:t xml:space="preserve">2、在满足招标文件要求的质保期时间上，每多一年加</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分，最多得1分。</w:t>
            </w:r>
            <w:r/>
          </w:p>
          <w:p>
            <w:pPr>
              <w:spacing w:line="360" w:lineRule="auto"/>
              <w:rPr>
                <w:rFonts w:ascii="宋体" w:hAnsi="宋体" w:cs="宋体"/>
                <w:sz w:val="24"/>
                <w:highlight w:val="none"/>
              </w:rPr>
            </w:pPr>
            <w:r>
              <w:rPr>
                <w:rFonts w:hint="eastAsia" w:ascii="宋体" w:hAnsi="宋体" w:cs="宋体"/>
                <w:sz w:val="24"/>
                <w:highlight w:val="none"/>
              </w:rPr>
              <w:t xml:space="preserve">3、为保证该项目稳定运行，自项目验收合格交付后，投标人承诺提供免费运维服务，每一年加1分，最多得3分。</w:t>
            </w:r>
            <w:r/>
          </w:p>
          <w:p>
            <w:pPr>
              <w:pStyle w:val="810"/>
              <w:spacing w:line="360" w:lineRule="auto"/>
              <w:rPr>
                <w:highlight w:val="none"/>
              </w:rPr>
            </w:pPr>
            <w:r>
              <w:rPr>
                <w:rFonts w:hint="eastAsia" w:ascii="宋体" w:hAnsi="宋体" w:cs="宋体"/>
                <w:b/>
                <w:bCs/>
                <w:sz w:val="24"/>
                <w:highlight w:val="none"/>
              </w:rPr>
              <w:t xml:space="preserve">本项最高得11分，最低得0分。</w:t>
            </w:r>
            <w:r/>
          </w:p>
        </w:tc>
      </w:tr>
    </w:tbl>
    <w:p>
      <w:pPr>
        <w:pStyle w:val="859"/>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59"/>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4"/>
        </w:numPr>
        <w:ind w:left="0" w:firstLine="0"/>
        <w:jc w:val="center"/>
        <w:keepLines w:val="0"/>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10"/>
        <w:numPr>
          <w:ilvl w:val="0"/>
          <w:numId w:val="0"/>
        </w:numPr>
        <w:ind w:right="0"/>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10"/>
        <w:keepLines w:val="0"/>
        <w:rPr>
          <w:rFonts w:hint="eastAsia"/>
          <w:highlight w:val="none"/>
        </w:rPr>
      </w:pPr>
      <w:r>
        <w:rPr>
          <w:rFonts w:hint="eastAsia"/>
          <w:highlight w:val="none"/>
        </w:rPr>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val="0"/>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val="0"/>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val="0"/>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9"/>
        <w:ind w:right="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p>
    <w:p>
      <w:pPr>
        <w:ind w:right="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所规定的所有技术性能在验收中都已经达到，双方应在验收合格后5日内签署验收书。</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（1）合同签订且乙方向甲方出具</w:t>
      </w:r>
      <w:r>
        <w:rPr>
          <w:rFonts w:hint="eastAsia" w:ascii="宋体" w:hAnsi="宋体" w:eastAsia="宋体" w:cs="宋体"/>
          <w:color w:val="auto"/>
          <w:sz w:val="24"/>
          <w:szCs w:val="24"/>
          <w:highlight w:val="white"/>
          <w:lang w:eastAsia="zh-CN"/>
        </w:rPr>
        <w:t xml:space="preserve">等额</w:t>
      </w:r>
      <w:r>
        <w:rPr>
          <w:rFonts w:hint="eastAsia" w:ascii="宋体" w:hAnsi="宋体" w:eastAsia="宋体" w:cs="宋体"/>
          <w:color w:val="auto"/>
          <w:sz w:val="24"/>
          <w:szCs w:val="24"/>
          <w:highlight w:val="white"/>
        </w:rPr>
        <w:t xml:space="preserve">预付款保函后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eastAsia="zh-CN"/>
        </w:rPr>
        <w:t xml:space="preserve">四十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40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（2）合同标的全部交付并安装完毕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验收合格后</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eastAsia="zh-CN"/>
        </w:rPr>
        <w:t xml:space="preserve">六十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none"/>
          <w:lang w:eastAsia="zh-CN"/>
        </w:rPr>
        <w:t xml:space="preserve">（</w:t>
      </w:r>
      <w:r>
        <w:rPr>
          <w:rFonts w:hint="eastAsia" w:ascii="宋体" w:hAnsi="宋体" w:eastAsia="宋体" w:cs="宋体"/>
          <w:color w:val="auto"/>
          <w:sz w:val="24"/>
          <w:szCs w:val="24"/>
          <w:highlight w:val="white"/>
          <w:u w:val="single"/>
          <w:lang w:val="en-US" w:eastAsia="zh-CN"/>
        </w:rPr>
        <w:t xml:space="preserve">60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1、卖方出具的相应金额的正式发票；如卖方未提供发票的，买方有权拒绝付款。</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2、买方出具的验收合格证明。</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（1）合同签订后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val="en-US" w:eastAsia="zh-CN"/>
        </w:rPr>
        <w:t xml:space="preserve">三十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（2）合同标的全部交付并安装完毕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验收合格后</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val="en-US" w:eastAsia="zh-CN"/>
        </w:rPr>
        <w:t xml:space="preserve">七十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70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p>
    <w:p>
      <w:pPr>
        <w:ind w:left="0"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2、买方出具的验收合格证明。</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日通知买方。</w:t>
      </w:r>
      <w:r/>
    </w:p>
    <w:p>
      <w:pPr>
        <w:ind w:firstLine="54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逾期超过  日的，买方有权解除合同追究卖方违约责任，卖方应退还已收取的全部费用。卖方造成买方损失的，还应全额赔偿。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如果卖方在合同规定的交货期限后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技术资料随合同标的同时交付给买方。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11.1买方有权选择本条款规定的任意或全部救济方式。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13.1如果卖方有下述违约行为，买方可以全部或部分地终止合同：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14.1如果不能协商一致，合同任何一方有权向买方所在地人民法院提起诉讼。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 合同双方的通讯地址：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合同附件2：技术规格和技术</w:t>
      </w:r>
      <w:r>
        <w:rPr>
          <w:rFonts w:hint="eastAsia" w:ascii="宋体" w:hAnsi="宋体" w:eastAsia="宋体" w:cs="宋体"/>
          <w:color w:val="auto"/>
          <w:sz w:val="24"/>
          <w:szCs w:val="24"/>
          <w:highlight w:val="none"/>
          <w:lang w:eastAsia="zh-CN"/>
        </w:rPr>
        <w:t xml:space="preserve">性能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(要求见招标文件第六章《采购需求》；合同见卖方投标文件中《所投产品的技术规格</w:t>
      </w:r>
      <w:r>
        <w:rPr>
          <w:rFonts w:hint="eastAsia" w:ascii="宋体" w:hAnsi="宋体" w:eastAsia="宋体" w:cs="宋体"/>
          <w:color w:val="auto"/>
          <w:sz w:val="24"/>
          <w:szCs w:val="24"/>
          <w:highlight w:val="none"/>
          <w:lang w:eastAsia="zh-CN"/>
        </w:rPr>
        <w:t xml:space="preserve">和技术参数</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合同附件3：售后服务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(要求见招标文件第六章《采购需求》；合同见卖方投标文件中《售后服务方案》。)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合同附件5：验收标准（验收要求、验收标准和程序）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合同附件6：采购需求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合同附件7：项目实施</w:t>
      </w:r>
      <w:r>
        <w:rPr>
          <w:rFonts w:hint="eastAsia" w:ascii="宋体" w:hAnsi="宋体" w:eastAsia="宋体" w:cs="宋体"/>
          <w:color w:val="auto"/>
          <w:sz w:val="24"/>
          <w:szCs w:val="24"/>
          <w:highlight w:val="none"/>
          <w:lang w:eastAsia="zh-CN"/>
        </w:rPr>
        <w:t xml:space="preserve">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(要求见招标文件第六章《采购需求》；合同见卖方投标文件中《项目实施方案》。)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0"/>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合同协议书</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签字地点:____________ </w:t>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徐州市云龙区城市管理局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）的投标。买方和卖方共同达成如下协议。</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本合同协议书中的词语和术语的含义与合同条款中定义的相同。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以下文件应构成买方和卖方之间达成的合同，若各文件之间存在含糊不清或互相冲突之处，优先顺序应按下列文件顺序解释。</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合同协议书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中标通知书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合同专用条款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合同通用条款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除合同附件1外的合同附件</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其他文件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双方加盖公章或合同专用章；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买方收到卖方按政府采购合同金额（合同总价）的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%提交的履约保证金（不得超过政府采购合同金额的10%）。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江苏沛源工程项目管理有限公司</w:t>
      </w:r>
      <w:r>
        <w:rPr>
          <w:rFonts w:hint="eastAsia" w:ascii="宋体" w:hAnsi="宋体" w:eastAsia="宋体" w:cs="宋体"/>
          <w:color w:val="auto"/>
          <w:sz w:val="24"/>
          <w:szCs w:val="24"/>
          <w:highlight w:val="none"/>
        </w:rPr>
        <w:t xml:space="preserve">一份存档。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买方和卖方由其正式授权代表于上述所写日期和地点签订本合同。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买方（签章）：_________________________________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__________________ </w:t>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卖方（签章）： 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rPr>
        <w:t xml:space="preserve">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银行帐号：_____________________________________</w:t>
      </w:r>
      <w:r>
        <w:rPr>
          <w:rFonts w:hint="eastAsia" w:ascii="宋体" w:hAnsi="宋体" w:eastAsia="宋体" w:cs="宋体"/>
          <w:color w:val="auto"/>
          <w:sz w:val="24"/>
          <w:szCs w:val="24"/>
          <w:highlight w:val="none"/>
          <w:lang w:val="en-US" w:eastAsia="zh-CN"/>
        </w:rPr>
        <w:t xml:space="preserve"> </w:t>
      </w:r>
      <w:r/>
    </w:p>
    <w:p>
      <w:pPr>
        <w:pStyle w:val="810"/>
        <w:rPr>
          <w:rFonts w:ascii="宋体" w:hAnsi="宋体" w:eastAsia="宋体" w:cs="宋体"/>
          <w:sz w:val="28"/>
          <w:szCs w:val="28"/>
          <w:highlight w:val="none"/>
        </w:rPr>
      </w:pPr>
      <w:r>
        <w:rPr>
          <w:rFonts w:ascii="宋体" w:hAnsi="宋体" w:eastAsia="宋体" w:cs="宋体"/>
          <w:sz w:val="28"/>
          <w:szCs w:val="28"/>
          <w:highlight w:val="none"/>
        </w:rPr>
      </w:r>
      <w:r/>
    </w:p>
    <w:p>
      <w:pPr>
        <w:rPr>
          <w:rFonts w:hint="eastAsia" w:ascii="宋体" w:hAnsi="宋体" w:eastAsia="宋体" w:cs="宋体"/>
          <w:sz w:val="24"/>
          <w:szCs w:val="24"/>
          <w:highlight w:val="none"/>
        </w:rPr>
      </w:pPr>
      <w:r>
        <w:rPr>
          <w:rFonts w:ascii="宋体" w:hAnsi="宋体" w:eastAsia="宋体" w:cs="宋体"/>
          <w:sz w:val="28"/>
          <w:szCs w:val="28"/>
          <w:highlight w:val="none"/>
        </w:rPr>
        <w:br w:type="page" w:clear="all"/>
      </w:r>
      <w:r/>
    </w:p>
    <w:p>
      <w:pPr>
        <w:pStyle w:val="873"/>
        <w:ind w:firstLine="0"/>
        <w:jc w:val="center"/>
        <w:rPr>
          <w:rFonts w:ascii="宋体" w:hAnsi="宋体" w:cs="宋体"/>
          <w:b/>
          <w:bCs/>
          <w:color w:val="auto"/>
          <w:sz w:val="36"/>
          <w:highlight w:val="none"/>
        </w:rPr>
      </w:pPr>
      <w:r>
        <w:rPr>
          <w:rFonts w:hint="eastAsia" w:ascii="宋体" w:hAnsi="宋体" w:eastAsia="宋体" w:cs="宋体"/>
          <w:b/>
          <w:color w:val="auto"/>
          <w:sz w:val="28"/>
          <w:szCs w:val="28"/>
          <w:highlight w:val="none"/>
        </w:rPr>
        <w:t xml:space="preserve">第六章</w:t>
      </w:r>
      <w:r>
        <w:rPr>
          <w:rFonts w:hint="eastAsia" w:ascii="宋体" w:hAnsi="宋体" w:eastAsia="宋体" w:cs="宋体"/>
          <w:b/>
          <w:color w:val="auto"/>
          <w:sz w:val="28"/>
          <w:szCs w:val="28"/>
          <w:highlight w:val="none"/>
          <w:lang w:val="en-US" w:eastAsia="zh-CN"/>
        </w:rPr>
        <w:t xml:space="preserve"> </w:t>
      </w:r>
      <w:r>
        <w:rPr>
          <w:rFonts w:hint="eastAsia" w:cs="宋体" w:asciiTheme="minorEastAsia" w:hAnsiTheme="minorEastAsia" w:eastAsiaTheme="minorEastAsia"/>
          <w:b/>
          <w:bCs/>
          <w:color w:val="auto"/>
          <w:sz w:val="36"/>
          <w:szCs w:val="24"/>
          <w:highlight w:val="none"/>
        </w:rPr>
        <w:t xml:space="preserve">项目要求（采购需求）</w:t>
      </w:r>
      <w:r/>
    </w:p>
    <w:p>
      <w:pPr>
        <w:pStyle w:val="941"/>
        <w:numPr>
          <w:ilvl w:val="0"/>
          <w:numId w:val="0"/>
        </w:numPr>
        <w:ind w:left="142"/>
        <w:jc w:val="left"/>
        <w:spacing w:line="360" w:lineRule="atLeast"/>
        <w:widowControl/>
        <w:rPr>
          <w:rFonts w:ascii="Segoe UI" w:hAnsi="Segoe UI" w:eastAsia="宋体" w:cs="Segoe UI"/>
          <w:b/>
          <w:color w:val="000000"/>
          <w:sz w:val="24"/>
          <w:szCs w:val="24"/>
          <w:highlight w:val="none"/>
        </w:rPr>
        <w:outlineLvl w:val="1"/>
      </w:pPr>
      <w:r>
        <w:rPr>
          <w:rFonts w:hint="eastAsia" w:ascii="Segoe UI" w:hAnsi="Segoe UI" w:eastAsia="宋体" w:cs="Segoe UI"/>
          <w:b/>
          <w:color w:val="000000"/>
          <w:sz w:val="24"/>
          <w:szCs w:val="24"/>
          <w:highlight w:val="none"/>
        </w:rPr>
        <w:t xml:space="preserve">一、本项目采购的是非进口产品。</w:t>
      </w:r>
      <w:r/>
    </w:p>
    <w:p>
      <w:pPr>
        <w:pStyle w:val="941"/>
        <w:numPr>
          <w:ilvl w:val="0"/>
          <w:numId w:val="0"/>
        </w:numPr>
        <w:ind w:left="142"/>
        <w:jc w:val="left"/>
        <w:spacing w:line="360" w:lineRule="atLeast"/>
        <w:widowControl/>
        <w:rPr>
          <w:rFonts w:hint="eastAsia" w:ascii="Segoe UI" w:hAnsi="Segoe UI" w:eastAsia="宋体" w:cs="Segoe UI"/>
          <w:b/>
          <w:color w:val="000000"/>
          <w:sz w:val="24"/>
          <w:szCs w:val="24"/>
          <w:highlight w:val="none"/>
        </w:rPr>
        <w:outlineLvl w:val="1"/>
      </w:pPr>
      <w:r>
        <w:rPr>
          <w:rFonts w:hint="eastAsia" w:ascii="Segoe UI" w:hAnsi="Segoe UI" w:eastAsia="宋体" w:cs="Segoe UI"/>
          <w:b/>
          <w:color w:val="000000"/>
          <w:sz w:val="24"/>
          <w:szCs w:val="24"/>
          <w:highlight w:val="none"/>
        </w:rPr>
        <w:t xml:space="preserve">二、本项目不接受超过235万元（采购项目预算金额）的投标报价，报价包括但不限于设备材料费、制作费、运输、装卸、拆除、安装、焊接、调试、防腐、试压、辅材、人工、运行维护、保险、培训、售后、质保、税金、利润等全部费用，采购人不再额外支付任何费用。</w:t>
      </w:r>
      <w:r/>
    </w:p>
    <w:p>
      <w:pPr>
        <w:pStyle w:val="941"/>
        <w:numPr>
          <w:ilvl w:val="0"/>
          <w:numId w:val="0"/>
        </w:numPr>
        <w:ind w:left="142"/>
        <w:jc w:val="left"/>
        <w:spacing w:line="360" w:lineRule="atLeast"/>
        <w:widowControl/>
        <w:rPr>
          <w:rFonts w:hint="default" w:ascii="Segoe UI" w:hAnsi="Segoe UI" w:eastAsia="宋体" w:cs="Segoe UI"/>
          <w:b/>
          <w:color w:val="000000"/>
          <w:sz w:val="24"/>
          <w:szCs w:val="24"/>
          <w:highlight w:val="none"/>
          <w:lang w:val="en-US" w:eastAsia="zh-CN"/>
        </w:rPr>
        <w:outlineLvl w:val="1"/>
      </w:pPr>
      <w:r>
        <w:rPr>
          <w:rFonts w:hint="eastAsia" w:ascii="Segoe UI" w:hAnsi="Segoe UI" w:eastAsia="宋体" w:cs="Segoe UI"/>
          <w:b/>
          <w:color w:val="000000"/>
          <w:sz w:val="24"/>
          <w:szCs w:val="24"/>
          <w:highlight w:val="none"/>
          <w:lang w:val="en-US" w:eastAsia="zh-CN"/>
        </w:rPr>
        <w:t xml:space="preserve">三、项目说明</w:t>
      </w:r>
      <w:r/>
    </w:p>
    <w:p>
      <w:pPr>
        <w:numPr>
          <w:ilvl w:val="0"/>
          <w:numId w:val="5"/>
        </w:numPr>
        <w:jc w:val="left"/>
        <w:spacing w:line="360" w:lineRule="atLeast"/>
        <w:widowControl/>
        <w:rPr>
          <w:rFonts w:ascii="Segoe UI" w:hAnsi="Segoe UI" w:eastAsia="宋体" w:cs="Segoe UI"/>
          <w:color w:val="000000"/>
          <w:sz w:val="24"/>
          <w:szCs w:val="24"/>
          <w:highlight w:val="none"/>
        </w:rPr>
      </w:pPr>
      <w:r>
        <w:rPr>
          <w:rFonts w:hint="eastAsia" w:ascii="Segoe UI" w:hAnsi="Segoe UI" w:eastAsia="宋体" w:cs="Segoe UI"/>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徐州市云龙区城市管理局</w:t>
      </w:r>
      <w:r/>
    </w:p>
    <w:p>
      <w:pPr>
        <w:numPr>
          <w:ilvl w:val="0"/>
          <w:numId w:val="5"/>
        </w:num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项目名称：徐州市云龙区垃圾资源化转运及处理建设项目 - 设备设施采购</w:t>
      </w:r>
      <w:r/>
    </w:p>
    <w:p>
      <w:pPr>
        <w:numPr>
          <w:ilvl w:val="0"/>
          <w:numId w:val="5"/>
        </w:numPr>
        <w:jc w:val="left"/>
        <w:spacing w:line="360" w:lineRule="atLeast"/>
        <w:widowControl/>
        <w:rPr>
          <w:rFonts w:ascii="Segoe UI" w:hAnsi="Segoe UI" w:eastAsia="宋体" w:cs="Segoe UI"/>
          <w:color w:val="000000"/>
          <w:sz w:val="24"/>
          <w:szCs w:val="24"/>
          <w:highlight w:val="none"/>
        </w:rPr>
      </w:pPr>
      <w:r>
        <w:rPr>
          <w:rFonts w:hint="eastAsia" w:ascii="宋体" w:hAnsi="宋体" w:eastAsia="宋体" w:cs="宋体"/>
          <w:color w:val="000000"/>
          <w:sz w:val="24"/>
          <w:szCs w:val="24"/>
          <w:highlight w:val="none"/>
        </w:rPr>
        <w:t xml:space="preserve">采购包划分：本项目共分为1个采购包</w:t>
      </w:r>
      <w:r/>
    </w:p>
    <w:p>
      <w:pPr>
        <w:numPr>
          <w:ilvl w:val="0"/>
          <w:numId w:val="5"/>
        </w:numPr>
        <w:jc w:val="left"/>
        <w:spacing w:line="360" w:lineRule="atLeast"/>
        <w:widowControl/>
        <w:rPr>
          <w:rFonts w:ascii="Segoe UI" w:hAnsi="Segoe UI" w:eastAsia="宋体" w:cs="Segoe UI"/>
          <w:color w:val="000000"/>
          <w:sz w:val="24"/>
          <w:szCs w:val="24"/>
          <w:highlight w:val="none"/>
        </w:rPr>
      </w:pPr>
      <w:r>
        <w:rPr>
          <w:rFonts w:hint="eastAsia" w:ascii="Segoe UI" w:hAnsi="Segoe UI" w:eastAsia="宋体" w:cs="Segoe UI"/>
          <w:color w:val="000000"/>
          <w:sz w:val="24"/>
          <w:szCs w:val="24"/>
          <w:highlight w:val="none"/>
          <w:lang w:val="en-US" w:eastAsia="zh-CN"/>
        </w:rPr>
        <w:t xml:space="preserve">项目概况： </w:t>
      </w:r>
      <w:r>
        <w:rPr>
          <w:rFonts w:ascii="Segoe UI" w:hAnsi="Segoe UI" w:eastAsia="宋体" w:cs="Segoe UI"/>
          <w:color w:val="000000"/>
          <w:sz w:val="24"/>
          <w:szCs w:val="24"/>
          <w:highlight w:val="none"/>
        </w:rPr>
        <w:t xml:space="preserve">徐州市云龙区垃圾资源化转运及处理建设项目 - 设备设施采购</w:t>
      </w:r>
      <w:r>
        <w:rPr>
          <w:rFonts w:hint="eastAsia" w:ascii="Segoe UI" w:hAnsi="Segoe UI" w:eastAsia="宋体" w:cs="Segoe UI"/>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包含但不限于采购、安装、调试一体化</w:t>
      </w:r>
      <w:r/>
    </w:p>
    <w:p>
      <w:pPr>
        <w:pStyle w:val="941"/>
        <w:numPr>
          <w:ilvl w:val="0"/>
          <w:numId w:val="5"/>
        </w:numPr>
        <w:jc w:val="left"/>
        <w:spacing w:line="360" w:lineRule="atLeast"/>
        <w:widowControl/>
        <w:rPr>
          <w:rFonts w:ascii="Segoe UI" w:hAnsi="Segoe UI" w:eastAsia="宋体" w:cs="Segoe UI"/>
          <w:color w:val="000000"/>
          <w:sz w:val="24"/>
          <w:szCs w:val="24"/>
          <w:highlight w:val="none"/>
        </w:rPr>
      </w:pPr>
      <w:r>
        <w:rPr>
          <w:rFonts w:hint="eastAsia" w:ascii="宋体" w:hAnsi="宋体" w:eastAsia="宋体" w:cs="宋体"/>
          <w:color w:val="000000"/>
          <w:sz w:val="24"/>
          <w:szCs w:val="24"/>
          <w:highlight w:val="none"/>
        </w:rPr>
        <w:t xml:space="preserve">供货期（含安装调试工期）：</w:t>
      </w:r>
      <w:bookmarkStart w:id="3" w:name="OLE_LINK2"/>
      <w:r>
        <w:rPr>
          <w:rFonts w:ascii="Segoe UI" w:hAnsi="Segoe UI" w:eastAsia="宋体" w:cs="Segoe UI"/>
          <w:b/>
          <w:bCs/>
          <w:color w:val="000000"/>
          <w:sz w:val="24"/>
          <w:szCs w:val="24"/>
          <w:highlight w:val="none"/>
        </w:rPr>
        <w:t xml:space="preserve">90 日历天</w:t>
      </w:r>
      <w:r>
        <w:rPr>
          <w:rFonts w:hint="eastAsia" w:ascii="宋体" w:hAnsi="宋体" w:eastAsia="宋体" w:cs="宋体"/>
          <w:color w:val="000000"/>
          <w:sz w:val="24"/>
          <w:szCs w:val="24"/>
          <w:highlight w:val="none"/>
        </w:rPr>
        <w:t xml:space="preserve">，签订合同且接到采购人通知后</w:t>
      </w:r>
      <w:r>
        <w:rPr>
          <w:rFonts w:ascii="宋体" w:hAnsi="宋体" w:eastAsia="宋体" w:cs="宋体"/>
          <w:color w:val="000000"/>
          <w:sz w:val="24"/>
          <w:szCs w:val="24"/>
          <w:highlight w:val="none"/>
        </w:rPr>
        <w:t xml:space="preserve">90</w:t>
      </w:r>
      <w:r>
        <w:rPr>
          <w:rFonts w:hint="eastAsia" w:ascii="宋体" w:hAnsi="宋体" w:eastAsia="宋体" w:cs="宋体"/>
          <w:color w:val="000000"/>
          <w:sz w:val="24"/>
          <w:szCs w:val="24"/>
          <w:highlight w:val="none"/>
        </w:rPr>
        <w:t xml:space="preserve"> 日历天内完成所有设备供货、安装、调试、</w:t>
      </w:r>
      <w:r>
        <w:rPr>
          <w:rFonts w:ascii="Segoe UI" w:hAnsi="Segoe UI" w:eastAsia="宋体" w:cs="Segoe UI"/>
          <w:color w:val="000000"/>
          <w:sz w:val="24"/>
          <w:szCs w:val="24"/>
          <w:highlight w:val="none"/>
        </w:rPr>
        <w:t xml:space="preserve">验收并交付使用。</w:t>
      </w:r>
      <w:bookmarkEnd w:id="3"/>
      <w:r/>
      <w:r/>
    </w:p>
    <w:p>
      <w:pPr>
        <w:pStyle w:val="941"/>
        <w:numPr>
          <w:ilvl w:val="0"/>
          <w:numId w:val="5"/>
        </w:numPr>
        <w:jc w:val="left"/>
        <w:spacing w:line="360" w:lineRule="atLeast"/>
        <w:widowControl/>
        <w:rPr>
          <w:rFonts w:ascii="Segoe UI" w:hAnsi="Segoe UI" w:eastAsia="宋体" w:cs="Segoe UI"/>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符合国家相关规范标准要求</w:t>
      </w:r>
      <w:r/>
    </w:p>
    <w:p>
      <w:pPr>
        <w:pStyle w:val="941"/>
        <w:numPr>
          <w:ilvl w:val="0"/>
          <w:numId w:val="0"/>
        </w:numPr>
        <w:ind w:left="142"/>
        <w:jc w:val="left"/>
        <w:spacing w:line="360" w:lineRule="atLeast"/>
        <w:widowControl/>
        <w:rPr>
          <w:rFonts w:hint="eastAsia" w:ascii="Segoe UI" w:hAnsi="Segoe UI" w:eastAsia="宋体" w:cs="Segoe UI"/>
          <w:b/>
          <w:color w:val="000000"/>
          <w:sz w:val="24"/>
          <w:szCs w:val="24"/>
          <w:highlight w:val="none"/>
          <w:lang w:val="en-US" w:eastAsia="zh-CN"/>
        </w:rPr>
        <w:outlineLvl w:val="1"/>
      </w:pPr>
      <w:r>
        <w:rPr>
          <w:rFonts w:hint="eastAsia" w:ascii="Segoe UI" w:hAnsi="Segoe UI" w:eastAsia="宋体" w:cs="Segoe UI"/>
          <w:b/>
          <w:color w:val="000000"/>
          <w:sz w:val="24"/>
          <w:szCs w:val="24"/>
          <w:highlight w:val="none"/>
          <w:lang w:val="en-US" w:eastAsia="zh-CN"/>
        </w:rPr>
        <w:t xml:space="preserve">四、维修内容及技术规格、数量、质保要求</w:t>
      </w:r>
      <w:r/>
    </w:p>
    <w:tbl>
      <w:tblPr>
        <w:tblStyle w:val="809"/>
        <w:tblW w:w="9634" w:type="dxa"/>
        <w:tblCellSpacing w:w="1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94"/>
        <w:gridCol w:w="1869"/>
        <w:gridCol w:w="5245"/>
        <w:gridCol w:w="567"/>
        <w:gridCol w:w="567"/>
        <w:gridCol w:w="992"/>
      </w:tblGrid>
      <w:tr>
        <w:trPr>
          <w:tblCellSpacing w:w="15" w:type="dxa"/>
          <w:tblHeader/>
        </w:trPr>
        <w:tc>
          <w:tcPr>
            <w:tcW w:w="0" w:type="auto"/>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序号</w:t>
            </w:r>
            <w:r/>
          </w:p>
        </w:tc>
        <w:tc>
          <w:tcPr>
            <w:tcW w:w="1839" w:type="dxa"/>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项目内容</w:t>
            </w:r>
            <w:r/>
          </w:p>
        </w:tc>
        <w:tc>
          <w:tcPr>
            <w:tcW w:w="5215" w:type="dxa"/>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技术规格及要求</w:t>
            </w:r>
            <w:r/>
          </w:p>
        </w:tc>
        <w:tc>
          <w:tcPr>
            <w:tcW w:w="537" w:type="dxa"/>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数量</w:t>
            </w:r>
            <w:r/>
          </w:p>
        </w:tc>
        <w:tc>
          <w:tcPr>
            <w:tcW w:w="537" w:type="dxa"/>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单位</w:t>
            </w:r>
            <w:r/>
          </w:p>
        </w:tc>
        <w:tc>
          <w:tcPr>
            <w:tcW w:w="947" w:type="dxa"/>
            <w:vAlign w:val="center"/>
            <w:textDirection w:val="lrTb"/>
            <w:noWrap w:val="false"/>
          </w:tcPr>
          <w:p>
            <w:pPr>
              <w:jc w:val="left"/>
              <w:spacing w:line="360" w:lineRule="atLeast"/>
              <w:widowControl/>
              <w:rPr>
                <w:rFonts w:ascii="Segoe UI" w:hAnsi="Segoe UI" w:eastAsia="宋体" w:cs="Segoe UI"/>
                <w:b/>
                <w:bCs/>
                <w:color w:val="000000"/>
                <w:sz w:val="24"/>
                <w:szCs w:val="24"/>
                <w:highlight w:val="none"/>
              </w:rPr>
            </w:pPr>
            <w:r>
              <w:rPr>
                <w:rFonts w:ascii="Segoe UI" w:hAnsi="Segoe UI" w:eastAsia="宋体" w:cs="Segoe UI"/>
                <w:b/>
                <w:bCs/>
                <w:color w:val="000000"/>
                <w:sz w:val="24"/>
                <w:szCs w:val="24"/>
                <w:highlight w:val="none"/>
              </w:rPr>
              <w:t xml:space="preserve">质保期</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压缩腔体更换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按设备工况优化设计，采用 Q355 耐磨钢板定制全新压缩腔体，主体板材厚度</w:t>
            </w:r>
            <w:r>
              <w:rPr>
                <w:rFonts w:ascii="微软雅黑" w:hAnsi="微软雅黑" w:eastAsia="微软雅黑" w:cs="微软雅黑"/>
                <w:color w:val="000000"/>
                <w:sz w:val="24"/>
                <w:szCs w:val="24"/>
                <w:highlight w:val="none"/>
              </w:rPr>
              <w:t xml:space="preserve">≧</w:t>
            </w:r>
            <w:r>
              <w:rPr>
                <w:rFonts w:ascii="Segoe UI" w:hAnsi="Segoe UI" w:eastAsia="宋体" w:cs="Segoe UI"/>
                <w:color w:val="000000"/>
                <w:sz w:val="24"/>
                <w:szCs w:val="24"/>
                <w:highlight w:val="none"/>
              </w:rPr>
              <w:t xml:space="preserve">16mm，外形尺寸 3600</w:t>
            </w:r>
            <w:r>
              <w:rPr>
                <w:rFonts w:ascii="Segoe UI" w:hAnsi="Segoe UI" w:eastAsia="宋体" w:cs="Segoe UI"/>
                <w:i/>
                <w:iCs/>
                <w:color w:val="000000"/>
                <w:sz w:val="24"/>
                <w:szCs w:val="24"/>
                <w:highlight w:val="none"/>
              </w:rPr>
              <w:t xml:space="preserve">2300</w:t>
            </w:r>
            <w:r>
              <w:rPr>
                <w:rFonts w:ascii="Segoe UI" w:hAnsi="Segoe UI" w:eastAsia="宋体" w:cs="Segoe UI"/>
                <w:color w:val="000000"/>
                <w:sz w:val="24"/>
                <w:szCs w:val="24"/>
                <w:highlight w:val="none"/>
              </w:rPr>
              <w:t xml:space="preserve">1950；</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底板矩阵式带孔滤水结构，孔径不小于 10mm；</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现场气割拆除原变形腔体，新腔体现场焊接装配，达到原设计运行标准。</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提门和闸门支架更换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现场拆除原变形支架，清理基面，定位焊接装配，校准同轴度、垂直度；</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与闸门、油缸联动试装，启闭无卡滞、无偏移。</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提门油缸更换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现场拆卸更换全新适配油缸，性能达标，联动调试保压合格、无内外泄漏。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闸门维修</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拆除变形闸门，工装校正平面度、垂直度，修复翘曲变形；</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磨损腐蚀部位补焊、打磨、防腐处理；</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回装联动调试，启闭顺畅、密封达标。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闸门油缸更换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现场更换全新适配油缸，联动调试运行稳定、保压无渗漏。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推拉机构更换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全新制作推拉箱机构，关键受力部位强化处理；</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现场拆除旧机构，清理基面，新机构焊接装配、校准精度；</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联动调试推拉行程、对位精度符合设备要求。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推拉油缸更换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更换全新适配推拉油缸，安装调试动作精准、保压稳定无渗漏。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抱钩锁箱机构更换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全新制作抱钩锁箱机构，更换全套高强度合金钢耐磨销轴；</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装配后锁止、解锁联动调试，锁止可靠、解锁顺畅。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抱勾油缸更换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现场更换全新适配油缸，调试运行平稳、无泄漏。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压缩腔底部增加排水槽</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定制整体式 304 不锈钢接漏水槽，与腔体完全适配；</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水槽焊接密封，配套排污管路接入站区污水收集系统；</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水槽前端增设冲洗水窗口。</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压缩腔底部液压油管重布</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按新腔体重新规划管路，采用高压无缝钢管 + 耐磨高压软管布设；</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拆除老化管路，全套更换管路、接头、管夹，规范防护固定；</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耐压试压无渗漏，联动调试合格。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推头底部增加滚轮及支撑</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改造推头底部，加装高强度耐磨滚轮及支撑，改滑动摩擦为滚动摩擦；</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耐磨钢材制作，出厂载荷测试满足承载要求；</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现场校准水平度、同轴度，全行程运行顺畅。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推头底部增加垃圾刮板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定制刮板与推头底部适配；</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现场安装校准间隙，可彻底清理腔体底部残留垃圾。</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16</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推压头前端侧滑块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定制耐磨高分子自润滑滑块；</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更换旧滑块，精准装配校准间隙与平行度；</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全行程运行顺畅无偏磨。</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推压头后端上滑块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同前端侧滑块技术标准要求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推压头侧板补差</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采用 6~8mm 耐磨钢板预制补差板；</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磨损部位清理打磨，焊接补差、整平校准；</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防腐处理，运行测试合格。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更换推压头顶部橡胶刮板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定制高弹性耐磨抗撕裂橡胶刮板；</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更换旧刮板，紧固安装、校准贴合度；</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测试清料效果达标。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压缩油缸油封修复</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油缸返厂检测缸体、活塞杆，更换全套密封件，轻微磨损抛光修复；</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额定压力保压测试无内泄外漏；</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回装后联动调试压缩压力、行程达标。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压缩机液压泵站更换油泵</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按原参数更换匹配高性能液压油泵；</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同步检修电机绝缘、轴承工况；</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调试泵站压力、流量达到设计额定值。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压缩机先导泵及循环泵</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同液压泵站油泵技术标准要求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压缩机高压滤芯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按原型号更换适配高压滤芯，过滤精度满足系统要求；</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油路清洁后更换，运行通畅无压降。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压缩机回油滤芯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同高压滤芯技术标准要求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称重传感器系统</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按原型号更换全新称重传感器，精度、稳定性、安装尺寸满足原设计要求。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地坑推头底部滑块更换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更换耐磨高分子滑块，精准装配校准，全行程运行无偏磨卡滞。</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地坑泵站回油滤芯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更换适配滤芯，油路清洁、过滤达标、压力稳定。</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控制系统升级优化</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更换工控机、工业显示器、大屏显示系统、操作箱、配电箱；</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升级控制程序，完善运行逻辑、故障报警、安全联锁；</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实现运行参数、故障、状态实时监控，历史数据存储与趋势分析；</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 安装后单机及整体联动调试全部功能正常。</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更换控制线路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更换老化破损线路，采用阻燃屏蔽电缆，规范标识布线，符合 GB 50054 规范。</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更换部份腐蚀严重桥架</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拆除更换腐蚀桥架，保障线路信号稳定、无短路漏电，施工做好断电安全防护。</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增加控制线路桥架或管线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新增桥架 / 管线，规范敷设固定、防护接地；完工绝缘、通断测试合格。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压缩机压缩油缸接近开关更换为激光传感器</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更换为高精度激光传感器，适配油缸行程，适应垃圾站恶劣工况；</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安装校准点位与行程，联动控制系统信号精准稳定。</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地坑油缸接近开关更换为激光传感器</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更换激光传感器，防护等级不低于 IP67，适应地坑潮湿高粉尘环境；</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校准检测行程，位置精准、信号稳定无漂移。</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移动平台液压泵站（7.5KW）</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成套独立液压动力单元，含油泵、阀组、油箱等全套配件；</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安装于双平台中间，做防尘防撞防护；</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调试匹配油缸与控制系统，运行稳定无渗漏。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液压油</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46 号抗磨低凝液压油，国标正品，200 升 / 桶</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操作控制箱</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全新控制箱，支持双平台手动 / 自动独立控制，含急停、操作按钮；</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联动泵站、油缸、传感器及中控系统，完善安全联锁；</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调试操作便捷、动作精准、保护可靠。</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移位液压油缸</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移位专用油缸，行程、推力匹配平台负载及运行要求，全新正品。</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液压钢管、软管、接头及管夹</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配套适配规格钢管、高压软管、接头、管夹；</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现场规范敷设固定，避免摩擦干涉；</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整体耐压试压无渗漏，联动调试油路通畅响应精准。</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油缸销轴</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Q355 材质制作，加工后时效处理，强度耐磨达标。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油缸前支座</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Q355 钢板制作，焊接后时效处理，结构稳固。</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油缸后支座</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Q355 钢板制作，焊接成型时效处理，安装匹配到位。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移位平台两侧增加不锈钢水槽</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定制 304 不锈钢接水罩 / 水槽 4 件，与平台适配；</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密封安装，配套管路接入站区污水收集系统。</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增加垃圾箱限位挡块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钢制结构件，满足限位、防撞、定位要求，现场焊接牢固。</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8</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拆除原电机驱动装置及平台挡箱机构</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拆除原有老旧驱动及挡箱机构，废料清理外运、工完场清。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8</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43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压缩机和地坑、移位平台面整体漆喷涂</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 设备金属表面全面除锈、除油、去污处理；</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2. 涂刷环氧富锌底漆 + 耐腐面漆，涂装面积约 500㎡；</w:t>
            </w:r>
            <w:r/>
          </w:p>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3. 漆面平整附着力强，无漏涂、流挂、脱落，分区域施工减少运营影响。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项</w:t>
            </w:r>
            <w:r/>
          </w:p>
        </w:tc>
        <w:tc>
          <w:tcPr>
            <w:tcW w:w="947" w:type="dxa"/>
            <w:vAlign w:val="center"/>
            <w:textDirection w:val="lrTb"/>
            <w:noWrap w:val="false"/>
          </w:tcPr>
          <w:p>
            <w:pPr>
              <w:pStyle w:val="941"/>
              <w:numPr>
                <w:ilvl w:val="0"/>
                <w:numId w:val="6"/>
              </w:numPr>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年</w:t>
            </w:r>
            <w:r/>
          </w:p>
        </w:tc>
      </w:tr>
    </w:tbl>
    <w:p>
      <w:pPr>
        <w:numPr>
          <w:ilvl w:val="0"/>
          <w:numId w:val="7"/>
        </w:numPr>
        <w:ind w:left="0"/>
        <w:jc w:val="left"/>
        <w:spacing w:line="360" w:lineRule="atLeast"/>
        <w:widowControl/>
        <w:rPr>
          <w:rFonts w:hint="eastAsia"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质保约定：表格单独标注质保期的按表格执行；未标注项目</w:t>
      </w:r>
      <w:r>
        <w:rPr>
          <w:rFonts w:ascii="Segoe UI" w:hAnsi="Segoe UI" w:eastAsia="宋体" w:cs="Segoe UI"/>
          <w:b/>
          <w:bCs/>
          <w:color w:val="000000"/>
          <w:sz w:val="24"/>
          <w:szCs w:val="24"/>
          <w:highlight w:val="none"/>
        </w:rPr>
        <w:t xml:space="preserve">统一质保 1 年</w:t>
      </w:r>
      <w:r>
        <w:rPr>
          <w:rFonts w:ascii="Segoe UI" w:hAnsi="Segoe UI" w:eastAsia="宋体" w:cs="Segoe UI"/>
          <w:color w:val="000000"/>
          <w:sz w:val="24"/>
          <w:szCs w:val="24"/>
          <w:highlight w:val="none"/>
        </w:rPr>
        <w:t xml:space="preserve">；质保期自</w:t>
      </w:r>
      <w:r>
        <w:rPr>
          <w:rFonts w:ascii="Segoe UI" w:hAnsi="Segoe UI" w:eastAsia="宋体" w:cs="Segoe UI"/>
          <w:b/>
          <w:bCs/>
          <w:color w:val="000000"/>
          <w:sz w:val="24"/>
          <w:szCs w:val="24"/>
          <w:highlight w:val="none"/>
        </w:rPr>
        <w:t xml:space="preserve">整体竣工验收合格次日</w:t>
      </w:r>
      <w:r>
        <w:rPr>
          <w:rFonts w:ascii="Segoe UI" w:hAnsi="Segoe UI" w:eastAsia="宋体" w:cs="Segoe UI"/>
          <w:color w:val="000000"/>
          <w:sz w:val="24"/>
          <w:szCs w:val="24"/>
          <w:highlight w:val="none"/>
        </w:rPr>
        <w:t xml:space="preserve">起算。</w:t>
      </w:r>
      <w:r/>
    </w:p>
    <w:p>
      <w:pPr>
        <w:ind w:left="142"/>
        <w:jc w:val="left"/>
        <w:spacing w:line="360" w:lineRule="atLeast"/>
        <w:widowControl/>
        <w:rPr>
          <w:rFonts w:ascii="Segoe UI" w:hAnsi="Segoe UI" w:eastAsia="宋体" w:cs="Segoe UI"/>
          <w:b/>
          <w:bCs/>
          <w:color w:val="000000"/>
          <w:sz w:val="24"/>
          <w:szCs w:val="24"/>
          <w:highlight w:val="none"/>
        </w:rPr>
        <w:outlineLvl w:val="1"/>
      </w:pPr>
      <w:r>
        <w:rPr>
          <w:rFonts w:hint="eastAsia" w:ascii="Segoe UI" w:hAnsi="Segoe UI" w:eastAsia="宋体" w:cs="Segoe UI"/>
          <w:b/>
          <w:bCs/>
          <w:color w:val="000000"/>
          <w:sz w:val="24"/>
          <w:szCs w:val="24"/>
          <w:highlight w:val="none"/>
          <w:lang w:eastAsia="zh-CN"/>
        </w:rPr>
        <w:t xml:space="preserve">五</w:t>
      </w:r>
      <w:r>
        <w:rPr>
          <w:rFonts w:hint="eastAsia" w:ascii="Segoe UI" w:hAnsi="Segoe UI" w:eastAsia="宋体" w:cs="Segoe UI"/>
          <w:b/>
          <w:bCs/>
          <w:color w:val="000000"/>
          <w:sz w:val="24"/>
          <w:szCs w:val="24"/>
          <w:highlight w:val="none"/>
        </w:rPr>
        <w:t xml:space="preserve">、核心设备</w:t>
      </w:r>
      <w:r>
        <w:rPr>
          <w:rFonts w:ascii="Segoe UI" w:hAnsi="Segoe UI" w:eastAsia="宋体" w:cs="Segoe UI"/>
          <w:b/>
          <w:bCs/>
          <w:color w:val="000000"/>
          <w:sz w:val="24"/>
          <w:szCs w:val="24"/>
          <w:highlight w:val="none"/>
        </w:rPr>
        <w:t xml:space="preserve">技术参数</w:t>
      </w:r>
      <w:r/>
    </w:p>
    <w:p>
      <w:pPr>
        <w:pStyle w:val="941"/>
        <w:numPr>
          <w:ilvl w:val="0"/>
          <w:numId w:val="8"/>
        </w:numPr>
        <w:jc w:val="left"/>
        <w:spacing w:line="360" w:lineRule="atLeast"/>
        <w:widowControl/>
        <w:rPr>
          <w:rFonts w:ascii="Arial" w:hAnsi="Arial" w:eastAsia="宋体" w:cs="Arial"/>
          <w:color w:val="000000"/>
          <w:sz w:val="24"/>
          <w:szCs w:val="24"/>
          <w:highlight w:val="none"/>
        </w:rPr>
        <w:outlineLvl w:val="1"/>
      </w:pPr>
      <w:r>
        <w:rPr>
          <w:rFonts w:ascii="Arial" w:hAnsi="Arial" w:eastAsia="宋体" w:cs="Arial"/>
          <w:color w:val="000000"/>
          <w:sz w:val="24"/>
          <w:szCs w:val="24"/>
          <w:highlight w:val="none"/>
        </w:rPr>
        <w:t xml:space="preserve">预压式垃圾压缩机</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液压系统工作压力不低于 16MPa；</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液压系统高压管路元件和执行元件耐压压力不低于工作压力 1.25 倍；</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液压系统过滤精度不大于 20μm；</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液压系统正常工作温度不高于 70</w:t>
      </w:r>
      <w:r>
        <w:rPr>
          <w:rFonts w:hint="eastAsia" w:ascii="微软雅黑" w:hAnsi="微软雅黑" w:eastAsia="微软雅黑" w:cs="微软雅黑"/>
          <w:color w:val="000000"/>
          <w:sz w:val="24"/>
          <w:szCs w:val="24"/>
          <w:highlight w:val="none"/>
        </w:rPr>
        <w:t xml:space="preserve">℃</w:t>
      </w:r>
      <w:r>
        <w:rPr>
          <w:rFonts w:ascii="Arial" w:hAnsi="Arial" w:eastAsia="宋体" w:cs="Arial"/>
          <w:color w:val="000000"/>
          <w:sz w:val="24"/>
          <w:szCs w:val="24"/>
          <w:highlight w:val="none"/>
        </w:rPr>
        <w:t xml:space="preserve">；</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油泵选用行业成熟主流通用产品，配件通用性强、市场易采购、维保便捷；</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控制阀选用行业成熟主流通用产品，运行稳定可靠；</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油缸等液压执行元件密封件、液压胶管及接头等，采用行业标准通用配件，满足工况耐久、密封可靠要求；</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油箱有效容积不低于 1500L，配置液压油冷却风扇装置；</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驱动电机具备防水防护性能，适应现场恶劣作业环境；</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单台压缩机电机功率不低于 75kW；</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距设备外壁 500mm 处检测，运行噪音不大于 80dB；</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设备每小时垃圾理论处理能力不低于 90 吨；</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垃圾压缩比可在 1:2～1:4 区间范围内可调；</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单箱垃圾理论处理周期不大于 10 分钟；</w:t>
      </w:r>
      <w:r/>
    </w:p>
    <w:p>
      <w:pPr>
        <w:numPr>
          <w:ilvl w:val="0"/>
          <w:numId w:val="9"/>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压缩腔与下料腔合计有效容积不低于 22 立方米。</w:t>
      </w:r>
      <w:r/>
    </w:p>
    <w:p>
      <w:pPr>
        <w:pStyle w:val="941"/>
        <w:numPr>
          <w:ilvl w:val="0"/>
          <w:numId w:val="8"/>
        </w:numPr>
        <w:jc w:val="left"/>
        <w:spacing w:line="360" w:lineRule="atLeast"/>
        <w:widowControl/>
        <w:rPr>
          <w:rFonts w:ascii="Arial" w:hAnsi="Arial" w:eastAsia="宋体" w:cs="Arial"/>
          <w:color w:val="000000"/>
          <w:sz w:val="24"/>
          <w:szCs w:val="24"/>
          <w:highlight w:val="none"/>
        </w:rPr>
        <w:outlineLvl w:val="1"/>
      </w:pPr>
      <w:r>
        <w:rPr>
          <w:rFonts w:ascii="Arial" w:hAnsi="Arial" w:eastAsia="宋体" w:cs="Arial"/>
          <w:color w:val="000000"/>
          <w:sz w:val="24"/>
          <w:szCs w:val="24"/>
          <w:highlight w:val="none"/>
        </w:rPr>
        <w:t xml:space="preserve">料槽及垃圾输送系统</w:t>
      </w:r>
      <w:r/>
    </w:p>
    <w:p>
      <w:pPr>
        <w:numPr>
          <w:ilvl w:val="0"/>
          <w:numId w:val="10"/>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地坑槽有效容积不低于 80 立方米；</w:t>
      </w:r>
      <w:r/>
    </w:p>
    <w:p>
      <w:pPr>
        <w:numPr>
          <w:ilvl w:val="0"/>
          <w:numId w:val="10"/>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满足不少于 3 个卸料车位同时作业需求；</w:t>
      </w:r>
      <w:r/>
    </w:p>
    <w:p>
      <w:pPr>
        <w:numPr>
          <w:ilvl w:val="0"/>
          <w:numId w:val="10"/>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系统配套电机功率不低于 22kW。</w:t>
      </w:r>
      <w:r/>
    </w:p>
    <w:p>
      <w:pPr>
        <w:pStyle w:val="941"/>
        <w:numPr>
          <w:ilvl w:val="0"/>
          <w:numId w:val="8"/>
        </w:numPr>
        <w:jc w:val="left"/>
        <w:spacing w:line="360" w:lineRule="atLeast"/>
        <w:widowControl/>
        <w:rPr>
          <w:rFonts w:ascii="Arial" w:hAnsi="Arial" w:eastAsia="宋体" w:cs="Arial"/>
          <w:color w:val="000000"/>
          <w:sz w:val="24"/>
          <w:szCs w:val="24"/>
          <w:highlight w:val="none"/>
        </w:rPr>
        <w:outlineLvl w:val="1"/>
      </w:pPr>
      <w:r>
        <w:rPr>
          <w:rFonts w:ascii="Arial" w:hAnsi="Arial" w:eastAsia="宋体" w:cs="Arial"/>
          <w:color w:val="000000"/>
          <w:sz w:val="24"/>
          <w:szCs w:val="24"/>
          <w:highlight w:val="none"/>
        </w:rPr>
        <w:t xml:space="preserve">垃圾集装箱移位系统</w:t>
      </w:r>
      <w:r/>
    </w:p>
    <w:p>
      <w:pPr>
        <w:numPr>
          <w:ilvl w:val="0"/>
          <w:numId w:val="11"/>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采用两箱三工位布局结构；</w:t>
      </w:r>
      <w:r/>
    </w:p>
    <w:p>
      <w:pPr>
        <w:numPr>
          <w:ilvl w:val="0"/>
          <w:numId w:val="11"/>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移位运行可调速度范围：0～5.0m/min；</w:t>
      </w:r>
      <w:r/>
    </w:p>
    <w:p>
      <w:pPr>
        <w:numPr>
          <w:ilvl w:val="0"/>
          <w:numId w:val="11"/>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采用液压驱动方式，运行平稳、启停缓冲、无冲击震动；</w:t>
      </w:r>
      <w:r/>
    </w:p>
    <w:p>
      <w:pPr>
        <w:numPr>
          <w:ilvl w:val="0"/>
          <w:numId w:val="11"/>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托架结构外形满足标准垃圾专用集装箱承载、对位、移位使用要求。</w:t>
      </w:r>
      <w:r/>
    </w:p>
    <w:p>
      <w:pPr>
        <w:pStyle w:val="941"/>
        <w:numPr>
          <w:ilvl w:val="0"/>
          <w:numId w:val="8"/>
        </w:numPr>
        <w:jc w:val="left"/>
        <w:spacing w:line="360" w:lineRule="atLeast"/>
        <w:widowControl/>
        <w:rPr>
          <w:rFonts w:ascii="Arial" w:hAnsi="Arial" w:eastAsia="宋体" w:cs="Arial"/>
          <w:color w:val="000000"/>
          <w:sz w:val="24"/>
          <w:szCs w:val="24"/>
          <w:highlight w:val="none"/>
        </w:rPr>
        <w:outlineLvl w:val="1"/>
      </w:pPr>
      <w:r>
        <w:rPr>
          <w:rFonts w:ascii="Arial" w:hAnsi="Arial" w:eastAsia="宋体" w:cs="Arial"/>
          <w:color w:val="000000"/>
          <w:sz w:val="24"/>
          <w:szCs w:val="24"/>
          <w:highlight w:val="none"/>
        </w:rPr>
        <w:t xml:space="preserve">中央控制系统</w:t>
      </w:r>
      <w:r/>
    </w:p>
    <w:p>
      <w:pPr>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中央控制系统由工控计算机、液晶显示器、中控软件等组成，可对现场整套设备进行集中监视与联动控制，具备数据采集、设备控制、运行测量、参数调节、故障报警、历史记录存储查询等功能。</w:t>
      </w:r>
      <w:r/>
    </w:p>
    <w:p>
      <w:pPr>
        <w:numPr>
          <w:ilvl w:val="0"/>
          <w:numId w:val="12"/>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用户权限管理：管理员拥有最高系统权限，可按需分级分配各用户操作权限；</w:t>
      </w:r>
      <w:r/>
    </w:p>
    <w:p>
      <w:pPr>
        <w:numPr>
          <w:ilvl w:val="0"/>
          <w:numId w:val="12"/>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生产线监控及故障报警：实时展示设备运行状态、动作流程，故障自动弹窗提示；可按时间查询、导出历史报警记录；</w:t>
      </w:r>
      <w:r/>
    </w:p>
    <w:p>
      <w:pPr>
        <w:numPr>
          <w:ilvl w:val="0"/>
          <w:numId w:val="12"/>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生产线操作及参数设置：支持在线设置生产线工艺参数，下发后即时生效；</w:t>
      </w:r>
      <w:r/>
    </w:p>
    <w:p>
      <w:pPr>
        <w:numPr>
          <w:ilvl w:val="0"/>
          <w:numId w:val="12"/>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设备硬件维护提醒：可预设保养维护周期，到期自动弹出维保提醒；</w:t>
      </w:r>
      <w:r/>
    </w:p>
    <w:p>
      <w:pPr>
        <w:numPr>
          <w:ilvl w:val="0"/>
          <w:numId w:val="12"/>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大屏显示系统：支持中控画面、视频监控画面、车辆调度画面集中显示；由工业液晶显示器、存储及解码设备等组成，满足集中可视化管理需求。</w:t>
      </w:r>
      <w:r/>
    </w:p>
    <w:p>
      <w:pPr>
        <w:jc w:val="left"/>
        <w:spacing w:line="360" w:lineRule="atLeast"/>
        <w:widowControl/>
        <w:rPr>
          <w:rFonts w:ascii="Arial" w:hAnsi="Arial" w:eastAsia="宋体" w:cs="Arial"/>
          <w:b/>
          <w:bCs/>
          <w:color w:val="000000"/>
          <w:sz w:val="24"/>
          <w:szCs w:val="24"/>
          <w:highlight w:val="none"/>
        </w:rPr>
        <w:outlineLvl w:val="1"/>
      </w:pPr>
      <w:r>
        <w:rPr>
          <w:rFonts w:hint="eastAsia" w:ascii="Arial" w:hAnsi="Arial" w:eastAsia="宋体" w:cs="Arial"/>
          <w:b/>
          <w:bCs/>
          <w:color w:val="000000"/>
          <w:sz w:val="24"/>
          <w:szCs w:val="24"/>
          <w:highlight w:val="none"/>
          <w:lang w:val="en-US" w:eastAsia="zh-CN"/>
        </w:rPr>
        <w:t xml:space="preserve">六</w:t>
      </w:r>
      <w:r>
        <w:rPr>
          <w:rFonts w:ascii="Arial" w:hAnsi="Arial" w:eastAsia="宋体" w:cs="Arial"/>
          <w:b/>
          <w:bCs/>
          <w:color w:val="000000"/>
          <w:sz w:val="24"/>
          <w:szCs w:val="24"/>
          <w:highlight w:val="none"/>
        </w:rPr>
        <w:t xml:space="preserve">、通用合规要求</w:t>
      </w:r>
      <w:r/>
    </w:p>
    <w:p>
      <w:pPr>
        <w:numPr>
          <w:ilvl w:val="0"/>
          <w:numId w:val="13"/>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本技术参数为</w:t>
      </w:r>
      <w:r>
        <w:rPr>
          <w:rFonts w:ascii="Arial" w:hAnsi="Arial" w:eastAsia="宋体" w:cs="Arial"/>
          <w:b/>
          <w:bCs/>
          <w:color w:val="000000"/>
          <w:sz w:val="24"/>
          <w:szCs w:val="24"/>
          <w:highlight w:val="none"/>
        </w:rPr>
        <w:t xml:space="preserve">最低配置及性能要求</w:t>
      </w:r>
      <w:r>
        <w:rPr>
          <w:rFonts w:ascii="Arial" w:hAnsi="Arial" w:eastAsia="宋体" w:cs="Arial"/>
          <w:color w:val="000000"/>
          <w:sz w:val="24"/>
          <w:szCs w:val="24"/>
          <w:highlight w:val="none"/>
        </w:rPr>
        <w:t xml:space="preserve">，满足或优于本参数、符合国家及行业相关标准的同档次产品均可参与投标，不指定特定品牌、型号、生产厂家。</w:t>
      </w:r>
      <w:r/>
    </w:p>
    <w:p>
      <w:pPr>
        <w:numPr>
          <w:ilvl w:val="0"/>
          <w:numId w:val="13"/>
        </w:numPr>
        <w:ind w:left="0"/>
        <w:jc w:val="left"/>
        <w:spacing w:line="360" w:lineRule="atLeast"/>
        <w:widowControl/>
        <w:rPr>
          <w:rFonts w:ascii="Arial" w:hAnsi="Arial" w:eastAsia="宋体" w:cs="Arial"/>
          <w:color w:val="000000"/>
          <w:sz w:val="24"/>
          <w:szCs w:val="24"/>
          <w:highlight w:val="none"/>
        </w:rPr>
      </w:pPr>
      <w:r>
        <w:rPr>
          <w:rFonts w:ascii="Arial" w:hAnsi="Arial" w:eastAsia="宋体" w:cs="Arial"/>
          <w:color w:val="000000"/>
          <w:sz w:val="24"/>
          <w:szCs w:val="24"/>
          <w:highlight w:val="none"/>
        </w:rPr>
        <w:t xml:space="preserve">所有设备材质、工艺、安全及环保指标须符合国家及行业现行标准规范。</w:t>
      </w:r>
      <w:r/>
    </w:p>
    <w:p>
      <w:pPr>
        <w:numPr>
          <w:ilvl w:val="0"/>
          <w:numId w:val="13"/>
        </w:numPr>
        <w:ind w:left="0"/>
        <w:jc w:val="left"/>
        <w:spacing w:line="360" w:lineRule="atLeast"/>
        <w:widowControl/>
        <w:rPr>
          <w:rFonts w:ascii="Segoe UI" w:hAnsi="Segoe UI" w:eastAsia="宋体" w:cs="Segoe UI"/>
          <w:color w:val="000000"/>
          <w:sz w:val="24"/>
          <w:szCs w:val="24"/>
          <w:highlight w:val="none"/>
        </w:rPr>
      </w:pPr>
      <w:r>
        <w:rPr>
          <w:rFonts w:ascii="Arial" w:hAnsi="Arial" w:eastAsia="宋体" w:cs="Arial"/>
          <w:color w:val="000000"/>
          <w:sz w:val="24"/>
          <w:szCs w:val="24"/>
          <w:highlight w:val="none"/>
        </w:rPr>
        <w:t xml:space="preserve">所投产品为全新原厂合格产品，适配现场安装工况，零部件具备通用性、互换性，便于后期运维。</w:t>
      </w:r>
      <w:r/>
    </w:p>
    <w:p>
      <w:pPr>
        <w:jc w:val="left"/>
        <w:spacing w:line="360" w:lineRule="atLeast"/>
        <w:widowControl/>
        <w:rPr>
          <w:rFonts w:ascii="Segoe UI" w:hAnsi="Segoe UI" w:eastAsia="宋体" w:cs="Segoe UI"/>
          <w:b/>
          <w:bCs/>
          <w:color w:val="000000"/>
          <w:sz w:val="24"/>
          <w:szCs w:val="24"/>
          <w:highlight w:val="none"/>
        </w:rPr>
        <w:outlineLvl w:val="1"/>
      </w:pPr>
      <w:r>
        <w:rPr>
          <w:rFonts w:hint="eastAsia" w:ascii="Segoe UI" w:hAnsi="Segoe UI" w:eastAsia="宋体" w:cs="Segoe UI"/>
          <w:b/>
          <w:bCs/>
          <w:color w:val="000000"/>
          <w:sz w:val="24"/>
          <w:szCs w:val="24"/>
          <w:highlight w:val="none"/>
          <w:lang w:val="en-US" w:eastAsia="zh-CN"/>
        </w:rPr>
        <w:t xml:space="preserve">七</w:t>
      </w:r>
      <w:r>
        <w:rPr>
          <w:rFonts w:ascii="Segoe UI" w:hAnsi="Segoe UI" w:eastAsia="宋体" w:cs="Segoe UI"/>
          <w:b/>
          <w:bCs/>
          <w:color w:val="000000"/>
          <w:sz w:val="24"/>
          <w:szCs w:val="24"/>
          <w:highlight w:val="none"/>
        </w:rPr>
        <w:t xml:space="preserve">、项目实施及供货安装要求</w:t>
      </w:r>
      <w:r/>
    </w:p>
    <w:p>
      <w:pPr>
        <w:numPr>
          <w:ilvl w:val="0"/>
          <w:numId w:val="14"/>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所有产品均为全新合格正品，符合国标、行业标准及本项目技术要求，严禁二手、翻新、贴牌产品。</w:t>
      </w:r>
      <w:r/>
    </w:p>
    <w:p>
      <w:pPr>
        <w:numPr>
          <w:ilvl w:val="0"/>
          <w:numId w:val="14"/>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中标人进场须提供发货清单、合格证、材质证明、检测资料，规格质量不符须无条件免费更换。</w:t>
      </w:r>
      <w:r/>
    </w:p>
    <w:p>
      <w:pPr>
        <w:numPr>
          <w:ilvl w:val="0"/>
          <w:numId w:val="14"/>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施工严格执行安全文明施工规范，动火、断电、高空作业落实防护，施工期间所有安全责任、事故损失由中标人承担。</w:t>
      </w:r>
      <w:r/>
    </w:p>
    <w:p>
      <w:pPr>
        <w:numPr>
          <w:ilvl w:val="0"/>
          <w:numId w:val="14"/>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拆除垃圾、施工废料由中标人负责清理外运，做到工完场清。</w:t>
      </w:r>
      <w:r/>
    </w:p>
    <w:p>
      <w:pPr>
        <w:jc w:val="left"/>
        <w:spacing w:line="360" w:lineRule="atLeast"/>
        <w:widowControl/>
        <w:rPr>
          <w:rFonts w:ascii="Segoe UI" w:hAnsi="Segoe UI" w:eastAsia="宋体" w:cs="Segoe UI"/>
          <w:b/>
          <w:bCs/>
          <w:color w:val="000000"/>
          <w:sz w:val="24"/>
          <w:szCs w:val="24"/>
          <w:highlight w:val="none"/>
        </w:rPr>
        <w:outlineLvl w:val="1"/>
      </w:pPr>
      <w:r>
        <w:rPr>
          <w:rFonts w:hint="eastAsia" w:ascii="Segoe UI" w:hAnsi="Segoe UI" w:eastAsia="宋体" w:cs="Segoe UI"/>
          <w:b/>
          <w:bCs/>
          <w:color w:val="000000"/>
          <w:sz w:val="24"/>
          <w:szCs w:val="24"/>
          <w:highlight w:val="none"/>
          <w:lang w:val="en-US" w:eastAsia="zh-CN"/>
        </w:rPr>
        <w:t xml:space="preserve">八</w:t>
      </w:r>
      <w:r>
        <w:rPr>
          <w:rFonts w:ascii="Segoe UI" w:hAnsi="Segoe UI" w:eastAsia="宋体" w:cs="Segoe UI"/>
          <w:b/>
          <w:bCs/>
          <w:color w:val="000000"/>
          <w:sz w:val="24"/>
          <w:szCs w:val="24"/>
          <w:highlight w:val="none"/>
        </w:rPr>
        <w:t xml:space="preserve">、验收标准</w:t>
      </w:r>
      <w:r/>
    </w:p>
    <w:p>
      <w:pPr>
        <w:numPr>
          <w:ilvl w:val="0"/>
          <w:numId w:val="15"/>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验收依据：本采购需求、投标文件、合同、国家及行业现行规范。</w:t>
      </w:r>
      <w:r/>
    </w:p>
    <w:p>
      <w:pPr>
        <w:numPr>
          <w:ilvl w:val="0"/>
          <w:numId w:val="15"/>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实行</w:t>
      </w:r>
      <w:r>
        <w:rPr>
          <w:rFonts w:ascii="Segoe UI" w:hAnsi="Segoe UI" w:eastAsia="宋体" w:cs="Segoe UI"/>
          <w:b/>
          <w:bCs/>
          <w:color w:val="000000"/>
          <w:sz w:val="24"/>
          <w:szCs w:val="24"/>
          <w:highlight w:val="none"/>
        </w:rPr>
        <w:t xml:space="preserve">分项单机试运行 + 整体联动验收</w:t>
      </w:r>
      <w:r>
        <w:rPr>
          <w:rFonts w:ascii="Segoe UI" w:hAnsi="Segoe UI" w:eastAsia="宋体" w:cs="Segoe UI"/>
          <w:color w:val="000000"/>
          <w:sz w:val="24"/>
          <w:szCs w:val="24"/>
          <w:highlight w:val="none"/>
        </w:rPr>
        <w:t xml:space="preserve">。</w:t>
      </w:r>
      <w:r/>
    </w:p>
    <w:p>
      <w:pPr>
        <w:numPr>
          <w:ilvl w:val="0"/>
          <w:numId w:val="15"/>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整体要求：设备运行平稳、液压无渗漏、动作无卡滞、控制系统逻辑正常、报警联锁有效、排水通畅、称重及传感器精准、防腐涂装合格。</w:t>
      </w:r>
      <w:r/>
    </w:p>
    <w:p>
      <w:pPr>
        <w:numPr>
          <w:ilvl w:val="0"/>
          <w:numId w:val="15"/>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验收不合格，中标人须限期无偿整改返工，延误工期按违约处理，直至验收合格签署验收报告。</w:t>
      </w:r>
      <w:r/>
    </w:p>
    <w:p>
      <w:pPr>
        <w:jc w:val="left"/>
        <w:spacing w:line="360" w:lineRule="atLeast"/>
        <w:widowControl/>
        <w:rPr>
          <w:rFonts w:ascii="Segoe UI" w:hAnsi="Segoe UI" w:eastAsia="宋体" w:cs="Segoe UI"/>
          <w:b/>
          <w:bCs/>
          <w:color w:val="000000"/>
          <w:sz w:val="24"/>
          <w:szCs w:val="24"/>
          <w:highlight w:val="none"/>
        </w:rPr>
        <w:outlineLvl w:val="1"/>
      </w:pPr>
      <w:r>
        <w:rPr>
          <w:rFonts w:hint="eastAsia" w:ascii="Segoe UI" w:hAnsi="Segoe UI" w:eastAsia="宋体" w:cs="Segoe UI"/>
          <w:b/>
          <w:bCs/>
          <w:color w:val="000000"/>
          <w:sz w:val="24"/>
          <w:szCs w:val="24"/>
          <w:highlight w:val="none"/>
          <w:lang w:val="en-US" w:eastAsia="zh-CN"/>
        </w:rPr>
        <w:t xml:space="preserve">九</w:t>
      </w:r>
      <w:r>
        <w:rPr>
          <w:rFonts w:ascii="Segoe UI" w:hAnsi="Segoe UI" w:eastAsia="宋体" w:cs="Segoe UI"/>
          <w:b/>
          <w:bCs/>
          <w:color w:val="000000"/>
          <w:sz w:val="24"/>
          <w:szCs w:val="24"/>
          <w:highlight w:val="none"/>
        </w:rPr>
        <w:t xml:space="preserve">、售后服务要求</w:t>
      </w:r>
      <w:r/>
    </w:p>
    <w:p>
      <w:pPr>
        <w:numPr>
          <w:ilvl w:val="0"/>
          <w:numId w:val="16"/>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质保期内包修、包换、包退；报修</w:t>
      </w:r>
      <w:r>
        <w:rPr>
          <w:rFonts w:ascii="Segoe UI" w:hAnsi="Segoe UI" w:eastAsia="宋体" w:cs="Segoe UI"/>
          <w:b/>
          <w:bCs/>
          <w:color w:val="000000"/>
          <w:sz w:val="24"/>
          <w:szCs w:val="24"/>
          <w:highlight w:val="none"/>
        </w:rPr>
        <w:t xml:space="preserve">2 小时响应，24 小时到达现场</w:t>
      </w:r>
      <w:r>
        <w:rPr>
          <w:rFonts w:ascii="Segoe UI" w:hAnsi="Segoe UI" w:eastAsia="宋体" w:cs="Segoe UI"/>
          <w:color w:val="000000"/>
          <w:sz w:val="24"/>
          <w:szCs w:val="24"/>
          <w:highlight w:val="none"/>
        </w:rPr>
        <w:t xml:space="preserve">处置。</w:t>
      </w:r>
      <w:r/>
    </w:p>
    <w:p>
      <w:pPr>
        <w:numPr>
          <w:ilvl w:val="0"/>
          <w:numId w:val="16"/>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质保期满提供终身成本价维保，优先供应配件，仅收取合理配件及人工费用。</w:t>
      </w:r>
      <w:r/>
    </w:p>
    <w:p>
      <w:pPr>
        <w:numPr>
          <w:ilvl w:val="0"/>
          <w:numId w:val="16"/>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建立售后台账，定期回访巡检，提供免费技术咨询。</w:t>
      </w:r>
      <w:r/>
    </w:p>
    <w:p>
      <w:pPr>
        <w:numPr>
          <w:ilvl w:val="0"/>
          <w:numId w:val="16"/>
        </w:numPr>
        <w:ind w:left="0"/>
        <w:jc w:val="left"/>
        <w:spacing w:line="360" w:lineRule="atLeast"/>
        <w:widowControl/>
        <w:rPr>
          <w:rFonts w:ascii="Segoe UI" w:hAnsi="Segoe UI" w:eastAsia="宋体" w:cs="Segoe UI"/>
          <w:color w:val="000000"/>
          <w:sz w:val="24"/>
          <w:szCs w:val="24"/>
          <w:highlight w:val="none"/>
        </w:rPr>
      </w:pPr>
      <w:r>
        <w:rPr>
          <w:rFonts w:hint="eastAsia" w:ascii="宋体" w:hAnsi="宋体" w:eastAsia="宋体" w:cs="宋体"/>
          <w:color w:val="000000"/>
          <w:sz w:val="24"/>
          <w:szCs w:val="24"/>
          <w:highlight w:val="none"/>
        </w:rPr>
        <w:t xml:space="preserve">质保期内，投标方免费提供责任范围内的服务，包括但不限于：操作指导、技术支持和维修服务、免费设计修改、系统工艺和设备整改、调试或更换有故障的零部件、软件升级等</w:t>
      </w:r>
      <w:r>
        <w:rPr>
          <w:rFonts w:hint="eastAsia" w:ascii="宋体" w:hAnsi="宋体" w:eastAsia="宋体" w:cs="宋体"/>
          <w:color w:val="000000"/>
          <w:sz w:val="24"/>
          <w:szCs w:val="24"/>
          <w:highlight w:val="none"/>
          <w:lang w:eastAsia="zh-CN"/>
        </w:rPr>
        <w:t xml:space="preserve">。</w:t>
      </w:r>
      <w:r/>
    </w:p>
    <w:p>
      <w:pPr>
        <w:numPr>
          <w:ilvl w:val="0"/>
          <w:numId w:val="16"/>
        </w:numPr>
        <w:ind w:left="0" w:hanging="363"/>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文件中应对设备进行详细的技术描述，条件的技术要求逐条响应，并详细填写技术规格偏离表；投标人负责提供满足工作要求的成套设备，供货必须完整、合理。</w:t>
      </w:r>
      <w:r/>
    </w:p>
    <w:p>
      <w:pPr>
        <w:numPr>
          <w:ilvl w:val="0"/>
          <w:numId w:val="16"/>
        </w:numPr>
        <w:ind w:left="0" w:hanging="363"/>
        <w:jc w:val="left"/>
        <w:keepLines w:val="0"/>
        <w:keepNext w:val="0"/>
        <w:pageBreakBefore w:val="0"/>
        <w:spacing w:line="360" w:lineRule="auto"/>
        <w:widowControl/>
        <w:rPr>
          <w:rFonts w:hint="eastAsia" w:ascii="Segoe UI" w:hAnsi="Segoe UI" w:eastAsia="宋体" w:cs="Segoe UI"/>
          <w:color w:val="000000"/>
          <w:sz w:val="24"/>
          <w:szCs w:val="24"/>
          <w:highlight w:val="none"/>
        </w:rPr>
      </w:pPr>
      <w:r>
        <w:rPr>
          <w:rFonts w:hint="eastAsia" w:ascii="Segoe UI" w:hAnsi="Segoe UI" w:eastAsia="宋体" w:cs="Segoe UI"/>
          <w:color w:val="000000"/>
          <w:sz w:val="24"/>
          <w:szCs w:val="24"/>
          <w:highlight w:val="none"/>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numPr>
          <w:ilvl w:val="0"/>
          <w:numId w:val="16"/>
        </w:numPr>
        <w:ind w:left="0" w:hanging="363"/>
        <w:jc w:val="left"/>
        <w:keepLines w:val="0"/>
        <w:keepNext w:val="0"/>
        <w:pageBreakBefore w:val="0"/>
        <w:spacing w:line="360" w:lineRule="auto"/>
        <w:widowControl/>
        <w:rPr>
          <w:rFonts w:hint="eastAsia" w:ascii="Segoe UI" w:hAnsi="Segoe UI" w:eastAsia="宋体" w:cs="Segoe UI"/>
          <w:color w:val="000000"/>
          <w:sz w:val="24"/>
          <w:szCs w:val="24"/>
          <w:highlight w:val="none"/>
        </w:rPr>
      </w:pPr>
      <w:r>
        <w:rPr>
          <w:rFonts w:hint="eastAsia" w:ascii="Segoe UI" w:hAnsi="Segoe UI" w:eastAsia="宋体" w:cs="Segoe UI"/>
          <w:color w:val="000000"/>
          <w:sz w:val="24"/>
          <w:szCs w:val="24"/>
          <w:highlight w:val="none"/>
        </w:rPr>
        <w:t xml:space="preserve">中标后，还须提供设备培训、安装、调试、试运行过程中的相关技术服务。</w:t>
      </w:r>
      <w:r/>
    </w:p>
    <w:p>
      <w:pPr>
        <w:jc w:val="left"/>
        <w:spacing w:line="360" w:lineRule="atLeast"/>
        <w:widowControl/>
        <w:rPr>
          <w:rFonts w:hint="eastAsia" w:ascii="Segoe UI" w:hAnsi="Segoe UI" w:eastAsia="宋体" w:cs="Segoe UI"/>
          <w:b/>
          <w:bCs/>
          <w:color w:val="000000"/>
          <w:sz w:val="24"/>
          <w:szCs w:val="24"/>
          <w:highlight w:val="none"/>
        </w:rPr>
        <w:outlineLvl w:val="1"/>
      </w:pPr>
      <w:r>
        <w:rPr>
          <w:rFonts w:hint="eastAsia" w:ascii="Segoe UI" w:hAnsi="Segoe UI" w:eastAsia="宋体" w:cs="Segoe UI"/>
          <w:b/>
          <w:bCs/>
          <w:color w:val="000000"/>
          <w:sz w:val="24"/>
          <w:szCs w:val="24"/>
          <w:highlight w:val="none"/>
        </w:rPr>
        <w:t xml:space="preserve">十、其他约定</w:t>
      </w:r>
      <w:r/>
    </w:p>
    <w:p>
      <w:pPr>
        <w:numPr>
          <w:ilvl w:val="0"/>
          <w:numId w:val="17"/>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严禁转包、违法分包，一经发现取消中标资格、解除合同并上报政府采购不良记录。</w:t>
      </w:r>
      <w:r/>
    </w:p>
    <w:p>
      <w:pPr>
        <w:numPr>
          <w:ilvl w:val="0"/>
          <w:numId w:val="17"/>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中标人服从采购人现场管理及施工调度。</w:t>
      </w:r>
      <w:r/>
    </w:p>
    <w:p>
      <w:pPr>
        <w:numPr>
          <w:ilvl w:val="0"/>
          <w:numId w:val="17"/>
        </w:numPr>
        <w:ind w:left="0"/>
        <w:jc w:val="left"/>
        <w:spacing w:line="360" w:lineRule="atLeast"/>
        <w:widowControl/>
        <w:rPr>
          <w:rFonts w:ascii="Segoe UI" w:hAnsi="Segoe UI" w:eastAsia="宋体" w:cs="Segoe UI"/>
          <w:color w:val="000000"/>
          <w:sz w:val="24"/>
          <w:szCs w:val="24"/>
          <w:highlight w:val="none"/>
        </w:rPr>
      </w:pPr>
      <w:r>
        <w:rPr>
          <w:rFonts w:ascii="Segoe UI" w:hAnsi="Segoe UI" w:eastAsia="宋体" w:cs="Segoe UI"/>
          <w:color w:val="000000"/>
          <w:sz w:val="24"/>
          <w:szCs w:val="24"/>
          <w:highlight w:val="none"/>
        </w:rPr>
        <w:t xml:space="preserve">未尽事宜按</w:t>
      </w:r>
      <w:r>
        <w:rPr>
          <w:rFonts w:hint="eastAsia" w:ascii="宋体" w:hAnsi="宋体" w:eastAsia="宋体" w:cs="宋体"/>
          <w:b/>
          <w:bCs/>
          <w:color w:val="000000"/>
          <w:sz w:val="24"/>
          <w:szCs w:val="24"/>
          <w:highlight w:val="none"/>
        </w:rPr>
        <w:t xml:space="preserve">《拟签订的合同文本》</w:t>
      </w:r>
      <w:r>
        <w:rPr>
          <w:rFonts w:ascii="Segoe UI" w:hAnsi="Segoe UI" w:eastAsia="宋体" w:cs="Segoe UI"/>
          <w:color w:val="000000"/>
          <w:sz w:val="24"/>
          <w:szCs w:val="24"/>
          <w:highlight w:val="none"/>
        </w:rPr>
        <w:t xml:space="preserve">执行。</w:t>
      </w:r>
      <w:r/>
    </w:p>
    <w:p>
      <w:pPr>
        <w:keepLines w:val="0"/>
        <w:keepNext w:val="0"/>
        <w:spacing w:after="0"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6"/>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4"/>
          <w:szCs w:val="24"/>
          <w:highlight w:val="none"/>
          <w:lang w:val="en-US" w:eastAsia="zh-CN"/>
        </w:rPr>
      </w:r>
      <w:r/>
    </w:p>
    <w:p>
      <w:pPr>
        <w:pStyle w:val="819"/>
        <w:ind w:left="0" w:firstLine="0"/>
        <w:rPr>
          <w:rFonts w:hint="eastAsia"/>
        </w:rPr>
      </w:pPr>
      <w:r>
        <w:rPr>
          <w:rFonts w:hint="eastAsia"/>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val="0"/>
        <w:keepNext w:val="0"/>
        <w:spacing w:line="360" w:lineRule="auto"/>
        <w:rPr>
          <w:rFonts w:hint="eastAsia" w:ascii="宋体" w:hAnsi="宋体" w:eastAsia="宋体" w:cs="宋体"/>
          <w:sz w:val="24"/>
          <w:szCs w:val="24"/>
        </w:rPr>
      </w:pPr>
      <w:r>
        <w:rPr>
          <w:rFonts w:hint="eastAsia" w:ascii="宋体" w:hAnsi="宋体" w:cs="宋体"/>
          <w:color w:val="auto"/>
          <w:sz w:val="24"/>
          <w:highlight w:val="none"/>
          <w:lang w:val="en-US" w:eastAsia="zh-CN"/>
        </w:rPr>
        <w:t xml:space="preserve">11、</w:t>
      </w:r>
      <w:r>
        <w:rPr>
          <w:rFonts w:hint="eastAsia" w:ascii="宋体" w:hAnsi="宋体" w:cs="宋体"/>
          <w:sz w:val="24"/>
          <w:szCs w:val="24"/>
          <w:lang w:val="en-US" w:eastAsia="zh-CN"/>
        </w:rPr>
        <w:t xml:space="preserve">关于符合本国产品标准的声明函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玖洲工程项目管理(徐州)有限公司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JSZC-320303-JZGC-C2026-0002</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玖洲工程项目管理(徐州)有限公司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玖洲工程项目管理(徐州)有限公司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cs="宋体"/>
          <w:color w:val="auto"/>
          <w:sz w:val="24"/>
          <w:highlight w:val="none"/>
          <w:lang w:eastAsia="zh-CN"/>
        </w:rPr>
        <w:t xml:space="preserve">玖洲工程项目管理(徐州)有限公司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徐州市云龙区垃圾资源化转运及处理建设项目-设备设施采购</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JSZC-320303-JZGC-C2026-0002</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委托人（加盖单位电子盖章）：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受托人（签字或加盖电子盖章）：</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法定代表人（签字或加盖电子盖章）：</w:t>
      </w:r>
      <w:r/>
    </w:p>
    <w:p>
      <w:pPr>
        <w:pStyle w:val="810"/>
        <w:rPr>
          <w:rFonts w:hint="eastAsia"/>
        </w:rPr>
      </w:pPr>
      <w:r>
        <w:rPr>
          <w:rFonts w:hint="eastAsia"/>
        </w:rPr>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jc w:val="cente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rPr>
          <w:rFonts w:hint="eastAsia"/>
        </w:rPr>
      </w:pPr>
      <w:r>
        <w:rPr>
          <w:rFonts w:hint="eastAsia"/>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rPr>
          <w:rFonts w:hint="eastAsia" w:ascii="宋体" w:hAnsi="宋体" w:eastAsia="宋体" w:cs="宋体"/>
          <w:color w:val="auto"/>
          <w:sz w:val="24"/>
          <w:highlight w:val="none"/>
          <w:u w:val="single"/>
        </w:rPr>
        <w:t xml:space="preserve"> </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0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徐州市云龙区垃圾资源化转运及处理建设项目-设备设施采购</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1、报价包括完成项目的所有费用。采购人不再支付报价以外的任何费用；</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jc w:val="left"/>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val="0"/>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货币单位：人民币元</w:t>
      </w:r>
      <w:r/>
    </w:p>
    <w:tbl>
      <w:tblPr>
        <w:tblStyle w:val="80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val="false"/>
          </w:tcPr>
          <w:p>
            <w:pPr>
              <w:ind w:firstLine="241"/>
              <w:keepLines w:val="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p>
        </w:tc>
      </w:tr>
    </w:tbl>
    <w:p>
      <w:pPr>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如果不提供详细分项报价的，将视为没有实质性响应</w:t>
      </w:r>
      <w:r>
        <w:rPr>
          <w:rFonts w:hint="eastAsia" w:ascii="宋体" w:hAnsi="宋体" w:eastAsia="宋体" w:cs="宋体"/>
          <w:color w:val="auto"/>
          <w:sz w:val="24"/>
          <w:highlight w:val="none"/>
          <w:lang w:val="en-US" w:eastAsia="zh-CN"/>
        </w:rPr>
        <w:t xml:space="preserve">谈判</w:t>
      </w:r>
      <w:r>
        <w:rPr>
          <w:rFonts w:hint="eastAsia" w:ascii="宋体" w:hAnsi="宋体" w:eastAsia="宋体" w:cs="宋体"/>
          <w:color w:val="auto"/>
          <w:sz w:val="24"/>
          <w:highlight w:val="none"/>
        </w:rPr>
        <w:t xml:space="preserve">文件。</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投标人对以上数据的真实性负责。</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玖洲工程项目管理(徐州)有限公司</w:t>
      </w:r>
      <w:r>
        <w:rPr>
          <w:rFonts w:hint="eastAsia" w:ascii="宋体" w:hAnsi="宋体" w:eastAsia="宋体" w:cs="宋体"/>
          <w:b/>
          <w:bCs/>
          <w:color w:val="auto"/>
          <w:sz w:val="24"/>
          <w:highlight w:val="none"/>
        </w:rPr>
        <w:t xml:space="preserve">有权将以上内容进行公示。</w:t>
      </w:r>
      <w:r/>
    </w:p>
    <w:p>
      <w:pPr>
        <w:pStyle w:val="867"/>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7"/>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jc w:val="left"/>
        <w:keepLines w:val="0"/>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徐州市云龙区垃圾资源化转运及处理建设项目-设备设施采购</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19"/>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1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徐州市云龙区垃圾资源化转运及处理建设项目-设备设施采购</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JSZC-320303-JZGC-C2026-0002</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p>
    <w:tbl>
      <w:tblPr>
        <w:tblStyle w:val="80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t xml:space="preserve">                     </w:t>
      </w:r>
      <w:r/>
    </w:p>
    <w:p>
      <w:pPr>
        <w:ind w:firstLine="480"/>
        <w:jc w:val="center"/>
        <w:keepLines w:val="0"/>
        <w:keepNext w:val="0"/>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ind w:left="0" w:right="0" w:firstLine="482"/>
        <w:jc w:val="center"/>
        <w:pageBreakBefore w:val="0"/>
        <w:spacing w:beforeAutospacing="0" w:afterAutospacing="0" w:line="440" w:lineRule="exact"/>
        <w:rPr>
          <w:rFonts w:hint="eastAsia" w:ascii="仿宋" w:hAnsi="仿宋" w:eastAsia="仿宋" w:cs="Times New Roman"/>
          <w:color w:val="auto"/>
          <w:spacing w:val="6"/>
          <w:sz w:val="30"/>
          <w:szCs w:val="30"/>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（投标人为联合体时，则牵头方和成员均要提供）</w:t>
      </w:r>
      <w:r/>
    </w:p>
    <w:p>
      <w:pPr>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keepLines w:val="0"/>
        <w:keepNext w:val="0"/>
        <w:spacing w:line="360" w:lineRule="auto"/>
        <w:widowControl/>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JSZC-320303-JZGC-C2026-0002</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（单位名称）的（项目名称）</w:t>
      </w:r>
      <w:r>
        <w:rPr>
          <w:rFonts w:hint="eastAsia" w:ascii="宋体" w:hAnsi="宋体" w:eastAsia="宋体" w:cs="宋体"/>
          <w:color w:val="auto"/>
          <w:sz w:val="24"/>
          <w:szCs w:val="24"/>
          <w:highlight w:val="none"/>
          <w:u w:val="none"/>
          <w:lang w:val="en-US" w:eastAsia="zh-CN"/>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szCs w:val="24"/>
          <w:highlight w:val="none"/>
          <w:u w:val="single"/>
          <w:lang w:val="en-US" w:eastAsia="zh-CN"/>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817"/>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817"/>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17"/>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817"/>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817"/>
        <w:ind w:left="0"/>
        <w:jc w:val="left"/>
        <w:spacing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851"/>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注：本项目采购的货物属性为：</w:t>
      </w:r>
      <w:r>
        <w:rPr>
          <w:rFonts w:hint="eastAsia" w:ascii="宋体" w:hAnsi="宋体" w:eastAsia="宋体" w:cs="宋体"/>
          <w:b/>
          <w:bCs/>
          <w:color w:val="auto"/>
          <w:sz w:val="24"/>
          <w:szCs w:val="24"/>
          <w:highlight w:val="none"/>
          <w:lang w:val="en-US" w:eastAsia="zh-CN"/>
        </w:rPr>
        <w:t xml:space="preserve">工业（制造业）</w:t>
      </w:r>
      <w:r>
        <w:rPr>
          <w:rFonts w:hint="eastAsia" w:ascii="宋体" w:hAnsi="宋体" w:eastAsia="宋体" w:cs="宋体"/>
          <w:b/>
          <w:bCs/>
          <w:color w:val="auto"/>
          <w:sz w:val="24"/>
          <w:szCs w:val="24"/>
          <w:highlight w:val="none"/>
        </w:rPr>
        <w:t xml:space="preserve">。</w:t>
      </w:r>
      <w:r/>
    </w:p>
    <w:p>
      <w:pPr>
        <w:pStyle w:val="851"/>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1017"/>
        <w:numPr>
          <w:ilvl w:val="0"/>
          <w:numId w:val="18"/>
        </w:numPr>
        <w:ind w:firstLine="253"/>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78"/>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78"/>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4"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9pt;height:597.9pt;mso-wrap-distance-left:0.0pt;mso-wrap-distance-top:0.0pt;mso-wrap-distance-right:0.0pt;mso-wrap-distance-bottom:0.0pt;" stroked="f">
                <v:path textboxrect="0,0,0,0"/>
                <v:imagedata r:id="rId18" o:title=""/>
              </v:shape>
            </w:pict>
          </mc:Fallback>
        </mc:AlternateContent>
      </w:r>
      <w:r/>
    </w:p>
    <w:p>
      <w:pPr>
        <w:pStyle w:val="878"/>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8"/>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徐州市云龙区垃圾资源化转运及处理建设项目-设备设施采购</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JSZC-320303-JZGC-C2026-0002</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8"/>
        <w:ind w:left="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ind w:firstLine="0"/>
        <w:jc w:val="center"/>
        <w:keepLines w:val="0"/>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19"/>
        </w:numPr>
        <w:ind w:firstLine="480"/>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78"/>
        <w:ind w:left="0" w:firstLine="0"/>
        <w:keepLines w:val="0"/>
        <w:keepNext w:val="0"/>
        <w:spacing w:line="360" w:lineRule="auto"/>
        <w:rPr>
          <w:rFonts w:hint="eastAsia" w:ascii="宋体" w:hAnsi="宋体" w:eastAsia="宋体" w:cs="宋体"/>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cs="宋体"/>
          <w:b/>
          <w:bCs w:val="0"/>
          <w:sz w:val="28"/>
          <w:szCs w:val="28"/>
          <w:lang w:val="en-US" w:eastAsia="zh-CN" w:bidi="ar-SA"/>
        </w:rPr>
        <w:t xml:space="preserve">11、</w:t>
      </w:r>
      <w:r>
        <w:rPr>
          <w:rFonts w:hint="eastAsia" w:ascii="宋体" w:hAnsi="宋体" w:eastAsia="宋体" w:cs="宋体"/>
          <w:b/>
          <w:bCs w:val="0"/>
          <w:sz w:val="28"/>
          <w:szCs w:val="28"/>
          <w:lang w:val="en-US" w:eastAsia="zh-CN" w:bidi="ar-SA"/>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p>
    <w:p>
      <w:pPr>
        <w:pStyle w:val="836"/>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Segoe UI">
    <w:panose1 w:val="020B0502040204020203"/>
  </w:font>
  <w:font w:name="PMingLiU">
    <w:panose1 w:val="02020500000000000000"/>
  </w:font>
  <w:font w:name="楷体_GB2312">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书宋简体">
    <w:panose1 w:val="020B050302020202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85"/>
      </w:rPr>
      <w:framePr w:wrap="around" w:vAnchor="text" w:hAnchor="margin" w:xAlign="center" w:y="1"/>
    </w:pPr>
    <w:r>
      <w:fldChar w:fldCharType="begin"/>
    </w:r>
    <w:r>
      <w:rPr>
        <w:rStyle w:val="985"/>
      </w:rPr>
      <w:instrText xml:space="preserve">PAGE  </w:instrText>
    </w:r>
    <w:r>
      <w:fldChar w:fldCharType="end"/>
    </w:r>
    <w:r/>
  </w:p>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left="4185"/>
      <w:spacing w:line="187" w:lineRule="auto"/>
      <w:rPr>
        <w:sz w:val="22"/>
        <w:szCs w:val="22"/>
      </w:rPr>
    </w:pPr>
    <w:r>
      <w:rPr>
        <w:spacing w:val="-3"/>
        <w:sz w:val="22"/>
        <w:szCs w:val="22"/>
      </w:rPr>
      <w:t xml:space="preserve">21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7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bullet"/>
      <w:isLgl w:val="false"/>
      <w:suff w:val="tab"/>
      <w:lvlText w:val=""/>
      <w:lvlJc w:val="left"/>
      <w:pPr>
        <w:ind w:left="862" w:hanging="720"/>
      </w:pPr>
      <w:rPr>
        <w:rFonts w:hint="default" w:ascii="Wingdings" w:hAnsi="Wingding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2"/>
  </w:num>
  <w:num w:numId="3">
    <w:abstractNumId w:val="16"/>
  </w:num>
  <w:num w:numId="4">
    <w:abstractNumId w:val="1"/>
  </w:num>
  <w:num w:numId="5">
    <w:abstractNumId w:val="18"/>
  </w:num>
  <w:num w:numId="6">
    <w:abstractNumId w:val="12"/>
  </w:num>
  <w:num w:numId="7">
    <w:abstractNumId w:val="9"/>
  </w:num>
  <w:num w:numId="8">
    <w:abstractNumId w:val="11"/>
  </w:num>
  <w:num w:numId="9">
    <w:abstractNumId w:val="8"/>
  </w:num>
  <w:num w:numId="10">
    <w:abstractNumId w:val="6"/>
  </w:num>
  <w:num w:numId="11">
    <w:abstractNumId w:val="15"/>
  </w:num>
  <w:num w:numId="12">
    <w:abstractNumId w:val="7"/>
  </w:num>
  <w:num w:numId="13">
    <w:abstractNumId w:val="17"/>
  </w:num>
  <w:num w:numId="14">
    <w:abstractNumId w:val="10"/>
  </w:num>
  <w:num w:numId="15">
    <w:abstractNumId w:val="14"/>
  </w:num>
  <w:num w:numId="16">
    <w:abstractNumId w:val="13"/>
  </w:num>
  <w:num w:numId="17">
    <w:abstractNumId w:val="3"/>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link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1"/>
    <w:basedOn w:val="798"/>
    <w:next w:val="798"/>
    <w:uiPriority w:val="39"/>
    <w:unhideWhenUsed/>
    <w:qFormat/>
    <w:pPr>
      <w:ind w:left="0" w:right="0" w:firstLine="0"/>
      <w:spacing w:after="57"/>
    </w:pPr>
  </w:style>
  <w:style w:type="paragraph" w:styleId="811">
    <w:name w:val="toc 7"/>
    <w:basedOn w:val="798"/>
    <w:next w:val="798"/>
    <w:uiPriority w:val="39"/>
    <w:unhideWhenUsed/>
    <w:qFormat/>
    <w:pPr>
      <w:ind w:left="1701" w:right="0" w:firstLine="0"/>
      <w:spacing w:after="57"/>
    </w:pPr>
  </w:style>
  <w:style w:type="paragraph" w:styleId="812">
    <w:name w:val="Normal Indent"/>
    <w:basedOn w:val="798"/>
    <w:uiPriority w:val="0"/>
    <w:qFormat/>
    <w:pPr>
      <w:ind w:firstLine="420"/>
    </w:p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index 5"/>
    <w:basedOn w:val="798"/>
    <w:next w:val="798"/>
    <w:uiPriority w:val="0"/>
    <w:qFormat/>
    <w:pPr>
      <w:ind w:left="798"/>
    </w:pPr>
    <w:rPr>
      <w:rFonts w:ascii="Calibri" w:hAnsi="Calibri"/>
      <w:sz w:val="21"/>
    </w:rPr>
  </w:style>
  <w:style w:type="paragraph" w:styleId="815">
    <w:name w:val="annotation text"/>
    <w:basedOn w:val="798"/>
    <w:uiPriority w:val="99"/>
    <w:semiHidden/>
    <w:unhideWhenUsed/>
    <w:qFormat/>
    <w:pPr>
      <w:jc w:val="left"/>
    </w:pPr>
  </w:style>
  <w:style w:type="paragraph" w:styleId="816">
    <w:name w:val="Body Text"/>
    <w:basedOn w:val="798"/>
    <w:uiPriority w:val="0"/>
    <w:qFormat/>
  </w:style>
  <w:style w:type="paragraph" w:styleId="817">
    <w:name w:val="Body Text Indent"/>
    <w:basedOn w:val="798"/>
    <w:next w:val="818"/>
    <w:uiPriority w:val="0"/>
    <w:qFormat/>
    <w:pPr>
      <w:ind w:firstLine="600"/>
      <w:spacing w:line="317" w:lineRule="auto"/>
    </w:pPr>
    <w:rPr>
      <w:rFonts w:ascii="方正书宋简体" w:eastAsia="方正书宋简体"/>
      <w:sz w:val="30"/>
    </w:rPr>
  </w:style>
  <w:style w:type="paragraph" w:styleId="818">
    <w:name w:val="envelope return"/>
    <w:basedOn w:val="798"/>
    <w:uiPriority w:val="99"/>
    <w:qFormat/>
    <w:pPr>
      <w:ind w:firstLine="200"/>
      <w:spacing w:line="360" w:lineRule="auto"/>
    </w:pPr>
    <w:rPr>
      <w:rFonts w:ascii="Arial" w:hAnsi="Arial" w:cs="Arial"/>
      <w:sz w:val="24"/>
    </w:rPr>
  </w:style>
  <w:style w:type="paragraph" w:styleId="819">
    <w:name w:val="Block Text"/>
    <w:basedOn w:val="798"/>
    <w:next w:val="798"/>
    <w:uiPriority w:val="0"/>
    <w:qFormat/>
    <w:pPr>
      <w:ind w:left="420" w:right="33"/>
      <w:jc w:val="left"/>
    </w:pPr>
    <w:rPr>
      <w:sz w:val="24"/>
      <w:szCs w:val="20"/>
    </w:rPr>
  </w:style>
  <w:style w:type="paragraph" w:styleId="820">
    <w:name w:val="index 4"/>
    <w:basedOn w:val="798"/>
    <w:next w:val="798"/>
    <w:uiPriority w:val="0"/>
    <w:semiHidden/>
    <w:qFormat/>
    <w:pPr>
      <w:ind w:left="1260"/>
      <w:jc w:val="both"/>
      <w:widowControl w:val="off"/>
    </w:pPr>
    <w:rPr>
      <w:rFonts w:ascii="Times New Roman" w:hAnsi="Times New Roman" w:eastAsia="Calibri" w:cs="宋体"/>
      <w:sz w:val="20"/>
      <w:szCs w:val="20"/>
      <w:lang w:val="zh-CN" w:eastAsia="zh-CN" w:bidi="ar-SA"/>
    </w:rPr>
  </w:style>
  <w:style w:type="paragraph" w:styleId="821">
    <w:name w:val="toc 5"/>
    <w:basedOn w:val="798"/>
    <w:next w:val="798"/>
    <w:uiPriority w:val="39"/>
    <w:unhideWhenUsed/>
    <w:qFormat/>
    <w:pPr>
      <w:ind w:left="1134" w:right="0" w:firstLine="0"/>
      <w:spacing w:after="57"/>
    </w:pPr>
  </w:style>
  <w:style w:type="paragraph" w:styleId="822">
    <w:name w:val="toc 3"/>
    <w:basedOn w:val="798"/>
    <w:next w:val="798"/>
    <w:uiPriority w:val="39"/>
    <w:unhideWhenUsed/>
    <w:qFormat/>
    <w:pPr>
      <w:ind w:left="567" w:right="0" w:firstLine="0"/>
      <w:spacing w:after="57"/>
    </w:pPr>
  </w:style>
  <w:style w:type="paragraph" w:styleId="823">
    <w:name w:val="Plain Text"/>
    <w:basedOn w:val="798"/>
    <w:uiPriority w:val="0"/>
    <w:qFormat/>
    <w:rPr>
      <w:rFonts w:ascii="宋体" w:hAnsi="Courier New"/>
      <w:szCs w:val="20"/>
    </w:rPr>
  </w:style>
  <w:style w:type="paragraph" w:styleId="824">
    <w:name w:val="toc 8"/>
    <w:basedOn w:val="798"/>
    <w:next w:val="798"/>
    <w:uiPriority w:val="39"/>
    <w:unhideWhenUsed/>
    <w:qFormat/>
    <w:pPr>
      <w:ind w:left="1984" w:right="0" w:firstLine="0"/>
      <w:spacing w:after="57"/>
    </w:pPr>
  </w:style>
  <w:style w:type="paragraph" w:styleId="825">
    <w:name w:val="endnote text"/>
    <w:basedOn w:val="798"/>
    <w:uiPriority w:val="99"/>
    <w:semiHidden/>
    <w:unhideWhenUsed/>
    <w:qFormat/>
    <w:pPr>
      <w:spacing w:after="0" w:line="240" w:lineRule="auto"/>
    </w:pPr>
    <w:rPr>
      <w:sz w:val="20"/>
    </w:rPr>
  </w:style>
  <w:style w:type="paragraph" w:styleId="826">
    <w:name w:val="Footer"/>
    <w:basedOn w:val="798"/>
    <w:uiPriority w:val="99"/>
    <w:unhideWhenUsed/>
    <w:qFormat/>
    <w:pPr>
      <w:spacing w:after="0" w:line="240" w:lineRule="auto"/>
      <w:tabs>
        <w:tab w:val="center" w:pos="7143" w:leader="none"/>
        <w:tab w:val="right" w:pos="14287" w:leader="none"/>
      </w:tabs>
    </w:pPr>
  </w:style>
  <w:style w:type="paragraph" w:styleId="827">
    <w:name w:val="Header"/>
    <w:basedOn w:val="798"/>
    <w:uiPriority w:val="99"/>
    <w:unhideWhenUsed/>
    <w:qFormat/>
    <w:pPr>
      <w:spacing w:after="0" w:line="240" w:lineRule="auto"/>
      <w:tabs>
        <w:tab w:val="center" w:pos="7143" w:leader="none"/>
        <w:tab w:val="right" w:pos="14287" w:leader="none"/>
      </w:tabs>
    </w:pPr>
  </w:style>
  <w:style w:type="paragraph" w:styleId="828">
    <w:name w:val="toc 4"/>
    <w:basedOn w:val="798"/>
    <w:next w:val="798"/>
    <w:uiPriority w:val="39"/>
    <w:unhideWhenUsed/>
    <w:qFormat/>
    <w:pPr>
      <w:ind w:left="850" w:right="0" w:firstLine="0"/>
      <w:spacing w:after="57"/>
    </w:pPr>
  </w:style>
  <w:style w:type="paragraph" w:styleId="829">
    <w:name w:val="Subtitle"/>
    <w:basedOn w:val="798"/>
    <w:next w:val="798"/>
    <w:uiPriority w:val="11"/>
    <w:qFormat/>
    <w:pPr>
      <w:spacing w:before="200" w:after="200"/>
    </w:pPr>
    <w:rPr>
      <w:sz w:val="24"/>
      <w:szCs w:val="24"/>
    </w:rPr>
  </w:style>
  <w:style w:type="paragraph" w:styleId="830">
    <w:name w:val="footnote text"/>
    <w:basedOn w:val="798"/>
    <w:next w:val="814"/>
    <w:uiPriority w:val="99"/>
    <w:semiHidden/>
    <w:unhideWhenUsed/>
    <w:qFormat/>
    <w:pPr>
      <w:spacing w:after="40" w:line="240" w:lineRule="auto"/>
    </w:pPr>
    <w:rPr>
      <w:sz w:val="18"/>
    </w:rPr>
  </w:style>
  <w:style w:type="paragraph" w:styleId="831">
    <w:name w:val="toc 6"/>
    <w:basedOn w:val="798"/>
    <w:next w:val="798"/>
    <w:uiPriority w:val="39"/>
    <w:unhideWhenUsed/>
    <w:qFormat/>
    <w:pPr>
      <w:ind w:left="1417" w:right="0" w:firstLine="0"/>
      <w:spacing w:after="57"/>
    </w:pPr>
  </w:style>
  <w:style w:type="paragraph" w:styleId="832">
    <w:name w:val="table of figures"/>
    <w:basedOn w:val="798"/>
    <w:next w:val="798"/>
    <w:uiPriority w:val="99"/>
    <w:unhideWhenUsed/>
    <w:qFormat/>
    <w:pPr>
      <w:spacing w:after="0" w:afterAutospacing="0"/>
    </w:pPr>
  </w:style>
  <w:style w:type="paragraph" w:styleId="833">
    <w:name w:val="toc 2"/>
    <w:basedOn w:val="798"/>
    <w:next w:val="798"/>
    <w:uiPriority w:val="39"/>
    <w:unhideWhenUsed/>
    <w:qFormat/>
    <w:pPr>
      <w:ind w:left="283" w:right="0" w:firstLine="0"/>
      <w:spacing w:after="57"/>
    </w:pPr>
  </w:style>
  <w:style w:type="paragraph" w:styleId="834">
    <w:name w:val="toc 9"/>
    <w:basedOn w:val="798"/>
    <w:next w:val="798"/>
    <w:uiPriority w:val="39"/>
    <w:unhideWhenUsed/>
    <w:qFormat/>
    <w:pPr>
      <w:ind w:left="2268" w:right="0" w:firstLine="0"/>
      <w:spacing w:after="57"/>
    </w:pPr>
  </w:style>
  <w:style w:type="paragraph" w:styleId="835">
    <w:name w:val="Body Text 2"/>
    <w:basedOn w:val="798"/>
    <w:uiPriority w:val="99"/>
    <w:semiHidden/>
    <w:unhideWhenUsed/>
    <w:qFormat/>
    <w:pPr>
      <w:spacing w:after="120" w:line="480" w:lineRule="auto"/>
    </w:pPr>
  </w:style>
  <w:style w:type="paragraph" w:styleId="836">
    <w:name w:val="Normal (Web)"/>
    <w:basedOn w:val="798"/>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837">
    <w:name w:val="Title"/>
    <w:basedOn w:val="798"/>
    <w:next w:val="798"/>
    <w:uiPriority w:val="10"/>
    <w:qFormat/>
    <w:pPr>
      <w:contextualSpacing/>
      <w:spacing w:before="300" w:after="200"/>
    </w:pPr>
    <w:rPr>
      <w:sz w:val="48"/>
      <w:szCs w:val="48"/>
    </w:rPr>
  </w:style>
  <w:style w:type="paragraph" w:styleId="838">
    <w:name w:val="Body Text First Indent"/>
    <w:basedOn w:val="816"/>
    <w:uiPriority w:val="0"/>
    <w:qFormat/>
    <w:pPr>
      <w:ind w:firstLine="420"/>
    </w:pPr>
  </w:style>
  <w:style w:type="paragraph" w:styleId="839">
    <w:name w:val="Body Text First Indent 2"/>
    <w:next w:val="798"/>
    <w:uiPriority w:val="0"/>
    <w:qFormat/>
    <w:pPr>
      <w:ind w:left="420" w:firstLine="420"/>
      <w:jc w:val="both"/>
      <w:spacing w:after="120" w:line="480" w:lineRule="exact"/>
      <w:widowControl w:val="off"/>
    </w:pPr>
    <w:rPr>
      <w:rFonts w:hint="default" w:ascii="Calibri" w:hAnsi="Calibri" w:eastAsia="宋体" w:cs="Times New Roman"/>
      <w:sz w:val="24"/>
      <w:szCs w:val="20"/>
      <w:lang w:val="en-US" w:eastAsia="zh-CN" w:bidi="ar-SA"/>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paragraph" w:styleId="844" w:customStyle="1">
    <w:name w:val="一级条标题"/>
    <w:basedOn w:val="845"/>
    <w:next w:val="7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4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6" w:customStyle="1">
    <w:name w:val="正文1"/>
    <w:basedOn w:val="847"/>
    <w:next w:val="862"/>
    <w:uiPriority w:val="0"/>
    <w:qFormat/>
    <w:rPr>
      <w:rFonts w:hint="default" w:ascii="Times New Roman" w:hAnsi="Times New Roman" w:eastAsia="宋体" w:cs="Times New Roman"/>
      <w:lang w:val="en-US" w:eastAsia="zh-CN" w:bidi="ar-SA"/>
    </w:rPr>
  </w:style>
  <w:style w:type="paragraph" w:styleId="847" w:customStyle="1">
    <w:name w:val="正文1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首行缩进1"/>
    <w:basedOn w:val="849"/>
    <w:next w:val="857"/>
    <w:uiPriority w:val="0"/>
    <w:qFormat/>
    <w:pPr>
      <w:ind w:firstLine="420"/>
    </w:pPr>
  </w:style>
  <w:style w:type="paragraph" w:styleId="849" w:customStyle="1">
    <w:name w:val="正文文本11"/>
    <w:basedOn w:val="850"/>
    <w:next w:val="851"/>
    <w:uiPriority w:val="0"/>
    <w:qFormat/>
    <w:pPr>
      <w:spacing w:after="120"/>
    </w:pPr>
  </w:style>
  <w:style w:type="paragraph" w:styleId="850" w:customStyle="1">
    <w:name w:val="正文112"/>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正文1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首行缩进11"/>
    <w:basedOn w:val="853"/>
    <w:next w:val="855"/>
    <w:uiPriority w:val="0"/>
    <w:qFormat/>
    <w:pPr>
      <w:ind w:firstLine="420"/>
    </w:pPr>
    <w:rPr>
      <w:sz w:val="24"/>
    </w:rPr>
  </w:style>
  <w:style w:type="paragraph" w:styleId="853" w:customStyle="1">
    <w:name w:val="正文文本1"/>
    <w:basedOn w:val="854"/>
    <w:next w:val="844"/>
    <w:uiPriority w:val="0"/>
    <w:qFormat/>
    <w:pPr>
      <w:spacing w:after="120"/>
    </w:pPr>
  </w:style>
  <w:style w:type="paragraph" w:styleId="854" w:customStyle="1">
    <w:name w:val="正文13"/>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首行缩进 211"/>
    <w:basedOn w:val="856"/>
    <w:uiPriority w:val="0"/>
    <w:qFormat/>
    <w:pPr>
      <w:ind w:firstLine="200"/>
    </w:pPr>
  </w:style>
  <w:style w:type="paragraph" w:styleId="856" w:customStyle="1">
    <w:name w:val="正文文本缩进11"/>
    <w:basedOn w:val="847"/>
    <w:uiPriority w:val="0"/>
    <w:unhideWhenUsed/>
    <w:qFormat/>
    <w:pPr>
      <w:ind w:left="420"/>
      <w:spacing w:after="120"/>
    </w:pPr>
    <w:rPr>
      <w:sz w:val="24"/>
    </w:rPr>
  </w:style>
  <w:style w:type="paragraph" w:styleId="857" w:customStyle="1">
    <w:name w:val="正文首行缩进 21"/>
    <w:basedOn w:val="858"/>
    <w:next w:val="847"/>
    <w:uiPriority w:val="0"/>
    <w:qFormat/>
    <w:pPr>
      <w:ind w:firstLine="420"/>
    </w:pPr>
    <w:rPr>
      <w:rFonts w:ascii="宋体" w:hAnsi="宋体"/>
      <w:sz w:val="20"/>
      <w:szCs w:val="20"/>
    </w:rPr>
  </w:style>
  <w:style w:type="paragraph" w:styleId="858" w:customStyle="1">
    <w:name w:val="正文文本缩进1"/>
    <w:basedOn w:val="859"/>
    <w:next w:val="861"/>
    <w:uiPriority w:val="99"/>
    <w:unhideWhenUsed/>
    <w:qFormat/>
    <w:pPr>
      <w:ind w:firstLine="425"/>
      <w:spacing w:line="360" w:lineRule="auto"/>
    </w:pPr>
  </w:style>
  <w:style w:type="paragraph" w:styleId="859" w:customStyle="1">
    <w:name w:val="正文12"/>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正文文本111"/>
    <w:basedOn w:val="798"/>
    <w:next w:val="859"/>
    <w:uiPriority w:val="0"/>
    <w:qFormat/>
    <w:rPr>
      <w:rFonts w:ascii="楷体_GB2312" w:hAnsi="Arial" w:eastAsia="楷体_GB2312"/>
      <w:sz w:val="28"/>
      <w:szCs w:val="28"/>
      <w:lang w:eastAsia="en-US"/>
    </w:rPr>
  </w:style>
  <w:style w:type="paragraph" w:styleId="861" w:customStyle="1">
    <w:name w:val="寄信人地址1"/>
    <w:basedOn w:val="851"/>
    <w:uiPriority w:val="99"/>
    <w:unhideWhenUsed/>
    <w:qFormat/>
    <w:rPr>
      <w:rFonts w:ascii="Arial" w:hAnsi="Arial"/>
    </w:rPr>
  </w:style>
  <w:style w:type="paragraph" w:styleId="862" w:customStyle="1">
    <w:name w:val="目录 11"/>
    <w:basedOn w:val="851"/>
    <w:next w:val="846"/>
    <w:uiPriority w:val="0"/>
    <w:qFormat/>
    <w:pPr>
      <w:jc w:val="left"/>
      <w:spacing w:after="100" w:line="259" w:lineRule="auto"/>
      <w:widowControl/>
    </w:pPr>
    <w:rPr>
      <w:rFonts w:ascii="Calibri" w:hAnsi="Calibri"/>
      <w:sz w:val="22"/>
      <w:szCs w:val="22"/>
    </w:rPr>
  </w:style>
  <w:style w:type="paragraph" w:styleId="863" w:customStyle="1">
    <w:name w:val="段"/>
    <w:basedOn w:val="847"/>
    <w:next w:val="798"/>
    <w:uiPriority w:val="0"/>
    <w:qFormat/>
    <w:pPr>
      <w:ind w:firstLine="200"/>
      <w:widowControl/>
    </w:pPr>
    <w:rPr>
      <w:rFonts w:hint="eastAsia" w:ascii="宋体"/>
      <w:sz w:val="20"/>
      <w:szCs w:val="20"/>
    </w:rPr>
  </w:style>
  <w:style w:type="paragraph" w:styleId="864" w:customStyle="1">
    <w:name w:val="目录 111"/>
    <w:basedOn w:val="859"/>
    <w:next w:val="847"/>
    <w:uiPriority w:val="39"/>
    <w:unhideWhenUsed/>
    <w:qFormat/>
    <w:pPr>
      <w:spacing w:after="57"/>
    </w:pPr>
  </w:style>
  <w:style w:type="paragraph" w:styleId="865"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文本块11"/>
    <w:basedOn w:val="859"/>
    <w:uiPriority w:val="0"/>
    <w:unhideWhenUsed/>
    <w:qFormat/>
    <w:pPr>
      <w:ind w:left="1440" w:right="1440"/>
      <w:spacing w:after="120"/>
    </w:pPr>
    <w:rPr>
      <w:rFonts w:ascii="Calibri" w:hAnsi="Calibri"/>
    </w:rPr>
  </w:style>
  <w:style w:type="paragraph" w:styleId="867" w:customStyle="1">
    <w:name w:val="BlockQuote"/>
    <w:basedOn w:val="847"/>
    <w:uiPriority w:val="0"/>
    <w:qFormat/>
    <w:pPr>
      <w:ind w:left="256" w:right="6" w:firstLine="624"/>
    </w:pPr>
    <w:rPr>
      <w:rFonts w:eastAsia="仿宋_GB2312"/>
      <w:sz w:val="28"/>
    </w:rPr>
  </w:style>
  <w:style w:type="paragraph" w:styleId="868" w:customStyle="1">
    <w:name w:val="标题 111"/>
    <w:basedOn w:val="798"/>
    <w:next w:val="851"/>
    <w:uiPriority w:val="9"/>
    <w:qFormat/>
    <w:pPr>
      <w:keepLines/>
      <w:keepNext/>
      <w:spacing w:before="480" w:after="200"/>
      <w:outlineLvl w:val="0"/>
    </w:pPr>
    <w:rPr>
      <w:rFonts w:ascii="Arial" w:hAnsi="Arial" w:eastAsia="Arial" w:cs="Arial"/>
      <w:sz w:val="40"/>
      <w:szCs w:val="40"/>
    </w:rPr>
  </w:style>
  <w:style w:type="paragraph" w:styleId="869" w:customStyle="1">
    <w:name w:val="正文文本 21"/>
    <w:basedOn w:val="851"/>
    <w:uiPriority w:val="0"/>
    <w:qFormat/>
    <w:pPr>
      <w:spacing w:after="120" w:line="480" w:lineRule="auto"/>
    </w:pPr>
  </w:style>
  <w:style w:type="paragraph" w:styleId="870" w:customStyle="1">
    <w:name w:val="标题 21"/>
    <w:basedOn w:val="798"/>
    <w:next w:val="851"/>
    <w:link w:val="946"/>
    <w:uiPriority w:val="9"/>
    <w:qFormat/>
    <w:pPr>
      <w:keepLines/>
      <w:keepNext/>
      <w:spacing w:before="360" w:after="200"/>
      <w:outlineLvl w:val="1"/>
    </w:pPr>
    <w:rPr>
      <w:rFonts w:ascii="Arial" w:hAnsi="Arial" w:eastAsia="Arial" w:cs="Arial"/>
      <w:sz w:val="34"/>
    </w:rPr>
  </w:style>
  <w:style w:type="paragraph" w:styleId="871" w:customStyle="1">
    <w:name w:val="寄信人地址11"/>
    <w:basedOn w:val="851"/>
    <w:uiPriority w:val="0"/>
    <w:qFormat/>
    <w:rPr>
      <w:rFonts w:ascii="Arial" w:hAnsi="Arial"/>
    </w:rPr>
  </w:style>
  <w:style w:type="paragraph" w:styleId="872" w:customStyle="1">
    <w:name w:val="标题 211"/>
    <w:basedOn w:val="851"/>
    <w:next w:val="865"/>
    <w:uiPriority w:val="9"/>
    <w:unhideWhenUsed/>
    <w:qFormat/>
    <w:pPr>
      <w:keepLines/>
      <w:keepNext/>
      <w:spacing w:before="360" w:after="200"/>
      <w:outlineLvl w:val="1"/>
    </w:pPr>
    <w:rPr>
      <w:rFonts w:ascii="Arial" w:hAnsi="Arial" w:eastAsia="Arial" w:cs="Arial"/>
      <w:sz w:val="34"/>
    </w:rPr>
  </w:style>
  <w:style w:type="paragraph" w:styleId="873" w:customStyle="1">
    <w:name w:val="列出段落1"/>
    <w:basedOn w:val="846"/>
    <w:uiPriority w:val="0"/>
    <w:qFormat/>
    <w:pPr>
      <w:ind w:left="480"/>
      <w:jc w:val="left"/>
    </w:pPr>
    <w:rPr>
      <w:rFonts w:eastAsia="PMingLiU"/>
      <w:sz w:val="24"/>
      <w:szCs w:val="20"/>
      <w:lang w:eastAsia="zh-TW"/>
    </w:rPr>
  </w:style>
  <w:style w:type="paragraph" w:styleId="874"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标题 71"/>
    <w:basedOn w:val="865"/>
    <w:next w:val="850"/>
    <w:link w:val="953"/>
    <w:uiPriority w:val="9"/>
    <w:qFormat/>
    <w:pPr>
      <w:keepLines/>
      <w:keepNext/>
      <w:spacing w:before="320" w:after="200"/>
      <w:outlineLvl w:val="6"/>
    </w:pPr>
    <w:rPr>
      <w:rFonts w:ascii="Arial" w:hAnsi="Arial" w:eastAsia="Arial" w:cs="Arial"/>
      <w:b/>
      <w:bCs/>
      <w:i/>
      <w:iCs/>
      <w:sz w:val="22"/>
      <w:szCs w:val="22"/>
    </w:rPr>
  </w:style>
  <w:style w:type="paragraph" w:styleId="876" w:customStyle="1">
    <w:name w:val="无间隔1"/>
    <w:uiPriority w:val="0"/>
    <w:qFormat/>
    <w:rPr>
      <w:rFonts w:hint="default" w:ascii="Times New Roman" w:hAnsi="Times New Roman" w:eastAsia="宋体" w:cs="Times New Roman"/>
      <w:sz w:val="22"/>
      <w:szCs w:val="22"/>
      <w:lang w:val="en-US" w:eastAsia="en-US" w:bidi="ar-SA"/>
    </w:rPr>
  </w:style>
  <w:style w:type="paragraph" w:styleId="877" w:customStyle="1">
    <w:name w:val="正文缩进1"/>
    <w:basedOn w:val="798"/>
    <w:uiPriority w:val="0"/>
    <w:qFormat/>
    <w:pPr>
      <w:ind w:firstLine="420"/>
    </w:pPr>
  </w:style>
  <w:style w:type="paragraph" w:styleId="878" w:customStyle="1">
    <w:name w:val="文本块1"/>
    <w:basedOn w:val="846"/>
    <w:uiPriority w:val="6"/>
    <w:qFormat/>
    <w:pPr>
      <w:ind w:left="256" w:right="6" w:firstLine="624"/>
    </w:pPr>
    <w:rPr>
      <w:rFonts w:eastAsia="仿宋"/>
      <w:sz w:val="28"/>
      <w:szCs w:val="20"/>
    </w:rPr>
  </w:style>
  <w:style w:type="paragraph" w:styleId="879" w:customStyle="1">
    <w:name w:val="标题 41"/>
    <w:basedOn w:val="859"/>
    <w:next w:val="85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80" w:customStyle="1">
    <w:name w:val="标题1"/>
    <w:basedOn w:val="798"/>
    <w:next w:val="850"/>
    <w:link w:val="982"/>
    <w:uiPriority w:val="10"/>
    <w:qFormat/>
    <w:pPr>
      <w:contextualSpacing/>
      <w:spacing w:before="300" w:after="200"/>
    </w:pPr>
    <w:rPr>
      <w:sz w:val="48"/>
      <w:szCs w:val="48"/>
    </w:rPr>
  </w:style>
  <w:style w:type="paragraph" w:styleId="881" w:customStyle="1">
    <w:name w:val="页脚1"/>
    <w:basedOn w:val="798"/>
    <w:uiPriority w:val="0"/>
    <w:qFormat/>
    <w:pPr>
      <w:jc w:val="left"/>
      <w:tabs>
        <w:tab w:val="center" w:pos="4153" w:leader="none"/>
        <w:tab w:val="right" w:pos="8306" w:leader="none"/>
      </w:tabs>
    </w:pPr>
    <w:rPr>
      <w:sz w:val="18"/>
      <w:szCs w:val="18"/>
    </w:rPr>
  </w:style>
  <w:style w:type="paragraph" w:styleId="882" w:customStyle="1">
    <w:name w:val="索引 41"/>
    <w:basedOn w:val="854"/>
    <w:next w:val="846"/>
    <w:uiPriority w:val="0"/>
    <w:qFormat/>
    <w:pPr>
      <w:ind w:left="600" w:firstLine="200"/>
      <w:spacing w:line="274" w:lineRule="auto"/>
    </w:pPr>
    <w:rPr>
      <w:rFonts w:ascii="Calibri" w:hAnsi="Calibri" w:eastAsia="仿宋_GB2312"/>
      <w:sz w:val="24"/>
    </w:rPr>
  </w:style>
  <w:style w:type="paragraph" w:styleId="883" w:customStyle="1">
    <w:name w:val="标题 311"/>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84" w:customStyle="1">
    <w:name w:val="标题 411"/>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85" w:customStyle="1">
    <w:name w:val="标题 511"/>
    <w:basedOn w:val="798"/>
    <w:next w:val="798"/>
    <w:uiPriority w:val="9"/>
    <w:unhideWhenUsed/>
    <w:qFormat/>
    <w:pPr>
      <w:keepLines/>
      <w:keepNext/>
      <w:spacing w:before="320" w:after="200"/>
      <w:outlineLvl w:val="4"/>
    </w:pPr>
    <w:rPr>
      <w:rFonts w:ascii="Arial" w:hAnsi="Arial" w:eastAsia="Arial" w:cs="Arial"/>
      <w:b/>
      <w:bCs/>
      <w:sz w:val="24"/>
    </w:rPr>
  </w:style>
  <w:style w:type="paragraph" w:styleId="886" w:customStyle="1">
    <w:name w:val="标题 611"/>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87" w:customStyle="1">
    <w:name w:val="标题 711"/>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88" w:customStyle="1">
    <w:name w:val="标题 811"/>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89" w:customStyle="1">
    <w:name w:val="标题 911"/>
    <w:basedOn w:val="798"/>
    <w:next w:val="798"/>
    <w:uiPriority w:val="9"/>
    <w:unhideWhenUsed/>
    <w:qFormat/>
    <w:pPr>
      <w:keepLines/>
      <w:keepNext/>
      <w:spacing w:before="320" w:after="200"/>
      <w:outlineLvl w:val="8"/>
    </w:pPr>
    <w:rPr>
      <w:rFonts w:ascii="Arial" w:hAnsi="Arial" w:eastAsia="Arial" w:cs="Arial"/>
      <w:i/>
      <w:iCs/>
      <w:szCs w:val="21"/>
    </w:rPr>
  </w:style>
  <w:style w:type="character" w:styleId="890" w:customStyle="1">
    <w:name w:val="默认段落字体11"/>
    <w:link w:val="798"/>
    <w:uiPriority w:val="1"/>
    <w:unhideWhenUsed/>
    <w:qFormat/>
  </w:style>
  <w:style w:type="table" w:styleId="891" w:customStyle="1">
    <w:name w:val="普通表格11"/>
    <w:uiPriority w:val="99"/>
    <w:unhideWhenUsed/>
    <w:qFormat/>
    <w:tblPr/>
  </w:style>
  <w:style w:type="paragraph" w:styleId="892" w:customStyle="1">
    <w:name w:val="信息标题1"/>
    <w:basedOn w:val="798"/>
    <w:next w:val="89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3" w:customStyle="1">
    <w:name w:val="正文文本12"/>
    <w:basedOn w:val="798"/>
    <w:next w:val="798"/>
    <w:uiPriority w:val="99"/>
    <w:qFormat/>
    <w:pPr>
      <w:spacing w:after="120"/>
    </w:pPr>
  </w:style>
  <w:style w:type="paragraph" w:styleId="894" w:customStyle="1">
    <w:name w:val="目录 711"/>
    <w:basedOn w:val="798"/>
    <w:next w:val="798"/>
    <w:uiPriority w:val="39"/>
    <w:unhideWhenUsed/>
    <w:qFormat/>
    <w:pPr>
      <w:ind w:left="1701"/>
      <w:spacing w:after="57"/>
    </w:pPr>
  </w:style>
  <w:style w:type="paragraph" w:styleId="895" w:customStyle="1">
    <w:name w:val="题注11"/>
    <w:basedOn w:val="798"/>
    <w:next w:val="798"/>
    <w:uiPriority w:val="35"/>
    <w:unhideWhenUsed/>
    <w:qFormat/>
    <w:pPr>
      <w:spacing w:line="276" w:lineRule="auto"/>
    </w:pPr>
    <w:rPr>
      <w:b/>
      <w:bCs/>
      <w:color w:val="4f81bd"/>
      <w:sz w:val="18"/>
      <w:szCs w:val="18"/>
    </w:rPr>
  </w:style>
  <w:style w:type="paragraph" w:styleId="896" w:customStyle="1">
    <w:name w:val="批注文字11"/>
    <w:basedOn w:val="798"/>
    <w:uiPriority w:val="0"/>
    <w:qFormat/>
    <w:pPr>
      <w:jc w:val="left"/>
    </w:pPr>
  </w:style>
  <w:style w:type="paragraph" w:styleId="897" w:customStyle="1">
    <w:name w:val="文本块12"/>
    <w:basedOn w:val="798"/>
    <w:uiPriority w:val="6"/>
    <w:qFormat/>
    <w:pPr>
      <w:ind w:left="256" w:right="6" w:firstLine="624"/>
    </w:pPr>
    <w:rPr>
      <w:rFonts w:eastAsia="仿宋"/>
      <w:sz w:val="28"/>
    </w:rPr>
  </w:style>
  <w:style w:type="paragraph" w:styleId="898" w:customStyle="1">
    <w:name w:val="目录 511"/>
    <w:basedOn w:val="798"/>
    <w:next w:val="798"/>
    <w:uiPriority w:val="39"/>
    <w:unhideWhenUsed/>
    <w:qFormat/>
    <w:pPr>
      <w:ind w:left="1134"/>
      <w:spacing w:after="57"/>
    </w:pPr>
  </w:style>
  <w:style w:type="paragraph" w:styleId="899" w:customStyle="1">
    <w:name w:val="目录 311"/>
    <w:basedOn w:val="798"/>
    <w:next w:val="798"/>
    <w:uiPriority w:val="39"/>
    <w:unhideWhenUsed/>
    <w:qFormat/>
    <w:pPr>
      <w:ind w:left="567"/>
      <w:spacing w:after="57"/>
    </w:pPr>
  </w:style>
  <w:style w:type="paragraph" w:styleId="900" w:customStyle="1">
    <w:name w:val="目录 811"/>
    <w:basedOn w:val="798"/>
    <w:next w:val="798"/>
    <w:uiPriority w:val="39"/>
    <w:unhideWhenUsed/>
    <w:qFormat/>
    <w:pPr>
      <w:ind w:left="1984"/>
      <w:spacing w:after="57"/>
    </w:pPr>
  </w:style>
  <w:style w:type="paragraph" w:styleId="901" w:customStyle="1">
    <w:name w:val="尾注文本11"/>
    <w:basedOn w:val="798"/>
    <w:uiPriority w:val="99"/>
    <w:unhideWhenUsed/>
    <w:qFormat/>
    <w:rPr>
      <w:sz w:val="20"/>
    </w:rPr>
  </w:style>
  <w:style w:type="paragraph" w:styleId="902" w:customStyle="1">
    <w:name w:val="页脚11"/>
    <w:basedOn w:val="798"/>
    <w:uiPriority w:val="99"/>
    <w:unhideWhenUsed/>
    <w:qFormat/>
    <w:pPr>
      <w:tabs>
        <w:tab w:val="center" w:pos="7143" w:leader="none"/>
        <w:tab w:val="right" w:pos="14287" w:leader="none"/>
      </w:tabs>
    </w:pPr>
  </w:style>
  <w:style w:type="paragraph" w:styleId="903" w:customStyle="1">
    <w:name w:val="页眉11"/>
    <w:basedOn w:val="798"/>
    <w:uiPriority w:val="99"/>
    <w:unhideWhenUsed/>
    <w:qFormat/>
    <w:pPr>
      <w:tabs>
        <w:tab w:val="center" w:pos="7143" w:leader="none"/>
        <w:tab w:val="right" w:pos="14287" w:leader="none"/>
      </w:tabs>
    </w:pPr>
  </w:style>
  <w:style w:type="paragraph" w:styleId="904" w:customStyle="1">
    <w:name w:val="目录 1111"/>
    <w:basedOn w:val="798"/>
    <w:next w:val="798"/>
    <w:uiPriority w:val="39"/>
    <w:unhideWhenUsed/>
    <w:qFormat/>
    <w:pPr>
      <w:spacing w:after="57"/>
    </w:pPr>
  </w:style>
  <w:style w:type="paragraph" w:styleId="905" w:customStyle="1">
    <w:name w:val="目录 411"/>
    <w:basedOn w:val="798"/>
    <w:next w:val="798"/>
    <w:uiPriority w:val="39"/>
    <w:unhideWhenUsed/>
    <w:qFormat/>
    <w:pPr>
      <w:ind w:left="850"/>
      <w:spacing w:after="57"/>
    </w:pPr>
  </w:style>
  <w:style w:type="paragraph" w:styleId="906" w:customStyle="1">
    <w:name w:val="副标题11"/>
    <w:basedOn w:val="798"/>
    <w:next w:val="798"/>
    <w:uiPriority w:val="11"/>
    <w:qFormat/>
    <w:pPr>
      <w:spacing w:before="200" w:after="200"/>
    </w:pPr>
    <w:rPr>
      <w:sz w:val="24"/>
    </w:rPr>
  </w:style>
  <w:style w:type="paragraph" w:styleId="907" w:customStyle="1">
    <w:name w:val="脚注文本11"/>
    <w:basedOn w:val="798"/>
    <w:next w:val="908"/>
    <w:uiPriority w:val="99"/>
    <w:unhideWhenUsed/>
    <w:qFormat/>
    <w:pPr>
      <w:spacing w:after="40"/>
    </w:pPr>
    <w:rPr>
      <w:sz w:val="18"/>
    </w:rPr>
  </w:style>
  <w:style w:type="paragraph" w:styleId="908" w:customStyle="1">
    <w:name w:val="索引 51"/>
    <w:basedOn w:val="909"/>
    <w:next w:val="846"/>
    <w:uiPriority w:val="0"/>
    <w:qFormat/>
    <w:pPr>
      <w:ind w:left="798"/>
      <w:jc w:val="left"/>
    </w:pPr>
    <w:rPr>
      <w:rFonts w:ascii="Calibri" w:hAnsi="Calibri"/>
    </w:rPr>
  </w:style>
  <w:style w:type="paragraph" w:styleId="909" w:customStyle="1">
    <w:name w:val="脚注文本1"/>
    <w:basedOn w:val="846"/>
    <w:next w:val="853"/>
    <w:uiPriority w:val="0"/>
    <w:qFormat/>
    <w:rPr>
      <w:rFonts w:ascii="宋体" w:eastAsia="Times New Roman"/>
      <w:sz w:val="18"/>
      <w:szCs w:val="18"/>
    </w:rPr>
  </w:style>
  <w:style w:type="paragraph" w:styleId="910" w:customStyle="1">
    <w:name w:val="目录 611"/>
    <w:basedOn w:val="798"/>
    <w:next w:val="798"/>
    <w:uiPriority w:val="39"/>
    <w:unhideWhenUsed/>
    <w:qFormat/>
    <w:pPr>
      <w:ind w:left="1417"/>
      <w:spacing w:after="57"/>
    </w:pPr>
  </w:style>
  <w:style w:type="paragraph" w:styleId="911" w:customStyle="1">
    <w:name w:val="图表目录11"/>
    <w:basedOn w:val="798"/>
    <w:next w:val="798"/>
    <w:uiPriority w:val="99"/>
    <w:unhideWhenUsed/>
    <w:qFormat/>
  </w:style>
  <w:style w:type="paragraph" w:styleId="912" w:customStyle="1">
    <w:name w:val="目录 211"/>
    <w:basedOn w:val="798"/>
    <w:next w:val="798"/>
    <w:uiPriority w:val="39"/>
    <w:unhideWhenUsed/>
    <w:qFormat/>
    <w:pPr>
      <w:ind w:left="283"/>
      <w:spacing w:after="57"/>
    </w:pPr>
  </w:style>
  <w:style w:type="paragraph" w:styleId="913" w:customStyle="1">
    <w:name w:val="目录 911"/>
    <w:basedOn w:val="798"/>
    <w:next w:val="798"/>
    <w:uiPriority w:val="39"/>
    <w:unhideWhenUsed/>
    <w:qFormat/>
    <w:pPr>
      <w:ind w:left="2268"/>
      <w:spacing w:after="57"/>
    </w:pPr>
  </w:style>
  <w:style w:type="paragraph" w:styleId="914" w:customStyle="1">
    <w:name w:val="普通(网站)12"/>
    <w:basedOn w:val="798"/>
    <w:uiPriority w:val="99"/>
    <w:qFormat/>
    <w:pPr>
      <w:jc w:val="left"/>
      <w:spacing w:before="100" w:beforeAutospacing="1" w:after="100" w:afterAutospacing="1"/>
      <w:widowControl/>
    </w:pPr>
    <w:rPr>
      <w:rFonts w:ascii="宋体" w:hAnsi="宋体" w:cs="宋体"/>
      <w:sz w:val="24"/>
    </w:rPr>
  </w:style>
  <w:style w:type="paragraph" w:styleId="915" w:customStyle="1">
    <w:name w:val="标题11"/>
    <w:basedOn w:val="798"/>
    <w:next w:val="798"/>
    <w:uiPriority w:val="10"/>
    <w:qFormat/>
    <w:pPr>
      <w:contextualSpacing/>
      <w:spacing w:before="300" w:after="200"/>
    </w:pPr>
    <w:rPr>
      <w:sz w:val="48"/>
      <w:szCs w:val="48"/>
    </w:rPr>
  </w:style>
  <w:style w:type="table" w:styleId="916" w:customStyle="1">
    <w:name w:val="网格型11"/>
    <w:uiPriority w:val="59"/>
    <w:qFormat/>
    <w:tblPr/>
  </w:style>
  <w:style w:type="character" w:styleId="917" w:customStyle="1">
    <w:name w:val="要点1"/>
    <w:link w:val="798"/>
    <w:uiPriority w:val="0"/>
    <w:qFormat/>
    <w:rPr>
      <w:b/>
    </w:rPr>
  </w:style>
  <w:style w:type="character" w:styleId="918" w:customStyle="1">
    <w:name w:val="尾注引用11"/>
    <w:link w:val="798"/>
    <w:uiPriority w:val="99"/>
    <w:unhideWhenUsed/>
    <w:qFormat/>
    <w:rPr>
      <w:vertAlign w:val="superscript"/>
    </w:rPr>
  </w:style>
  <w:style w:type="character" w:styleId="919" w:customStyle="1">
    <w:name w:val="超链接11"/>
    <w:basedOn w:val="890"/>
    <w:link w:val="798"/>
    <w:uiPriority w:val="99"/>
    <w:unhideWhenUsed/>
    <w:qFormat/>
    <w:rPr>
      <w:color w:val="0000ff"/>
      <w:u w:val="single"/>
    </w:rPr>
  </w:style>
  <w:style w:type="character" w:styleId="920" w:customStyle="1">
    <w:name w:val="脚注引用11"/>
    <w:link w:val="798"/>
    <w:uiPriority w:val="99"/>
    <w:unhideWhenUsed/>
    <w:qFormat/>
    <w:rPr>
      <w:vertAlign w:val="superscript"/>
    </w:rPr>
  </w:style>
  <w:style w:type="table" w:styleId="921" w:customStyle="1">
    <w:name w:val="Plain Table 1"/>
    <w:basedOn w:val="891"/>
    <w:uiPriority w:val="59"/>
    <w:qFormat/>
    <w:pPr>
      <w:spacing w:after="0" w:line="240" w:lineRule="auto"/>
    </w:pPr>
    <w:tblPr/>
  </w:style>
  <w:style w:type="table" w:styleId="922" w:customStyle="1">
    <w:name w:val="Plain Table 2"/>
    <w:basedOn w:val="891"/>
    <w:uiPriority w:val="59"/>
    <w:qFormat/>
    <w:pPr>
      <w:spacing w:after="0" w:line="240" w:lineRule="auto"/>
    </w:pPr>
    <w:tblPr/>
  </w:style>
  <w:style w:type="table" w:styleId="923" w:customStyle="1">
    <w:name w:val="Plain Table 3"/>
    <w:basedOn w:val="891"/>
    <w:uiPriority w:val="99"/>
    <w:qFormat/>
    <w:pPr>
      <w:spacing w:after="0" w:line="240" w:lineRule="auto"/>
    </w:pPr>
    <w:tblPr/>
  </w:style>
  <w:style w:type="table" w:styleId="924" w:customStyle="1">
    <w:name w:val="Plain Table 4"/>
    <w:basedOn w:val="891"/>
    <w:uiPriority w:val="99"/>
    <w:qFormat/>
    <w:pPr>
      <w:spacing w:after="0" w:line="240" w:lineRule="auto"/>
    </w:pPr>
    <w:tblPr/>
  </w:style>
  <w:style w:type="table" w:styleId="925" w:customStyle="1">
    <w:name w:val="Plain Table 5"/>
    <w:basedOn w:val="891"/>
    <w:uiPriority w:val="99"/>
    <w:qFormat/>
    <w:pPr>
      <w:spacing w:after="0" w:line="240" w:lineRule="auto"/>
    </w:pPr>
    <w:tblPr/>
  </w:style>
  <w:style w:type="table" w:styleId="926" w:customStyle="1">
    <w:name w:val="Grid Table 1 Light"/>
    <w:basedOn w:val="891"/>
    <w:uiPriority w:val="99"/>
    <w:qFormat/>
    <w:pPr>
      <w:spacing w:after="0" w:line="240" w:lineRule="auto"/>
    </w:pPr>
    <w:tblPr/>
  </w:style>
  <w:style w:type="table" w:styleId="927" w:customStyle="1">
    <w:name w:val="Grid Table 2"/>
    <w:basedOn w:val="891"/>
    <w:uiPriority w:val="99"/>
    <w:qFormat/>
    <w:pPr>
      <w:spacing w:after="0" w:line="240" w:lineRule="auto"/>
    </w:pPr>
    <w:tblPr/>
  </w:style>
  <w:style w:type="table" w:styleId="928" w:customStyle="1">
    <w:name w:val="Grid Table 3"/>
    <w:basedOn w:val="891"/>
    <w:uiPriority w:val="99"/>
    <w:qFormat/>
    <w:pPr>
      <w:spacing w:after="0" w:line="240" w:lineRule="auto"/>
    </w:pPr>
    <w:tblPr/>
  </w:style>
  <w:style w:type="table" w:styleId="929" w:customStyle="1">
    <w:name w:val="Grid Table 4"/>
    <w:basedOn w:val="891"/>
    <w:uiPriority w:val="59"/>
    <w:qFormat/>
    <w:pPr>
      <w:spacing w:after="0" w:line="240" w:lineRule="auto"/>
    </w:pPr>
    <w:tblPr/>
  </w:style>
  <w:style w:type="table" w:styleId="930" w:customStyle="1">
    <w:name w:val="Grid Table 5 Dark"/>
    <w:basedOn w:val="891"/>
    <w:uiPriority w:val="99"/>
    <w:qFormat/>
    <w:pPr>
      <w:spacing w:after="0" w:line="240" w:lineRule="auto"/>
    </w:pPr>
    <w:tblPr/>
  </w:style>
  <w:style w:type="table" w:styleId="931" w:customStyle="1">
    <w:name w:val="Grid Table 6 Colorful"/>
    <w:basedOn w:val="891"/>
    <w:uiPriority w:val="99"/>
    <w:qFormat/>
    <w:pPr>
      <w:spacing w:after="0" w:line="240" w:lineRule="auto"/>
    </w:pPr>
    <w:tblPr/>
  </w:style>
  <w:style w:type="table" w:styleId="932" w:customStyle="1">
    <w:name w:val="Grid Table 7 Colorful"/>
    <w:basedOn w:val="891"/>
    <w:uiPriority w:val="99"/>
    <w:qFormat/>
    <w:pPr>
      <w:spacing w:after="0" w:line="240" w:lineRule="auto"/>
    </w:pPr>
    <w:tblPr/>
  </w:style>
  <w:style w:type="table" w:styleId="933" w:customStyle="1">
    <w:name w:val="List Table 1 Light"/>
    <w:basedOn w:val="891"/>
    <w:uiPriority w:val="99"/>
    <w:qFormat/>
    <w:pPr>
      <w:spacing w:after="0" w:line="240" w:lineRule="auto"/>
    </w:pPr>
    <w:tblPr/>
  </w:style>
  <w:style w:type="table" w:styleId="934" w:customStyle="1">
    <w:name w:val="List Table 2"/>
    <w:basedOn w:val="891"/>
    <w:uiPriority w:val="99"/>
    <w:qFormat/>
    <w:pPr>
      <w:spacing w:after="0" w:line="240" w:lineRule="auto"/>
    </w:pPr>
    <w:tblPr/>
  </w:style>
  <w:style w:type="table" w:styleId="935" w:customStyle="1">
    <w:name w:val="List Table 3"/>
    <w:basedOn w:val="891"/>
    <w:uiPriority w:val="99"/>
    <w:qFormat/>
    <w:pPr>
      <w:spacing w:after="0" w:line="240" w:lineRule="auto"/>
    </w:pPr>
    <w:tblPr/>
  </w:style>
  <w:style w:type="table" w:styleId="936" w:customStyle="1">
    <w:name w:val="List Table 4"/>
    <w:basedOn w:val="891"/>
    <w:uiPriority w:val="99"/>
    <w:qFormat/>
    <w:pPr>
      <w:spacing w:after="0" w:line="240" w:lineRule="auto"/>
    </w:pPr>
    <w:tblPr/>
  </w:style>
  <w:style w:type="table" w:styleId="937" w:customStyle="1">
    <w:name w:val="List Table 5 Dark"/>
    <w:basedOn w:val="891"/>
    <w:uiPriority w:val="99"/>
    <w:qFormat/>
    <w:pPr>
      <w:spacing w:after="0" w:line="240" w:lineRule="auto"/>
    </w:pPr>
    <w:tblPr/>
  </w:style>
  <w:style w:type="table" w:styleId="938" w:customStyle="1">
    <w:name w:val="List Table 6 Colorful"/>
    <w:basedOn w:val="891"/>
    <w:uiPriority w:val="99"/>
    <w:qFormat/>
    <w:pPr>
      <w:spacing w:after="0" w:line="240" w:lineRule="auto"/>
    </w:pPr>
    <w:tblPr/>
  </w:style>
  <w:style w:type="table" w:styleId="939" w:customStyle="1">
    <w:name w:val="List Table 7 Colorful"/>
    <w:basedOn w:val="891"/>
    <w:uiPriority w:val="99"/>
    <w:qFormat/>
    <w:pPr>
      <w:spacing w:after="0" w:line="240" w:lineRule="auto"/>
    </w:pPr>
    <w:tblPr/>
  </w:style>
  <w:style w:type="paragraph" w:styleId="940" w:customStyle="1">
    <w:name w:val="TOC Heading"/>
    <w:uiPriority w:val="39"/>
    <w:unhideWhenUsed/>
    <w:qFormat/>
    <w:rPr>
      <w:rFonts w:hint="default" w:ascii="Times New Roman" w:hAnsi="Times New Roman" w:eastAsia="宋体" w:cs="Times New Roman"/>
    </w:rPr>
  </w:style>
  <w:style w:type="paragraph" w:styleId="941">
    <w:name w:val="List Paragraph"/>
    <w:basedOn w:val="798"/>
    <w:uiPriority w:val="34"/>
    <w:qFormat/>
    <w:pPr>
      <w:contextualSpacing/>
      <w:ind w:left="720"/>
    </w:pPr>
  </w:style>
  <w:style w:type="paragraph" w:styleId="942">
    <w:name w:val="No Spacing"/>
    <w:uiPriority w:val="1"/>
    <w:qFormat/>
    <w:rPr>
      <w:rFonts w:hint="default" w:ascii="Times New Roman" w:hAnsi="Times New Roman" w:eastAsia="宋体" w:cs="Times New Roman"/>
      <w:lang w:val="en-US" w:eastAsia="zh-CN" w:bidi="ar-SA"/>
    </w:rPr>
  </w:style>
  <w:style w:type="paragraph" w:styleId="943">
    <w:name w:val="Quote"/>
    <w:basedOn w:val="798"/>
    <w:next w:val="798"/>
    <w:uiPriority w:val="29"/>
    <w:qFormat/>
    <w:pPr>
      <w:ind w:left="720" w:right="720"/>
    </w:pPr>
    <w:rPr>
      <w:i/>
    </w:rPr>
  </w:style>
  <w:style w:type="paragraph" w:styleId="944">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5" w:customStyle="1">
    <w:name w:val="标题 11"/>
    <w:basedOn w:val="798"/>
    <w:next w:val="798"/>
    <w:uiPriority w:val="0"/>
    <w:qFormat/>
    <w:pPr>
      <w:keepLines/>
      <w:keepNext/>
      <w:spacing w:before="340" w:after="330" w:line="578" w:lineRule="auto"/>
      <w:outlineLvl w:val="0"/>
    </w:pPr>
    <w:rPr>
      <w:b/>
      <w:bCs/>
      <w:sz w:val="44"/>
      <w:szCs w:val="44"/>
    </w:rPr>
  </w:style>
  <w:style w:type="character" w:styleId="946" w:customStyle="1">
    <w:name w:val="标题 2 Char"/>
    <w:link w:val="870"/>
    <w:uiPriority w:val="9"/>
    <w:qFormat/>
    <w:rPr>
      <w:rFonts w:ascii="Arial" w:hAnsi="Arial" w:eastAsia="Arial" w:cs="Arial"/>
      <w:sz w:val="34"/>
    </w:rPr>
  </w:style>
  <w:style w:type="paragraph" w:styleId="947" w:customStyle="1">
    <w:name w:val="标题 31"/>
    <w:basedOn w:val="798"/>
    <w:next w:val="798"/>
    <w:link w:val="948"/>
    <w:uiPriority w:val="9"/>
    <w:qFormat/>
    <w:pPr>
      <w:keepLines/>
      <w:keepNext/>
      <w:spacing w:before="320" w:after="200"/>
      <w:outlineLvl w:val="2"/>
    </w:pPr>
    <w:rPr>
      <w:rFonts w:ascii="Arial" w:hAnsi="Arial" w:eastAsia="Arial" w:cs="Arial"/>
      <w:sz w:val="30"/>
      <w:szCs w:val="30"/>
    </w:rPr>
  </w:style>
  <w:style w:type="character" w:styleId="948" w:customStyle="1">
    <w:name w:val="标题 3 Char"/>
    <w:link w:val="947"/>
    <w:uiPriority w:val="9"/>
    <w:qFormat/>
    <w:rPr>
      <w:rFonts w:ascii="Arial" w:hAnsi="Arial" w:eastAsia="Arial" w:cs="Arial"/>
      <w:sz w:val="30"/>
      <w:szCs w:val="30"/>
    </w:rPr>
  </w:style>
  <w:style w:type="paragraph" w:styleId="949" w:customStyle="1">
    <w:name w:val="标题 51"/>
    <w:basedOn w:val="798"/>
    <w:next w:val="798"/>
    <w:link w:val="950"/>
    <w:uiPriority w:val="9"/>
    <w:qFormat/>
    <w:pPr>
      <w:keepLines/>
      <w:keepNext/>
      <w:spacing w:before="320" w:after="200"/>
      <w:outlineLvl w:val="4"/>
    </w:pPr>
    <w:rPr>
      <w:rFonts w:ascii="Arial" w:hAnsi="Arial" w:eastAsia="Arial" w:cs="Arial"/>
      <w:b/>
      <w:bCs/>
      <w:sz w:val="24"/>
    </w:rPr>
  </w:style>
  <w:style w:type="character" w:styleId="950" w:customStyle="1">
    <w:name w:val="标题 5 Char"/>
    <w:link w:val="949"/>
    <w:uiPriority w:val="9"/>
    <w:qFormat/>
    <w:rPr>
      <w:rFonts w:ascii="Arial" w:hAnsi="Arial" w:eastAsia="Arial" w:cs="Arial"/>
      <w:b/>
      <w:bCs/>
      <w:sz w:val="24"/>
      <w:szCs w:val="24"/>
    </w:rPr>
  </w:style>
  <w:style w:type="paragraph" w:styleId="951" w:customStyle="1">
    <w:name w:val="标题 61"/>
    <w:basedOn w:val="798"/>
    <w:next w:val="798"/>
    <w:link w:val="952"/>
    <w:uiPriority w:val="9"/>
    <w:qFormat/>
    <w:pPr>
      <w:keepLines/>
      <w:keepNext/>
      <w:spacing w:before="320" w:after="200"/>
      <w:outlineLvl w:val="5"/>
    </w:pPr>
    <w:rPr>
      <w:rFonts w:ascii="Arial" w:hAnsi="Arial" w:eastAsia="Arial" w:cs="Arial"/>
      <w:b/>
      <w:bCs/>
      <w:sz w:val="22"/>
      <w:szCs w:val="22"/>
    </w:rPr>
  </w:style>
  <w:style w:type="character" w:styleId="952" w:customStyle="1">
    <w:name w:val="标题 6 Char"/>
    <w:link w:val="951"/>
    <w:uiPriority w:val="9"/>
    <w:qFormat/>
    <w:rPr>
      <w:rFonts w:ascii="Arial" w:hAnsi="Arial" w:eastAsia="Arial" w:cs="Arial"/>
      <w:b/>
      <w:bCs/>
      <w:sz w:val="22"/>
      <w:szCs w:val="22"/>
    </w:rPr>
  </w:style>
  <w:style w:type="character" w:styleId="953" w:customStyle="1">
    <w:name w:val="标题 7 Char"/>
    <w:link w:val="875"/>
    <w:uiPriority w:val="9"/>
    <w:qFormat/>
    <w:rPr>
      <w:rFonts w:ascii="Arial" w:hAnsi="Arial" w:eastAsia="Arial" w:cs="Arial"/>
      <w:b/>
      <w:bCs/>
      <w:i/>
      <w:iCs/>
      <w:sz w:val="22"/>
      <w:szCs w:val="22"/>
    </w:rPr>
  </w:style>
  <w:style w:type="paragraph" w:styleId="954" w:customStyle="1">
    <w:name w:val="标题 81"/>
    <w:basedOn w:val="798"/>
    <w:next w:val="798"/>
    <w:link w:val="955"/>
    <w:uiPriority w:val="9"/>
    <w:qFormat/>
    <w:pPr>
      <w:keepLines/>
      <w:keepNext/>
      <w:spacing w:before="320" w:after="200"/>
      <w:outlineLvl w:val="7"/>
    </w:pPr>
    <w:rPr>
      <w:rFonts w:ascii="Arial" w:hAnsi="Arial" w:eastAsia="Arial" w:cs="Arial"/>
      <w:i/>
      <w:iCs/>
      <w:sz w:val="22"/>
      <w:szCs w:val="22"/>
    </w:rPr>
  </w:style>
  <w:style w:type="character" w:styleId="955" w:customStyle="1">
    <w:name w:val="标题 8 Char"/>
    <w:link w:val="954"/>
    <w:uiPriority w:val="9"/>
    <w:qFormat/>
    <w:rPr>
      <w:rFonts w:ascii="Arial" w:hAnsi="Arial" w:eastAsia="Arial" w:cs="Arial"/>
      <w:i/>
      <w:iCs/>
      <w:sz w:val="22"/>
      <w:szCs w:val="22"/>
    </w:rPr>
  </w:style>
  <w:style w:type="paragraph" w:styleId="956" w:customStyle="1">
    <w:name w:val="标题 91"/>
    <w:basedOn w:val="798"/>
    <w:next w:val="798"/>
    <w:link w:val="957"/>
    <w:uiPriority w:val="9"/>
    <w:qFormat/>
    <w:pPr>
      <w:keepLines/>
      <w:keepNext/>
      <w:spacing w:before="320" w:after="200"/>
      <w:outlineLvl w:val="8"/>
    </w:pPr>
    <w:rPr>
      <w:rFonts w:ascii="Arial" w:hAnsi="Arial" w:eastAsia="Arial" w:cs="Arial"/>
      <w:i/>
      <w:iCs/>
      <w:szCs w:val="21"/>
    </w:rPr>
  </w:style>
  <w:style w:type="character" w:styleId="957" w:customStyle="1">
    <w:name w:val="标题 9 Char"/>
    <w:link w:val="956"/>
    <w:uiPriority w:val="9"/>
    <w:qFormat/>
    <w:rPr>
      <w:rFonts w:ascii="Arial" w:hAnsi="Arial" w:eastAsia="Arial" w:cs="Arial"/>
      <w:i/>
      <w:iCs/>
      <w:sz w:val="21"/>
      <w:szCs w:val="21"/>
    </w:rPr>
  </w:style>
  <w:style w:type="character" w:styleId="958" w:customStyle="1">
    <w:name w:val="默认段落字体1"/>
    <w:link w:val="798"/>
    <w:uiPriority w:val="1"/>
    <w:unhideWhenUsed/>
    <w:qFormat/>
  </w:style>
  <w:style w:type="table" w:styleId="959" w:customStyle="1">
    <w:name w:val="普通表格1"/>
    <w:uiPriority w:val="99"/>
    <w:unhideWhenUsed/>
    <w:qFormat/>
    <w:tblPr/>
  </w:style>
  <w:style w:type="paragraph" w:styleId="960" w:customStyle="1">
    <w:name w:val="目录 71"/>
    <w:basedOn w:val="798"/>
    <w:next w:val="798"/>
    <w:uiPriority w:val="39"/>
    <w:unhideWhenUsed/>
    <w:qFormat/>
    <w:pPr>
      <w:ind w:left="1701"/>
      <w:spacing w:after="57"/>
    </w:pPr>
  </w:style>
  <w:style w:type="paragraph" w:styleId="961" w:customStyle="1">
    <w:name w:val="题注1"/>
    <w:basedOn w:val="798"/>
    <w:next w:val="798"/>
    <w:uiPriority w:val="35"/>
    <w:qFormat/>
    <w:pPr>
      <w:spacing w:line="276" w:lineRule="auto"/>
    </w:pPr>
    <w:rPr>
      <w:b/>
      <w:bCs/>
      <w:color w:val="4f81bd"/>
      <w:sz w:val="18"/>
      <w:szCs w:val="18"/>
    </w:rPr>
  </w:style>
  <w:style w:type="paragraph" w:styleId="962" w:customStyle="1">
    <w:name w:val="批注文字1"/>
    <w:basedOn w:val="798"/>
    <w:uiPriority w:val="0"/>
    <w:qFormat/>
    <w:pPr>
      <w:jc w:val="left"/>
    </w:pPr>
  </w:style>
  <w:style w:type="paragraph" w:styleId="963" w:customStyle="1">
    <w:name w:val="目录 51"/>
    <w:basedOn w:val="798"/>
    <w:next w:val="798"/>
    <w:uiPriority w:val="39"/>
    <w:unhideWhenUsed/>
    <w:qFormat/>
    <w:pPr>
      <w:ind w:left="1134"/>
      <w:spacing w:after="57"/>
    </w:pPr>
  </w:style>
  <w:style w:type="paragraph" w:styleId="964" w:customStyle="1">
    <w:name w:val="目录 31"/>
    <w:basedOn w:val="798"/>
    <w:next w:val="798"/>
    <w:uiPriority w:val="39"/>
    <w:unhideWhenUsed/>
    <w:qFormat/>
    <w:pPr>
      <w:ind w:left="567"/>
      <w:spacing w:after="57"/>
    </w:pPr>
  </w:style>
  <w:style w:type="paragraph" w:styleId="965" w:customStyle="1">
    <w:name w:val="纯文本1"/>
    <w:basedOn w:val="798"/>
    <w:uiPriority w:val="99"/>
    <w:unhideWhenUsed/>
    <w:qFormat/>
    <w:rPr>
      <w:rFonts w:ascii="宋体" w:hAnsi="Courier New"/>
      <w:sz w:val="20"/>
      <w:szCs w:val="20"/>
    </w:rPr>
  </w:style>
  <w:style w:type="paragraph" w:styleId="966" w:customStyle="1">
    <w:name w:val="目录 81"/>
    <w:basedOn w:val="798"/>
    <w:next w:val="798"/>
    <w:uiPriority w:val="39"/>
    <w:unhideWhenUsed/>
    <w:qFormat/>
    <w:pPr>
      <w:ind w:left="1984"/>
      <w:spacing w:after="57"/>
    </w:pPr>
  </w:style>
  <w:style w:type="paragraph" w:styleId="967" w:customStyle="1">
    <w:name w:val="日期1"/>
    <w:basedOn w:val="798"/>
    <w:next w:val="798"/>
    <w:uiPriority w:val="0"/>
    <w:qFormat/>
    <w:rPr>
      <w:rFonts w:eastAsia="仿宋_GB2312"/>
      <w:sz w:val="28"/>
      <w:szCs w:val="20"/>
    </w:rPr>
  </w:style>
  <w:style w:type="paragraph" w:styleId="968" w:customStyle="1">
    <w:name w:val="正文文本缩进 21"/>
    <w:basedOn w:val="798"/>
    <w:uiPriority w:val="0"/>
    <w:qFormat/>
    <w:pPr>
      <w:ind w:firstLine="475"/>
      <w:spacing w:line="10" w:lineRule="atLeast"/>
    </w:pPr>
    <w:rPr>
      <w:rFonts w:ascii="仿宋_GB2312" w:eastAsia="仿宋_GB2312"/>
      <w:sz w:val="24"/>
    </w:rPr>
  </w:style>
  <w:style w:type="paragraph" w:styleId="969" w:customStyle="1">
    <w:name w:val="尾注文本1"/>
    <w:basedOn w:val="798"/>
    <w:link w:val="970"/>
    <w:uiPriority w:val="99"/>
    <w:unhideWhenUsed/>
    <w:qFormat/>
    <w:rPr>
      <w:sz w:val="20"/>
    </w:rPr>
  </w:style>
  <w:style w:type="character" w:styleId="970" w:customStyle="1">
    <w:name w:val="尾注文本 Char"/>
    <w:link w:val="969"/>
    <w:uiPriority w:val="99"/>
    <w:qFormat/>
    <w:rPr>
      <w:sz w:val="20"/>
    </w:rPr>
  </w:style>
  <w:style w:type="paragraph" w:styleId="971" w:customStyle="1">
    <w:name w:val="批注框文本1"/>
    <w:basedOn w:val="798"/>
    <w:link w:val="972"/>
    <w:uiPriority w:val="99"/>
    <w:unhideWhenUsed/>
    <w:qFormat/>
    <w:rPr>
      <w:sz w:val="18"/>
      <w:szCs w:val="18"/>
    </w:rPr>
  </w:style>
  <w:style w:type="character" w:styleId="972" w:customStyle="1">
    <w:name w:val="批注框文本 Char"/>
    <w:link w:val="971"/>
    <w:uiPriority w:val="99"/>
    <w:semiHidden/>
    <w:qFormat/>
    <w:rPr>
      <w:rFonts w:ascii="Times New Roman" w:hAnsi="Times New Roman"/>
      <w:sz w:val="18"/>
      <w:szCs w:val="18"/>
    </w:rPr>
  </w:style>
  <w:style w:type="paragraph" w:styleId="973" w:customStyle="1">
    <w:name w:val="页眉1"/>
    <w:basedOn w:val="798"/>
    <w:next w:val="798"/>
    <w:uiPriority w:val="0"/>
    <w:qFormat/>
    <w:pPr>
      <w:jc w:val="center"/>
      <w:tabs>
        <w:tab w:val="center" w:pos="4153" w:leader="none"/>
        <w:tab w:val="right" w:pos="8306" w:leader="none"/>
      </w:tabs>
      <w:pBdr>
        <w:bottom w:val="single" w:color="000000" w:sz="6" w:space="1"/>
      </w:pBdr>
    </w:pPr>
    <w:rPr>
      <w:sz w:val="18"/>
      <w:szCs w:val="18"/>
    </w:rPr>
  </w:style>
  <w:style w:type="paragraph" w:styleId="974" w:customStyle="1">
    <w:name w:val="目录 41"/>
    <w:basedOn w:val="798"/>
    <w:next w:val="798"/>
    <w:uiPriority w:val="39"/>
    <w:unhideWhenUsed/>
    <w:qFormat/>
    <w:pPr>
      <w:ind w:left="850"/>
      <w:spacing w:after="57"/>
    </w:pPr>
  </w:style>
  <w:style w:type="paragraph" w:styleId="975" w:customStyle="1">
    <w:name w:val="副标题1"/>
    <w:basedOn w:val="798"/>
    <w:next w:val="798"/>
    <w:link w:val="976"/>
    <w:uiPriority w:val="11"/>
    <w:qFormat/>
    <w:pPr>
      <w:spacing w:before="200" w:after="200"/>
    </w:pPr>
    <w:rPr>
      <w:sz w:val="24"/>
    </w:rPr>
  </w:style>
  <w:style w:type="character" w:styleId="976" w:customStyle="1">
    <w:name w:val="副标题 Char"/>
    <w:link w:val="975"/>
    <w:uiPriority w:val="11"/>
    <w:qFormat/>
    <w:rPr>
      <w:sz w:val="24"/>
      <w:szCs w:val="24"/>
    </w:rPr>
  </w:style>
  <w:style w:type="paragraph" w:styleId="977" w:customStyle="1">
    <w:name w:val="目录 61"/>
    <w:basedOn w:val="798"/>
    <w:next w:val="798"/>
    <w:uiPriority w:val="39"/>
    <w:unhideWhenUsed/>
    <w:qFormat/>
    <w:pPr>
      <w:ind w:left="1417"/>
      <w:spacing w:after="57"/>
    </w:pPr>
  </w:style>
  <w:style w:type="paragraph" w:styleId="978" w:customStyle="1">
    <w:name w:val="图表目录1"/>
    <w:basedOn w:val="798"/>
    <w:next w:val="798"/>
    <w:uiPriority w:val="99"/>
    <w:unhideWhenUsed/>
    <w:qFormat/>
  </w:style>
  <w:style w:type="paragraph" w:styleId="979" w:customStyle="1">
    <w:name w:val="目录 21"/>
    <w:basedOn w:val="798"/>
    <w:next w:val="798"/>
    <w:uiPriority w:val="39"/>
    <w:unhideWhenUsed/>
    <w:qFormat/>
    <w:pPr>
      <w:ind w:left="283"/>
      <w:spacing w:after="57"/>
    </w:pPr>
  </w:style>
  <w:style w:type="paragraph" w:styleId="980" w:customStyle="1">
    <w:name w:val="目录 91"/>
    <w:basedOn w:val="798"/>
    <w:next w:val="798"/>
    <w:uiPriority w:val="39"/>
    <w:unhideWhenUsed/>
    <w:qFormat/>
    <w:pPr>
      <w:ind w:left="2268"/>
      <w:spacing w:after="57"/>
    </w:pPr>
  </w:style>
  <w:style w:type="paragraph" w:styleId="981" w:customStyle="1">
    <w:name w:val="普通(网站)11"/>
    <w:basedOn w:val="798"/>
    <w:uiPriority w:val="0"/>
    <w:qFormat/>
    <w:pPr>
      <w:jc w:val="left"/>
      <w:spacing w:before="100" w:beforeAutospacing="1" w:after="100" w:afterAutospacing="1"/>
      <w:widowControl/>
    </w:pPr>
    <w:rPr>
      <w:rFonts w:ascii="宋体" w:hAnsi="宋体" w:cs="宋体"/>
      <w:sz w:val="24"/>
    </w:rPr>
  </w:style>
  <w:style w:type="character" w:styleId="982" w:customStyle="1">
    <w:name w:val="标题 Char"/>
    <w:link w:val="880"/>
    <w:uiPriority w:val="10"/>
    <w:qFormat/>
    <w:rPr>
      <w:sz w:val="48"/>
      <w:szCs w:val="48"/>
    </w:rPr>
  </w:style>
  <w:style w:type="table" w:styleId="983" w:customStyle="1">
    <w:name w:val="网格型1"/>
    <w:basedOn w:val="959"/>
    <w:uiPriority w:val="0"/>
    <w:qFormat/>
    <w:pPr>
      <w:jc w:val="both"/>
      <w:widowControl w:val="off"/>
    </w:pPr>
    <w:tblPr/>
  </w:style>
  <w:style w:type="character" w:styleId="984" w:customStyle="1">
    <w:name w:val="尾注引用1"/>
    <w:link w:val="798"/>
    <w:uiPriority w:val="99"/>
    <w:unhideWhenUsed/>
    <w:qFormat/>
    <w:rPr>
      <w:vertAlign w:val="superscript"/>
    </w:rPr>
  </w:style>
  <w:style w:type="character" w:styleId="985" w:customStyle="1">
    <w:name w:val="页码1"/>
    <w:link w:val="798"/>
    <w:uiPriority w:val="0"/>
    <w:qFormat/>
  </w:style>
  <w:style w:type="character" w:styleId="986" w:customStyle="1">
    <w:name w:val="已访问的超链接1"/>
    <w:link w:val="798"/>
    <w:uiPriority w:val="99"/>
    <w:unhideWhenUsed/>
    <w:qFormat/>
    <w:rPr>
      <w:color w:val="333333"/>
      <w:u w:val="none"/>
    </w:rPr>
  </w:style>
  <w:style w:type="character" w:styleId="987" w:customStyle="1">
    <w:name w:val="超链接1"/>
    <w:link w:val="798"/>
    <w:uiPriority w:val="0"/>
    <w:qFormat/>
    <w:rPr>
      <w:color w:val="0000ff"/>
      <w:u w:val="single"/>
    </w:rPr>
  </w:style>
  <w:style w:type="character" w:styleId="988" w:customStyle="1">
    <w:name w:val="批注引用1"/>
    <w:link w:val="798"/>
    <w:uiPriority w:val="0"/>
    <w:qFormat/>
    <w:rPr>
      <w:sz w:val="21"/>
      <w:szCs w:val="21"/>
    </w:rPr>
  </w:style>
  <w:style w:type="character" w:styleId="989" w:customStyle="1">
    <w:name w:val="脚注引用1"/>
    <w:link w:val="798"/>
    <w:uiPriority w:val="99"/>
    <w:unhideWhenUsed/>
    <w:qFormat/>
    <w:rPr>
      <w:vertAlign w:val="superscript"/>
    </w:rPr>
  </w:style>
  <w:style w:type="character" w:styleId="990" w:customStyle="1">
    <w:name w:val="Heading 1 Char"/>
    <w:link w:val="798"/>
    <w:uiPriority w:val="9"/>
    <w:qFormat/>
    <w:rPr>
      <w:rFonts w:ascii="Arial" w:hAnsi="Arial" w:eastAsia="Arial" w:cs="Arial"/>
      <w:sz w:val="40"/>
      <w:szCs w:val="40"/>
    </w:rPr>
  </w:style>
  <w:style w:type="character" w:styleId="991" w:customStyle="1">
    <w:name w:val="Endnote Text Char"/>
    <w:link w:val="798"/>
    <w:uiPriority w:val="99"/>
    <w:qFormat/>
    <w:rPr>
      <w:sz w:val="20"/>
    </w:rPr>
  </w:style>
  <w:style w:type="character" w:styleId="992" w:customStyle="1">
    <w:name w:val="Header Char"/>
    <w:link w:val="798"/>
    <w:uiPriority w:val="99"/>
    <w:qFormat/>
  </w:style>
  <w:style w:type="character" w:styleId="993" w:customStyle="1">
    <w:name w:val="Heading 6 Char"/>
    <w:link w:val="798"/>
    <w:uiPriority w:val="9"/>
    <w:qFormat/>
    <w:rPr>
      <w:rFonts w:ascii="Arial" w:hAnsi="Arial" w:eastAsia="Arial" w:cs="Arial"/>
      <w:b/>
      <w:bCs/>
      <w:sz w:val="22"/>
      <w:szCs w:val="22"/>
    </w:rPr>
  </w:style>
  <w:style w:type="character" w:styleId="994" w:customStyle="1">
    <w:name w:val="Heading 2 Char"/>
    <w:link w:val="798"/>
    <w:uiPriority w:val="9"/>
    <w:qFormat/>
    <w:rPr>
      <w:rFonts w:ascii="Arial" w:hAnsi="Arial" w:eastAsia="Arial" w:cs="Arial"/>
      <w:sz w:val="34"/>
    </w:rPr>
  </w:style>
  <w:style w:type="character" w:styleId="995" w:customStyle="1">
    <w:name w:val="Heading 4 Char"/>
    <w:link w:val="798"/>
    <w:uiPriority w:val="9"/>
    <w:qFormat/>
    <w:rPr>
      <w:rFonts w:ascii="Arial" w:hAnsi="Arial" w:eastAsia="Arial" w:cs="Arial"/>
      <w:b/>
      <w:bCs/>
      <w:sz w:val="26"/>
      <w:szCs w:val="26"/>
    </w:rPr>
  </w:style>
  <w:style w:type="character" w:styleId="996" w:customStyle="1">
    <w:name w:val="Subtitle Char"/>
    <w:link w:val="798"/>
    <w:uiPriority w:val="11"/>
    <w:qFormat/>
    <w:rPr>
      <w:sz w:val="24"/>
      <w:szCs w:val="24"/>
    </w:rPr>
  </w:style>
  <w:style w:type="character" w:styleId="997" w:customStyle="1">
    <w:name w:val="明显引用 Char"/>
    <w:link w:val="998"/>
    <w:uiPriority w:val="30"/>
    <w:qFormat/>
    <w:rPr>
      <w:i/>
    </w:rPr>
  </w:style>
  <w:style w:type="paragraph" w:styleId="998" w:customStyle="1">
    <w:name w:val="明显引用1"/>
    <w:basedOn w:val="798"/>
    <w:next w:val="79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Heading 8 Char"/>
    <w:link w:val="798"/>
    <w:uiPriority w:val="9"/>
    <w:qFormat/>
    <w:rPr>
      <w:rFonts w:ascii="Arial" w:hAnsi="Arial" w:eastAsia="Arial" w:cs="Arial"/>
      <w:i/>
      <w:iCs/>
      <w:sz w:val="22"/>
      <w:szCs w:val="22"/>
    </w:rPr>
  </w:style>
  <w:style w:type="character" w:styleId="1000" w:customStyle="1">
    <w:name w:val="引用 Char"/>
    <w:link w:val="1001"/>
    <w:uiPriority w:val="29"/>
    <w:qFormat/>
    <w:rPr>
      <w:i/>
    </w:rPr>
  </w:style>
  <w:style w:type="paragraph" w:styleId="1001" w:customStyle="1">
    <w:name w:val="引用1"/>
    <w:basedOn w:val="798"/>
    <w:next w:val="798"/>
    <w:link w:val="1000"/>
    <w:uiPriority w:val="29"/>
    <w:qFormat/>
    <w:pPr>
      <w:ind w:left="720" w:right="720"/>
    </w:pPr>
    <w:rPr>
      <w:i/>
    </w:rPr>
  </w:style>
  <w:style w:type="character" w:styleId="1002" w:customStyle="1">
    <w:name w:val="Footnote Text Char"/>
    <w:link w:val="798"/>
    <w:uiPriority w:val="99"/>
    <w:qFormat/>
    <w:rPr>
      <w:sz w:val="18"/>
    </w:rPr>
  </w:style>
  <w:style w:type="character" w:styleId="1003" w:customStyle="1">
    <w:name w:val="Heading 5 Char"/>
    <w:link w:val="798"/>
    <w:uiPriority w:val="9"/>
    <w:qFormat/>
    <w:rPr>
      <w:rFonts w:ascii="Arial" w:hAnsi="Arial" w:eastAsia="Arial" w:cs="Arial"/>
      <w:b/>
      <w:bCs/>
      <w:sz w:val="24"/>
      <w:szCs w:val="24"/>
    </w:rPr>
  </w:style>
  <w:style w:type="character" w:styleId="1004" w:customStyle="1">
    <w:name w:val="Intense Quote Char"/>
    <w:link w:val="798"/>
    <w:uiPriority w:val="30"/>
    <w:qFormat/>
    <w:rPr>
      <w:i/>
    </w:rPr>
  </w:style>
  <w:style w:type="character" w:styleId="1005" w:customStyle="1">
    <w:name w:val="Heading 3 Char"/>
    <w:link w:val="798"/>
    <w:uiPriority w:val="9"/>
    <w:qFormat/>
    <w:rPr>
      <w:rFonts w:ascii="Arial" w:hAnsi="Arial" w:eastAsia="Arial" w:cs="Arial"/>
      <w:sz w:val="30"/>
      <w:szCs w:val="30"/>
    </w:rPr>
  </w:style>
  <w:style w:type="character" w:styleId="1006" w:customStyle="1">
    <w:name w:val="Caption Char"/>
    <w:link w:val="798"/>
    <w:uiPriority w:val="99"/>
    <w:qFormat/>
  </w:style>
  <w:style w:type="character" w:styleId="1007" w:customStyle="1">
    <w:name w:val="Footer Char"/>
    <w:link w:val="798"/>
    <w:uiPriority w:val="99"/>
    <w:qFormat/>
  </w:style>
  <w:style w:type="character" w:styleId="1008" w:customStyle="1">
    <w:name w:val="Quote Char"/>
    <w:link w:val="798"/>
    <w:uiPriority w:val="29"/>
    <w:qFormat/>
    <w:rPr>
      <w:i/>
    </w:rPr>
  </w:style>
  <w:style w:type="character" w:styleId="1009" w:customStyle="1">
    <w:name w:val="Title Char"/>
    <w:link w:val="798"/>
    <w:uiPriority w:val="10"/>
    <w:qFormat/>
    <w:rPr>
      <w:sz w:val="48"/>
      <w:szCs w:val="48"/>
    </w:rPr>
  </w:style>
  <w:style w:type="character" w:styleId="1010" w:customStyle="1">
    <w:name w:val="Heading 9 Char"/>
    <w:link w:val="798"/>
    <w:uiPriority w:val="9"/>
    <w:qFormat/>
    <w:rPr>
      <w:rFonts w:ascii="Arial" w:hAnsi="Arial" w:eastAsia="Arial" w:cs="Arial"/>
      <w:i/>
      <w:iCs/>
      <w:sz w:val="21"/>
      <w:szCs w:val="21"/>
    </w:rPr>
  </w:style>
  <w:style w:type="character" w:styleId="1011" w:customStyle="1">
    <w:name w:val="Heading 7 Char"/>
    <w:link w:val="798"/>
    <w:uiPriority w:val="9"/>
    <w:qFormat/>
    <w:rPr>
      <w:rFonts w:ascii="Arial" w:hAnsi="Arial" w:eastAsia="Arial" w:cs="Arial"/>
      <w:b/>
      <w:bCs/>
      <w:i/>
      <w:iCs/>
      <w:sz w:val="22"/>
      <w:szCs w:val="22"/>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DAS正文"/>
    <w:basedOn w:val="798"/>
    <w:uiPriority w:val="0"/>
    <w:qFormat/>
    <w:pPr>
      <w:ind w:right="181" w:firstLine="480"/>
      <w:spacing w:line="360" w:lineRule="auto"/>
    </w:pPr>
    <w:rPr>
      <w:rFonts w:ascii="Verdana" w:hAnsi="Verdana"/>
      <w:sz w:val="24"/>
    </w:rPr>
  </w:style>
  <w:style w:type="paragraph" w:styleId="1014" w:customStyle="1">
    <w:name w:val="UserStyle_0"/>
    <w:basedOn w:val="798"/>
    <w:next w:val="798"/>
    <w:uiPriority w:val="0"/>
    <w:qFormat/>
  </w:style>
  <w:style w:type="paragraph" w:styleId="1015" w:customStyle="1">
    <w:name w:val="列出段落"/>
    <w:basedOn w:val="798"/>
    <w:uiPriority w:val="34"/>
    <w:qFormat/>
    <w:pPr>
      <w:contextualSpacing/>
      <w:ind w:left="720"/>
    </w:pPr>
  </w:style>
  <w:style w:type="paragraph" w:styleId="1016" w:customStyle="1">
    <w:name w:val="TOC 标题11"/>
    <w:uiPriority w:val="39"/>
    <w:unhideWhenUsed/>
    <w:qFormat/>
    <w:rPr>
      <w:rFonts w:hint="default" w:ascii="Times New Roman" w:hAnsi="Times New Roman" w:eastAsia="宋体" w:cs="Times New Roman"/>
      <w:lang w:val="en-US" w:eastAsia="zh-CN" w:bidi="ar-SA"/>
    </w:rPr>
  </w:style>
  <w:style w:type="paragraph" w:styleId="1017" w:customStyle="1">
    <w:name w:val="普通(网站)1"/>
    <w:basedOn w:val="851"/>
    <w:uiPriority w:val="0"/>
    <w:qFormat/>
    <w:pPr>
      <w:jc w:val="left"/>
      <w:spacing w:before="100" w:beforeAutospacing="1" w:after="100" w:afterAutospacing="1"/>
      <w:widowControl/>
    </w:pPr>
    <w:rPr>
      <w:rFonts w:ascii="宋体" w:hAnsi="宋体"/>
      <w:sz w:val="24"/>
    </w:rPr>
  </w:style>
  <w:style w:type="paragraph" w:styleId="1018" w:customStyle="1">
    <w:name w:val="默认段落字体 Para Char Char Char Char Char Char Char"/>
    <w:basedOn w:val="798"/>
    <w:uiPriority w:val="0"/>
    <w:qFormat/>
    <w:rPr>
      <w:rFonts w:ascii="Tahoma" w:hAnsi="Tahoma"/>
      <w:sz w:val="24"/>
      <w:szCs w:val="20"/>
    </w:rPr>
  </w:style>
  <w:style w:type="paragraph" w:styleId="1019" w:customStyle="1">
    <w:name w:val="普通正文"/>
    <w:basedOn w:val="798"/>
    <w:uiPriority w:val="0"/>
    <w:qFormat/>
    <w:pPr>
      <w:ind w:firstLine="480"/>
      <w:jc w:val="left"/>
      <w:spacing w:before="120" w:after="120" w:line="360" w:lineRule="auto"/>
    </w:pPr>
    <w:rPr>
      <w:rFonts w:ascii="Arial" w:hAnsi="Arial"/>
      <w:sz w:val="24"/>
    </w:rPr>
  </w:style>
  <w:style w:type="paragraph" w:styleId="1020" w:customStyle="1">
    <w:name w:val="Char"/>
    <w:basedOn w:val="798"/>
    <w:uiPriority w:val="0"/>
    <w:qFormat/>
    <w:pPr>
      <w:tabs>
        <w:tab w:val="left" w:pos="360" w:leader="none"/>
      </w:tabs>
    </w:pPr>
    <w:rPr>
      <w:sz w:val="24"/>
    </w:rPr>
  </w:style>
  <w:style w:type="paragraph" w:styleId="1021" w:customStyle="1">
    <w:name w:val="_HT_正文"/>
    <w:basedOn w:val="798"/>
    <w:uiPriority w:val="0"/>
    <w:qFormat/>
    <w:pPr>
      <w:ind w:firstLine="200"/>
      <w:spacing w:line="360" w:lineRule="auto"/>
    </w:pPr>
    <w:rPr>
      <w:sz w:val="24"/>
    </w:rPr>
  </w:style>
  <w:style w:type="paragraph" w:styleId="1022" w:customStyle="1">
    <w:name w:val="p0"/>
    <w:basedOn w:val="798"/>
    <w:uiPriority w:val="0"/>
    <w:qFormat/>
    <w:pPr>
      <w:widowControl/>
    </w:pPr>
    <w:rPr>
      <w:szCs w:val="21"/>
    </w:rPr>
  </w:style>
  <w:style w:type="paragraph" w:styleId="1023" w:customStyle="1">
    <w:name w:val="无间隔2"/>
    <w:uiPriority w:val="1"/>
    <w:qFormat/>
    <w:rPr>
      <w:rFonts w:hint="default" w:ascii="Times New Roman" w:hAnsi="Times New Roman" w:eastAsia="宋体" w:cs="Times New Roman"/>
      <w:lang w:val="en-US" w:eastAsia="zh-CN" w:bidi="ar-SA"/>
    </w:rPr>
  </w:style>
  <w:style w:type="paragraph" w:styleId="1024"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5" w:customStyle="1">
    <w:name w:val="投标文件正文"/>
    <w:basedOn w:val="798"/>
    <w:uiPriority w:val="0"/>
    <w:qFormat/>
    <w:pPr>
      <w:ind w:firstLine="200"/>
      <w:spacing w:before="40" w:after="40" w:line="400" w:lineRule="exact"/>
    </w:pPr>
    <w:rPr>
      <w:sz w:val="24"/>
    </w:rPr>
  </w:style>
  <w:style w:type="table" w:styleId="1026" w:customStyle="1">
    <w:name w:val="List Table 5 Dark - Accent 6"/>
    <w:basedOn w:val="959"/>
    <w:uiPriority w:val="99"/>
    <w:qFormat/>
    <w:tblPr/>
  </w:style>
  <w:style w:type="table" w:styleId="1027" w:customStyle="1">
    <w:name w:val="Grid Table 1 Light - Accent 3"/>
    <w:basedOn w:val="959"/>
    <w:uiPriority w:val="99"/>
    <w:qFormat/>
    <w:tblPr/>
  </w:style>
  <w:style w:type="table" w:styleId="1028" w:customStyle="1">
    <w:name w:val="Grid Table 1 Light - Accent 2"/>
    <w:basedOn w:val="959"/>
    <w:uiPriority w:val="99"/>
    <w:qFormat/>
    <w:tblPr/>
  </w:style>
  <w:style w:type="table" w:styleId="1029" w:customStyle="1">
    <w:name w:val="List Table 3 - Accent 3"/>
    <w:basedOn w:val="959"/>
    <w:uiPriority w:val="99"/>
    <w:qFormat/>
    <w:tblPr/>
  </w:style>
  <w:style w:type="table" w:styleId="1030" w:customStyle="1">
    <w:name w:val="Grid Table 2 - Accent 1"/>
    <w:basedOn w:val="959"/>
    <w:uiPriority w:val="99"/>
    <w:qFormat/>
    <w:tblPr/>
  </w:style>
  <w:style w:type="table" w:styleId="1031" w:customStyle="1">
    <w:name w:val="Bordered - Accent 4"/>
    <w:basedOn w:val="959"/>
    <w:uiPriority w:val="99"/>
    <w:qFormat/>
    <w:tblPr/>
  </w:style>
  <w:style w:type="table" w:styleId="1032" w:customStyle="1">
    <w:name w:val="Grid Table 1 Light - Accent 5"/>
    <w:basedOn w:val="959"/>
    <w:uiPriority w:val="99"/>
    <w:qFormat/>
    <w:tblPr/>
  </w:style>
  <w:style w:type="table" w:styleId="1033" w:customStyle="1">
    <w:name w:val="Grid Table 2 - Accent 5"/>
    <w:basedOn w:val="959"/>
    <w:uiPriority w:val="99"/>
    <w:qFormat/>
    <w:tblPr/>
  </w:style>
  <w:style w:type="table" w:styleId="1034" w:customStyle="1">
    <w:name w:val="List Table 4 - Accent 2"/>
    <w:basedOn w:val="959"/>
    <w:uiPriority w:val="99"/>
    <w:qFormat/>
    <w:tblPr/>
  </w:style>
  <w:style w:type="table" w:styleId="1035" w:customStyle="1">
    <w:name w:val="Grid Table 5 Dark - Accent 2"/>
    <w:basedOn w:val="959"/>
    <w:uiPriority w:val="99"/>
    <w:qFormat/>
    <w:tblPr/>
  </w:style>
  <w:style w:type="table" w:styleId="1036" w:customStyle="1">
    <w:name w:val="清单表 1 浅色1"/>
    <w:basedOn w:val="959"/>
    <w:uiPriority w:val="99"/>
    <w:qFormat/>
    <w:tblPr/>
  </w:style>
  <w:style w:type="table" w:styleId="1037" w:customStyle="1">
    <w:name w:val="List Table 2 - Accent 1"/>
    <w:basedOn w:val="959"/>
    <w:uiPriority w:val="99"/>
    <w:qFormat/>
    <w:tblPr/>
  </w:style>
  <w:style w:type="table" w:styleId="1038" w:customStyle="1">
    <w:name w:val="List Table 6 Colorful - Accent 1"/>
    <w:basedOn w:val="959"/>
    <w:uiPriority w:val="99"/>
    <w:qFormat/>
    <w:tblPr/>
  </w:style>
  <w:style w:type="table" w:styleId="1039" w:customStyle="1">
    <w:name w:val="Grid Table 1 Light - Accent 1"/>
    <w:basedOn w:val="959"/>
    <w:uiPriority w:val="99"/>
    <w:qFormat/>
    <w:tblPr/>
  </w:style>
  <w:style w:type="table" w:styleId="1040" w:customStyle="1">
    <w:name w:val="Grid Table 3 - Accent 3"/>
    <w:basedOn w:val="959"/>
    <w:uiPriority w:val="99"/>
    <w:qFormat/>
    <w:tblPr/>
  </w:style>
  <w:style w:type="table" w:styleId="1041" w:customStyle="1">
    <w:name w:val="Bordered &amp; Lined - Accent 4"/>
    <w:basedOn w:val="959"/>
    <w:uiPriority w:val="99"/>
    <w:qFormat/>
    <w:rPr>
      <w:color w:val="404040"/>
    </w:rPr>
    <w:tblPr/>
  </w:style>
  <w:style w:type="table" w:styleId="1042" w:customStyle="1">
    <w:name w:val="List Table 2 - Accent 2"/>
    <w:basedOn w:val="959"/>
    <w:uiPriority w:val="99"/>
    <w:qFormat/>
    <w:tblPr/>
  </w:style>
  <w:style w:type="table" w:styleId="1043" w:customStyle="1">
    <w:name w:val="清单表 5 深色1"/>
    <w:basedOn w:val="959"/>
    <w:uiPriority w:val="99"/>
    <w:qFormat/>
    <w:tblPr/>
  </w:style>
  <w:style w:type="table" w:styleId="1044" w:customStyle="1">
    <w:name w:val="Lined - Accent 5"/>
    <w:basedOn w:val="959"/>
    <w:uiPriority w:val="99"/>
    <w:qFormat/>
    <w:rPr>
      <w:color w:val="404040"/>
    </w:rPr>
    <w:tblPr/>
  </w:style>
  <w:style w:type="table" w:styleId="1045" w:customStyle="1">
    <w:name w:val="Bordered - Accent 6"/>
    <w:basedOn w:val="959"/>
    <w:uiPriority w:val="99"/>
    <w:qFormat/>
    <w:tblPr/>
  </w:style>
  <w:style w:type="table" w:styleId="1046" w:customStyle="1">
    <w:name w:val="清单表 6 彩色1"/>
    <w:basedOn w:val="959"/>
    <w:uiPriority w:val="99"/>
    <w:qFormat/>
    <w:tblPr/>
  </w:style>
  <w:style w:type="table" w:styleId="1047" w:customStyle="1">
    <w:name w:val="Grid Table 5 Dark- Accent 1"/>
    <w:basedOn w:val="959"/>
    <w:uiPriority w:val="99"/>
    <w:qFormat/>
    <w:tblPr/>
  </w:style>
  <w:style w:type="table" w:styleId="1048" w:customStyle="1">
    <w:name w:val="Grid Table 6 Colorful - Accent 6"/>
    <w:basedOn w:val="959"/>
    <w:uiPriority w:val="99"/>
    <w:qFormat/>
    <w:tblPr/>
  </w:style>
  <w:style w:type="table" w:styleId="1049" w:customStyle="1">
    <w:name w:val="List Table 3 - Accent 5"/>
    <w:basedOn w:val="959"/>
    <w:uiPriority w:val="99"/>
    <w:qFormat/>
    <w:tblPr/>
  </w:style>
  <w:style w:type="table" w:styleId="1050" w:customStyle="1">
    <w:name w:val="Grid Table 4 - Accent 6"/>
    <w:basedOn w:val="959"/>
    <w:uiPriority w:val="59"/>
    <w:qFormat/>
    <w:tblPr/>
  </w:style>
  <w:style w:type="table" w:styleId="1051" w:customStyle="1">
    <w:name w:val="Bordered - Accent 3"/>
    <w:basedOn w:val="959"/>
    <w:uiPriority w:val="99"/>
    <w:qFormat/>
    <w:tblPr/>
  </w:style>
  <w:style w:type="table" w:styleId="1052" w:customStyle="1">
    <w:name w:val="List Table 4 - Accent 3"/>
    <w:basedOn w:val="959"/>
    <w:uiPriority w:val="99"/>
    <w:qFormat/>
    <w:tblPr/>
  </w:style>
  <w:style w:type="table" w:styleId="1053" w:customStyle="1">
    <w:name w:val="网格表 5 深色1"/>
    <w:basedOn w:val="959"/>
    <w:uiPriority w:val="99"/>
    <w:qFormat/>
    <w:tblPr/>
  </w:style>
  <w:style w:type="table" w:styleId="1054" w:customStyle="1">
    <w:name w:val="Grid Table 2 - Accent 6"/>
    <w:basedOn w:val="959"/>
    <w:uiPriority w:val="99"/>
    <w:qFormat/>
    <w:tblPr/>
  </w:style>
  <w:style w:type="table" w:styleId="1055" w:customStyle="1">
    <w:name w:val="List Table 4 - Accent 4"/>
    <w:basedOn w:val="959"/>
    <w:uiPriority w:val="99"/>
    <w:qFormat/>
    <w:tblPr/>
  </w:style>
  <w:style w:type="table" w:styleId="1056" w:customStyle="1">
    <w:name w:val="Lined - Accent 3"/>
    <w:basedOn w:val="959"/>
    <w:uiPriority w:val="99"/>
    <w:qFormat/>
    <w:rPr>
      <w:color w:val="404040"/>
    </w:rPr>
    <w:tblPr/>
  </w:style>
  <w:style w:type="table" w:styleId="1057" w:customStyle="1">
    <w:name w:val="Grid Table 2 - Accent 2"/>
    <w:basedOn w:val="959"/>
    <w:uiPriority w:val="99"/>
    <w:qFormat/>
    <w:tblPr/>
  </w:style>
  <w:style w:type="table" w:styleId="1058" w:customStyle="1">
    <w:name w:val="Grid Table 7 Colorful - Accent 3"/>
    <w:basedOn w:val="959"/>
    <w:uiPriority w:val="99"/>
    <w:qFormat/>
    <w:tblPr/>
  </w:style>
  <w:style w:type="table" w:styleId="1059" w:customStyle="1">
    <w:name w:val="网格表 31"/>
    <w:basedOn w:val="959"/>
    <w:uiPriority w:val="99"/>
    <w:qFormat/>
    <w:tblPr/>
  </w:style>
  <w:style w:type="table" w:styleId="1060" w:customStyle="1">
    <w:name w:val="List Table 5 Dark - Accent 2"/>
    <w:basedOn w:val="959"/>
    <w:uiPriority w:val="99"/>
    <w:qFormat/>
    <w:tblPr/>
  </w:style>
  <w:style w:type="table" w:styleId="1061" w:customStyle="1">
    <w:name w:val="List Table 1 Light - Accent 5"/>
    <w:basedOn w:val="959"/>
    <w:uiPriority w:val="99"/>
    <w:qFormat/>
    <w:tblPr/>
  </w:style>
  <w:style w:type="table" w:styleId="1062" w:customStyle="1">
    <w:name w:val="List Table 1 Light - Accent 2"/>
    <w:basedOn w:val="959"/>
    <w:uiPriority w:val="99"/>
    <w:qFormat/>
    <w:tblPr/>
  </w:style>
  <w:style w:type="table" w:styleId="1063" w:customStyle="1">
    <w:name w:val="无格式表格 31"/>
    <w:basedOn w:val="959"/>
    <w:uiPriority w:val="99"/>
    <w:qFormat/>
    <w:tblPr/>
  </w:style>
  <w:style w:type="table" w:styleId="1064" w:customStyle="1">
    <w:name w:val="Bordered &amp; Lined - Accent 2"/>
    <w:basedOn w:val="959"/>
    <w:uiPriority w:val="99"/>
    <w:qFormat/>
    <w:rPr>
      <w:color w:val="404040"/>
    </w:rPr>
    <w:tblPr/>
  </w:style>
  <w:style w:type="table" w:styleId="1065" w:customStyle="1">
    <w:name w:val="网格表 1 浅色1"/>
    <w:basedOn w:val="959"/>
    <w:uiPriority w:val="99"/>
    <w:qFormat/>
    <w:tblPr/>
  </w:style>
  <w:style w:type="table" w:styleId="1066" w:customStyle="1">
    <w:name w:val="网格表 6 彩色1"/>
    <w:basedOn w:val="959"/>
    <w:uiPriority w:val="99"/>
    <w:qFormat/>
    <w:tblPr/>
  </w:style>
  <w:style w:type="table" w:styleId="1067" w:customStyle="1">
    <w:name w:val="List Table 1 Light - Accent 3"/>
    <w:basedOn w:val="959"/>
    <w:uiPriority w:val="99"/>
    <w:qFormat/>
    <w:tblPr/>
  </w:style>
  <w:style w:type="table" w:styleId="1068" w:customStyle="1">
    <w:name w:val="Lined - Accent 2"/>
    <w:basedOn w:val="959"/>
    <w:uiPriority w:val="99"/>
    <w:qFormat/>
    <w:rPr>
      <w:color w:val="404040"/>
    </w:rPr>
    <w:tblPr/>
  </w:style>
  <w:style w:type="table" w:styleId="1069" w:customStyle="1">
    <w:name w:val="List Table 6 Colorful - Accent 4"/>
    <w:basedOn w:val="959"/>
    <w:uiPriority w:val="99"/>
    <w:qFormat/>
    <w:tblPr/>
  </w:style>
  <w:style w:type="table" w:styleId="1070" w:customStyle="1">
    <w:name w:val="Grid Table 6 Colorful - Accent 3"/>
    <w:basedOn w:val="959"/>
    <w:uiPriority w:val="99"/>
    <w:qFormat/>
    <w:tblPr/>
  </w:style>
  <w:style w:type="table" w:styleId="1071" w:customStyle="1">
    <w:name w:val="List Table 5 Dark - Accent 5"/>
    <w:basedOn w:val="959"/>
    <w:uiPriority w:val="99"/>
    <w:qFormat/>
    <w:tblPr/>
  </w:style>
  <w:style w:type="table" w:styleId="1072" w:customStyle="1">
    <w:name w:val="无格式表格 51"/>
    <w:basedOn w:val="959"/>
    <w:uiPriority w:val="99"/>
    <w:qFormat/>
    <w:tblPr/>
  </w:style>
  <w:style w:type="table" w:styleId="1073" w:customStyle="1">
    <w:name w:val="List Table 7 Colorful - Accent 3"/>
    <w:basedOn w:val="959"/>
    <w:uiPriority w:val="99"/>
    <w:qFormat/>
    <w:tblPr/>
  </w:style>
  <w:style w:type="table" w:styleId="1074" w:customStyle="1">
    <w:name w:val="Grid Table 4 - Accent 2"/>
    <w:basedOn w:val="959"/>
    <w:uiPriority w:val="59"/>
    <w:qFormat/>
    <w:tblPr/>
  </w:style>
  <w:style w:type="table" w:styleId="1075" w:customStyle="1">
    <w:name w:val="List Table 3 - Accent 2"/>
    <w:basedOn w:val="959"/>
    <w:uiPriority w:val="99"/>
    <w:qFormat/>
    <w:tblPr/>
  </w:style>
  <w:style w:type="table" w:styleId="1076" w:customStyle="1">
    <w:name w:val="网格表 41"/>
    <w:basedOn w:val="959"/>
    <w:uiPriority w:val="59"/>
    <w:qFormat/>
    <w:tblPr/>
  </w:style>
  <w:style w:type="table" w:styleId="1077" w:customStyle="1">
    <w:name w:val="Bordered &amp; Lined - Accent 3"/>
    <w:basedOn w:val="959"/>
    <w:uiPriority w:val="99"/>
    <w:qFormat/>
    <w:rPr>
      <w:color w:val="404040"/>
    </w:rPr>
    <w:tblPr/>
  </w:style>
  <w:style w:type="table" w:styleId="1078" w:customStyle="1">
    <w:name w:val="List Table 4 - Accent 6"/>
    <w:basedOn w:val="959"/>
    <w:uiPriority w:val="99"/>
    <w:qFormat/>
    <w:tblPr/>
  </w:style>
  <w:style w:type="table" w:styleId="1079" w:customStyle="1">
    <w:name w:val="Grid Table 5 Dark - Accent 6"/>
    <w:basedOn w:val="959"/>
    <w:uiPriority w:val="99"/>
    <w:qFormat/>
    <w:tblPr/>
  </w:style>
  <w:style w:type="table" w:styleId="1080" w:customStyle="1">
    <w:name w:val="Lined - Accent 6"/>
    <w:basedOn w:val="959"/>
    <w:uiPriority w:val="99"/>
    <w:qFormat/>
    <w:rPr>
      <w:color w:val="404040"/>
    </w:rPr>
    <w:tblPr/>
  </w:style>
  <w:style w:type="table" w:styleId="1081" w:customStyle="1">
    <w:name w:val="List Table 6 Colorful - Accent 5"/>
    <w:basedOn w:val="959"/>
    <w:uiPriority w:val="99"/>
    <w:qFormat/>
    <w:tblPr/>
  </w:style>
  <w:style w:type="table" w:styleId="1082" w:customStyle="1">
    <w:name w:val="List Table 7 Colorful - Accent 1"/>
    <w:basedOn w:val="959"/>
    <w:uiPriority w:val="99"/>
    <w:qFormat/>
    <w:tblPr/>
  </w:style>
  <w:style w:type="table" w:styleId="1083" w:customStyle="1">
    <w:name w:val="Bordered &amp; Lined - Accent 1"/>
    <w:basedOn w:val="959"/>
    <w:uiPriority w:val="99"/>
    <w:qFormat/>
    <w:rPr>
      <w:color w:val="404040"/>
    </w:rPr>
    <w:tblPr/>
  </w:style>
  <w:style w:type="table" w:styleId="1084" w:customStyle="1">
    <w:name w:val="List Table 1 Light - Accent 6"/>
    <w:basedOn w:val="959"/>
    <w:uiPriority w:val="99"/>
    <w:qFormat/>
    <w:tblPr/>
  </w:style>
  <w:style w:type="table" w:styleId="1085" w:customStyle="1">
    <w:name w:val="Grid Table 6 Colorful - Accent 2"/>
    <w:basedOn w:val="959"/>
    <w:uiPriority w:val="99"/>
    <w:qFormat/>
    <w:tblPr/>
  </w:style>
  <w:style w:type="table" w:styleId="1086" w:customStyle="1">
    <w:name w:val="Bordered"/>
    <w:basedOn w:val="959"/>
    <w:uiPriority w:val="99"/>
    <w:qFormat/>
    <w:tblPr/>
  </w:style>
  <w:style w:type="table" w:styleId="1087" w:customStyle="1">
    <w:name w:val="网格表 7 彩色1"/>
    <w:basedOn w:val="959"/>
    <w:uiPriority w:val="99"/>
    <w:qFormat/>
    <w:tblPr/>
  </w:style>
  <w:style w:type="table" w:styleId="1088" w:customStyle="1">
    <w:name w:val="Grid Table 1 Light - Accent 4"/>
    <w:basedOn w:val="959"/>
    <w:uiPriority w:val="99"/>
    <w:qFormat/>
    <w:tblPr/>
  </w:style>
  <w:style w:type="table" w:styleId="1089" w:customStyle="1">
    <w:name w:val="List Table 3 - Accent 1"/>
    <w:basedOn w:val="959"/>
    <w:uiPriority w:val="99"/>
    <w:qFormat/>
    <w:tblPr/>
  </w:style>
  <w:style w:type="table" w:styleId="1090" w:customStyle="1">
    <w:name w:val="Grid Table 3 - Accent 6"/>
    <w:basedOn w:val="959"/>
    <w:uiPriority w:val="99"/>
    <w:qFormat/>
    <w:tblPr/>
  </w:style>
  <w:style w:type="table" w:styleId="1091" w:customStyle="1">
    <w:name w:val="Grid Table 3 - Accent 1"/>
    <w:basedOn w:val="959"/>
    <w:uiPriority w:val="99"/>
    <w:qFormat/>
    <w:tblPr/>
  </w:style>
  <w:style w:type="table" w:styleId="1092" w:customStyle="1">
    <w:name w:val="List Table 4 - Accent 5"/>
    <w:basedOn w:val="959"/>
    <w:uiPriority w:val="99"/>
    <w:qFormat/>
    <w:tblPr/>
  </w:style>
  <w:style w:type="table" w:styleId="1093" w:customStyle="1">
    <w:name w:val="Grid Table 7 Colorful - Accent 1"/>
    <w:basedOn w:val="959"/>
    <w:uiPriority w:val="99"/>
    <w:qFormat/>
    <w:tblPr/>
  </w:style>
  <w:style w:type="table" w:styleId="1094" w:customStyle="1">
    <w:name w:val="List Table 2 - Accent 6"/>
    <w:basedOn w:val="959"/>
    <w:uiPriority w:val="99"/>
    <w:qFormat/>
    <w:tblPr/>
  </w:style>
  <w:style w:type="table" w:styleId="1095" w:customStyle="1">
    <w:name w:val="List Table 6 Colorful - Accent 2"/>
    <w:basedOn w:val="959"/>
    <w:uiPriority w:val="99"/>
    <w:qFormat/>
    <w:tblPr/>
  </w:style>
  <w:style w:type="table" w:styleId="1096" w:customStyle="1">
    <w:name w:val="Bordered &amp; Lined - Accent 6"/>
    <w:basedOn w:val="959"/>
    <w:uiPriority w:val="99"/>
    <w:qFormat/>
    <w:rPr>
      <w:color w:val="404040"/>
    </w:rPr>
    <w:tblPr/>
  </w:style>
  <w:style w:type="table" w:styleId="1097" w:customStyle="1">
    <w:name w:val="Bordered - Accent 5"/>
    <w:basedOn w:val="959"/>
    <w:uiPriority w:val="99"/>
    <w:qFormat/>
    <w:tblPr/>
  </w:style>
  <w:style w:type="table" w:styleId="1098" w:customStyle="1">
    <w:name w:val="List Table 2 - Accent 4"/>
    <w:basedOn w:val="959"/>
    <w:uiPriority w:val="99"/>
    <w:qFormat/>
    <w:tblPr/>
  </w:style>
  <w:style w:type="table" w:styleId="1099" w:customStyle="1">
    <w:name w:val="List Table 3 - Accent 6"/>
    <w:basedOn w:val="959"/>
    <w:uiPriority w:val="99"/>
    <w:qFormat/>
    <w:tblPr/>
  </w:style>
  <w:style w:type="table" w:styleId="1100" w:customStyle="1">
    <w:name w:val="List Table 2 - Accent 3"/>
    <w:basedOn w:val="959"/>
    <w:uiPriority w:val="99"/>
    <w:qFormat/>
    <w:tblPr/>
  </w:style>
  <w:style w:type="table" w:styleId="1101" w:customStyle="1">
    <w:name w:val="List Table 5 Dark - Accent 3"/>
    <w:basedOn w:val="959"/>
    <w:uiPriority w:val="99"/>
    <w:qFormat/>
    <w:tblPr/>
  </w:style>
  <w:style w:type="table" w:styleId="1102" w:customStyle="1">
    <w:name w:val="无格式表格 41"/>
    <w:basedOn w:val="959"/>
    <w:uiPriority w:val="99"/>
    <w:qFormat/>
    <w:tblPr/>
  </w:style>
  <w:style w:type="table" w:styleId="1103" w:customStyle="1">
    <w:name w:val="Grid Table 7 Colorful - Accent 2"/>
    <w:basedOn w:val="959"/>
    <w:uiPriority w:val="99"/>
    <w:qFormat/>
    <w:tblPr/>
  </w:style>
  <w:style w:type="table" w:styleId="1104" w:customStyle="1">
    <w:name w:val="Grid Table 3 - Accent 5"/>
    <w:basedOn w:val="959"/>
    <w:uiPriority w:val="99"/>
    <w:qFormat/>
    <w:tblPr/>
  </w:style>
  <w:style w:type="table" w:styleId="1105" w:customStyle="1">
    <w:name w:val="Grid Table 2 - Accent 3"/>
    <w:basedOn w:val="959"/>
    <w:uiPriority w:val="99"/>
    <w:qFormat/>
    <w:tblPr/>
  </w:style>
  <w:style w:type="table" w:styleId="1106" w:customStyle="1">
    <w:name w:val="List Table 2 - Accent 5"/>
    <w:basedOn w:val="959"/>
    <w:uiPriority w:val="99"/>
    <w:qFormat/>
    <w:tblPr/>
  </w:style>
  <w:style w:type="table" w:styleId="1107" w:customStyle="1">
    <w:name w:val="Bordered - Accent 1"/>
    <w:basedOn w:val="959"/>
    <w:uiPriority w:val="99"/>
    <w:qFormat/>
    <w:tblPr/>
  </w:style>
  <w:style w:type="table" w:styleId="1108" w:customStyle="1">
    <w:name w:val="List Table 1 Light - Accent 4"/>
    <w:basedOn w:val="959"/>
    <w:uiPriority w:val="99"/>
    <w:qFormat/>
    <w:tblPr/>
  </w:style>
  <w:style w:type="table" w:styleId="1109" w:customStyle="1">
    <w:name w:val="Grid Table 4 - Accent 5"/>
    <w:basedOn w:val="959"/>
    <w:uiPriority w:val="59"/>
    <w:qFormat/>
    <w:tblPr/>
  </w:style>
  <w:style w:type="table" w:styleId="1110" w:customStyle="1">
    <w:name w:val="无格式表格 21"/>
    <w:basedOn w:val="959"/>
    <w:uiPriority w:val="59"/>
    <w:qFormat/>
    <w:tblPr/>
  </w:style>
  <w:style w:type="table" w:styleId="1111" w:customStyle="1">
    <w:name w:val="Grid Table 5 Dark - Accent 3"/>
    <w:basedOn w:val="959"/>
    <w:uiPriority w:val="99"/>
    <w:qFormat/>
    <w:tblPr/>
  </w:style>
  <w:style w:type="table" w:styleId="1112" w:customStyle="1">
    <w:name w:val="Grid Table 3 - Accent 4"/>
    <w:basedOn w:val="959"/>
    <w:uiPriority w:val="99"/>
    <w:qFormat/>
    <w:tblPr/>
  </w:style>
  <w:style w:type="table" w:styleId="1113" w:customStyle="1">
    <w:name w:val="清单表 21"/>
    <w:basedOn w:val="959"/>
    <w:uiPriority w:val="99"/>
    <w:qFormat/>
    <w:tblPr/>
  </w:style>
  <w:style w:type="table" w:styleId="1114" w:customStyle="1">
    <w:name w:val="Grid Table 7 Colorful - Accent 4"/>
    <w:basedOn w:val="959"/>
    <w:uiPriority w:val="99"/>
    <w:qFormat/>
    <w:tblPr/>
  </w:style>
  <w:style w:type="table" w:styleId="1115" w:customStyle="1">
    <w:name w:val="Grid Table 1 Light - Accent 6"/>
    <w:basedOn w:val="959"/>
    <w:uiPriority w:val="99"/>
    <w:qFormat/>
    <w:tblPr/>
  </w:style>
  <w:style w:type="table" w:styleId="1116" w:customStyle="1">
    <w:name w:val="Bordered &amp; Lined - Accent"/>
    <w:basedOn w:val="959"/>
    <w:uiPriority w:val="99"/>
    <w:qFormat/>
    <w:rPr>
      <w:color w:val="404040"/>
    </w:rPr>
    <w:tblPr/>
  </w:style>
  <w:style w:type="table" w:styleId="1117" w:customStyle="1">
    <w:name w:val="清单表 41"/>
    <w:basedOn w:val="959"/>
    <w:uiPriority w:val="99"/>
    <w:qFormat/>
    <w:tblPr/>
  </w:style>
  <w:style w:type="table" w:styleId="1118" w:customStyle="1">
    <w:name w:val="List Table 7 Colorful - Accent 2"/>
    <w:basedOn w:val="959"/>
    <w:uiPriority w:val="99"/>
    <w:qFormat/>
    <w:tblPr/>
  </w:style>
  <w:style w:type="table" w:styleId="1119" w:customStyle="1">
    <w:name w:val="Grid Table 7 Colorful - Accent 5"/>
    <w:basedOn w:val="959"/>
    <w:uiPriority w:val="99"/>
    <w:qFormat/>
    <w:tblPr/>
  </w:style>
  <w:style w:type="table" w:styleId="1120" w:customStyle="1">
    <w:name w:val="Lined - Accent"/>
    <w:basedOn w:val="959"/>
    <w:uiPriority w:val="99"/>
    <w:qFormat/>
    <w:rPr>
      <w:color w:val="404040"/>
    </w:rPr>
    <w:tblPr/>
  </w:style>
  <w:style w:type="table" w:styleId="1121" w:customStyle="1">
    <w:name w:val="无格式表格 11"/>
    <w:basedOn w:val="959"/>
    <w:uiPriority w:val="59"/>
    <w:qFormat/>
    <w:tblPr/>
  </w:style>
  <w:style w:type="table" w:styleId="1122" w:customStyle="1">
    <w:name w:val="Grid Table 6 Colorful - Accent 5"/>
    <w:basedOn w:val="959"/>
    <w:uiPriority w:val="99"/>
    <w:qFormat/>
    <w:tblPr/>
  </w:style>
  <w:style w:type="table" w:styleId="1123" w:customStyle="1">
    <w:name w:val="List Table 7 Colorful - Accent 4"/>
    <w:basedOn w:val="959"/>
    <w:uiPriority w:val="99"/>
    <w:qFormat/>
    <w:tblPr/>
  </w:style>
  <w:style w:type="table" w:styleId="1124" w:customStyle="1">
    <w:name w:val="List Table 6 Colorful - Accent 3"/>
    <w:basedOn w:val="959"/>
    <w:uiPriority w:val="99"/>
    <w:qFormat/>
    <w:tblPr/>
  </w:style>
  <w:style w:type="table" w:styleId="1125" w:customStyle="1">
    <w:name w:val="List Table 7 Colorful - Accent 6"/>
    <w:basedOn w:val="959"/>
    <w:uiPriority w:val="99"/>
    <w:qFormat/>
    <w:tblPr/>
  </w:style>
  <w:style w:type="table" w:styleId="1126" w:customStyle="1">
    <w:name w:val="清单表 31"/>
    <w:basedOn w:val="959"/>
    <w:uiPriority w:val="99"/>
    <w:qFormat/>
    <w:tblPr/>
  </w:style>
  <w:style w:type="table" w:styleId="1127" w:customStyle="1">
    <w:name w:val="Grid Table 5 Dark - Accent 5"/>
    <w:basedOn w:val="959"/>
    <w:uiPriority w:val="99"/>
    <w:qFormat/>
    <w:tblPr/>
  </w:style>
  <w:style w:type="table" w:styleId="1128" w:customStyle="1">
    <w:name w:val="List Table 5 Dark - Accent 1"/>
    <w:basedOn w:val="959"/>
    <w:uiPriority w:val="99"/>
    <w:qFormat/>
    <w:tblPr/>
  </w:style>
  <w:style w:type="table" w:styleId="1129" w:customStyle="1">
    <w:name w:val="Bordered - Accent 2"/>
    <w:basedOn w:val="959"/>
    <w:uiPriority w:val="99"/>
    <w:qFormat/>
    <w:tblPr/>
  </w:style>
  <w:style w:type="table" w:styleId="1130" w:customStyle="1">
    <w:name w:val="List Table 1 Light - Accent 1"/>
    <w:basedOn w:val="959"/>
    <w:uiPriority w:val="99"/>
    <w:qFormat/>
    <w:tblPr/>
  </w:style>
  <w:style w:type="table" w:styleId="1131" w:customStyle="1">
    <w:name w:val="List Table 3 - Accent 4"/>
    <w:basedOn w:val="959"/>
    <w:uiPriority w:val="99"/>
    <w:qFormat/>
    <w:tblPr/>
  </w:style>
  <w:style w:type="table" w:styleId="1132" w:customStyle="1">
    <w:name w:val="Grid Table 6 Colorful - Accent 4"/>
    <w:basedOn w:val="959"/>
    <w:uiPriority w:val="99"/>
    <w:qFormat/>
    <w:tblPr/>
  </w:style>
  <w:style w:type="table" w:styleId="1133" w:customStyle="1">
    <w:name w:val="Grid Table 4 - Accent 4"/>
    <w:basedOn w:val="959"/>
    <w:uiPriority w:val="59"/>
    <w:qFormat/>
    <w:tblPr/>
  </w:style>
  <w:style w:type="table" w:styleId="1134" w:customStyle="1">
    <w:name w:val="List Table 4 - Accent 1"/>
    <w:basedOn w:val="959"/>
    <w:uiPriority w:val="99"/>
    <w:qFormat/>
    <w:tblPr/>
  </w:style>
  <w:style w:type="table" w:styleId="1135" w:customStyle="1">
    <w:name w:val="Grid Table 7 Colorful - Accent 6"/>
    <w:basedOn w:val="959"/>
    <w:uiPriority w:val="99"/>
    <w:qFormat/>
    <w:tblPr/>
  </w:style>
  <w:style w:type="table" w:styleId="1136" w:customStyle="1">
    <w:name w:val="Grid Table 2 - Accent 4"/>
    <w:basedOn w:val="959"/>
    <w:uiPriority w:val="99"/>
    <w:qFormat/>
    <w:tblPr/>
  </w:style>
  <w:style w:type="table" w:styleId="1137" w:customStyle="1">
    <w:name w:val="Table Grid Light"/>
    <w:basedOn w:val="959"/>
    <w:uiPriority w:val="59"/>
    <w:qFormat/>
    <w:tblPr/>
  </w:style>
  <w:style w:type="table" w:styleId="1138" w:customStyle="1">
    <w:name w:val="Grid Table 4 - Accent 1"/>
    <w:basedOn w:val="959"/>
    <w:uiPriority w:val="59"/>
    <w:qFormat/>
    <w:tblPr/>
  </w:style>
  <w:style w:type="table" w:styleId="1139" w:customStyle="1">
    <w:name w:val="Grid Table 6 Colorful - Accent 1"/>
    <w:basedOn w:val="959"/>
    <w:uiPriority w:val="99"/>
    <w:qFormat/>
    <w:tblPr/>
  </w:style>
  <w:style w:type="table" w:styleId="1140" w:customStyle="1">
    <w:name w:val="List Table 7 Colorful - Accent 5"/>
    <w:basedOn w:val="959"/>
    <w:uiPriority w:val="99"/>
    <w:qFormat/>
    <w:tblPr/>
  </w:style>
  <w:style w:type="table" w:styleId="1141" w:customStyle="1">
    <w:name w:val="List Table 5 Dark - Accent 4"/>
    <w:basedOn w:val="959"/>
    <w:uiPriority w:val="99"/>
    <w:qFormat/>
    <w:tblPr/>
  </w:style>
  <w:style w:type="table" w:styleId="1142" w:customStyle="1">
    <w:name w:val="网格表 21"/>
    <w:basedOn w:val="959"/>
    <w:uiPriority w:val="99"/>
    <w:qFormat/>
    <w:tblPr/>
  </w:style>
  <w:style w:type="table" w:styleId="1143" w:customStyle="1">
    <w:name w:val="Grid Table 4 - Accent 3"/>
    <w:basedOn w:val="959"/>
    <w:uiPriority w:val="59"/>
    <w:qFormat/>
    <w:tblPr/>
  </w:style>
  <w:style w:type="table" w:styleId="1144" w:customStyle="1">
    <w:name w:val="Lined - Accent 1"/>
    <w:basedOn w:val="959"/>
    <w:uiPriority w:val="99"/>
    <w:qFormat/>
    <w:rPr>
      <w:color w:val="404040"/>
    </w:rPr>
    <w:tblPr/>
  </w:style>
  <w:style w:type="table" w:styleId="1145" w:customStyle="1">
    <w:name w:val="Grid Table 3 - Accent 2"/>
    <w:basedOn w:val="959"/>
    <w:uiPriority w:val="99"/>
    <w:qFormat/>
    <w:tblPr/>
  </w:style>
  <w:style w:type="table" w:styleId="1146" w:customStyle="1">
    <w:name w:val="清单表 7 彩色1"/>
    <w:basedOn w:val="959"/>
    <w:uiPriority w:val="99"/>
    <w:qFormat/>
    <w:tblPr/>
  </w:style>
  <w:style w:type="table" w:styleId="1147" w:customStyle="1">
    <w:name w:val="Lined - Accent 4"/>
    <w:basedOn w:val="959"/>
    <w:uiPriority w:val="99"/>
    <w:qFormat/>
    <w:rPr>
      <w:color w:val="404040"/>
    </w:rPr>
    <w:tblPr/>
  </w:style>
  <w:style w:type="table" w:styleId="1148" w:customStyle="1">
    <w:name w:val="Grid Table 5 Dark- Accent 4"/>
    <w:basedOn w:val="959"/>
    <w:uiPriority w:val="99"/>
    <w:qFormat/>
    <w:tblPr/>
  </w:style>
  <w:style w:type="table" w:styleId="1149" w:customStyle="1">
    <w:name w:val="Bordered &amp; Lined - Accent 5"/>
    <w:basedOn w:val="959"/>
    <w:uiPriority w:val="99"/>
    <w:qFormat/>
    <w:rPr>
      <w:color w:val="404040"/>
    </w:rPr>
    <w:tblPr/>
  </w:style>
  <w:style w:type="table" w:styleId="1150" w:customStyle="1">
    <w:name w:val="List Table 6 Colorful - Accent 6"/>
    <w:basedOn w:val="959"/>
    <w:uiPriority w:val="99"/>
    <w:qFormat/>
    <w:tblPr/>
  </w:style>
  <w:style w:type="character" w:styleId="1151" w:customStyle="1">
    <w:name w:val="NormalCharacter"/>
    <w:uiPriority w:val="0"/>
    <w:semiHidden/>
    <w:qFormat/>
    <w:rPr>
      <w:sz w:val="28"/>
      <w:lang w:val="en-US" w:eastAsia="zh-CN" w:bidi="ar-SA"/>
    </w:rPr>
  </w:style>
  <w:style w:type="paragraph" w:styleId="1152" w:customStyle="1">
    <w:name w:val="首行缩进"/>
    <w:basedOn w:val="846"/>
    <w:next w:val="798"/>
    <w:uiPriority w:val="0"/>
    <w:qFormat/>
    <w:pPr>
      <w:ind w:firstLine="480"/>
    </w:pPr>
    <w:rPr>
      <w:sz w:val="20"/>
      <w:szCs w:val="20"/>
      <w:lang w:val="zh-CN"/>
    </w:rPr>
  </w:style>
  <w:style w:type="paragraph" w:styleId="1153" w:customStyle="1">
    <w:name w:val="纯文本2"/>
    <w:basedOn w:val="847"/>
    <w:uiPriority w:val="0"/>
    <w:qFormat/>
    <w:rPr>
      <w:rFonts w:ascii="宋体" w:hAnsi="Courier New"/>
      <w:sz w:val="20"/>
      <w:szCs w:val="20"/>
    </w:rPr>
  </w:style>
  <w:style w:type="table" w:styleId="1154" w:customStyle="1">
    <w:name w:val="Table Normal"/>
    <w:uiPriority w:val="0"/>
    <w:unhideWhenUsed/>
    <w:qFormat/>
    <w:tblPr>
      <w:tblCellMar>
        <w:left w:w="0" w:type="dxa"/>
        <w:top w:w="0" w:type="dxa"/>
        <w:right w:w="0" w:type="dxa"/>
        <w:bottom w:w="0" w:type="dxa"/>
      </w:tblCellMar>
    </w:tblPr>
  </w:style>
  <w:style w:type="paragraph" w:styleId="1155" w:customStyle="1">
    <w:name w:val="纯文本11"/>
    <w:uiPriority w:val="0"/>
    <w:qFormat/>
    <w:pPr>
      <w:jc w:val="both"/>
      <w:widowControl w:val="off"/>
    </w:pPr>
    <w:rPr>
      <w:rFonts w:hint="default" w:ascii="宋体" w:hAnsi="Courier New" w:eastAsia="宋体" w:cs="Times New Roman"/>
      <w:sz w:val="24"/>
      <w:szCs w:val="22"/>
      <w:lang w:val="en-US" w:eastAsia="zh-CN" w:bidi="ar-SA"/>
    </w:rPr>
  </w:style>
  <w:style w:type="paragraph" w:styleId="1156" w:customStyle="1">
    <w:name w:val="样式正文3"/>
    <w:uiPriority w:val="0"/>
    <w:qFormat/>
    <w:pPr>
      <w:ind w:firstLine="560"/>
      <w:jc w:val="both"/>
      <w:spacing w:after="0" w:line="360" w:lineRule="auto"/>
      <w:widowControl w:val="off"/>
    </w:pPr>
    <w:rPr>
      <w:rFonts w:hint="default" w:ascii="宋体" w:hAnsi="宋体" w:eastAsia="宋体" w:cs="Times New Roman"/>
      <w:sz w:val="28"/>
      <w:szCs w:val="28"/>
      <w:lang w:val="en-US" w:eastAsia="zh-CN" w:bidi="ar-SA"/>
      <w14:ligatures w14:val="none"/>
    </w:rPr>
  </w:style>
  <w:style w:type="paragraph" w:styleId="1157" w:customStyle="1">
    <w:name w:val="Table Text"/>
    <w:basedOn w:val="798"/>
    <w:uiPriority w:val="0"/>
    <w:semiHidden/>
    <w:qFormat/>
    <w:rPr>
      <w:rFonts w:ascii="宋体" w:hAnsi="宋体" w:eastAsia="宋体" w:cs="宋体"/>
      <w:sz w:val="24"/>
      <w:szCs w:val="24"/>
      <w:lang w:val="en-US" w:eastAsia="en-US" w:bidi="ar-SA"/>
    </w:rPr>
  </w:style>
  <w:style w:type="numbering" w:styleId="11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谢梅梅</cp:lastModifiedBy>
  <cp:revision>19</cp:revision>
  <dcterms:created xsi:type="dcterms:W3CDTF">2023-11-17T14:31:00Z</dcterms:created>
  <dcterms:modified xsi:type="dcterms:W3CDTF">2026-05-28T03:12:37Z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E38B1B7F20DA439591D94A2B26BEC3A6_13</vt:lpwstr>
  </property>
  <property fmtid="{D5CDD505-2E9C-101B-9397-08002B2CF9AE}" pid="4" name="KSOTemplateDocerSaveRecord">
    <vt:lpwstr>eyJoZGlkIjoiYWE0OTBjMjg5NDYwZWY1OGFhNjU2NWUyYjgxYTc2MWMiLCJ1c2VySWQiOiIxMjc5NTM0OTY0In0=</vt:lpwstr>
  </property>
</Properties>
</file>