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如有建议或意见，请以书面形式并加盖公章、注明联系人、联系方式，于</w:t>
      </w:r>
      <w:r>
        <w:rPr>
          <w:rFonts w:hint="eastAsia" w:ascii="宋体" w:hAnsi="宋体" w:eastAsia="宋体" w:cs="宋体"/>
          <w:i w:val="0"/>
          <w:caps w:val="0"/>
          <w:color w:val="333333"/>
          <w:spacing w:val="0"/>
          <w:kern w:val="0"/>
          <w:sz w:val="24"/>
          <w:szCs w:val="24"/>
          <w:lang w:val="en-US" w:eastAsia="zh-CN" w:bidi="ar"/>
        </w:rPr>
        <w:t>2026年6月2</w:t>
      </w:r>
      <w:r>
        <w:rPr>
          <w:rFonts w:hint="eastAsia" w:ascii="宋体" w:hAnsi="宋体" w:cs="宋体"/>
          <w:i w:val="0"/>
          <w:caps w:val="0"/>
          <w:color w:val="333333"/>
          <w:spacing w:val="0"/>
          <w:kern w:val="0"/>
          <w:sz w:val="24"/>
          <w:szCs w:val="24"/>
          <w:lang w:val="en-US" w:eastAsia="zh-CN" w:bidi="ar"/>
        </w:rPr>
        <w:t xml:space="preserve"> </w:t>
      </w:r>
      <w:r>
        <w:rPr>
          <w:rFonts w:hint="eastAsia" w:ascii="宋体" w:hAnsi="宋体" w:eastAsia="宋体" w:cs="宋体"/>
          <w:i w:val="0"/>
          <w:caps w:val="0"/>
          <w:color w:val="333333"/>
          <w:spacing w:val="0"/>
          <w:kern w:val="0"/>
          <w:sz w:val="24"/>
          <w:szCs w:val="24"/>
          <w:lang w:val="en-US" w:eastAsia="zh-CN" w:bidi="ar"/>
        </w:rPr>
        <w:t>日17:30</w:t>
      </w:r>
      <w:r>
        <w:rPr>
          <w:rFonts w:hint="eastAsia" w:ascii="宋体" w:hAnsi="宋体" w:eastAsia="宋体" w:cs="宋体"/>
          <w:kern w:val="2"/>
          <w:sz w:val="24"/>
          <w:szCs w:val="24"/>
          <w:lang w:val="en-US" w:eastAsia="zh-CN" w:bidi="ar-SA"/>
        </w:rPr>
        <w:t>之前送至我单位，逾期不受理（如邮寄，</w:t>
      </w:r>
      <w:r>
        <w:rPr>
          <w:rFonts w:hint="eastAsia" w:ascii="宋体" w:hAnsi="宋体" w:eastAsia="宋体" w:cs="宋体"/>
          <w:i w:val="0"/>
          <w:caps w:val="0"/>
          <w:color w:val="333333"/>
          <w:spacing w:val="0"/>
          <w:kern w:val="0"/>
          <w:sz w:val="24"/>
          <w:szCs w:val="24"/>
          <w:lang w:val="en-US" w:eastAsia="zh-CN" w:bidi="ar"/>
        </w:rPr>
        <w:t>2026年6月</w:t>
      </w:r>
      <w:bookmarkStart w:id="6" w:name="_GoBack"/>
      <w:bookmarkEnd w:id="6"/>
      <w:r>
        <w:rPr>
          <w:rFonts w:hint="eastAsia" w:ascii="宋体" w:hAnsi="宋体" w:eastAsia="宋体" w:cs="宋体"/>
          <w:i w:val="0"/>
          <w:caps w:val="0"/>
          <w:color w:val="333333"/>
          <w:spacing w:val="0"/>
          <w:kern w:val="0"/>
          <w:sz w:val="24"/>
          <w:szCs w:val="24"/>
          <w:lang w:val="en-US" w:eastAsia="zh-CN" w:bidi="ar"/>
        </w:rPr>
        <w:t>2日17:30</w:t>
      </w:r>
      <w:r>
        <w:rPr>
          <w:rFonts w:hint="eastAsia" w:ascii="宋体" w:hAnsi="宋体" w:eastAsia="宋体" w:cs="宋体"/>
          <w:kern w:val="2"/>
          <w:sz w:val="24"/>
          <w:szCs w:val="24"/>
          <w:lang w:val="en-US" w:eastAsia="zh-CN" w:bidi="ar-SA"/>
        </w:rPr>
        <w:t>之后到达本单位的邮件将不再受理）。</w:t>
      </w: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pStyle w:val="2"/>
        <w:rPr>
          <w:rFonts w:hint="eastAsia" w:ascii="宋体" w:hAnsi="宋体" w:eastAsia="宋体" w:cs="宋体"/>
          <w:kern w:val="2"/>
          <w:sz w:val="24"/>
          <w:szCs w:val="24"/>
          <w:lang w:val="en-US" w:eastAsia="zh-CN" w:bidi="ar-SA"/>
        </w:rPr>
      </w:pPr>
    </w:p>
    <w:p>
      <w:pPr>
        <w:spacing w:line="400" w:lineRule="exact"/>
        <w:ind w:left="3120"/>
        <w:outlineLvl w:val="0"/>
        <w:rPr>
          <w:rFonts w:ascii="宋体" w:hAnsi="宋体" w:cs="宋体"/>
          <w:b/>
          <w:bCs/>
          <w:sz w:val="36"/>
          <w:szCs w:val="36"/>
        </w:rPr>
      </w:pPr>
      <w:r>
        <w:rPr>
          <w:rFonts w:hint="eastAsia" w:ascii="宋体" w:hAnsi="宋体" w:cs="宋体"/>
          <w:b/>
          <w:bCs/>
          <w:sz w:val="36"/>
          <w:szCs w:val="36"/>
        </w:rPr>
        <w:t>采购需求</w:t>
      </w:r>
    </w:p>
    <w:p>
      <w:pPr>
        <w:spacing w:line="360" w:lineRule="auto"/>
        <w:rPr>
          <w:rFonts w:hint="eastAsia" w:ascii="仿宋" w:hAnsi="仿宋" w:eastAsia="仿宋"/>
          <w:b/>
          <w:bCs/>
          <w:sz w:val="24"/>
        </w:rPr>
      </w:pPr>
      <w:r>
        <w:rPr>
          <w:rFonts w:hint="eastAsia" w:ascii="仿宋" w:hAnsi="仿宋" w:eastAsia="仿宋"/>
          <w:b/>
          <w:bCs/>
          <w:sz w:val="24"/>
        </w:rPr>
        <w:t>一、项目名称：徐州高新技术产业开发区管理委员会数据服务项目</w:t>
      </w:r>
    </w:p>
    <w:p>
      <w:pPr>
        <w:spacing w:line="360" w:lineRule="auto"/>
        <w:ind w:left="-1" w:right="-92"/>
        <w:rPr>
          <w:rFonts w:hint="eastAsia" w:ascii="仿宋" w:hAnsi="仿宋" w:eastAsia="仿宋"/>
          <w:b/>
          <w:bCs/>
          <w:sz w:val="24"/>
        </w:rPr>
      </w:pPr>
      <w:r>
        <w:rPr>
          <w:rFonts w:hint="eastAsia" w:ascii="仿宋" w:hAnsi="仿宋" w:eastAsia="仿宋"/>
          <w:b/>
          <w:bCs/>
          <w:sz w:val="24"/>
        </w:rPr>
        <w:t>二、预算金额：</w:t>
      </w:r>
      <w:r>
        <w:rPr>
          <w:rFonts w:hint="eastAsia" w:ascii="仿宋" w:hAnsi="仿宋" w:eastAsia="仿宋"/>
          <w:b/>
          <w:sz w:val="24"/>
        </w:rPr>
        <w:t>本项目不接受超过</w:t>
      </w:r>
      <w:r>
        <w:rPr>
          <w:rFonts w:hint="eastAsia" w:ascii="仿宋" w:hAnsi="仿宋" w:eastAsia="仿宋"/>
          <w:b/>
          <w:color w:val="000000"/>
          <w:sz w:val="24"/>
          <w:highlight w:val="yellow"/>
          <w:u w:val="single"/>
          <w:lang w:val="en-US" w:eastAsia="zh-CN"/>
        </w:rPr>
        <w:t>115</w:t>
      </w:r>
      <w:r>
        <w:rPr>
          <w:rFonts w:hint="eastAsia" w:ascii="仿宋" w:hAnsi="仿宋" w:eastAsia="仿宋"/>
          <w:b/>
          <w:sz w:val="24"/>
        </w:rPr>
        <w:t>万元人民币（采购项目预算金额）的投标报价；</w:t>
      </w:r>
      <w:r>
        <w:rPr>
          <w:rFonts w:hint="eastAsia" w:ascii="仿宋" w:hAnsi="仿宋" w:eastAsia="仿宋"/>
          <w:bCs/>
          <w:sz w:val="24"/>
        </w:rPr>
        <w:t>投标报价包括完成该服务的全部人工费、差旅费及其它辅助费用、管理、维护、保险、利润、税金、政策性文件规定及协议包含的所有风险、责任等各项应有费用，后续根据采购方实际使用量，超出部分另行计费。</w:t>
      </w:r>
    </w:p>
    <w:p>
      <w:pPr>
        <w:spacing w:line="360" w:lineRule="auto"/>
        <w:rPr>
          <w:rFonts w:hint="eastAsia" w:ascii="仿宋" w:hAnsi="仿宋" w:eastAsia="仿宋"/>
          <w:b/>
          <w:bCs/>
          <w:sz w:val="24"/>
        </w:rPr>
      </w:pPr>
      <w:r>
        <w:rPr>
          <w:rFonts w:hint="eastAsia" w:ascii="仿宋" w:hAnsi="仿宋" w:eastAsia="仿宋"/>
          <w:b/>
          <w:bCs/>
          <w:sz w:val="24"/>
        </w:rPr>
        <w:t>三、项目简要</w:t>
      </w:r>
    </w:p>
    <w:p>
      <w:pPr>
        <w:spacing w:line="360" w:lineRule="auto"/>
        <w:ind w:left="-1" w:right="-92" w:firstLine="480"/>
        <w:rPr>
          <w:rFonts w:hint="eastAsia" w:ascii="仿宋" w:hAnsi="仿宋" w:eastAsia="仿宋"/>
          <w:bCs/>
          <w:sz w:val="24"/>
        </w:rPr>
      </w:pPr>
      <w:bookmarkStart w:id="0" w:name="_Toc523404701"/>
      <w:bookmarkStart w:id="1" w:name="_Toc522790136"/>
      <w:r>
        <w:rPr>
          <w:rFonts w:hint="eastAsia" w:ascii="仿宋" w:hAnsi="仿宋" w:eastAsia="仿宋"/>
          <w:bCs/>
          <w:sz w:val="24"/>
        </w:rPr>
        <w:t>近年来,为促进数据汇聚和共享,高新区先后出台了多项文件,我区建设统一数据服务，一方面可以避免重复建设，节约建设资金，另一方面通过统一标准有效促进政府各部门之间的互连互通、业务协同，避免产生“信息孤岛”，同时有利于推动政府大数据开发与利用。</w:t>
      </w:r>
    </w:p>
    <w:p>
      <w:pPr>
        <w:tabs>
          <w:tab w:val="left" w:pos="438"/>
        </w:tabs>
        <w:spacing w:line="360" w:lineRule="auto"/>
        <w:rPr>
          <w:rFonts w:hint="eastAsia" w:ascii="仿宋" w:hAnsi="仿宋" w:eastAsia="仿宋"/>
          <w:b/>
          <w:bCs/>
          <w:sz w:val="24"/>
        </w:rPr>
      </w:pPr>
      <w:r>
        <w:rPr>
          <w:rFonts w:hint="eastAsia" w:ascii="仿宋" w:hAnsi="仿宋" w:eastAsia="仿宋"/>
          <w:b/>
          <w:bCs/>
          <w:sz w:val="24"/>
        </w:rPr>
        <w:t>四、项目要求</w:t>
      </w:r>
    </w:p>
    <w:p>
      <w:pPr>
        <w:spacing w:line="360" w:lineRule="auto"/>
        <w:ind w:firstLine="480"/>
        <w:rPr>
          <w:rFonts w:hint="eastAsia" w:ascii="仿宋" w:hAnsi="仿宋" w:eastAsia="仿宋"/>
          <w:sz w:val="24"/>
          <w:highlight w:val="yellow"/>
        </w:rPr>
      </w:pPr>
      <w:r>
        <w:rPr>
          <w:rFonts w:hint="eastAsia" w:ascii="仿宋" w:hAnsi="仿宋" w:eastAsia="仿宋"/>
          <w:sz w:val="24"/>
        </w:rPr>
        <w:t xml:space="preserve">本项目主要包括通用数据中心基础服务和专有服务。此次采购的基础服务资源：vCPU </w:t>
      </w:r>
      <w:r>
        <w:rPr>
          <w:rFonts w:hint="eastAsia" w:ascii="仿宋" w:hAnsi="仿宋" w:eastAsia="仿宋"/>
          <w:sz w:val="24"/>
          <w:lang w:val="en-US" w:eastAsia="zh-CN"/>
        </w:rPr>
        <w:t>324</w:t>
      </w:r>
      <w:r>
        <w:rPr>
          <w:rFonts w:hint="eastAsia" w:ascii="仿宋" w:hAnsi="仿宋" w:eastAsia="仿宋"/>
          <w:sz w:val="24"/>
        </w:rPr>
        <w:t>核，内存</w:t>
      </w:r>
      <w:r>
        <w:rPr>
          <w:rFonts w:hint="eastAsia" w:ascii="仿宋" w:hAnsi="仿宋" w:eastAsia="仿宋"/>
          <w:sz w:val="24"/>
          <w:lang w:val="en-US" w:eastAsia="zh-CN"/>
        </w:rPr>
        <w:t>1248</w:t>
      </w:r>
      <w:r>
        <w:rPr>
          <w:rFonts w:hint="eastAsia" w:ascii="仿宋" w:hAnsi="仿宋" w:eastAsia="仿宋"/>
          <w:sz w:val="24"/>
        </w:rPr>
        <w:t>G，存储1100TB，带宽</w:t>
      </w:r>
      <w:r>
        <w:rPr>
          <w:rFonts w:hint="eastAsia" w:ascii="仿宋" w:hAnsi="仿宋" w:eastAsia="仿宋"/>
          <w:sz w:val="24"/>
          <w:lang w:val="en-US" w:eastAsia="zh-CN"/>
        </w:rPr>
        <w:t>82</w:t>
      </w:r>
      <w:r>
        <w:rPr>
          <w:rFonts w:hint="eastAsia" w:ascii="仿宋" w:hAnsi="仿宋" w:eastAsia="仿宋"/>
          <w:sz w:val="24"/>
        </w:rPr>
        <w:t>0M，供应商所提供的基础服务资源应总量应不低于vCPU 1000核，内存4500G，存储2800TB，带宽3000M；专有服务包括：公网IP、网络行为安全审计、安全监控服务（SOC）、安全扫描服务、防病毒软件等服务。</w:t>
      </w:r>
      <w:r>
        <w:rPr>
          <w:rFonts w:hint="eastAsia" w:ascii="仿宋" w:hAnsi="仿宋" w:eastAsia="仿宋"/>
          <w:color w:val="000000"/>
          <w:sz w:val="24"/>
        </w:rPr>
        <w:t>以下带“▲”的指标，如不满足或负偏离的，每项扣1分。投标人需根据采购需求在投标文件中做出逐条应答。</w:t>
      </w:r>
    </w:p>
    <w:p>
      <w:pPr>
        <w:spacing w:after="120"/>
        <w:rPr>
          <w:rFonts w:hint="eastAsia" w:ascii="仿宋" w:hAnsi="仿宋" w:eastAsia="仿宋"/>
          <w:b/>
          <w:bCs/>
          <w:color w:val="000000"/>
          <w:sz w:val="24"/>
        </w:rPr>
      </w:pPr>
      <w:r>
        <w:rPr>
          <w:rFonts w:hint="eastAsia" w:ascii="仿宋" w:hAnsi="仿宋" w:eastAsia="仿宋"/>
          <w:b/>
          <w:bCs/>
          <w:color w:val="000000"/>
          <w:sz w:val="24"/>
        </w:rPr>
        <w:t>（一）技术规格要求</w:t>
      </w:r>
    </w:p>
    <w:p>
      <w:pPr>
        <w:spacing w:line="360" w:lineRule="auto"/>
        <w:rPr>
          <w:rFonts w:ascii="仿宋" w:hAnsi="仿宋" w:eastAsia="仿宋"/>
          <w:b/>
          <w:bCs/>
          <w:sz w:val="24"/>
        </w:rPr>
      </w:pPr>
      <w:bookmarkStart w:id="2" w:name="_Hlk111033010"/>
      <w:bookmarkStart w:id="3" w:name="_Toc296687427"/>
      <w:r>
        <w:rPr>
          <w:rFonts w:hint="eastAsia" w:ascii="仿宋" w:hAnsi="仿宋" w:eastAsia="仿宋"/>
          <w:b/>
          <w:bCs/>
          <w:sz w:val="24"/>
        </w:rPr>
        <w:t>1.机房环境要求</w:t>
      </w:r>
    </w:p>
    <w:p>
      <w:pPr>
        <w:spacing w:line="360" w:lineRule="auto"/>
        <w:rPr>
          <w:rFonts w:ascii="仿宋" w:hAnsi="仿宋" w:eastAsia="仿宋"/>
          <w:sz w:val="24"/>
        </w:rPr>
      </w:pPr>
      <w:bookmarkStart w:id="4" w:name="OLE_LINK1"/>
      <w:r>
        <w:rPr>
          <w:rFonts w:hint="eastAsia" w:ascii="仿宋" w:hAnsi="仿宋" w:eastAsia="仿宋"/>
          <w:sz w:val="24"/>
          <w:highlight w:val="none"/>
        </w:rPr>
        <w:t>▲</w:t>
      </w:r>
      <w:bookmarkEnd w:id="4"/>
      <w:r>
        <w:rPr>
          <w:rFonts w:hint="eastAsia" w:ascii="仿宋" w:hAnsi="仿宋" w:eastAsia="仿宋"/>
          <w:sz w:val="24"/>
        </w:rPr>
        <w:t>投标人提供服务的信息系统机房，</w:t>
      </w:r>
      <w:r>
        <w:rPr>
          <w:rFonts w:hint="eastAsia" w:ascii="仿宋" w:hAnsi="仿宋" w:eastAsia="仿宋"/>
          <w:color w:val="000000"/>
          <w:sz w:val="24"/>
        </w:rPr>
        <w:t>应当</w:t>
      </w:r>
      <w:r>
        <w:rPr>
          <w:rFonts w:hint="eastAsia" w:ascii="仿宋" w:hAnsi="仿宋" w:eastAsia="仿宋"/>
          <w:sz w:val="24"/>
        </w:rPr>
        <w:t>具有较好的可靠性、安全性、可扩展性。</w:t>
      </w:r>
      <w:r>
        <w:rPr>
          <w:rFonts w:hint="eastAsia" w:ascii="仿宋" w:hAnsi="仿宋" w:eastAsia="仿宋"/>
          <w:color w:val="000000"/>
          <w:sz w:val="24"/>
        </w:rPr>
        <w:t>投标人提供服务于本项目的机房，在徐州市行政区域内且直线距离高新区政府所在地30公里以下（中标后满足）。（机房所在铜山区或徐州高新区区域内）</w:t>
      </w:r>
    </w:p>
    <w:p>
      <w:pPr>
        <w:spacing w:line="360" w:lineRule="auto"/>
        <w:rPr>
          <w:rFonts w:ascii="仿宋" w:hAnsi="仿宋" w:eastAsia="仿宋"/>
          <w:b/>
          <w:bCs/>
          <w:sz w:val="24"/>
        </w:rPr>
      </w:pPr>
      <w:r>
        <w:rPr>
          <w:rFonts w:hint="eastAsia" w:ascii="仿宋" w:hAnsi="仿宋" w:eastAsia="仿宋"/>
          <w:b/>
          <w:bCs/>
          <w:sz w:val="24"/>
        </w:rPr>
        <w:t>1.1电源系统</w:t>
      </w:r>
    </w:p>
    <w:p>
      <w:pPr>
        <w:spacing w:line="360" w:lineRule="auto"/>
        <w:rPr>
          <w:rFonts w:ascii="仿宋" w:hAnsi="仿宋" w:eastAsia="仿宋"/>
          <w:b/>
          <w:bCs/>
          <w:sz w:val="24"/>
        </w:rPr>
      </w:pPr>
      <w:r>
        <w:rPr>
          <w:rFonts w:hint="eastAsia" w:ascii="仿宋" w:hAnsi="仿宋" w:eastAsia="仿宋"/>
          <w:b/>
          <w:bCs/>
          <w:sz w:val="24"/>
        </w:rPr>
        <w:t>1.1.1▲供配电要求</w:t>
      </w:r>
    </w:p>
    <w:p>
      <w:pPr>
        <w:spacing w:line="360" w:lineRule="auto"/>
        <w:rPr>
          <w:rFonts w:ascii="仿宋" w:hAnsi="仿宋" w:eastAsia="仿宋"/>
          <w:sz w:val="24"/>
        </w:rPr>
      </w:pPr>
      <w:r>
        <w:rPr>
          <w:rFonts w:hint="eastAsia" w:ascii="仿宋" w:hAnsi="仿宋" w:eastAsia="仿宋"/>
          <w:sz w:val="24"/>
        </w:rPr>
        <w:t>1)机房采用双路市电供电，且两个电源不应同时受到损坏。</w:t>
      </w:r>
    </w:p>
    <w:p>
      <w:pPr>
        <w:spacing w:line="360" w:lineRule="auto"/>
        <w:rPr>
          <w:rFonts w:ascii="仿宋" w:hAnsi="仿宋" w:eastAsia="仿宋"/>
          <w:sz w:val="24"/>
        </w:rPr>
      </w:pPr>
      <w:r>
        <w:rPr>
          <w:rFonts w:hint="eastAsia" w:ascii="仿宋" w:hAnsi="仿宋" w:eastAsia="仿宋"/>
          <w:sz w:val="24"/>
        </w:rPr>
        <w:t>2)机房的电力可用性达到99.99%。</w:t>
      </w:r>
    </w:p>
    <w:p>
      <w:pPr>
        <w:spacing w:line="360" w:lineRule="auto"/>
        <w:rPr>
          <w:rFonts w:ascii="仿宋" w:hAnsi="仿宋" w:eastAsia="仿宋"/>
          <w:sz w:val="24"/>
        </w:rPr>
      </w:pPr>
      <w:r>
        <w:rPr>
          <w:rFonts w:hint="eastAsia" w:ascii="仿宋" w:hAnsi="仿宋" w:eastAsia="仿宋"/>
          <w:sz w:val="24"/>
        </w:rPr>
        <w:t>3)配置具备稳压和过电压防护功能的供配电系统。</w:t>
      </w:r>
    </w:p>
    <w:p>
      <w:pPr>
        <w:spacing w:line="360" w:lineRule="auto"/>
        <w:rPr>
          <w:rFonts w:ascii="仿宋" w:hAnsi="仿宋" w:eastAsia="仿宋"/>
          <w:sz w:val="24"/>
        </w:rPr>
      </w:pPr>
      <w:r>
        <w:rPr>
          <w:rFonts w:hint="eastAsia" w:ascii="仿宋" w:hAnsi="仿宋" w:eastAsia="仿宋"/>
          <w:sz w:val="24"/>
        </w:rPr>
        <w:t>4)IT系统供电与空调等动力供电分开。</w:t>
      </w:r>
    </w:p>
    <w:p>
      <w:pPr>
        <w:spacing w:line="360" w:lineRule="auto"/>
        <w:rPr>
          <w:rFonts w:ascii="仿宋" w:hAnsi="仿宋" w:eastAsia="仿宋"/>
          <w:sz w:val="24"/>
        </w:rPr>
      </w:pPr>
      <w:r>
        <w:rPr>
          <w:rFonts w:hint="eastAsia" w:ascii="仿宋" w:hAnsi="仿宋" w:eastAsia="仿宋"/>
          <w:sz w:val="24"/>
        </w:rPr>
        <w:t>5)机房内采用机柜专用PDU插座，并在机房内分别设置维修和测试用电源插座，两者有明显区别标志。</w:t>
      </w:r>
    </w:p>
    <w:p>
      <w:pPr>
        <w:spacing w:line="360" w:lineRule="auto"/>
        <w:rPr>
          <w:rFonts w:ascii="仿宋" w:hAnsi="仿宋" w:eastAsia="仿宋"/>
          <w:sz w:val="24"/>
        </w:rPr>
      </w:pPr>
      <w:r>
        <w:rPr>
          <w:rFonts w:hint="eastAsia" w:ascii="仿宋" w:hAnsi="仿宋" w:eastAsia="仿宋"/>
          <w:sz w:val="24"/>
        </w:rPr>
        <w:t>6)末端配电：每台机柜配置A\B双路PDU（来自不同的UPS系统供电），每路不少于16个插孔，12个10A，4个16A，精密配电柜端配备32A空开。</w:t>
      </w:r>
    </w:p>
    <w:p>
      <w:pPr>
        <w:spacing w:line="360" w:lineRule="auto"/>
        <w:rPr>
          <w:rFonts w:ascii="仿宋" w:hAnsi="仿宋" w:eastAsia="仿宋"/>
          <w:sz w:val="24"/>
        </w:rPr>
      </w:pPr>
      <w:r>
        <w:rPr>
          <w:rFonts w:hint="eastAsia" w:ascii="仿宋" w:hAnsi="仿宋" w:eastAsia="仿宋"/>
          <w:sz w:val="24"/>
        </w:rPr>
        <w:t>7)每台机柜的可用电力不小于13A。</w:t>
      </w:r>
    </w:p>
    <w:p>
      <w:pPr>
        <w:spacing w:line="360" w:lineRule="auto"/>
        <w:rPr>
          <w:rFonts w:ascii="仿宋" w:hAnsi="仿宋" w:eastAsia="仿宋"/>
          <w:sz w:val="24"/>
        </w:rPr>
      </w:pPr>
      <w:r>
        <w:rPr>
          <w:rFonts w:hint="eastAsia" w:ascii="仿宋" w:hAnsi="仿宋" w:eastAsia="仿宋"/>
          <w:sz w:val="24"/>
        </w:rPr>
        <w:t>8)招标人租赁的机房区域的供电应通过两个路由引入。</w:t>
      </w:r>
    </w:p>
    <w:p>
      <w:pPr>
        <w:spacing w:line="360" w:lineRule="auto"/>
        <w:rPr>
          <w:rFonts w:ascii="仿宋" w:hAnsi="仿宋" w:eastAsia="仿宋"/>
          <w:sz w:val="24"/>
        </w:rPr>
      </w:pPr>
      <w:r>
        <w:rPr>
          <w:rFonts w:hint="eastAsia" w:ascii="仿宋" w:hAnsi="仿宋" w:eastAsia="仿宋"/>
          <w:sz w:val="24"/>
        </w:rPr>
        <w:t>9)可提供单相及三相设备用电。</w:t>
      </w:r>
    </w:p>
    <w:p>
      <w:pPr>
        <w:spacing w:line="360" w:lineRule="auto"/>
        <w:rPr>
          <w:rFonts w:ascii="仿宋" w:hAnsi="仿宋" w:eastAsia="仿宋"/>
          <w:sz w:val="24"/>
        </w:rPr>
      </w:pPr>
      <w:r>
        <w:rPr>
          <w:rFonts w:hint="eastAsia" w:ascii="仿宋" w:hAnsi="仿宋" w:eastAsia="仿宋"/>
          <w:sz w:val="24"/>
        </w:rPr>
        <w:t>10）配电列头柜应采用精密配电柜，并具备防雷功能。</w:t>
      </w:r>
    </w:p>
    <w:p>
      <w:pPr>
        <w:spacing w:line="360" w:lineRule="auto"/>
        <w:rPr>
          <w:rFonts w:ascii="仿宋" w:hAnsi="仿宋" w:eastAsia="仿宋"/>
          <w:sz w:val="24"/>
        </w:rPr>
      </w:pPr>
      <w:r>
        <w:rPr>
          <w:rFonts w:hint="eastAsia" w:ascii="仿宋" w:hAnsi="仿宋" w:eastAsia="仿宋"/>
          <w:sz w:val="24"/>
        </w:rPr>
        <w:t>11）配电列头柜出线开关应有一定的预留，以满足采购人的扩容需要。</w:t>
      </w:r>
    </w:p>
    <w:p>
      <w:pPr>
        <w:spacing w:line="360" w:lineRule="auto"/>
        <w:rPr>
          <w:rFonts w:ascii="仿宋" w:hAnsi="仿宋" w:eastAsia="仿宋"/>
          <w:sz w:val="24"/>
        </w:rPr>
      </w:pPr>
      <w:r>
        <w:rPr>
          <w:rFonts w:hint="eastAsia" w:ascii="仿宋" w:hAnsi="仿宋" w:eastAsia="仿宋"/>
          <w:sz w:val="24"/>
        </w:rPr>
        <w:t>12）机房内需提供完备、可靠的接地系统。</w:t>
      </w:r>
    </w:p>
    <w:p>
      <w:pPr>
        <w:spacing w:line="360" w:lineRule="auto"/>
        <w:rPr>
          <w:rFonts w:ascii="仿宋" w:hAnsi="仿宋" w:eastAsia="仿宋"/>
          <w:sz w:val="24"/>
        </w:rPr>
      </w:pPr>
      <w:r>
        <w:rPr>
          <w:rFonts w:hint="eastAsia" w:ascii="仿宋" w:hAnsi="仿宋" w:eastAsia="仿宋"/>
          <w:sz w:val="24"/>
        </w:rPr>
        <w:t>13）机房接地电阻小于1欧。</w:t>
      </w:r>
    </w:p>
    <w:p>
      <w:pPr>
        <w:spacing w:line="360" w:lineRule="auto"/>
        <w:rPr>
          <w:rFonts w:ascii="仿宋" w:hAnsi="仿宋" w:eastAsia="仿宋"/>
          <w:b/>
          <w:bCs/>
          <w:sz w:val="24"/>
        </w:rPr>
      </w:pPr>
      <w:r>
        <w:rPr>
          <w:rFonts w:hint="eastAsia" w:ascii="仿宋" w:hAnsi="仿宋" w:eastAsia="仿宋"/>
          <w:b/>
          <w:bCs/>
          <w:sz w:val="24"/>
        </w:rPr>
        <w:t>1.1.2▲UPS电源要求</w:t>
      </w:r>
    </w:p>
    <w:p>
      <w:pPr>
        <w:spacing w:line="360" w:lineRule="auto"/>
        <w:rPr>
          <w:rFonts w:ascii="仿宋" w:hAnsi="仿宋" w:eastAsia="仿宋"/>
          <w:sz w:val="24"/>
        </w:rPr>
      </w:pPr>
      <w:r>
        <w:rPr>
          <w:rFonts w:hint="eastAsia" w:ascii="仿宋" w:hAnsi="仿宋" w:eastAsia="仿宋"/>
          <w:sz w:val="24"/>
        </w:rPr>
        <w:t>1）冗余要求：</w:t>
      </w:r>
      <w:r>
        <w:rPr>
          <w:rFonts w:hint="eastAsia" w:ascii="仿宋" w:hAnsi="仿宋" w:eastAsia="仿宋"/>
          <w:color w:val="000000"/>
          <w:sz w:val="24"/>
        </w:rPr>
        <w:t>机房UPS配备2N冗余方式（提供竣工验收资料）。</w:t>
      </w:r>
    </w:p>
    <w:p>
      <w:pPr>
        <w:spacing w:line="360" w:lineRule="auto"/>
        <w:rPr>
          <w:rFonts w:ascii="仿宋" w:hAnsi="仿宋" w:eastAsia="仿宋"/>
          <w:color w:val="000000"/>
          <w:sz w:val="24"/>
        </w:rPr>
      </w:pPr>
      <w:r>
        <w:rPr>
          <w:rFonts w:hint="eastAsia" w:ascii="仿宋" w:hAnsi="仿宋" w:eastAsia="仿宋"/>
          <w:color w:val="000000"/>
          <w:sz w:val="24"/>
        </w:rPr>
        <w:t>2）满载情况下电池后备时间应不低于15分钟，采购人租赁机房区域内每个机柜要求由分别来源于两路UPS的两路电力供应（提供竣工验收资料）。</w:t>
      </w:r>
    </w:p>
    <w:p>
      <w:pPr>
        <w:spacing w:line="360" w:lineRule="auto"/>
        <w:rPr>
          <w:rFonts w:ascii="仿宋" w:hAnsi="仿宋" w:eastAsia="仿宋"/>
          <w:b/>
          <w:bCs/>
          <w:sz w:val="24"/>
        </w:rPr>
      </w:pPr>
      <w:r>
        <w:rPr>
          <w:rFonts w:hint="eastAsia" w:ascii="仿宋" w:hAnsi="仿宋" w:eastAsia="仿宋"/>
          <w:b/>
          <w:bCs/>
          <w:sz w:val="24"/>
        </w:rPr>
        <w:t>1.1.3▲柴油发电机要求</w:t>
      </w:r>
    </w:p>
    <w:p>
      <w:pPr>
        <w:spacing w:line="360" w:lineRule="auto"/>
        <w:rPr>
          <w:rFonts w:ascii="仿宋" w:hAnsi="仿宋" w:eastAsia="仿宋"/>
          <w:sz w:val="24"/>
        </w:rPr>
      </w:pPr>
      <w:r>
        <w:rPr>
          <w:rFonts w:hint="eastAsia" w:ascii="仿宋" w:hAnsi="仿宋" w:eastAsia="仿宋"/>
          <w:sz w:val="24"/>
        </w:rPr>
        <w:t>1）要求：</w:t>
      </w:r>
      <w:r>
        <w:rPr>
          <w:rFonts w:hint="eastAsia" w:ascii="仿宋" w:hAnsi="仿宋" w:eastAsia="仿宋"/>
          <w:color w:val="000000"/>
          <w:sz w:val="24"/>
        </w:rPr>
        <w:t>提供柴油发电机系统（提供竣工验收资料）</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rPr>
        <w:t>2）后备柴油发电机的容量包括UPS的基本容量、空调和制冷设备的基本容量、应急照明及关系到生命安全等需要的负荷容量。在双路市电同时中断的情况下，发电机组应能全自动启动及并机投运，提供应急电力供应，并满负荷平稳输出。发电机组自启动到具备供电条件的时长原则上应小于5分钟。</w:t>
      </w:r>
    </w:p>
    <w:p>
      <w:pPr>
        <w:spacing w:line="360" w:lineRule="auto"/>
        <w:rPr>
          <w:rFonts w:ascii="仿宋" w:hAnsi="仿宋" w:eastAsia="仿宋"/>
          <w:sz w:val="24"/>
        </w:rPr>
      </w:pPr>
      <w:r>
        <w:rPr>
          <w:rFonts w:hint="eastAsia" w:ascii="仿宋" w:hAnsi="仿宋" w:eastAsia="仿宋"/>
          <w:sz w:val="24"/>
        </w:rPr>
        <w:t>3)油库容量：投标人提供服务的机房内应设置有大容量油库，发电机燃油储备应能满足所有发电机组满载运行不低于8小时，并可不停机加油。此外，投标人应与附近油站签署有优先供油保障协议，可确保发电机燃油在8小时内获得补充。</w:t>
      </w:r>
      <w:r>
        <w:rPr>
          <w:rFonts w:hint="eastAsia" w:ascii="仿宋" w:hAnsi="仿宋" w:eastAsia="仿宋"/>
          <w:color w:val="000000"/>
          <w:sz w:val="24"/>
        </w:rPr>
        <w:t>储油设施应符合国家相关标准规范要求（提供供油保障协议）</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rPr>
        <w:t>4)柴油发电机组应具有自动启动、自动切换、自动停机功能，应急电源与正常电源之间必须采取防止并列运行的措施。</w:t>
      </w:r>
    </w:p>
    <w:p>
      <w:pPr>
        <w:spacing w:line="360" w:lineRule="auto"/>
        <w:rPr>
          <w:rFonts w:ascii="仿宋" w:hAnsi="仿宋" w:eastAsia="仿宋"/>
          <w:b/>
          <w:bCs/>
          <w:sz w:val="24"/>
        </w:rPr>
      </w:pPr>
      <w:r>
        <w:rPr>
          <w:rFonts w:hint="eastAsia" w:ascii="仿宋" w:hAnsi="仿宋" w:eastAsia="仿宋"/>
          <w:b/>
          <w:bCs/>
          <w:sz w:val="24"/>
        </w:rPr>
        <w:t>1.2▲温湿度控制系统</w:t>
      </w:r>
    </w:p>
    <w:p>
      <w:pPr>
        <w:spacing w:line="360" w:lineRule="auto"/>
        <w:rPr>
          <w:rFonts w:ascii="仿宋" w:hAnsi="仿宋" w:eastAsia="仿宋"/>
          <w:sz w:val="24"/>
        </w:rPr>
      </w:pPr>
      <w:r>
        <w:rPr>
          <w:rFonts w:hint="eastAsia" w:ascii="仿宋" w:hAnsi="仿宋" w:eastAsia="仿宋"/>
          <w:sz w:val="24"/>
        </w:rPr>
        <w:t>1)</w:t>
      </w:r>
      <w:r>
        <w:rPr>
          <w:rFonts w:hint="eastAsia" w:ascii="仿宋" w:hAnsi="仿宋" w:eastAsia="仿宋"/>
          <w:color w:val="000000"/>
          <w:sz w:val="24"/>
        </w:rPr>
        <w:t>机房精密空调应配备N+X冗余（X=1～N）机房专用空调（提供竣工验收资料）</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rPr>
        <w:t>2)保持机房温度（开机时）23℃±1℃ ，相对湿度（开机时）40%-55%，不结露。</w:t>
      </w:r>
    </w:p>
    <w:p>
      <w:pPr>
        <w:spacing w:line="360" w:lineRule="auto"/>
        <w:rPr>
          <w:rFonts w:ascii="仿宋" w:hAnsi="仿宋" w:eastAsia="仿宋"/>
          <w:sz w:val="24"/>
        </w:rPr>
      </w:pPr>
      <w:r>
        <w:rPr>
          <w:rFonts w:hint="eastAsia" w:ascii="仿宋" w:hAnsi="仿宋" w:eastAsia="仿宋"/>
          <w:sz w:val="24"/>
        </w:rPr>
        <w:t>3)送风方式：下送风、上回风，按冷、热通道分离布置。</w:t>
      </w:r>
    </w:p>
    <w:p>
      <w:pPr>
        <w:spacing w:line="360" w:lineRule="auto"/>
        <w:rPr>
          <w:rFonts w:ascii="仿宋" w:hAnsi="仿宋" w:eastAsia="仿宋"/>
          <w:sz w:val="24"/>
        </w:rPr>
      </w:pPr>
      <w:r>
        <w:rPr>
          <w:rFonts w:hint="eastAsia" w:ascii="仿宋" w:hAnsi="仿宋" w:eastAsia="仿宋"/>
          <w:sz w:val="24"/>
        </w:rPr>
        <w:t>4)机房内维持正压，机房与走廊压差不小于5Pa，与室外静压差不小于10Pa。</w:t>
      </w:r>
    </w:p>
    <w:p>
      <w:pPr>
        <w:spacing w:line="360" w:lineRule="auto"/>
        <w:rPr>
          <w:rFonts w:ascii="仿宋" w:hAnsi="仿宋" w:eastAsia="仿宋"/>
          <w:sz w:val="24"/>
        </w:rPr>
      </w:pPr>
      <w:r>
        <w:rPr>
          <w:rFonts w:hint="eastAsia" w:ascii="仿宋" w:hAnsi="仿宋" w:eastAsia="仿宋"/>
          <w:sz w:val="24"/>
        </w:rPr>
        <w:t>5)有漏水隐患处应安装漏水检测装置，针对空调漏水情况能够及时发现和报警。</w:t>
      </w:r>
    </w:p>
    <w:p>
      <w:pPr>
        <w:spacing w:line="360" w:lineRule="auto"/>
        <w:rPr>
          <w:rFonts w:ascii="仿宋" w:hAnsi="仿宋" w:eastAsia="仿宋"/>
          <w:sz w:val="24"/>
        </w:rPr>
      </w:pPr>
      <w:r>
        <w:rPr>
          <w:rFonts w:hint="eastAsia" w:ascii="仿宋" w:hAnsi="仿宋" w:eastAsia="仿宋"/>
          <w:sz w:val="24"/>
        </w:rPr>
        <w:t>6)</w:t>
      </w:r>
      <w:r>
        <w:rPr>
          <w:rFonts w:hint="eastAsia" w:ascii="仿宋" w:hAnsi="仿宋" w:eastAsia="仿宋"/>
          <w:color w:val="000000"/>
          <w:sz w:val="24"/>
        </w:rPr>
        <w:t>空调系统由发电机提供后备电力保障（提供竣工验收资料）</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rPr>
        <w:t>7)空调机组下方应设置挡水堰，并部署有漏水检测系统，漏水检测系统报警信号接入到环境监控系统，对机房漏水情况进行实时检测和处理。</w:t>
      </w:r>
    </w:p>
    <w:p>
      <w:pPr>
        <w:spacing w:line="360" w:lineRule="auto"/>
        <w:rPr>
          <w:rFonts w:ascii="仿宋" w:hAnsi="仿宋" w:eastAsia="仿宋"/>
          <w:b/>
          <w:bCs/>
          <w:sz w:val="24"/>
        </w:rPr>
      </w:pPr>
      <w:r>
        <w:rPr>
          <w:rFonts w:hint="eastAsia" w:ascii="仿宋" w:hAnsi="仿宋" w:eastAsia="仿宋"/>
          <w:b/>
          <w:bCs/>
          <w:sz w:val="24"/>
        </w:rPr>
        <w:t>1.3▲消防系统</w:t>
      </w:r>
    </w:p>
    <w:p>
      <w:pPr>
        <w:spacing w:line="360" w:lineRule="auto"/>
        <w:rPr>
          <w:rFonts w:ascii="仿宋" w:hAnsi="仿宋" w:eastAsia="仿宋"/>
          <w:sz w:val="24"/>
        </w:rPr>
      </w:pPr>
      <w:r>
        <w:rPr>
          <w:rFonts w:hint="eastAsia" w:ascii="仿宋" w:hAnsi="仿宋" w:eastAsia="仿宋"/>
          <w:sz w:val="24"/>
        </w:rPr>
        <w:t>1)机房区域具备消防功能，可提供集中式灭火报警系统。</w:t>
      </w:r>
    </w:p>
    <w:p>
      <w:pPr>
        <w:spacing w:line="360" w:lineRule="auto"/>
        <w:rPr>
          <w:rFonts w:ascii="仿宋" w:hAnsi="仿宋" w:eastAsia="仿宋"/>
          <w:sz w:val="24"/>
        </w:rPr>
      </w:pPr>
      <w:r>
        <w:rPr>
          <w:rFonts w:hint="eastAsia" w:ascii="仿宋" w:hAnsi="仿宋" w:eastAsia="仿宋"/>
          <w:sz w:val="24"/>
        </w:rPr>
        <w:t>2)投标人提供服务的机房场地及配电室应设置感温、感烟双重报警系统。采用IG541或FM200环保洁净气体灭火系统。气体释放喷头应采取多路部署，分区灭火方式。无水管经过IT设备放置的机房区域。</w:t>
      </w:r>
    </w:p>
    <w:p>
      <w:pPr>
        <w:spacing w:line="360" w:lineRule="auto"/>
        <w:rPr>
          <w:rFonts w:ascii="仿宋" w:hAnsi="仿宋" w:eastAsia="仿宋"/>
          <w:sz w:val="24"/>
        </w:rPr>
      </w:pPr>
      <w:r>
        <w:rPr>
          <w:rFonts w:hint="eastAsia" w:ascii="仿宋" w:hAnsi="仿宋" w:eastAsia="仿宋"/>
          <w:sz w:val="24"/>
        </w:rPr>
        <w:t>3)</w:t>
      </w:r>
      <w:r>
        <w:rPr>
          <w:rFonts w:hint="eastAsia" w:ascii="仿宋" w:hAnsi="仿宋" w:eastAsia="仿宋"/>
          <w:color w:val="000000"/>
          <w:sz w:val="24"/>
        </w:rPr>
        <w:t>消防中控室应配置有7×24小时专职消防监控人员，实时监控火灾自动报警系统。</w:t>
      </w:r>
    </w:p>
    <w:p>
      <w:pPr>
        <w:spacing w:line="360" w:lineRule="auto"/>
        <w:rPr>
          <w:rFonts w:ascii="仿宋" w:hAnsi="仿宋" w:eastAsia="仿宋"/>
          <w:sz w:val="24"/>
        </w:rPr>
      </w:pPr>
      <w:r>
        <w:rPr>
          <w:rFonts w:hint="eastAsia" w:ascii="仿宋" w:hAnsi="仿宋" w:eastAsia="仿宋"/>
          <w:sz w:val="24"/>
        </w:rPr>
        <w:t>4)机房的安全出口应不少于两个，并设在机房的两端。机房门应向疏散方向开启，走廊、楼梯间应畅通并有明显的疏散指示标志。</w:t>
      </w:r>
    </w:p>
    <w:p>
      <w:pPr>
        <w:spacing w:line="360" w:lineRule="auto"/>
        <w:rPr>
          <w:rFonts w:ascii="仿宋" w:hAnsi="仿宋" w:eastAsia="仿宋"/>
          <w:sz w:val="24"/>
        </w:rPr>
      </w:pPr>
      <w:r>
        <w:rPr>
          <w:rFonts w:hint="eastAsia" w:ascii="仿宋" w:hAnsi="仿宋" w:eastAsia="仿宋"/>
          <w:sz w:val="24"/>
        </w:rPr>
        <w:t>5)机房内应设置有独立的消防排烟系统。</w:t>
      </w:r>
    </w:p>
    <w:p/>
    <w:p>
      <w:pPr>
        <w:spacing w:line="360" w:lineRule="auto"/>
        <w:rPr>
          <w:rFonts w:ascii="仿宋" w:hAnsi="仿宋" w:eastAsia="仿宋"/>
          <w:b/>
          <w:bCs/>
          <w:sz w:val="24"/>
        </w:rPr>
      </w:pPr>
      <w:r>
        <w:rPr>
          <w:rFonts w:hint="eastAsia" w:ascii="仿宋" w:hAnsi="仿宋" w:eastAsia="仿宋"/>
          <w:b/>
          <w:bCs/>
          <w:sz w:val="24"/>
        </w:rPr>
        <w:t>3.机房空间要求</w:t>
      </w:r>
    </w:p>
    <w:p>
      <w:pPr>
        <w:spacing w:line="360" w:lineRule="auto"/>
        <w:rPr>
          <w:rFonts w:ascii="仿宋" w:hAnsi="仿宋" w:eastAsia="仿宋"/>
          <w:b/>
          <w:bCs/>
          <w:sz w:val="24"/>
        </w:rPr>
      </w:pPr>
      <w:r>
        <w:rPr>
          <w:rFonts w:hint="eastAsia" w:ascii="仿宋" w:hAnsi="仿宋" w:eastAsia="仿宋"/>
          <w:b/>
          <w:bCs/>
          <w:sz w:val="24"/>
        </w:rPr>
        <w:t>3.1机柜类型</w:t>
      </w:r>
    </w:p>
    <w:p>
      <w:pPr>
        <w:spacing w:line="360" w:lineRule="auto"/>
        <w:rPr>
          <w:rFonts w:ascii="仿宋" w:hAnsi="仿宋" w:eastAsia="仿宋"/>
          <w:sz w:val="24"/>
        </w:rPr>
      </w:pPr>
      <w:r>
        <w:rPr>
          <w:rFonts w:hint="eastAsia" w:ascii="仿宋" w:hAnsi="仿宋" w:eastAsia="仿宋"/>
          <w:sz w:val="24"/>
        </w:rPr>
        <w:t>1)▲尺寸：必须满足标准19英寸机架设备安装上架要求，机柜尺寸不小于600×1100×2000mm，可用空间不小于42U，机柜内置走线槽及盘线器。</w:t>
      </w:r>
    </w:p>
    <w:p>
      <w:pPr>
        <w:spacing w:line="360" w:lineRule="auto"/>
        <w:rPr>
          <w:rFonts w:ascii="仿宋" w:hAnsi="仿宋" w:eastAsia="仿宋"/>
          <w:sz w:val="24"/>
        </w:rPr>
      </w:pPr>
      <w:r>
        <w:rPr>
          <w:rFonts w:hint="eastAsia" w:ascii="仿宋" w:hAnsi="仿宋" w:eastAsia="仿宋"/>
          <w:sz w:val="24"/>
        </w:rPr>
        <w:t>2)内立柱：可固定标准19英寸机架设备，可以安装L型托架或托盘，满足主流设备导轨安装要求。</w:t>
      </w:r>
    </w:p>
    <w:p>
      <w:pPr>
        <w:spacing w:line="360" w:lineRule="auto"/>
        <w:rPr>
          <w:rFonts w:ascii="仿宋" w:hAnsi="仿宋" w:eastAsia="仿宋"/>
          <w:sz w:val="24"/>
        </w:rPr>
      </w:pPr>
      <w:r>
        <w:rPr>
          <w:rFonts w:hint="eastAsia" w:ascii="仿宋" w:hAnsi="仿宋" w:eastAsia="仿宋"/>
          <w:sz w:val="24"/>
        </w:rPr>
        <w:t>3)承重：每机柜承重不低于800KG。</w:t>
      </w:r>
    </w:p>
    <w:p>
      <w:pPr>
        <w:spacing w:line="360" w:lineRule="auto"/>
        <w:rPr>
          <w:rFonts w:ascii="仿宋" w:hAnsi="仿宋" w:eastAsia="仿宋"/>
          <w:sz w:val="24"/>
        </w:rPr>
      </w:pPr>
      <w:r>
        <w:rPr>
          <w:rFonts w:hint="eastAsia" w:ascii="仿宋" w:hAnsi="仿宋" w:eastAsia="仿宋"/>
          <w:sz w:val="24"/>
        </w:rPr>
        <w:t>4)▲托盘托架：机柜内托盘或托架数量可满足设备上架要求，每个托架或托盘要求承重不小于80KG。</w:t>
      </w:r>
    </w:p>
    <w:p>
      <w:pPr>
        <w:pStyle w:val="2"/>
        <w:ind w:left="0" w:firstLine="0"/>
      </w:pPr>
    </w:p>
    <w:p>
      <w:pPr>
        <w:spacing w:line="360" w:lineRule="auto"/>
        <w:rPr>
          <w:rFonts w:ascii="仿宋" w:hAnsi="仿宋" w:eastAsia="仿宋"/>
          <w:b/>
          <w:bCs/>
          <w:color w:val="000000"/>
          <w:sz w:val="24"/>
        </w:rPr>
      </w:pPr>
      <w:r>
        <w:rPr>
          <w:rFonts w:hint="eastAsia" w:ascii="仿宋" w:hAnsi="仿宋" w:eastAsia="仿宋"/>
          <w:b/>
          <w:bCs/>
          <w:color w:val="000000"/>
          <w:sz w:val="24"/>
        </w:rPr>
        <w:t>4.云资源池要求：</w:t>
      </w:r>
    </w:p>
    <w:p>
      <w:pPr>
        <w:spacing w:line="360" w:lineRule="auto"/>
        <w:rPr>
          <w:rFonts w:ascii="仿宋" w:hAnsi="仿宋" w:eastAsia="仿宋"/>
          <w:color w:val="000000"/>
          <w:sz w:val="24"/>
        </w:rPr>
      </w:pPr>
      <w:r>
        <w:rPr>
          <w:rFonts w:hint="eastAsia" w:ascii="仿宋" w:hAnsi="仿宋" w:eastAsia="仿宋"/>
          <w:color w:val="000000"/>
          <w:sz w:val="24"/>
        </w:rPr>
        <w:t>1.为保证系统稳定性，本次所投网络设备、安全设备、服务器设备优选同一品牌。</w:t>
      </w:r>
    </w:p>
    <w:p>
      <w:pPr>
        <w:spacing w:line="360" w:lineRule="auto"/>
        <w:rPr>
          <w:rFonts w:ascii="仿宋" w:hAnsi="仿宋" w:eastAsia="仿宋"/>
          <w:color w:val="000000"/>
          <w:sz w:val="24"/>
        </w:rPr>
      </w:pPr>
      <w:r>
        <w:rPr>
          <w:rFonts w:hint="eastAsia" w:ascii="仿宋" w:hAnsi="仿宋" w:eastAsia="仿宋"/>
          <w:color w:val="000000"/>
          <w:sz w:val="24"/>
        </w:rPr>
        <w:t>2.设备参数：</w:t>
      </w:r>
    </w:p>
    <w:p>
      <w:pPr>
        <w:keepNext/>
        <w:keepLines/>
        <w:spacing w:line="560" w:lineRule="exact"/>
        <w:ind w:firstLine="640"/>
        <w:jc w:val="left"/>
        <w:outlineLvl w:val="1"/>
        <w:rPr>
          <w:rFonts w:ascii="仿宋" w:hAnsi="仿宋" w:eastAsia="仿宋"/>
          <w:color w:val="000000"/>
          <w:sz w:val="24"/>
        </w:rPr>
      </w:pPr>
      <w:r>
        <w:rPr>
          <w:rFonts w:hint="eastAsia" w:ascii="仿宋" w:hAnsi="仿宋" w:eastAsia="仿宋"/>
          <w:color w:val="000000"/>
          <w:sz w:val="24"/>
        </w:rPr>
        <w:t>数据中心核心交换机</w:t>
      </w:r>
    </w:p>
    <w:tbl>
      <w:tblPr>
        <w:tblStyle w:val="5"/>
        <w:tblW w:w="82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rPr>
                <w:rFonts w:ascii="Calibri" w:hAnsi="Calibri"/>
                <w:b/>
                <w:color w:val="000000"/>
                <w:sz w:val="24"/>
              </w:rPr>
            </w:pPr>
            <w:r>
              <w:rPr>
                <w:rFonts w:hint="eastAsia" w:ascii="Calibri" w:hAnsi="Calibri"/>
                <w:b/>
                <w:color w:val="000000"/>
                <w:sz w:val="24"/>
              </w:rPr>
              <w:t>功能及技术指标</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b/>
                <w:color w:val="000000"/>
                <w:sz w:val="24"/>
              </w:rPr>
            </w:pPr>
            <w:r>
              <w:rPr>
                <w:rFonts w:hint="eastAsia" w:ascii="Calibri" w:hAnsi="Calibri"/>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产品架构</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10G/40G/100G/400G</w:t>
            </w:r>
            <w:r>
              <w:rPr>
                <w:rFonts w:hint="eastAsia" w:ascii="Calibri" w:hAnsi="Calibri"/>
                <w:color w:val="000000"/>
                <w:sz w:val="24"/>
              </w:rPr>
              <w:t>全系列线卡，</w:t>
            </w:r>
          </w:p>
          <w:p>
            <w:pPr>
              <w:rPr>
                <w:rFonts w:ascii="Calibri" w:hAnsi="Calibri"/>
                <w:color w:val="000000"/>
                <w:sz w:val="24"/>
              </w:rPr>
            </w:pPr>
            <w:r>
              <w:rPr>
                <w:rFonts w:hint="eastAsia" w:ascii="Calibri" w:hAnsi="Calibri"/>
                <w:color w:val="000000"/>
                <w:sz w:val="24"/>
              </w:rPr>
              <w:t>考虑用户网络未来</w:t>
            </w:r>
            <w:r>
              <w:rPr>
                <w:rFonts w:ascii="Calibri" w:hAnsi="Calibri"/>
                <w:color w:val="000000"/>
                <w:sz w:val="24"/>
              </w:rPr>
              <w:t>5</w:t>
            </w:r>
            <w:r>
              <w:rPr>
                <w:rFonts w:hint="eastAsia" w:ascii="Calibri" w:hAnsi="Calibri"/>
                <w:color w:val="000000"/>
                <w:sz w:val="24"/>
              </w:rPr>
              <w:t>年扩展性及兼容性，以上速率板卡均可以混插，一起使用，无需更换主控及网板；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▲性能要求</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交换机容量≥</w:t>
            </w:r>
            <w:r>
              <w:rPr>
                <w:rFonts w:ascii="Calibri" w:hAnsi="Calibri"/>
                <w:color w:val="000000"/>
                <w:sz w:val="24"/>
              </w:rPr>
              <w:t>380Tbps</w:t>
            </w:r>
            <w:r>
              <w:rPr>
                <w:rFonts w:hint="eastAsia" w:ascii="Calibri" w:hAnsi="Calibri"/>
                <w:color w:val="000000"/>
                <w:sz w:val="24"/>
              </w:rPr>
              <w:t>，包转发率≥</w:t>
            </w:r>
            <w:r>
              <w:rPr>
                <w:rFonts w:ascii="Calibri" w:hAnsi="Calibri"/>
                <w:color w:val="000000"/>
                <w:sz w:val="24"/>
              </w:rPr>
              <w:t>230400Mpps</w:t>
            </w:r>
            <w:r>
              <w:rPr>
                <w:rFonts w:hint="eastAsia" w:ascii="Calibri" w:hAnsi="Calibri"/>
                <w:color w:val="000000"/>
                <w:sz w:val="24"/>
              </w:rPr>
              <w:t>。以官网所列最低参数为准，提供官网截图证明。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▲硬件要求</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主控板槽位数≥</w:t>
            </w:r>
            <w:r>
              <w:rPr>
                <w:rFonts w:ascii="Calibri" w:hAnsi="Calibri"/>
                <w:color w:val="000000"/>
                <w:sz w:val="24"/>
              </w:rPr>
              <w:t>2</w:t>
            </w:r>
            <w:r>
              <w:rPr>
                <w:rFonts w:hint="eastAsia" w:ascii="Calibri" w:hAnsi="Calibri"/>
                <w:color w:val="000000"/>
                <w:sz w:val="24"/>
              </w:rPr>
              <w:t>，业务板槽位数≥</w:t>
            </w:r>
            <w:r>
              <w:rPr>
                <w:rFonts w:ascii="Calibri" w:hAnsi="Calibri"/>
                <w:color w:val="000000"/>
                <w:sz w:val="24"/>
              </w:rPr>
              <w:t>8</w:t>
            </w:r>
            <w:r>
              <w:rPr>
                <w:rFonts w:hint="eastAsia" w:ascii="Calibri" w:hAnsi="Calibri"/>
                <w:color w:val="000000"/>
                <w:sz w:val="24"/>
              </w:rPr>
              <w:t>，独立交换网板槽位数≥</w:t>
            </w:r>
            <w:r>
              <w:rPr>
                <w:rFonts w:ascii="Calibri" w:hAnsi="Calibri"/>
                <w:color w:val="000000"/>
                <w:sz w:val="24"/>
              </w:rPr>
              <w:t>6</w:t>
            </w:r>
            <w:r>
              <w:rPr>
                <w:rFonts w:hint="eastAsia" w:ascii="Calibri" w:hAnsi="Calibri"/>
                <w:color w:val="000000"/>
                <w:sz w:val="24"/>
              </w:rPr>
              <w:t>。提供官网截图证明。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二层功能</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ERPS</w:t>
            </w:r>
            <w:r>
              <w:rPr>
                <w:rFonts w:hint="eastAsia" w:ascii="Calibri" w:hAnsi="Calibri"/>
                <w:color w:val="000000"/>
                <w:sz w:val="24"/>
              </w:rPr>
              <w:t>以太环保护协议（</w:t>
            </w:r>
            <w:r>
              <w:rPr>
                <w:rFonts w:ascii="Calibri" w:hAnsi="Calibri"/>
                <w:color w:val="000000"/>
                <w:sz w:val="24"/>
              </w:rPr>
              <w:t>G.8032</w:t>
            </w:r>
            <w:r>
              <w:rPr>
                <w:rFonts w:hint="eastAsia" w:ascii="Calibri" w:hAnsi="Calibri"/>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三层功能</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MPLS L3 VPN</w:t>
            </w:r>
            <w:r>
              <w:rPr>
                <w:rFonts w:hint="eastAsia" w:ascii="Calibri" w:hAnsi="Calibri"/>
                <w:color w:val="000000"/>
                <w:sz w:val="24"/>
              </w:rPr>
              <w:t>，支持</w:t>
            </w:r>
            <w:r>
              <w:rPr>
                <w:rFonts w:ascii="Calibri" w:hAnsi="Calibri"/>
                <w:color w:val="000000"/>
                <w:sz w:val="24"/>
              </w:rPr>
              <w:t>MPLS L2 VPN</w:t>
            </w:r>
            <w:r>
              <w:rPr>
                <w:rFonts w:hint="eastAsia" w:ascii="Calibri" w:hAnsi="Calibri"/>
                <w:color w:val="000000"/>
                <w:sz w:val="24"/>
              </w:rPr>
              <w:t>，支持</w:t>
            </w:r>
            <w:r>
              <w:rPr>
                <w:rFonts w:ascii="Calibri" w:hAnsi="Calibri"/>
                <w:color w:val="000000"/>
                <w:sz w:val="24"/>
              </w:rPr>
              <w:t>MPLS VPLS</w:t>
            </w:r>
            <w:r>
              <w:rPr>
                <w:rFonts w:hint="eastAsia" w:ascii="Calibri" w:hAnsi="Calibri"/>
                <w:color w:val="000000"/>
                <w:sz w:val="24"/>
              </w:rPr>
              <w:t>，支持</w:t>
            </w:r>
            <w:r>
              <w:rPr>
                <w:rFonts w:ascii="Calibri" w:hAnsi="Calibri"/>
                <w:color w:val="000000"/>
                <w:sz w:val="24"/>
              </w:rPr>
              <w:t>MPLS TE</w:t>
            </w:r>
            <w:r>
              <w:rPr>
                <w:rFonts w:hint="eastAsia" w:ascii="Calibri" w:hAnsi="Calibri"/>
                <w:color w:val="000000"/>
                <w:sz w:val="24"/>
              </w:rPr>
              <w:t>，支持</w:t>
            </w:r>
            <w:r>
              <w:rPr>
                <w:rFonts w:ascii="Calibri" w:hAnsi="Calibri"/>
                <w:color w:val="000000"/>
                <w:sz w:val="24"/>
              </w:rPr>
              <w:t>MCE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ascii="Calibri" w:hAnsi="Calibri"/>
                <w:color w:val="000000"/>
                <w:sz w:val="24"/>
              </w:rPr>
              <w:t>DC</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 xml:space="preserve">VxLAN </w:t>
            </w:r>
            <w:r>
              <w:rPr>
                <w:rFonts w:hint="eastAsia" w:ascii="Calibri" w:hAnsi="Calibri"/>
                <w:color w:val="000000"/>
                <w:sz w:val="24"/>
              </w:rPr>
              <w:t>网关，支持基于</w:t>
            </w:r>
            <w:r>
              <w:rPr>
                <w:rFonts w:ascii="Calibri" w:hAnsi="Calibri"/>
                <w:color w:val="000000"/>
                <w:sz w:val="24"/>
              </w:rPr>
              <w:t>IPv4/IPv6</w:t>
            </w:r>
            <w:r>
              <w:rPr>
                <w:rFonts w:hint="eastAsia" w:ascii="Calibri" w:hAnsi="Calibri"/>
                <w:color w:val="000000"/>
                <w:sz w:val="24"/>
              </w:rPr>
              <w:t>的</w:t>
            </w:r>
            <w:r>
              <w:rPr>
                <w:rFonts w:ascii="Calibri" w:hAnsi="Calibri"/>
                <w:color w:val="000000"/>
                <w:sz w:val="24"/>
              </w:rPr>
              <w:t>VxLAN</w:t>
            </w:r>
            <w:r>
              <w:rPr>
                <w:rFonts w:hint="eastAsia" w:ascii="Calibri" w:hAnsi="Calibri"/>
                <w:color w:val="000000"/>
                <w:sz w:val="24"/>
              </w:rPr>
              <w:t>二三层互通，实配</w:t>
            </w:r>
            <w:r>
              <w:rPr>
                <w:rFonts w:ascii="Calibri" w:hAnsi="Calibri"/>
                <w:color w:val="000000"/>
                <w:sz w:val="24"/>
              </w:rPr>
              <w:t>VxLAN</w:t>
            </w:r>
            <w:r>
              <w:rPr>
                <w:rFonts w:hint="eastAsia" w:ascii="Calibri" w:hAnsi="Calibri"/>
                <w:color w:val="000000"/>
                <w:sz w:val="24"/>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▲虚拟化</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4</w:t>
            </w:r>
            <w:r>
              <w:rPr>
                <w:rFonts w:hint="eastAsia" w:ascii="Calibri" w:hAnsi="Calibri"/>
                <w:color w:val="000000"/>
                <w:sz w:val="24"/>
              </w:rPr>
              <w:t>框虚拟化，提供官网截图证明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路由协议</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IPv4</w:t>
            </w:r>
            <w:r>
              <w:rPr>
                <w:rFonts w:hint="eastAsia" w:ascii="Calibri" w:hAnsi="Calibri"/>
                <w:color w:val="000000"/>
                <w:sz w:val="24"/>
              </w:rPr>
              <w:t>、</w:t>
            </w:r>
            <w:r>
              <w:rPr>
                <w:rFonts w:ascii="Calibri" w:hAnsi="Calibri"/>
                <w:color w:val="000000"/>
                <w:sz w:val="24"/>
              </w:rPr>
              <w:t>IPv6</w:t>
            </w:r>
            <w:r>
              <w:rPr>
                <w:rFonts w:hint="eastAsia" w:ascii="Calibri" w:hAnsi="Calibri"/>
                <w:color w:val="000000"/>
                <w:sz w:val="24"/>
              </w:rPr>
              <w:t>静态路由、动态单播路由、组播等协议。</w:t>
            </w:r>
          </w:p>
        </w:tc>
      </w:tr>
    </w:tbl>
    <w:p>
      <w:pPr>
        <w:spacing w:after="120"/>
        <w:rPr>
          <w:rFonts w:ascii="Calibri" w:hAnsi="Calibri"/>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数据中心汇聚交换机</w:t>
      </w:r>
    </w:p>
    <w:tbl>
      <w:tblPr>
        <w:tblStyle w:val="5"/>
        <w:tblW w:w="82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rPr>
                <w:rFonts w:ascii="Calibri" w:hAnsi="Calibri"/>
                <w:b/>
                <w:color w:val="000000"/>
                <w:sz w:val="24"/>
              </w:rPr>
            </w:pPr>
            <w:r>
              <w:rPr>
                <w:rFonts w:hint="eastAsia" w:ascii="Calibri" w:hAnsi="Calibri"/>
                <w:b/>
                <w:color w:val="000000"/>
                <w:sz w:val="24"/>
              </w:rPr>
              <w:t>功能及技术指标</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b/>
                <w:color w:val="000000"/>
                <w:sz w:val="24"/>
              </w:rPr>
            </w:pPr>
            <w:r>
              <w:rPr>
                <w:rFonts w:hint="eastAsia" w:ascii="Calibri" w:hAnsi="Calibri"/>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▲性能要求</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交换机容量≥</w:t>
            </w:r>
            <w:r>
              <w:rPr>
                <w:rFonts w:ascii="Calibri" w:hAnsi="Calibri"/>
                <w:color w:val="000000"/>
                <w:sz w:val="24"/>
              </w:rPr>
              <w:t>4Tbps</w:t>
            </w:r>
            <w:r>
              <w:rPr>
                <w:rFonts w:hint="eastAsia" w:ascii="Calibri" w:hAnsi="Calibri"/>
                <w:color w:val="000000"/>
                <w:sz w:val="24"/>
              </w:rPr>
              <w:t>，包转发率≥</w:t>
            </w:r>
            <w:r>
              <w:rPr>
                <w:rFonts w:ascii="Calibri" w:hAnsi="Calibri"/>
                <w:color w:val="000000"/>
                <w:sz w:val="24"/>
              </w:rPr>
              <w:t>1600Mpps</w:t>
            </w:r>
            <w:r>
              <w:rPr>
                <w:rFonts w:hint="eastAsia" w:ascii="Calibri" w:hAnsi="Calibri"/>
                <w:color w:val="000000"/>
                <w:sz w:val="24"/>
              </w:rPr>
              <w:t>。以官网所列最低参数为准，提供官网截图证明。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▲可靠性</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双模块化电源，双模块化风扇，前后或后前通风。提供官网截图证明。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路由协议</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IPv4</w:t>
            </w:r>
            <w:r>
              <w:rPr>
                <w:rFonts w:hint="eastAsia" w:ascii="Calibri" w:hAnsi="Calibri"/>
                <w:color w:val="000000"/>
                <w:sz w:val="24"/>
              </w:rPr>
              <w:t>、</w:t>
            </w:r>
            <w:r>
              <w:rPr>
                <w:rFonts w:ascii="Calibri" w:hAnsi="Calibri"/>
                <w:color w:val="000000"/>
                <w:sz w:val="24"/>
              </w:rPr>
              <w:t>IPv6</w:t>
            </w:r>
            <w:r>
              <w:rPr>
                <w:rFonts w:hint="eastAsia" w:ascii="Calibri" w:hAnsi="Calibri"/>
                <w:color w:val="000000"/>
                <w:sz w:val="24"/>
              </w:rPr>
              <w:t>静态路由、动态单播路由、组播等协议。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ascii="Calibri" w:hAnsi="Calibri"/>
                <w:color w:val="000000"/>
                <w:sz w:val="24"/>
              </w:rPr>
              <w:t>VPN</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MPLS L2 VPN</w:t>
            </w:r>
            <w:r>
              <w:rPr>
                <w:rFonts w:hint="eastAsia" w:ascii="Calibri" w:hAnsi="Calibri"/>
                <w:color w:val="000000"/>
                <w:sz w:val="24"/>
              </w:rPr>
              <w:t>、</w:t>
            </w:r>
            <w:r>
              <w:rPr>
                <w:rFonts w:ascii="Calibri" w:hAnsi="Calibri"/>
                <w:color w:val="000000"/>
                <w:sz w:val="24"/>
              </w:rPr>
              <w:t>MPLS L3 VPN</w:t>
            </w:r>
            <w:r>
              <w:rPr>
                <w:rFonts w:hint="eastAsia" w:ascii="Calibri" w:hAnsi="Calibri"/>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ascii="Calibri" w:hAnsi="Calibri"/>
                <w:color w:val="000000"/>
                <w:sz w:val="24"/>
              </w:rPr>
              <w:t>VxLAN</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VxLAN</w:t>
            </w:r>
            <w:r>
              <w:rPr>
                <w:rFonts w:hint="eastAsia" w:ascii="Calibri" w:hAnsi="Calibri"/>
                <w:color w:val="000000"/>
                <w:sz w:val="24"/>
              </w:rPr>
              <w:t>二层互通，支持</w:t>
            </w:r>
            <w:r>
              <w:rPr>
                <w:rFonts w:ascii="Calibri" w:hAnsi="Calibri"/>
                <w:color w:val="000000"/>
                <w:sz w:val="24"/>
              </w:rPr>
              <w:t>EVPN</w:t>
            </w:r>
            <w:r>
              <w:rPr>
                <w:rFonts w:hint="eastAsia" w:ascii="Calibri" w:hAnsi="Calibri"/>
                <w:color w:val="000000"/>
                <w:sz w:val="24"/>
              </w:rPr>
              <w:t>分布式网关二三层互通功能。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配置要求</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实配</w:t>
            </w:r>
            <w:r>
              <w:rPr>
                <w:rFonts w:ascii="Calibri" w:hAnsi="Calibri"/>
                <w:color w:val="000000"/>
                <w:sz w:val="24"/>
              </w:rPr>
              <w:t>10 GE</w:t>
            </w:r>
            <w:r>
              <w:rPr>
                <w:rFonts w:hint="eastAsia" w:ascii="Calibri" w:hAnsi="Calibri"/>
                <w:color w:val="000000"/>
                <w:sz w:val="24"/>
              </w:rPr>
              <w:t>光接口≥</w:t>
            </w:r>
            <w:r>
              <w:rPr>
                <w:rFonts w:ascii="Calibri" w:hAnsi="Calibri"/>
                <w:color w:val="000000"/>
                <w:sz w:val="24"/>
              </w:rPr>
              <w:t>48</w:t>
            </w:r>
            <w:r>
              <w:rPr>
                <w:rFonts w:hint="eastAsia" w:ascii="Calibri" w:hAnsi="Calibri"/>
                <w:color w:val="000000"/>
                <w:sz w:val="24"/>
              </w:rPr>
              <w:t>个，</w:t>
            </w:r>
            <w:r>
              <w:rPr>
                <w:rFonts w:ascii="Calibri" w:hAnsi="Calibri"/>
                <w:color w:val="000000"/>
                <w:sz w:val="24"/>
              </w:rPr>
              <w:t>40 GE</w:t>
            </w:r>
            <w:r>
              <w:rPr>
                <w:rFonts w:hint="eastAsia" w:ascii="Calibri" w:hAnsi="Calibri"/>
                <w:color w:val="000000"/>
                <w:sz w:val="24"/>
              </w:rPr>
              <w:t>光接口≥</w:t>
            </w:r>
            <w:r>
              <w:rPr>
                <w:rFonts w:ascii="Calibri" w:hAnsi="Calibri"/>
                <w:color w:val="000000"/>
                <w:sz w:val="24"/>
              </w:rPr>
              <w:t>6</w:t>
            </w:r>
            <w:r>
              <w:rPr>
                <w:rFonts w:hint="eastAsia" w:ascii="Calibri" w:hAnsi="Calibri"/>
                <w:color w:val="000000"/>
                <w:sz w:val="24"/>
              </w:rPr>
              <w:t>个，万兆多模光模块≥</w:t>
            </w:r>
            <w:r>
              <w:rPr>
                <w:rFonts w:ascii="Calibri" w:hAnsi="Calibri"/>
                <w:color w:val="000000"/>
                <w:sz w:val="24"/>
              </w:rPr>
              <w:t>24</w:t>
            </w:r>
            <w:r>
              <w:rPr>
                <w:rFonts w:hint="eastAsia" w:ascii="Calibri" w:hAnsi="Calibri"/>
                <w:color w:val="000000"/>
                <w:sz w:val="24"/>
              </w:rPr>
              <w:t>个，</w:t>
            </w:r>
            <w:r>
              <w:rPr>
                <w:rFonts w:ascii="Calibri" w:hAnsi="Calibri"/>
                <w:color w:val="000000"/>
                <w:sz w:val="24"/>
              </w:rPr>
              <w:t>40G</w:t>
            </w:r>
            <w:r>
              <w:rPr>
                <w:rFonts w:hint="eastAsia" w:ascii="Calibri" w:hAnsi="Calibri"/>
                <w:color w:val="000000"/>
                <w:sz w:val="24"/>
              </w:rPr>
              <w:t>多模光模块≥</w:t>
            </w:r>
            <w:r>
              <w:rPr>
                <w:rFonts w:ascii="Calibri" w:hAnsi="Calibri"/>
                <w:color w:val="000000"/>
                <w:sz w:val="24"/>
              </w:rPr>
              <w:t>4</w:t>
            </w:r>
            <w:r>
              <w:rPr>
                <w:rFonts w:hint="eastAsia" w:ascii="Calibri" w:hAnsi="Calibri"/>
                <w:color w:val="000000"/>
                <w:sz w:val="24"/>
              </w:rPr>
              <w:t>个，</w:t>
            </w:r>
            <w:r>
              <w:rPr>
                <w:rFonts w:ascii="Calibri" w:hAnsi="Calibri"/>
                <w:color w:val="000000"/>
                <w:sz w:val="24"/>
              </w:rPr>
              <w:t>40G</w:t>
            </w:r>
            <w:r>
              <w:rPr>
                <w:rFonts w:hint="eastAsia" w:ascii="Calibri" w:hAnsi="Calibri"/>
                <w:color w:val="000000"/>
                <w:sz w:val="24"/>
              </w:rPr>
              <w:t>堆叠线缆≥</w:t>
            </w:r>
            <w:r>
              <w:rPr>
                <w:rFonts w:ascii="Calibri" w:hAnsi="Calibri"/>
                <w:color w:val="000000"/>
                <w:sz w:val="24"/>
              </w:rPr>
              <w:t>2</w:t>
            </w:r>
            <w:r>
              <w:rPr>
                <w:rFonts w:hint="eastAsia" w:ascii="Calibri" w:hAnsi="Calibri"/>
                <w:color w:val="000000"/>
                <w:sz w:val="24"/>
              </w:rPr>
              <w:t>个。</w:t>
            </w:r>
          </w:p>
        </w:tc>
      </w:tr>
    </w:tbl>
    <w:p>
      <w:pPr>
        <w:spacing w:after="120"/>
        <w:rPr>
          <w:rFonts w:ascii="Calibri" w:hAnsi="Calibri"/>
          <w:color w:val="FF0000"/>
          <w:sz w:val="24"/>
        </w:rPr>
      </w:pPr>
    </w:p>
    <w:p>
      <w:pPr>
        <w:keepNext/>
        <w:keepLines/>
        <w:spacing w:line="560" w:lineRule="exact"/>
        <w:ind w:firstLine="640"/>
        <w:jc w:val="left"/>
        <w:outlineLvl w:val="1"/>
        <w:rPr>
          <w:rFonts w:ascii="Arial" w:hAnsi="Arial" w:eastAsia="方正黑体_GBK"/>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接入交换机</w:t>
      </w:r>
    </w:p>
    <w:tbl>
      <w:tblPr>
        <w:tblStyle w:val="5"/>
        <w:tblW w:w="82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rPr>
                <w:rFonts w:ascii="Calibri" w:hAnsi="Calibri"/>
                <w:b/>
                <w:color w:val="000000"/>
                <w:sz w:val="24"/>
              </w:rPr>
            </w:pPr>
            <w:r>
              <w:rPr>
                <w:rFonts w:hint="eastAsia" w:ascii="Calibri" w:hAnsi="Calibri"/>
                <w:b/>
                <w:color w:val="000000"/>
                <w:sz w:val="24"/>
              </w:rPr>
              <w:t>功能及技术指标</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b/>
                <w:color w:val="000000"/>
                <w:sz w:val="24"/>
              </w:rPr>
            </w:pPr>
            <w:r>
              <w:rPr>
                <w:rFonts w:hint="eastAsia" w:ascii="Calibri" w:hAnsi="Calibri"/>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▲性能要求</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交换机容量≥</w:t>
            </w:r>
            <w:r>
              <w:rPr>
                <w:rFonts w:ascii="Calibri" w:hAnsi="Calibri"/>
                <w:color w:val="000000"/>
                <w:sz w:val="24"/>
              </w:rPr>
              <w:t>432Gbps</w:t>
            </w:r>
            <w:r>
              <w:rPr>
                <w:rFonts w:hint="eastAsia" w:ascii="Calibri" w:hAnsi="Calibri"/>
                <w:color w:val="000000"/>
                <w:sz w:val="24"/>
              </w:rPr>
              <w:t>，包转发率≥</w:t>
            </w:r>
            <w:r>
              <w:rPr>
                <w:rFonts w:ascii="Calibri" w:hAnsi="Calibri"/>
                <w:color w:val="000000"/>
                <w:sz w:val="24"/>
              </w:rPr>
              <w:t>87Mpps</w:t>
            </w:r>
            <w:r>
              <w:rPr>
                <w:rFonts w:hint="eastAsia" w:ascii="Calibri" w:hAnsi="Calibri"/>
                <w:color w:val="000000"/>
                <w:sz w:val="24"/>
              </w:rPr>
              <w:t>。以官网所列最低参数为准，提供官网截图证明。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ascii="Calibri" w:hAnsi="Calibri"/>
                <w:color w:val="000000"/>
                <w:sz w:val="24"/>
              </w:rPr>
              <w:t>IPV4</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IPv4</w:t>
            </w:r>
            <w:r>
              <w:rPr>
                <w:rFonts w:hint="eastAsia" w:ascii="Calibri" w:hAnsi="Calibri"/>
                <w:color w:val="000000"/>
                <w:sz w:val="24"/>
              </w:rPr>
              <w:t>静态路由、</w:t>
            </w:r>
            <w:r>
              <w:rPr>
                <w:rFonts w:ascii="Calibri" w:hAnsi="Calibri"/>
                <w:color w:val="000000"/>
                <w:sz w:val="24"/>
              </w:rPr>
              <w:t>RIP</w:t>
            </w:r>
            <w:r>
              <w:rPr>
                <w:rFonts w:hint="eastAsia" w:ascii="Calibri" w:hAnsi="Calibri"/>
                <w:color w:val="000000"/>
                <w:sz w:val="24"/>
              </w:rPr>
              <w:t>、</w:t>
            </w:r>
            <w:r>
              <w:rPr>
                <w:rFonts w:ascii="Calibri" w:hAnsi="Calibri"/>
                <w:color w:val="000000"/>
                <w:sz w:val="24"/>
              </w:rPr>
              <w:t>OSPF</w:t>
            </w:r>
            <w:r>
              <w:rPr>
                <w:rFonts w:hint="eastAsia" w:ascii="Calibri" w:hAnsi="Calibri"/>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ascii="Calibri" w:hAnsi="Calibri"/>
                <w:color w:val="000000"/>
                <w:sz w:val="24"/>
              </w:rPr>
              <w:t>IPV6</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IPv6</w:t>
            </w:r>
            <w:r>
              <w:rPr>
                <w:rFonts w:hint="eastAsia" w:ascii="Calibri" w:hAnsi="Calibri"/>
                <w:color w:val="000000"/>
                <w:sz w:val="24"/>
              </w:rPr>
              <w:t>静态路由、</w:t>
            </w:r>
            <w:r>
              <w:rPr>
                <w:rFonts w:ascii="Calibri" w:hAnsi="Calibri"/>
                <w:color w:val="000000"/>
                <w:sz w:val="24"/>
              </w:rPr>
              <w:t>RIPng</w:t>
            </w:r>
            <w:r>
              <w:rPr>
                <w:rFonts w:hint="eastAsia" w:ascii="Calibri" w:hAnsi="Calibri"/>
                <w:color w:val="000000"/>
                <w:sz w:val="24"/>
              </w:rPr>
              <w:t>、</w:t>
            </w:r>
            <w:r>
              <w:rPr>
                <w:rFonts w:ascii="Calibri" w:hAnsi="Calibri"/>
                <w:color w:val="000000"/>
                <w:sz w:val="24"/>
              </w:rPr>
              <w:t>OSPFv3</w:t>
            </w:r>
            <w:r>
              <w:rPr>
                <w:rFonts w:hint="eastAsia" w:ascii="Calibri" w:hAnsi="Calibri"/>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▲虚拟化特性</w:t>
            </w:r>
          </w:p>
        </w:tc>
        <w:tc>
          <w:tcPr>
            <w:tcW w:w="63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支持</w:t>
            </w:r>
            <w:r>
              <w:rPr>
                <w:rFonts w:ascii="Calibri" w:hAnsi="Calibri"/>
                <w:color w:val="000000"/>
                <w:sz w:val="24"/>
              </w:rPr>
              <w:t>N:1</w:t>
            </w:r>
            <w:r>
              <w:rPr>
                <w:rFonts w:hint="eastAsia" w:ascii="Calibri" w:hAnsi="Calibri"/>
                <w:color w:val="000000"/>
                <w:sz w:val="24"/>
              </w:rPr>
              <w:t>虚拟化技术（多台物理设备虚拟成一台逻辑交换机，简化网络管理且提高可靠性）；支持纵向虚拟化，提供官网截图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组播</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IGMP Snooping</w:t>
            </w:r>
            <w:r>
              <w:rPr>
                <w:rFonts w:hint="eastAsia" w:ascii="Calibri" w:hAnsi="Calibri"/>
                <w:color w:val="000000"/>
                <w:sz w:val="24"/>
              </w:rPr>
              <w:t>，支持</w:t>
            </w:r>
            <w:r>
              <w:rPr>
                <w:rFonts w:ascii="Calibri" w:hAnsi="Calibri"/>
                <w:color w:val="000000"/>
                <w:sz w:val="24"/>
              </w:rPr>
              <w:t>MLD Snooping</w:t>
            </w:r>
            <w:r>
              <w:rPr>
                <w:rFonts w:hint="eastAsia" w:ascii="Calibri" w:hAnsi="Calibri"/>
                <w:color w:val="000000"/>
                <w:sz w:val="24"/>
              </w:rPr>
              <w:t>，支持组播</w:t>
            </w:r>
            <w:r>
              <w:rPr>
                <w:rFonts w:ascii="Calibri" w:hAnsi="Calibri"/>
                <w:color w:val="000000"/>
                <w:sz w:val="24"/>
              </w:rPr>
              <w:t>VLAN</w:t>
            </w:r>
            <w:r>
              <w:rPr>
                <w:rFonts w:hint="eastAsia" w:ascii="Calibri" w:hAnsi="Calibri"/>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二层环网协议</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w:t>
            </w:r>
            <w:r>
              <w:rPr>
                <w:rFonts w:ascii="Calibri" w:hAnsi="Calibri"/>
                <w:color w:val="000000"/>
                <w:sz w:val="24"/>
              </w:rPr>
              <w:t>STP/RSTP/MSTP</w:t>
            </w:r>
            <w:r>
              <w:rPr>
                <w:rFonts w:hint="eastAsia" w:ascii="Calibri" w:hAnsi="Calibri"/>
                <w:color w:val="000000"/>
                <w:sz w:val="24"/>
              </w:rPr>
              <w:t>协议，支持</w:t>
            </w:r>
            <w:r>
              <w:rPr>
                <w:rFonts w:ascii="Calibri" w:hAnsi="Calibri"/>
                <w:color w:val="000000"/>
                <w:sz w:val="24"/>
              </w:rPr>
              <w:t>RRPP</w:t>
            </w:r>
            <w:r>
              <w:rPr>
                <w:rFonts w:hint="eastAsia" w:ascii="Calibri" w:hAnsi="Calibri"/>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▲智能网管功能</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支持以设备内置及图形化操作的方式，实现对网络的统一运维及管理。提供官网截图证明。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color w:val="000000"/>
                <w:sz w:val="24"/>
              </w:rPr>
            </w:pPr>
            <w:r>
              <w:rPr>
                <w:rFonts w:hint="eastAsia" w:ascii="Calibri" w:hAnsi="Calibri"/>
                <w:color w:val="000000"/>
                <w:sz w:val="24"/>
              </w:rPr>
              <w:t>配置要求</w:t>
            </w:r>
          </w:p>
        </w:tc>
        <w:tc>
          <w:tcPr>
            <w:tcW w:w="6315" w:type="dxa"/>
            <w:tcBorders>
              <w:top w:val="single" w:color="000000" w:sz="4" w:space="0"/>
              <w:left w:val="single" w:color="000000" w:sz="4" w:space="0"/>
              <w:bottom w:val="single" w:color="000000" w:sz="4" w:space="0"/>
              <w:right w:val="single" w:color="000000" w:sz="4" w:space="0"/>
            </w:tcBorders>
          </w:tcPr>
          <w:p>
            <w:pPr>
              <w:rPr>
                <w:rFonts w:ascii="Calibri" w:hAnsi="Calibri"/>
                <w:color w:val="000000"/>
                <w:sz w:val="24"/>
              </w:rPr>
            </w:pPr>
            <w:r>
              <w:rPr>
                <w:rFonts w:hint="eastAsia" w:ascii="Calibri" w:hAnsi="Calibri"/>
                <w:color w:val="000000"/>
                <w:sz w:val="24"/>
              </w:rPr>
              <w:t>实配</w:t>
            </w:r>
            <w:r>
              <w:rPr>
                <w:rFonts w:ascii="Calibri" w:hAnsi="Calibri"/>
                <w:color w:val="000000"/>
                <w:sz w:val="24"/>
              </w:rPr>
              <w:t>10/100/1000BASE-T</w:t>
            </w:r>
            <w:r>
              <w:rPr>
                <w:rFonts w:hint="eastAsia" w:ascii="Calibri" w:hAnsi="Calibri"/>
                <w:color w:val="000000"/>
                <w:sz w:val="24"/>
              </w:rPr>
              <w:t>电口≥</w:t>
            </w:r>
            <w:r>
              <w:rPr>
                <w:rFonts w:ascii="Calibri" w:hAnsi="Calibri"/>
                <w:color w:val="000000"/>
                <w:sz w:val="24"/>
              </w:rPr>
              <w:t>48</w:t>
            </w:r>
            <w:r>
              <w:rPr>
                <w:rFonts w:hint="eastAsia" w:ascii="Calibri" w:hAnsi="Calibri"/>
                <w:color w:val="000000"/>
                <w:sz w:val="24"/>
              </w:rPr>
              <w:t>个，万兆</w:t>
            </w:r>
            <w:r>
              <w:rPr>
                <w:rFonts w:ascii="Calibri" w:hAnsi="Calibri"/>
                <w:color w:val="000000"/>
                <w:sz w:val="24"/>
              </w:rPr>
              <w:t>SFP+</w:t>
            </w:r>
            <w:r>
              <w:rPr>
                <w:rFonts w:hint="eastAsia" w:ascii="Calibri" w:hAnsi="Calibri"/>
                <w:color w:val="000000"/>
                <w:sz w:val="24"/>
              </w:rPr>
              <w:t>口≥</w:t>
            </w:r>
            <w:r>
              <w:rPr>
                <w:rFonts w:ascii="Calibri" w:hAnsi="Calibri"/>
                <w:color w:val="000000"/>
                <w:sz w:val="24"/>
              </w:rPr>
              <w:t>4</w:t>
            </w:r>
            <w:r>
              <w:rPr>
                <w:rFonts w:hint="eastAsia" w:ascii="Calibri" w:hAnsi="Calibri"/>
                <w:color w:val="000000"/>
                <w:sz w:val="24"/>
              </w:rPr>
              <w:t>个，万兆多模光模块≥</w:t>
            </w:r>
            <w:r>
              <w:rPr>
                <w:rFonts w:ascii="Calibri" w:hAnsi="Calibri"/>
                <w:color w:val="000000"/>
                <w:sz w:val="24"/>
              </w:rPr>
              <w:t>4</w:t>
            </w:r>
            <w:r>
              <w:rPr>
                <w:rFonts w:hint="eastAsia" w:ascii="Calibri" w:hAnsi="Calibri"/>
                <w:color w:val="000000"/>
                <w:sz w:val="24"/>
              </w:rPr>
              <w:t>个。</w:t>
            </w:r>
          </w:p>
        </w:tc>
      </w:tr>
    </w:tbl>
    <w:p>
      <w:pPr>
        <w:spacing w:after="120"/>
        <w:rPr>
          <w:rFonts w:ascii="Calibri" w:hAnsi="Calibri"/>
          <w:color w:val="FF0000"/>
          <w:sz w:val="24"/>
        </w:rPr>
      </w:pPr>
    </w:p>
    <w:p>
      <w:pPr>
        <w:rPr>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防火墙</w:t>
      </w:r>
    </w:p>
    <w:tbl>
      <w:tblPr>
        <w:tblStyle w:val="4"/>
        <w:tblW w:w="793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6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b/>
                <w:color w:val="000000"/>
                <w:sz w:val="24"/>
              </w:rPr>
            </w:pPr>
            <w:r>
              <w:rPr>
                <w:rFonts w:hint="eastAsia" w:ascii="仿宋" w:hAnsi="仿宋" w:eastAsia="仿宋"/>
                <w:b/>
                <w:color w:val="000000"/>
                <w:sz w:val="24"/>
              </w:rPr>
              <w:t>指标项</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b/>
                <w:color w:val="000000"/>
                <w:sz w:val="24"/>
              </w:rPr>
            </w:pPr>
            <w:r>
              <w:rPr>
                <w:rFonts w:hint="eastAsia" w:ascii="仿宋" w:hAnsi="仿宋" w:eastAsia="仿宋"/>
                <w:b/>
                <w:color w:val="000000"/>
                <w:sz w:val="24"/>
              </w:rPr>
              <w:t>技术规格要求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▲配置要求</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千兆电口≥10；千兆光接口≥2；万兆光口≥8；配置双电源；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硬件架构</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采用多核架构；支持交流、直流双电源；支持风扇可插拔；支持前后风道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性能要求</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吞吐量≥40Gbps，最大并发连接数≥1600万，每秒新建连接数≥50万，IPSec吞吐量≥16Gbps，SSL_VPN吞吐量≥2.8Gbps，IPS吞吐量≥18Gbps；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▲安全策略</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 xml:space="preserve">支持一体化安全策略，能够基于时间、用户/用户组、应用层协议、内容安全统一界面进行安全策略配置（提供功能截图)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支持策略风险调优，支持安全策略优化分析，支持策略数冗余及命中分析，支持基于应用风险的策略调优，可根据流量、应用、风险类型等细粒度展示，并给出总体安全评分，便于用户更好的管理安全策略。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jc w:val="center"/>
        </w:trPr>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路由功能</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支持静态路由、策略路由、RIP、OSPF、BGP、ISIS等路由协议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8"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策略路由支持的匹配条件：源IP/目的IP，服务类型，应用类型，报文长度等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9"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IPV6</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支持IPv6 over IPv4 GRE隧道，6RD隧道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协议识别</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可识别应用层协议数量≥5000种；支持识别国标SIP协议及主流安防厂家的私有协议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流量控制</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可支持基于应用层协议设置流控策略，包括设置最大带宽、保证带宽、协议流量优先级等。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支持基于用户，IP的带宽保证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1"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支持每IP，每用户的最大连接数限制，防护服务器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支持用户流量配额管理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支持流量整形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jc w:val="center"/>
        </w:trPr>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▲DDoS防护</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支持HTTP、HTTPS、DNS、SIP等应用层Flood攻击，支持流量自学习功能，可设置自学习时间，并自动生成DDoS防范策略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7"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支持IP信誉。（提供功能截图）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jc w:val="center"/>
        </w:trPr>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NAT</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支持全面NAT功能，对多种应用层协议支持ALG功能，包括ILS、DNS、PPTP、SIP、FTP、ICQ、RTSP、QQ、MSN、MMS等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支持源NAT自动探测并排除NAT-IP地址池中无效地址（防封杀）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支持源NAT地址池使用率超限告警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支持三元组NAT smart-fullcone。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入侵防御及病毒防护</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基于特征检测，支持超过14000种特征的攻击检测和防御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支持基于场景进行策略入侵防御的模板定制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基于对包括但不限于操作系统、网络设备、办公软件、网页服务等保护对象的入侵防御策略，支持基于对漏洞、恶意文件、信息收集类攻击等的攻击分类的防护策略，支持基于服务器、客户端的防护策略，且缺省动作支持黑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1"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可以支持HTTP、FTP、SMTP、POP3、IMAP、NFS等协议的病毒防护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jc w:val="center"/>
        </w:trPr>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加密流量安全防护</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支持对HTTPS，POP3S，SMTPS,IMAPS加密流量代理解密后，并进行内容过滤，审计，安全防护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支持基于URL分类的精细化解密，提高解密性能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4"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可靠性</w:t>
            </w:r>
          </w:p>
        </w:tc>
        <w:tc>
          <w:tcPr>
            <w:tcW w:w="66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olor w:val="000000"/>
                <w:sz w:val="24"/>
              </w:rPr>
            </w:pPr>
            <w:r>
              <w:rPr>
                <w:rFonts w:hint="eastAsia" w:ascii="仿宋" w:hAnsi="仿宋" w:eastAsia="仿宋"/>
                <w:color w:val="000000"/>
                <w:sz w:val="24"/>
              </w:rPr>
              <w:t>支持HA平滑升级，升级窗口中支持不同版本的软件形成双机热备</w:t>
            </w:r>
          </w:p>
        </w:tc>
      </w:tr>
    </w:tbl>
    <w:p>
      <w:pPr>
        <w:rPr>
          <w:rFonts w:ascii="仿宋" w:hAnsi="仿宋" w:eastAsia="仿宋"/>
          <w:color w:val="FF0000"/>
          <w:sz w:val="24"/>
        </w:rPr>
      </w:pPr>
    </w:p>
    <w:p>
      <w:pPr>
        <w:keepNext/>
        <w:keepLines/>
        <w:spacing w:line="560" w:lineRule="exact"/>
        <w:ind w:firstLine="640"/>
        <w:jc w:val="left"/>
        <w:outlineLvl w:val="1"/>
        <w:rPr>
          <w:rFonts w:ascii="Arial" w:hAnsi="Arial" w:eastAsia="方正黑体_GBK"/>
          <w:color w:val="000000"/>
          <w:sz w:val="24"/>
        </w:rPr>
      </w:pPr>
      <w:r>
        <w:rPr>
          <w:rFonts w:ascii="Arial" w:hAnsi="Arial" w:eastAsia="方正黑体_GBK"/>
          <w:color w:val="000000"/>
          <w:sz w:val="24"/>
        </w:rPr>
        <w:t>WAF</w:t>
      </w:r>
    </w:p>
    <w:tbl>
      <w:tblPr>
        <w:tblStyle w:val="5"/>
        <w:tblW w:w="82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▲硬件架构</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2U高，机架式硬件架构，双电源冗余，内存≥8G，硬盘≥1T。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接口要求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万兆以太光口≥4个，万兆多模光模块≥4个。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扩展槽位</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扩展槽位≥4个。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性能要求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应用层吞吐量(get 64k页面）≥3Gbps，HTTP最大并发连接数≥80W，HTTP最大新建连接数≥4W，保护网站站点数量无限制。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部署模式</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支持透明流模式、透明代理模式、反向代理模式、路由牵引模式、镜像检测模式及镜像阻断模式。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旁路阻断</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支持旁路镜像模式下，对检测到的攻击进行旁路阻断。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▲WEB安全防护</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可针对暴力破解等自动化攻击进行有效防护。（提供截图证明）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支持页面访问顺序规则防护。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网站自学习建模，可通过学习URL、host等信息展示网站结构树形图，并支持对URL的访问量和响应健康度进行图形化统计；支持通过自学习的URL参数的长度、类型、范围及请求方法等数据特点创建黑白名单模型，如果参数违反模型则判断为非法流量，直接执行阻断或封禁动作。</w:t>
            </w:r>
          </w:p>
        </w:tc>
      </w:tr>
    </w:tbl>
    <w:p>
      <w:pPr>
        <w:rPr>
          <w:rFonts w:ascii="仿宋" w:hAnsi="仿宋" w:eastAsia="仿宋"/>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运维审计</w:t>
      </w:r>
    </w:p>
    <w:tbl>
      <w:tblPr>
        <w:tblStyle w:val="5"/>
        <w:tblW w:w="82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硬件配置</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双电源冗余，内存≥8G，硬盘≥4T。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接口要求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万兆以太光口≥4个，千兆以太电口≥6个，万兆多模光模块≥4个。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扩展槽位</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扩展槽位≥1个。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▲性能要求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最大图形并发连接数200个，最大字符并发连接数700个。本次实配300个资产的管理能力，支持无限个资产管理的扩容能力。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浏览器</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支持Chrome、Firefox、IE、Safrai等主流浏览器，产品应用不依赖JAVA及Flash。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▲身份认证</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可以将自定义角色组合为全新的认证方式。（提供截图证明）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rPr>
            </w:pP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支持AD账号的自动化同步，可将未纳管的AD账号自动添加到系统中并自动赋予指定角色，无需管理员干预。提供截图证明。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协议类型</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支持SSH、Telnet、RDP、SFTP、XD两种认证方式MCP、VNC等多种协议，支持通过应用发布方式实现对BS、CS应用的纳管。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▲动态视图</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支持按不同属性对资产进行多级分类并自动生成树状结构的资源视图。（提供截图证明）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审计分析</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支持资源、用户、操作三个维度审计智能检索，其中在操作检索层面，支持多关键字检索，检索结果直接定位到相关操作片段，并能将多个会话的操作片段进行一键合并和基于时间的操作排序重组。</w:t>
            </w:r>
          </w:p>
        </w:tc>
      </w:tr>
    </w:tbl>
    <w:p>
      <w:pPr>
        <w:rPr>
          <w:rFonts w:ascii="仿宋" w:hAnsi="仿宋" w:eastAsia="仿宋"/>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数据库审计</w:t>
      </w:r>
    </w:p>
    <w:tbl>
      <w:tblPr>
        <w:tblStyle w:val="5"/>
        <w:tblW w:w="82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硬件配置</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双电源冗余，内存≥4G，硬盘≥2T。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接口要求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万兆以太光口≥4个，千兆以太电口≥4个，万兆多模光模块≥4个。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扩展槽位</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扩展槽位≥1个。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▲性能要求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SQL峰值处理能力不低于3万条/秒，日志存储数量不低于4亿条，可支持审计2个业务系统，每业务挂载数据库数量不限。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管理部署</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界面直观展示设备运行态势，通过五个色块动态展示服务运行状况、审计数据总量、告警总量、健康度（根据健康度自动变化颜色）、系统连续运行时间等重要信息。可在长达90日的时间范围内手动选择展示区间，同时支持以1分钟、10分钟、1小时作为统计单元。系统运行态势，包含SQL事务数（会话数据、明细数据、告警数据）、CPU、内存、负载。支持磁盘和固态盘的I/O使用率、存储状态实时展示，要求存储状态支持类型占比，类型包括数据库文件、备份文件、索引文件、交换文件、数据库缓存、其他，以及提供磁盘健康状态和可用容量预测。以上内容需在同一界面中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数据分析</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事件告警，发现异常或非法行为。提供事件追踪页面，通过事件关联追踪排查事件，多维度定位事件状态，包括地点追踪、屏幕录像，且屏幕录像与该事件一样对应。支持快捷规则配置；同时，支持对审计数据的多种响应方式，包含过滤、记录、windows消息、邮件、syslog、SNMP、屏幕录像、网关联动等多种事件告警和提示方式，第一时间向负责人发送告警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业务审计</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提供监察人员使用的监察视图，可展示今日、本周以及本月统方事件，同时可根据工号为对象进行二次钻取，展示统方事件分布。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报表与查询</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普通查询、模糊查询、明细查询、词组查询、流水号查询五种匹配命中方式，同时可叠加多达27种查询条件，其中包含会话语句种类、重复程度、耗时、数量、排除关键字及时段选择，查询结果支持多种格式导出。</w:t>
            </w:r>
          </w:p>
        </w:tc>
      </w:tr>
    </w:tbl>
    <w:p>
      <w:pPr>
        <w:rPr>
          <w:rFonts w:ascii="仿宋" w:hAnsi="仿宋" w:eastAsia="仿宋"/>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日志审计</w:t>
      </w:r>
    </w:p>
    <w:tbl>
      <w:tblPr>
        <w:tblStyle w:val="5"/>
        <w:tblW w:w="82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硬件配置</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双电源冗余，内存≥2*16G，硬盘≥3*4T。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接口要求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万兆以太光口≥2个，千兆以太电口≥4个，万兆多模光模块≥2个。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扩展槽位</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扩展槽≥3个。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▲性能要求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事件入库性≥4000 EPS，日志源≥1024。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日志管理</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日志按设备类型分布、日志按等级分布、日志按类型分布，并且支持下钻查看详细信息。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关联分析</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可对多源日志进行递归关联、时序关联、统计关联等方式关联分析，提升安全分析结果准确性。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日志检索</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支持全文检索原始日志；支持任意信息、任意时间进行内容查询匹配，支持可选包含/不包含匹配方式。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统计报表</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支持自定义报表中日志统计维度、统计方式（柱状图、饼状图、折线图、表格）。支持用户自定义报表样式，可基于日志、关联事件结果生成50多种维度的自定义统计报告。</w:t>
            </w:r>
          </w:p>
        </w:tc>
      </w:tr>
    </w:tbl>
    <w:p>
      <w:pPr>
        <w:rPr>
          <w:rFonts w:ascii="仿宋" w:hAnsi="仿宋" w:eastAsia="仿宋"/>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终端安全管理系统</w:t>
      </w:r>
    </w:p>
    <w:tbl>
      <w:tblPr>
        <w:tblStyle w:val="5"/>
        <w:tblW w:w="82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▲病毒引擎</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具备人工智能引擎，人工智能引擎支持PE/OFFICE/PDF常见文件类型威胁检测。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信任名单</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支持目录白名单、文件哈希白名单、签名证书白名单三种方式。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漏洞修复</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漏洞修复支持内网WSUS和互联网、隔离环境三种工作模式。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用户体验</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Windows/Linux/国产操作系统提供相同的杀毒UI界面。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olor w:val="000000"/>
                <w:sz w:val="24"/>
              </w:rPr>
            </w:pPr>
            <w:r>
              <w:rPr>
                <w:rFonts w:hint="eastAsia" w:ascii="仿宋" w:hAnsi="仿宋" w:eastAsia="仿宋"/>
                <w:color w:val="000000"/>
                <w:sz w:val="24"/>
              </w:rPr>
              <w:t>配置要求</w:t>
            </w:r>
          </w:p>
        </w:tc>
        <w:tc>
          <w:tcPr>
            <w:tcW w:w="6315"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实配3年40个Linux系统杀毒授权、3年100个Windows Server系统杀毒授权。</w:t>
            </w:r>
          </w:p>
        </w:tc>
      </w:tr>
    </w:tbl>
    <w:p>
      <w:pPr>
        <w:rPr>
          <w:rFonts w:ascii="仿宋" w:hAnsi="仿宋" w:eastAsia="仿宋"/>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管理节点服务器</w:t>
      </w:r>
    </w:p>
    <w:tbl>
      <w:tblPr>
        <w:tblStyle w:val="7"/>
        <w:tblW w:w="83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4"/>
        <w:gridCol w:w="6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外型</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机架式，高度≥2U，标配原厂导轨；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CPU型号</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Intel Xeon Scalable Cascade Lake系列，单颗处理器主频≥2.2GHz,核数≥10；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CPU数量</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bookmarkStart w:id="5" w:name="RANGE!D7"/>
            <w:bookmarkEnd w:id="5"/>
            <w:r>
              <w:rPr>
                <w:rFonts w:hint="eastAsia" w:ascii="仿宋" w:hAnsi="仿宋" w:eastAsia="仿宋"/>
                <w:color w:val="000000"/>
                <w:sz w:val="24"/>
              </w:rPr>
              <w:t>≥2颗；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内存规格</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≥256GB DDR4 3200MHz内存；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▲内存扩展</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最大支持24根DDR4内存，最高速率2933MT/s，支持RDIMM或LRDIMM，最大容量3.0TB；</w:t>
            </w:r>
          </w:p>
          <w:p>
            <w:pPr>
              <w:rPr>
                <w:rFonts w:ascii="仿宋" w:hAnsi="仿宋" w:eastAsia="仿宋"/>
                <w:color w:val="000000"/>
                <w:sz w:val="24"/>
              </w:rPr>
            </w:pPr>
            <w:r>
              <w:rPr>
                <w:rFonts w:hint="eastAsia" w:ascii="仿宋" w:hAnsi="仿宋" w:eastAsia="仿宋"/>
                <w:color w:val="000000"/>
                <w:sz w:val="24"/>
              </w:rPr>
              <w:t>支持12根英特尔傲腾数据中心级持久内存（DCPMM）；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硬盘规格</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配置≥2*1.8TB 10K SAS硬盘；配置≥2*960GB 读写混合型及以上级别SSD硬盘；配置≥2*8TB 7.2K SATA硬盘；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硬盘槽位</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配置≥8个3.5寸机械硬盘槽位，此型号服务器可扩展至≥40个硬盘槽位；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NVMe支持</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最高支持32块前置NVMe硬盘；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阵列控制器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≥1个标配SAS RAID阵列卡（需占用PCIe扩展槽），支持RAID0/1/5/6/50/60/10/1E/Simple Volume,2GB缓存，支持掉电保护；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PCIE插槽</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实配≥4个标准PCIE3.0插槽，最多提供≥10个PCIE3.0插槽；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网卡</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配置≥4个万兆以太网光口；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电源风扇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2个≥550w白金版热插拔冗余电源，支持96%能效比的钛金级电源选件；热插拔冗余风扇；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工作温度</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支持ASHARE A3和A4标准，最高5-50°C标准工作温度；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嵌入式管理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配置≥1Gb独立的远程管理控制端口；</w:t>
            </w:r>
            <w:r>
              <w:rPr>
                <w:rFonts w:hint="eastAsia" w:ascii="仿宋" w:hAnsi="仿宋" w:eastAsia="仿宋"/>
                <w:color w:val="000000"/>
                <w:sz w:val="24"/>
              </w:rPr>
              <w:br w:type="textWrapping"/>
            </w:r>
            <w:r>
              <w:rPr>
                <w:rFonts w:hint="eastAsia" w:ascii="仿宋" w:hAnsi="仿宋" w:eastAsia="仿宋"/>
                <w:color w:val="000000"/>
                <w:sz w:val="24"/>
              </w:rPr>
              <w:t>支持虚拟KVM功能, 可实现与操作系统无关的远程对服务器的完全控制，包括远程的开机、关机、重启、更新Firmware、虚拟光驱、等操作，提供服务器健康日记、服务器控制台录屏/回放功能，能够提供电源监控，支持3D图形化的机箱内部温度拓扑图显示，可支持动态功率封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安全管理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嵌入式管理模块支持防火墙功能，可基于MAC地址，IP定义访问规则，支持OTP的双因素认证方案，提高系统安全性；</w:t>
            </w:r>
          </w:p>
          <w:p>
            <w:pPr>
              <w:rPr>
                <w:rFonts w:ascii="仿宋" w:hAnsi="仿宋" w:eastAsia="仿宋"/>
                <w:color w:val="000000"/>
                <w:sz w:val="24"/>
              </w:rPr>
            </w:pPr>
            <w:r>
              <w:rPr>
                <w:rFonts w:hint="eastAsia" w:ascii="仿宋" w:hAnsi="仿宋" w:eastAsia="仿宋"/>
                <w:color w:val="000000"/>
                <w:sz w:val="24"/>
              </w:rPr>
              <w:t>用户（本地，远程）统一配置到不同的用户组，用户的权限由角色定义，提高系统安全性；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便捷管理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支持SNMP、SMTP、短信、微信、语音告警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硬件安全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可配置机箱入侵侦测，在外部打开机箱时提供报警功能；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▲智能模块</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支持防火墙、IPS、防病毒和QoS的安全功能，（提供官网截图）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集群管理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要求配置集群统一管理平台，支持对服务器、交换机及机箱的统一管理、状态监控、模板化部署等功能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配置主机3台，配置不小于上述要求。</w:t>
            </w:r>
          </w:p>
        </w:tc>
      </w:tr>
    </w:tbl>
    <w:p>
      <w:pPr>
        <w:rPr>
          <w:rFonts w:ascii="仿宋" w:hAnsi="仿宋" w:eastAsia="仿宋"/>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监控节点服务器</w:t>
      </w:r>
    </w:p>
    <w:tbl>
      <w:tblPr>
        <w:tblStyle w:val="7"/>
        <w:tblW w:w="83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4"/>
        <w:gridCol w:w="6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外型</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机架式，高度≥2U，标配原厂导轨；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CPU型号</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Intel Xeon Scalable Cascade Lake系列，单颗处理器主频≥2.2GHz,核数≥10；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CPU数量</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内存规格</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≥256GB DDR4 3200MHz内存；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▲内存扩展</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最大支持24根DDR4内存，最高速率2933MT/s，支持RDIMM或LRDIMM，最大容量3.0TB；</w:t>
            </w:r>
          </w:p>
          <w:p>
            <w:pPr>
              <w:rPr>
                <w:rFonts w:ascii="仿宋" w:hAnsi="仿宋" w:eastAsia="仿宋"/>
                <w:color w:val="000000"/>
                <w:sz w:val="24"/>
              </w:rPr>
            </w:pPr>
            <w:r>
              <w:rPr>
                <w:rFonts w:hint="eastAsia" w:ascii="仿宋" w:hAnsi="仿宋" w:eastAsia="仿宋"/>
                <w:color w:val="000000"/>
                <w:sz w:val="24"/>
              </w:rPr>
              <w:t>支持12根英特尔傲腾数据中心级持久内存（DCPMM）；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硬盘规格</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配置≥2*1.8TB 10K SAS硬盘；配置≥2*960GB 读写混合型及以上级别SSD硬盘；配置≥2*8TB 7.2K SATA硬盘；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硬盘槽位</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配置≥8个3.5寸机械硬盘槽位，此型号服务器可扩展至≥40个硬盘槽位；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NVMe支持</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最高支持32块前置NVMe硬盘；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阵列控制器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≥1个标配SAS RAID阵列卡（需占用PCIe扩展槽），支持RAID0/1/5/6/50/60/10/1E/Simple Volume,2GB缓存，支持掉电保护；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PCIE插槽</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实配≥4个标准PCIE3.0插槽，最多提供≥10个PCIE3.0插槽；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网卡</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配置≥4个万兆以太网光口；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电源风扇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2个≥550w白金版热插拔冗余电源，支持96%能效比的钛金级电源选件；热插拔冗余风扇；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工作温度</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支持ASHARE A3和A4标准，最高5-50°C标准工作温度；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嵌入式管理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配置≥1Gb独立的远程管理控制端口；</w:t>
            </w:r>
            <w:r>
              <w:rPr>
                <w:rFonts w:hint="eastAsia" w:ascii="仿宋" w:hAnsi="仿宋" w:eastAsia="仿宋"/>
                <w:color w:val="000000"/>
                <w:sz w:val="24"/>
              </w:rPr>
              <w:br w:type="textWrapping"/>
            </w:r>
            <w:r>
              <w:rPr>
                <w:rFonts w:hint="eastAsia" w:ascii="仿宋" w:hAnsi="仿宋" w:eastAsia="仿宋"/>
                <w:color w:val="000000"/>
                <w:sz w:val="24"/>
              </w:rPr>
              <w:t>支持虚拟KVM功能, 可实现与操作系统无关的远程对服务器的完全控制，包括远程的开机、关机、重启、更新Firmware、虚拟光驱、等操作，提供服务器健康日记、服务器控制台录屏/回放功能，能够提供电源监控，支持3D图形化的机箱内部温度拓扑图显示，可支持动态功率封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安全管理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嵌入式管理模块支持防火墙功能，可基于MAC地址，IP定义访问规则；</w:t>
            </w:r>
          </w:p>
          <w:p>
            <w:pPr>
              <w:rPr>
                <w:rFonts w:ascii="仿宋" w:hAnsi="仿宋" w:eastAsia="仿宋"/>
                <w:color w:val="000000"/>
                <w:sz w:val="24"/>
              </w:rPr>
            </w:pPr>
            <w:r>
              <w:rPr>
                <w:rFonts w:hint="eastAsia" w:ascii="仿宋" w:hAnsi="仿宋" w:eastAsia="仿宋"/>
                <w:color w:val="000000"/>
                <w:sz w:val="24"/>
              </w:rPr>
              <w:t>支持OTP的双因素认证方案，提高系统安全性；</w:t>
            </w:r>
          </w:p>
          <w:p>
            <w:pPr>
              <w:rPr>
                <w:rFonts w:ascii="仿宋" w:hAnsi="仿宋" w:eastAsia="仿宋"/>
                <w:color w:val="000000"/>
                <w:sz w:val="24"/>
              </w:rPr>
            </w:pPr>
            <w:r>
              <w:rPr>
                <w:rFonts w:hint="eastAsia" w:ascii="仿宋" w:hAnsi="仿宋" w:eastAsia="仿宋"/>
                <w:color w:val="000000"/>
                <w:sz w:val="24"/>
              </w:rPr>
              <w:t>用户（本地，远程）统一配置到不同的用户组，用户的权限由角色定义，提高系统安全性；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便捷管理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支持SNMP、SMTP、短信、语音告警；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硬件安全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可配置机箱入侵侦测，在外部打开机箱时提供报警功能；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▲智能模块</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支持防火墙、IPS、防病毒和QoS的安全功能。（提供官网截图）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集群管理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要求配置集群统一管理平台，支持对服务器、交换机及机箱的统一管理、状态监控、模板化部署等功能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配置主机3台，配置不小于上述要求。</w:t>
            </w:r>
          </w:p>
        </w:tc>
      </w:tr>
    </w:tbl>
    <w:p>
      <w:pPr>
        <w:rPr>
          <w:rFonts w:ascii="仿宋" w:hAnsi="仿宋" w:eastAsia="仿宋"/>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存储节点服务器</w:t>
      </w:r>
    </w:p>
    <w:tbl>
      <w:tblPr>
        <w:tblStyle w:val="7"/>
        <w:tblW w:w="83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4"/>
        <w:gridCol w:w="6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外型</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机架式，高度≥2U，标配原厂导轨；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CPU型号</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Intel Xeon Scalable Cascade Lake系列，单颗处理器主频≥2.2GHz,核数≥10；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CPU数量</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内存规格</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≥128GB DDR4 3200MHz内存；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▲内存扩展</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最大支持24根DDR4内存，最高速率2933MT/s，支持RDIMM或LRDIMM，最大容量3.0TB；</w:t>
            </w:r>
          </w:p>
          <w:p>
            <w:pPr>
              <w:rPr>
                <w:rFonts w:ascii="仿宋" w:hAnsi="仿宋" w:eastAsia="仿宋"/>
                <w:color w:val="000000"/>
                <w:sz w:val="24"/>
              </w:rPr>
            </w:pPr>
            <w:r>
              <w:rPr>
                <w:rFonts w:hint="eastAsia" w:ascii="仿宋" w:hAnsi="仿宋" w:eastAsia="仿宋"/>
                <w:color w:val="000000"/>
                <w:sz w:val="24"/>
              </w:rPr>
              <w:t>支持12根英特尔傲腾数据中心级持久内存（DCPMM）；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硬盘规格</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配置≥2*1.2TB 10K SAS硬盘；配置≥3*960GB 读写混合型及以上级别SSD硬盘；配置≥9*8TB 7.2K SATA硬盘；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硬盘槽位</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配置≥12个3.5寸硬盘槽位和4个2.5寸硬盘槽位，此型号服务器可扩展至≥40个硬盘槽位，；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NVMe支持</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最高支持32块前置NVMe硬盘；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阵列控制器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≥1个标配SAS RAID阵列卡（需占用PCIe扩展槽），支持RAID0/1/5/6/50/60/10/1E/Simple Volume,2GB缓存，支持掉电保护；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PCIE插槽</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实配≥4个标准PCIE3.0插槽，最多提供≥10个PCIE3.0插槽；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网卡</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配置≥4个万兆以太网光口；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电源风扇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2个≥550w白金版热插拔冗余电源，支持96%能效比的钛金级电源选件；热插拔冗余风扇；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工作温度</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支持ASHARE A3和A4标准，最高5-50°C标准工作温度；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嵌入式管理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配置≥1Gb独立的远程管理控制端口；</w:t>
            </w:r>
            <w:r>
              <w:rPr>
                <w:rFonts w:hint="eastAsia" w:ascii="仿宋" w:hAnsi="仿宋" w:eastAsia="仿宋"/>
                <w:color w:val="000000"/>
                <w:sz w:val="24"/>
              </w:rPr>
              <w:br w:type="textWrapping"/>
            </w:r>
            <w:r>
              <w:rPr>
                <w:rFonts w:hint="eastAsia" w:ascii="仿宋" w:hAnsi="仿宋" w:eastAsia="仿宋"/>
                <w:color w:val="000000"/>
                <w:sz w:val="24"/>
              </w:rPr>
              <w:t>支持虚拟KVM功能, 可实现与操作系统无关的远程对服务器的完全控制，包括远程的开机、关机、重启、更新Firmware、虚拟光驱、等操作，提供服务器健康日记、服务器控制台录屏/回放功能，能够提供电源监控，支持3D图形化的机箱内部温度拓扑图显示，可支持动态功率封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安全管理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嵌入式管理模块支持防火墙功能，可基于MAC地址，IP定义访问规则；</w:t>
            </w:r>
          </w:p>
          <w:p>
            <w:pPr>
              <w:rPr>
                <w:rFonts w:ascii="仿宋" w:hAnsi="仿宋" w:eastAsia="仿宋"/>
                <w:color w:val="000000"/>
                <w:sz w:val="24"/>
              </w:rPr>
            </w:pPr>
            <w:r>
              <w:rPr>
                <w:rFonts w:hint="eastAsia" w:ascii="仿宋" w:hAnsi="仿宋" w:eastAsia="仿宋"/>
                <w:color w:val="000000"/>
                <w:sz w:val="24"/>
              </w:rPr>
              <w:t>支持OTP的双因素认证方案，提高系统安全性；</w:t>
            </w:r>
          </w:p>
          <w:p>
            <w:pPr>
              <w:rPr>
                <w:rFonts w:ascii="仿宋" w:hAnsi="仿宋" w:eastAsia="仿宋"/>
                <w:color w:val="000000"/>
                <w:sz w:val="24"/>
              </w:rPr>
            </w:pPr>
            <w:r>
              <w:rPr>
                <w:rFonts w:hint="eastAsia" w:ascii="仿宋" w:hAnsi="仿宋" w:eastAsia="仿宋"/>
                <w:color w:val="000000"/>
                <w:sz w:val="24"/>
              </w:rPr>
              <w:t>用户（本地，远程）统一配置到不同的用户组，用户的权限由角色定义，提高系统安全性；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硬件安全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可配置机箱入侵侦测，在外部打开机箱时提供报警功能；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便捷管理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支持SNMP、SMTP、短信、语音告警；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▲智能模块</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支持防火墙、IPS、防病毒和QoS的安全功能（提供官网截图）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集群管理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要求配置集群统一管理平台，支持对服务器、交换机及机箱的统一管理、状态监控、模板化部署等功能；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配置主机5台，配置不小于上述要求。</w:t>
            </w:r>
          </w:p>
        </w:tc>
      </w:tr>
    </w:tbl>
    <w:p>
      <w:pPr>
        <w:rPr>
          <w:rFonts w:ascii="仿宋" w:hAnsi="仿宋" w:eastAsia="仿宋"/>
          <w:color w:val="000000"/>
          <w:sz w:val="24"/>
        </w:rPr>
      </w:pPr>
    </w:p>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计算节点服务器</w:t>
      </w:r>
    </w:p>
    <w:tbl>
      <w:tblPr>
        <w:tblStyle w:val="7"/>
        <w:tblW w:w="83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4"/>
        <w:gridCol w:w="6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外型</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机架式，高度≥2U，标配原厂导轨；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CPU型号</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Intel Xeon Scalable Cascade Lake系列，单颗处理器主频≥2.2GHz,核数≥18；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CPU数量</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内存规格</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≥512GB DDR4 3200MHz内存；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▲内存扩展</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最大支持24根DDR4内存，最高速率2933MT/s，支持RDIMM或LRDIMM，最大容量3.0TB；</w:t>
            </w:r>
          </w:p>
          <w:p>
            <w:pPr>
              <w:rPr>
                <w:rFonts w:ascii="仿宋" w:hAnsi="仿宋" w:eastAsia="仿宋"/>
                <w:color w:val="000000"/>
                <w:sz w:val="24"/>
              </w:rPr>
            </w:pPr>
            <w:r>
              <w:rPr>
                <w:rFonts w:hint="eastAsia" w:ascii="仿宋" w:hAnsi="仿宋" w:eastAsia="仿宋"/>
                <w:color w:val="000000"/>
                <w:sz w:val="24"/>
              </w:rPr>
              <w:t>支持12根英特尔傲腾数据中心级持久内存（DCPMM）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硬盘规格</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配置≥2*1.2TB 10K SAS硬盘；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硬盘槽位</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配置≥8个2.5寸机械硬盘槽位，此型号服务器可扩展至≥40个硬盘槽位；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NVMe支持</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最高支持32块前置NVMe硬盘；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阵列控制器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≥1个标配SAS RAID阵列卡（需占用PCIe扩展槽），支持RAID0/1/5/6/50/60/10/1E/Simple Volume,2GB缓存，支持掉电保护；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PCIE插槽</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实配≥4个标准PCIE3.0插槽，最多提供≥10个PCIE3.0插槽；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网卡</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配置≥4个万兆以太网光口；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电源风扇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2个≥800w白金版热插拔冗余电源，支持96%能效比的钛金级电源选件；热插拔冗余风扇；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▲工作温度</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支持ASHARE A3和A4标准，最高5-50°C标准工作温度；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嵌入式管理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配置≥1Gb独立的远程管理控制端口；</w:t>
            </w:r>
            <w:r>
              <w:rPr>
                <w:rFonts w:hint="eastAsia" w:ascii="仿宋" w:hAnsi="仿宋" w:eastAsia="仿宋"/>
                <w:color w:val="000000"/>
                <w:sz w:val="24"/>
              </w:rPr>
              <w:br w:type="textWrapping"/>
            </w:r>
            <w:r>
              <w:rPr>
                <w:rFonts w:hint="eastAsia" w:ascii="仿宋" w:hAnsi="仿宋" w:eastAsia="仿宋"/>
                <w:color w:val="000000"/>
                <w:sz w:val="24"/>
              </w:rPr>
              <w:t>支持虚拟KVM功能, 可实现与操作系统无关的远程对服务器的完全控制，包括远程的开机、关机、重启、更新Firmware、虚拟光驱、等操作，提供服务器健康日记、服务器控制台录屏/回放功能，能够提供电源监控，支持3D图形化的机箱内部温度拓扑图显示，可支持动态功率封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安全管理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嵌入式管理模块支持防火墙功能，可基于MAC地址，IP定义访问规则；</w:t>
            </w:r>
          </w:p>
          <w:p>
            <w:pPr>
              <w:rPr>
                <w:rFonts w:ascii="仿宋" w:hAnsi="仿宋" w:eastAsia="仿宋"/>
                <w:color w:val="000000"/>
                <w:sz w:val="24"/>
              </w:rPr>
            </w:pPr>
            <w:r>
              <w:rPr>
                <w:rFonts w:hint="eastAsia" w:ascii="仿宋" w:hAnsi="仿宋" w:eastAsia="仿宋"/>
                <w:color w:val="000000"/>
                <w:sz w:val="24"/>
              </w:rPr>
              <w:t>支持OTP的双因素认证方案，提高系统安全性；</w:t>
            </w:r>
          </w:p>
          <w:p>
            <w:pPr>
              <w:rPr>
                <w:rFonts w:ascii="仿宋" w:hAnsi="仿宋" w:eastAsia="仿宋"/>
                <w:color w:val="000000"/>
                <w:sz w:val="24"/>
              </w:rPr>
            </w:pPr>
            <w:r>
              <w:rPr>
                <w:rFonts w:hint="eastAsia" w:ascii="仿宋" w:hAnsi="仿宋" w:eastAsia="仿宋"/>
                <w:color w:val="000000"/>
                <w:sz w:val="24"/>
              </w:rPr>
              <w:t>用户（本地，远程）统一配置到不同的用户组，用户的权限由角色定义，提高系统安全性；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硬件安全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可配置机箱入侵侦测，在外部打开机箱时提供报警功能；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便捷管理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支持SNMP、SMTP、短信、语音告警；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▲智能模块</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支持防火墙、IPS、防病毒和QoS的安全功能，（提供官网截图）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集群管理</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要求配置集群统一管理平台，支持对服务器、交换机及机箱的统一管理、状态监控、模板化部署等功能；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配置主机4台，配置不小于上述要求。</w:t>
            </w:r>
          </w:p>
        </w:tc>
      </w:tr>
    </w:tbl>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云管平台</w:t>
      </w:r>
    </w:p>
    <w:tbl>
      <w:tblPr>
        <w:tblStyle w:val="7"/>
        <w:tblW w:w="83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4"/>
        <w:gridCol w:w="6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▲云计算平台要求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云管理平台管理节点和OpenStack控制组件须支持以容器形式集群部署，同时支持部署在物理机和虚拟机上，并在部署前自动检测主机性能以识别主机性能是否存在风险。提供平滑升级扩展、高可靠容错机制，各云服务组件之间松耦合，支持不同的服务组件如IaaS、PaaS、大数据、数据库、安全等独立部署，支持不同的服务组件单独启用或停用，单云服务组件升级对其他云服务和云管理平台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运营要求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支持资源租期功能，为云管理员提供统一管理租期选项的能力，用户在申请资源时只能选择指定的资源租期，管理员可以及时调整租期选项以满足云服务的运营需求。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计算服务</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云管理平台支持裸金属服务，用户可以申请裸金属服务器并安装操作系统，或纳管正在运行的裸金属服务器。支持对裸金属服务器进行启动、停止、销毁等生命周期操作。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安全服务</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云管理平台能够提供云防火墙服务，对用户的网络进行安全防护，申请时可以指定防火墙的性能规格并针对TCP、UDP、ICMP不同网络协议进行安全规则配置。一个防火墙可以对租户的多个网络进行防护。</w:t>
            </w:r>
          </w:p>
        </w:tc>
      </w:tr>
    </w:tbl>
    <w:p>
      <w:pPr>
        <w:keepNext/>
        <w:keepLines/>
        <w:spacing w:line="560" w:lineRule="exact"/>
        <w:ind w:firstLine="640"/>
        <w:jc w:val="left"/>
        <w:outlineLvl w:val="1"/>
        <w:rPr>
          <w:rFonts w:ascii="Arial" w:hAnsi="Arial" w:eastAsia="方正黑体_GBK"/>
          <w:color w:val="000000"/>
          <w:sz w:val="24"/>
        </w:rPr>
      </w:pPr>
      <w:r>
        <w:rPr>
          <w:rFonts w:hint="eastAsia" w:ascii="Arial" w:hAnsi="Arial" w:eastAsia="方正黑体_GBK"/>
          <w:color w:val="000000"/>
          <w:sz w:val="24"/>
        </w:rPr>
        <w:t>虚拟化平台</w:t>
      </w:r>
    </w:p>
    <w:tbl>
      <w:tblPr>
        <w:tblStyle w:val="7"/>
        <w:tblW w:w="83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4"/>
        <w:gridCol w:w="6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品牌要求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虚拟化软件非OEM或贴牌产品，禁止借用第三方软件的整合，以保证功能的可靠性和安全性；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▲兼容性要求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虚拟化产品支持海光、鲲鹏、飞腾等业界主流CPU服务器，支持x86架构和ARM架构服务器集群统一管理，支持现有市场上主要国内外操作系统，包括Windows、CentOS、Fedora、RedHat、SUSE、Ubuntu、FreeBSD、MacOS、中标红旗、中标麒麟、中标普华、深度、一铭、凝思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基本功能</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管理平台可以对虚拟机、Kubernetes集群、GPU等算力资源提供统一的资源管理，以满足用户不同业务，不同场景的算力需求，简化管理与运维。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虚拟机可以实现物理机的全部功能，如具有自己的资源（内存、CPU、网卡、存储），可以指定单独的IP地址、MAC地址等。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批量修改虚拟机的配置参数，包括：I/O优先级、启动优先级、是否自动迁移、CPU调度优先级、CPU个数、内存大小、自动启动、VM启动设备、tools自动升级等；支持虚拟机桌面预览功能，无需登录虚拟机即可在虚拟化管理平台上看到虚拟机当前桌面的状态，降低用户运维工作量，提升运维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配置要求</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每颗物理CPU为一个授权许可，配置本次所需的CPU</w:t>
            </w:r>
          </w:p>
        </w:tc>
      </w:tr>
    </w:tbl>
    <w:p>
      <w:pPr>
        <w:keepNext/>
        <w:keepLines/>
        <w:spacing w:line="560" w:lineRule="exact"/>
        <w:ind w:firstLine="640"/>
        <w:jc w:val="left"/>
        <w:outlineLvl w:val="1"/>
        <w:rPr>
          <w:rFonts w:ascii="Arial" w:hAnsi="Arial" w:eastAsia="方正黑体_GBK"/>
          <w:color w:val="000000"/>
          <w:sz w:val="24"/>
        </w:rPr>
      </w:pPr>
      <w:r>
        <w:rPr>
          <w:rFonts w:ascii="Arial" w:hAnsi="Arial" w:eastAsia="方正黑体_GBK"/>
          <w:color w:val="000000"/>
          <w:sz w:val="24"/>
        </w:rPr>
        <w:t>SDN</w:t>
      </w:r>
      <w:r>
        <w:rPr>
          <w:rFonts w:hint="eastAsia" w:ascii="Arial" w:hAnsi="Arial" w:eastAsia="方正黑体_GBK"/>
          <w:color w:val="000000"/>
          <w:sz w:val="24"/>
        </w:rPr>
        <w:t>控制器</w:t>
      </w:r>
    </w:p>
    <w:tbl>
      <w:tblPr>
        <w:tblStyle w:val="7"/>
        <w:tblW w:w="83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4"/>
        <w:gridCol w:w="6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功能及技术指标</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b/>
                <w:color w:val="000000"/>
                <w:sz w:val="24"/>
              </w:rPr>
            </w:pPr>
            <w:r>
              <w:rPr>
                <w:rFonts w:hint="eastAsia" w:ascii="仿宋" w:hAnsi="仿宋" w:eastAsia="仿宋"/>
                <w:b/>
                <w:color w:val="000000"/>
                <w:sz w:val="24"/>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▲高可用能力</w:t>
            </w:r>
          </w:p>
        </w:tc>
        <w:tc>
          <w:tcPr>
            <w:tcW w:w="6386" w:type="dxa"/>
            <w:tcBorders>
              <w:top w:val="single" w:color="000000" w:sz="4" w:space="0"/>
              <w:left w:val="single" w:color="000000" w:sz="4" w:space="0"/>
              <w:bottom w:val="single" w:color="000000" w:sz="4" w:space="0"/>
              <w:right w:val="single" w:color="000000" w:sz="4" w:space="0"/>
            </w:tcBorders>
          </w:tcPr>
          <w:p>
            <w:pPr>
              <w:outlineLvl w:val="0"/>
              <w:rPr>
                <w:rFonts w:ascii="仿宋" w:hAnsi="仿宋" w:eastAsia="仿宋"/>
                <w:color w:val="000000"/>
                <w:sz w:val="24"/>
              </w:rPr>
            </w:pPr>
            <w:r>
              <w:rPr>
                <w:rFonts w:hint="eastAsia" w:ascii="仿宋" w:hAnsi="仿宋" w:eastAsia="仿宋"/>
                <w:color w:val="000000"/>
                <w:sz w:val="24"/>
              </w:rPr>
              <w:t>控制器支持2+1+1冷备方式部署，增强管理控制平面的可靠性；其中1台为冷备模式，当集群出现多节点故障，导致集群无法正常工作时，冷备节点可以启动后快速加入集群，实现快速的灾备恢复；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重要网络能力</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支持基于EVPN的组播，并可通过控制器下发EVPN组播配置，包括DC内L2组播、L3组播、跨VPC组播、跨DC内外部组播等；支持组播最优复制，流量在最接近接收者的设备上复制，减少网络带宽占用。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组网中的各种交换机设备角色均支持无堆叠组网及其自动化部署，避免设备升级影响业务。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安全服务能力</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微分段策略源端匹配功能：策略生效点是在源端Leaf，流量在源端阻断/放行，避免隔离流量绕行。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计算联动</w:t>
            </w: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控制器可以直接对接VMware vCenter、RedHat RHVM等虚拟化管理平台，实现计算与网络的联动，统一计算和网络配置的入口，避免线下信息传递。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p>
        </w:tc>
        <w:tc>
          <w:tcPr>
            <w:tcW w:w="6386"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000000"/>
                <w:sz w:val="24"/>
              </w:rPr>
            </w:pPr>
            <w:r>
              <w:rPr>
                <w:rFonts w:hint="eastAsia" w:ascii="仿宋" w:hAnsi="仿宋" w:eastAsia="仿宋"/>
                <w:color w:val="000000"/>
                <w:sz w:val="24"/>
              </w:rPr>
              <w:t>支持对接不少于64个VMwarevCetner或RedHat RHVM集群，实现大规模组网。</w:t>
            </w:r>
          </w:p>
        </w:tc>
      </w:tr>
    </w:tbl>
    <w:p>
      <w:pPr>
        <w:pStyle w:val="2"/>
        <w:ind w:left="0" w:firstLine="0"/>
      </w:pPr>
    </w:p>
    <w:p>
      <w:pPr>
        <w:spacing w:after="120"/>
        <w:rPr>
          <w:rFonts w:ascii="仿宋" w:hAnsi="仿宋" w:eastAsia="仿宋"/>
          <w:sz w:val="24"/>
        </w:rPr>
      </w:pPr>
    </w:p>
    <w:p>
      <w:pPr>
        <w:spacing w:line="360" w:lineRule="auto"/>
        <w:rPr>
          <w:rFonts w:hint="eastAsia" w:ascii="仿宋" w:hAnsi="仿宋" w:eastAsia="仿宋"/>
          <w:b/>
          <w:bCs/>
          <w:sz w:val="24"/>
        </w:rPr>
      </w:pPr>
      <w:r>
        <w:rPr>
          <w:rFonts w:hint="eastAsia" w:ascii="仿宋" w:hAnsi="仿宋" w:eastAsia="仿宋"/>
          <w:b/>
          <w:bCs/>
          <w:sz w:val="24"/>
        </w:rPr>
        <w:t>五、人员配备要求</w:t>
      </w:r>
    </w:p>
    <w:p>
      <w:pPr>
        <w:spacing w:line="360" w:lineRule="auto"/>
        <w:ind w:firstLine="480"/>
        <w:rPr>
          <w:rFonts w:hint="eastAsia" w:ascii="仿宋" w:hAnsi="仿宋" w:eastAsia="仿宋"/>
          <w:sz w:val="24"/>
        </w:rPr>
      </w:pPr>
      <w:r>
        <w:rPr>
          <w:rFonts w:hint="eastAsia" w:ascii="仿宋" w:hAnsi="仿宋" w:eastAsia="仿宋"/>
          <w:sz w:val="24"/>
        </w:rPr>
        <w:t>至少配备2名机房驻场运维人员，保证每天都有驻场运维人员值班。运维人员需熟悉TCP/IP及常见网络协议，熟悉主流厂家交换机、路由器、防火墙配置命令，能按工作要求完成现场巡检，设备维护，故障排除等</w:t>
      </w:r>
      <w:bookmarkEnd w:id="2"/>
      <w:bookmarkEnd w:id="3"/>
      <w:r>
        <w:rPr>
          <w:rFonts w:hint="eastAsia" w:ascii="仿宋" w:hAnsi="仿宋" w:eastAsia="仿宋"/>
          <w:sz w:val="24"/>
        </w:rPr>
        <w:t>。</w:t>
      </w:r>
    </w:p>
    <w:p>
      <w:pPr>
        <w:spacing w:line="360" w:lineRule="auto"/>
        <w:rPr>
          <w:rFonts w:hint="eastAsia" w:ascii="仿宋" w:hAnsi="仿宋" w:eastAsia="仿宋"/>
          <w:b/>
          <w:bCs/>
          <w:sz w:val="24"/>
        </w:rPr>
      </w:pPr>
      <w:r>
        <w:rPr>
          <w:rFonts w:hint="eastAsia" w:ascii="仿宋" w:hAnsi="仿宋" w:eastAsia="仿宋"/>
          <w:b/>
          <w:bCs/>
          <w:sz w:val="24"/>
        </w:rPr>
        <w:t>六、服务期限：</w:t>
      </w:r>
      <w:r>
        <w:rPr>
          <w:rFonts w:hint="eastAsia" w:ascii="仿宋" w:hAnsi="仿宋" w:eastAsia="仿宋"/>
          <w:sz w:val="24"/>
        </w:rPr>
        <w:t>1年。</w:t>
      </w:r>
    </w:p>
    <w:p>
      <w:pPr>
        <w:spacing w:line="360" w:lineRule="auto"/>
        <w:rPr>
          <w:rFonts w:hint="eastAsia" w:ascii="仿宋" w:hAnsi="仿宋" w:eastAsia="仿宋"/>
          <w:b/>
          <w:bCs/>
          <w:sz w:val="24"/>
        </w:rPr>
      </w:pPr>
      <w:r>
        <w:rPr>
          <w:rFonts w:hint="eastAsia" w:ascii="仿宋" w:hAnsi="仿宋" w:eastAsia="仿宋"/>
          <w:b/>
          <w:bCs/>
          <w:sz w:val="24"/>
        </w:rPr>
        <w:t>七、项目实施要求</w:t>
      </w:r>
    </w:p>
    <w:p>
      <w:pPr>
        <w:spacing w:line="360" w:lineRule="auto"/>
        <w:rPr>
          <w:rFonts w:hint="eastAsia" w:ascii="仿宋" w:hAnsi="仿宋" w:eastAsia="仿宋"/>
          <w:sz w:val="24"/>
        </w:rPr>
      </w:pPr>
      <w:r>
        <w:rPr>
          <w:rFonts w:hint="eastAsia" w:ascii="仿宋" w:hAnsi="仿宋" w:eastAsia="仿宋"/>
          <w:sz w:val="24"/>
        </w:rPr>
        <w:t>1、交付时间：投标人应在合同签订后的1个月内完成项目。中标单位应配合业务使用单位进行相应业务系统的搬迁服务，搬迁期间需保证使用单位的网络、业务系统不关停，搬迁过程中所需要的软件、硬件及其他各项投入由中标单位提供，因此产生的各项费用由中标单位承担。中标单位需在5天内向采购单位提供搬迁方案，由采购单位组织服务使用单位进行搬迁方案论证，搬迁方案核通过后双方签订合同；如中标单位5天内无法提供搬迁方案或搬迁方案论证不通过，采购人有权取消其中标资格。</w:t>
      </w:r>
    </w:p>
    <w:p>
      <w:pPr>
        <w:spacing w:line="360" w:lineRule="auto"/>
        <w:rPr>
          <w:rFonts w:hint="eastAsia" w:ascii="仿宋" w:hAnsi="仿宋" w:eastAsia="仿宋"/>
          <w:sz w:val="24"/>
        </w:rPr>
      </w:pPr>
      <w:r>
        <w:rPr>
          <w:rFonts w:hint="eastAsia" w:ascii="仿宋" w:hAnsi="仿宋" w:eastAsia="仿宋"/>
          <w:sz w:val="24"/>
        </w:rPr>
        <w:t>2、交付地点：采购人指定地点。</w:t>
      </w:r>
    </w:p>
    <w:p>
      <w:pPr>
        <w:spacing w:line="360" w:lineRule="auto"/>
        <w:rPr>
          <w:rFonts w:hint="eastAsia" w:ascii="仿宋" w:hAnsi="仿宋" w:eastAsia="仿宋"/>
          <w:b/>
          <w:bCs/>
          <w:sz w:val="24"/>
        </w:rPr>
      </w:pPr>
      <w:r>
        <w:rPr>
          <w:rFonts w:hint="eastAsia" w:ascii="仿宋" w:hAnsi="仿宋" w:eastAsia="仿宋"/>
          <w:b/>
          <w:bCs/>
          <w:sz w:val="24"/>
        </w:rPr>
        <w:t>八、售后服务方案</w:t>
      </w:r>
      <w:bookmarkEnd w:id="0"/>
      <w:bookmarkEnd w:id="1"/>
    </w:p>
    <w:p>
      <w:pPr>
        <w:spacing w:line="360" w:lineRule="auto"/>
        <w:rPr>
          <w:rFonts w:hint="eastAsia" w:ascii="仿宋" w:hAnsi="仿宋" w:eastAsia="仿宋"/>
          <w:sz w:val="24"/>
        </w:rPr>
      </w:pPr>
      <w:r>
        <w:rPr>
          <w:rFonts w:hint="eastAsia" w:ascii="仿宋" w:hAnsi="仿宋" w:eastAsia="仿宋"/>
          <w:sz w:val="24"/>
        </w:rPr>
        <w:t>1、投标人中标后需提供系统扩充、升级方面的保障和技术支持服务，提供7×24小时的技术支持响应。在出现问题时，投标人接到通知后必须派技术人员2小时内赶到现场检查处理。遇到重大事件应无条件响应，且具备现场30分钟内支持的能力。</w:t>
      </w:r>
    </w:p>
    <w:p>
      <w:pPr>
        <w:spacing w:line="360" w:lineRule="auto"/>
        <w:rPr>
          <w:rFonts w:hint="eastAsia" w:ascii="仿宋" w:hAnsi="仿宋" w:eastAsia="仿宋"/>
          <w:sz w:val="24"/>
        </w:rPr>
      </w:pPr>
      <w:r>
        <w:rPr>
          <w:rFonts w:hint="eastAsia" w:ascii="仿宋" w:hAnsi="仿宋" w:eastAsia="仿宋"/>
          <w:sz w:val="24"/>
        </w:rPr>
        <w:t>2、在服务期内，投标人应在徐州成立客户服务队伍，提供良好的维护服务，确保本项目范围内的硬件和软件能够正常使用。</w:t>
      </w:r>
    </w:p>
    <w:p>
      <w:pPr>
        <w:spacing w:line="360" w:lineRule="auto"/>
        <w:rPr>
          <w:rFonts w:hint="eastAsia" w:ascii="仿宋" w:hAnsi="仿宋" w:eastAsia="仿宋"/>
          <w:sz w:val="24"/>
        </w:rPr>
      </w:pPr>
      <w:r>
        <w:rPr>
          <w:rFonts w:hint="eastAsia" w:ascii="仿宋" w:hAnsi="仿宋" w:eastAsia="仿宋"/>
          <w:sz w:val="24"/>
        </w:rPr>
        <w:t>3、投标人中标后，须在甲方验收合格后免费提供1年不少于2人的驻场运维团队，包括云平台运维、网络和安全运维。服务级别不低于5×8小时，遇到重大事件应无条件响应，且具备现场半小时内支持的能力。</w:t>
      </w:r>
    </w:p>
    <w:p>
      <w:pPr>
        <w:ind w:right="6"/>
        <w:rPr>
          <w:rFonts w:hint="eastAsia" w:ascii="仿宋" w:hAnsi="仿宋" w:eastAsia="仿宋"/>
          <w:b/>
          <w:bCs/>
          <w:sz w:val="24"/>
        </w:rPr>
      </w:pPr>
      <w:r>
        <w:rPr>
          <w:rFonts w:hint="eastAsia" w:ascii="仿宋" w:hAnsi="仿宋" w:eastAsia="仿宋"/>
          <w:b/>
          <w:bCs/>
          <w:sz w:val="24"/>
        </w:rPr>
        <w:t>九、培训服务方案</w:t>
      </w:r>
    </w:p>
    <w:p>
      <w:pPr>
        <w:spacing w:line="360" w:lineRule="auto"/>
        <w:ind w:firstLine="480"/>
        <w:rPr>
          <w:rFonts w:hint="eastAsia" w:ascii="仿宋" w:hAnsi="仿宋" w:eastAsia="仿宋"/>
          <w:sz w:val="24"/>
        </w:rPr>
      </w:pPr>
      <w:r>
        <w:rPr>
          <w:rFonts w:hint="eastAsia" w:ascii="仿宋" w:hAnsi="仿宋" w:eastAsia="仿宋"/>
          <w:sz w:val="24"/>
        </w:rPr>
        <w:t>针对本项目相关人员培训的具体时间和地点将在采购人认为方便合适的时间和地点举行，内容应包括产品的介绍、产品的使用、产品的日常运维，要求如下：</w:t>
      </w:r>
    </w:p>
    <w:p>
      <w:pPr>
        <w:spacing w:line="360" w:lineRule="auto"/>
        <w:rPr>
          <w:rFonts w:hint="eastAsia" w:ascii="仿宋" w:hAnsi="仿宋" w:eastAsia="仿宋"/>
          <w:sz w:val="24"/>
        </w:rPr>
      </w:pPr>
      <w:r>
        <w:rPr>
          <w:rFonts w:hint="eastAsia" w:ascii="仿宋" w:hAnsi="仿宋" w:eastAsia="仿宋"/>
          <w:sz w:val="24"/>
        </w:rPr>
        <w:t>1、投标人应在投标文件中提交培训计划书、培训内容、详细的课程安排以及培训时间表。</w:t>
      </w:r>
    </w:p>
    <w:p>
      <w:pPr>
        <w:spacing w:line="360" w:lineRule="auto"/>
        <w:rPr>
          <w:rFonts w:hint="eastAsia" w:ascii="仿宋" w:hAnsi="仿宋" w:eastAsia="仿宋"/>
          <w:sz w:val="24"/>
        </w:rPr>
      </w:pPr>
      <w:r>
        <w:rPr>
          <w:rFonts w:hint="eastAsia" w:ascii="仿宋" w:hAnsi="仿宋" w:eastAsia="仿宋"/>
          <w:sz w:val="24"/>
        </w:rPr>
        <w:t>2、投标人中标后须提供现场培训。</w:t>
      </w:r>
    </w:p>
    <w:p>
      <w:pPr>
        <w:spacing w:line="360" w:lineRule="auto"/>
        <w:rPr>
          <w:rFonts w:hint="eastAsia" w:ascii="仿宋" w:hAnsi="仿宋" w:eastAsia="仿宋"/>
          <w:sz w:val="24"/>
        </w:rPr>
      </w:pPr>
      <w:r>
        <w:rPr>
          <w:rFonts w:hint="eastAsia" w:ascii="仿宋" w:hAnsi="仿宋" w:eastAsia="仿宋"/>
          <w:sz w:val="24"/>
        </w:rPr>
        <w:t>3、投标人培训方式须按基本原理、安装操作、运行管理三个方面组织实施。</w:t>
      </w:r>
    </w:p>
    <w:p>
      <w:pPr>
        <w:spacing w:line="360" w:lineRule="auto"/>
        <w:rPr>
          <w:rFonts w:hint="eastAsia" w:ascii="仿宋" w:hAnsi="仿宋" w:eastAsia="仿宋"/>
          <w:sz w:val="24"/>
        </w:rPr>
      </w:pPr>
      <w:r>
        <w:rPr>
          <w:rFonts w:hint="eastAsia" w:ascii="仿宋" w:hAnsi="仿宋" w:eastAsia="仿宋"/>
          <w:sz w:val="24"/>
        </w:rPr>
        <w:t>4、投标人应确保受训人员对系统基本原理、技术特性、操作规范、运行规程、管理维护等方面获得全面了解和掌握，使其能够胜任系统的全部运行、操作、故障分析处理、设备维修和保养等工作。</w:t>
      </w:r>
    </w:p>
    <w:p>
      <w:pPr>
        <w:spacing w:line="360" w:lineRule="auto"/>
        <w:rPr>
          <w:rFonts w:hint="eastAsia" w:ascii="仿宋" w:hAnsi="仿宋" w:eastAsia="仿宋"/>
          <w:sz w:val="24"/>
        </w:rPr>
      </w:pPr>
      <w:r>
        <w:rPr>
          <w:rFonts w:hint="eastAsia" w:ascii="仿宋" w:hAnsi="仿宋" w:eastAsia="仿宋"/>
          <w:sz w:val="24"/>
        </w:rPr>
        <w:t>5、培训的主要内容包括但不限于下表所列：</w:t>
      </w:r>
    </w:p>
    <w:tbl>
      <w:tblPr>
        <w:tblStyle w:val="4"/>
        <w:tblW w:w="86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325"/>
        <w:gridCol w:w="433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5" w:hRule="atLeast"/>
        </w:trPr>
        <w:tc>
          <w:tcPr>
            <w:tcW w:w="738" w:type="dxa"/>
            <w:tcBorders>
              <w:top w:val="single" w:color="000000" w:sz="4" w:space="0"/>
              <w:left w:val="single" w:color="000000" w:sz="4" w:space="0"/>
              <w:bottom w:val="single" w:color="000000" w:sz="4" w:space="0"/>
              <w:right w:val="single" w:color="000000" w:sz="4" w:space="0"/>
            </w:tcBorders>
            <w:shd w:val="clear" w:color="auto" w:fill="D0CECE"/>
            <w:vAlign w:val="center"/>
          </w:tcPr>
          <w:p>
            <w:pPr>
              <w:rPr>
                <w:rFonts w:ascii="宋体" w:hAnsi="宋体"/>
                <w:b/>
                <w:bCs/>
                <w:sz w:val="24"/>
              </w:rPr>
            </w:pPr>
            <w:r>
              <w:rPr>
                <w:rFonts w:hint="eastAsia" w:ascii="宋体" w:hAnsi="宋体"/>
                <w:b/>
                <w:bCs/>
                <w:sz w:val="24"/>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D0CECE"/>
            <w:vAlign w:val="center"/>
          </w:tcPr>
          <w:p>
            <w:pPr>
              <w:ind w:firstLine="482"/>
              <w:rPr>
                <w:rFonts w:ascii="宋体" w:hAnsi="宋体"/>
                <w:b/>
                <w:bCs/>
                <w:sz w:val="24"/>
              </w:rPr>
            </w:pPr>
            <w:r>
              <w:rPr>
                <w:rFonts w:hint="eastAsia" w:ascii="宋体" w:hAnsi="宋体"/>
                <w:b/>
                <w:bCs/>
                <w:sz w:val="24"/>
              </w:rPr>
              <w:t>培训项目</w:t>
            </w:r>
          </w:p>
        </w:tc>
        <w:tc>
          <w:tcPr>
            <w:tcW w:w="4332" w:type="dxa"/>
            <w:tcBorders>
              <w:top w:val="single" w:color="000000" w:sz="4" w:space="0"/>
              <w:left w:val="single" w:color="000000" w:sz="4" w:space="0"/>
              <w:bottom w:val="single" w:color="000000" w:sz="4" w:space="0"/>
              <w:right w:val="single" w:color="000000" w:sz="4" w:space="0"/>
            </w:tcBorders>
            <w:shd w:val="clear" w:color="auto" w:fill="D0CECE"/>
            <w:vAlign w:val="center"/>
          </w:tcPr>
          <w:p>
            <w:pPr>
              <w:ind w:firstLine="482"/>
              <w:rPr>
                <w:rFonts w:ascii="宋体" w:hAnsi="宋体"/>
                <w:b/>
                <w:bCs/>
                <w:sz w:val="24"/>
              </w:rPr>
            </w:pPr>
            <w:r>
              <w:rPr>
                <w:rFonts w:hint="eastAsia" w:ascii="宋体" w:hAnsi="宋体"/>
                <w:b/>
                <w:bCs/>
                <w:sz w:val="24"/>
              </w:rPr>
              <w:t>培训内容</w:t>
            </w:r>
          </w:p>
        </w:tc>
        <w:tc>
          <w:tcPr>
            <w:tcW w:w="1275" w:type="dxa"/>
            <w:tcBorders>
              <w:top w:val="single" w:color="000000" w:sz="4" w:space="0"/>
              <w:left w:val="single" w:color="000000" w:sz="4" w:space="0"/>
              <w:bottom w:val="single" w:color="000000" w:sz="4" w:space="0"/>
              <w:right w:val="single" w:color="000000" w:sz="4" w:space="0"/>
            </w:tcBorders>
            <w:shd w:val="clear" w:color="auto" w:fill="D0CECE"/>
            <w:vAlign w:val="center"/>
          </w:tcPr>
          <w:p>
            <w:pPr>
              <w:jc w:val="left"/>
              <w:rPr>
                <w:rFonts w:ascii="宋体" w:hAnsi="宋体"/>
                <w:b/>
                <w:bCs/>
                <w:sz w:val="24"/>
              </w:rPr>
            </w:pPr>
            <w:r>
              <w:rPr>
                <w:rFonts w:hint="eastAsia" w:ascii="宋体" w:hAnsi="宋体"/>
                <w:b/>
                <w:bCs/>
                <w:sz w:val="24"/>
              </w:rPr>
              <w:t>时长（天）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sz w:val="24"/>
              </w:rPr>
            </w:pPr>
            <w:r>
              <w:rPr>
                <w:rFonts w:hint="eastAsia" w:ascii="仿宋" w:hAnsi="仿宋" w:eastAsia="仿宋"/>
                <w:sz w:val="24"/>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sz w:val="24"/>
              </w:rPr>
            </w:pPr>
            <w:r>
              <w:rPr>
                <w:rFonts w:hint="eastAsia" w:ascii="仿宋" w:hAnsi="仿宋" w:eastAsia="仿宋"/>
                <w:sz w:val="24"/>
              </w:rPr>
              <w:t>云平台运维技术培训</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sz w:val="24"/>
              </w:rPr>
            </w:pPr>
            <w:r>
              <w:rPr>
                <w:rFonts w:hint="eastAsia" w:ascii="仿宋" w:hAnsi="仿宋" w:eastAsia="仿宋"/>
                <w:sz w:val="24"/>
              </w:rPr>
              <w:t>云平台运维能力提升，日常运营业务发放和运维管理操作、运维工具介绍等</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sz w:val="24"/>
              </w:rPr>
            </w:pPr>
            <w:r>
              <w:rPr>
                <w:rFonts w:hint="eastAsia" w:ascii="仿宋" w:hAnsi="仿宋" w:eastAsia="仿宋"/>
                <w:sz w:val="24"/>
              </w:rPr>
              <w:t>5</w:t>
            </w:r>
          </w:p>
        </w:tc>
      </w:tr>
    </w:tbl>
    <w:p>
      <w:pPr>
        <w:ind w:left="256" w:right="6" w:firstLine="624"/>
        <w:rPr>
          <w:rFonts w:hint="eastAsia" w:eastAsia="仿宋_GB2312"/>
          <w:sz w:val="24"/>
        </w:rPr>
      </w:pPr>
    </w:p>
    <w:p>
      <w:pPr>
        <w:spacing w:line="360" w:lineRule="auto"/>
        <w:ind w:firstLine="480"/>
        <w:rPr>
          <w:rFonts w:ascii="仿宋" w:hAnsi="仿宋" w:eastAsia="仿宋"/>
          <w:sz w:val="24"/>
        </w:rPr>
      </w:pPr>
      <w:r>
        <w:rPr>
          <w:rFonts w:hint="eastAsia" w:ascii="仿宋" w:hAnsi="仿宋" w:eastAsia="仿宋"/>
          <w:sz w:val="24"/>
        </w:rPr>
        <w:t>投标人提供的培训服务需要满足以下培训能力：</w:t>
      </w:r>
    </w:p>
    <w:p>
      <w:pPr>
        <w:spacing w:line="360" w:lineRule="auto"/>
        <w:ind w:firstLine="480"/>
        <w:rPr>
          <w:rFonts w:hint="eastAsia" w:ascii="仿宋" w:hAnsi="仿宋" w:eastAsia="仿宋"/>
          <w:sz w:val="24"/>
        </w:rPr>
      </w:pPr>
      <w:r>
        <w:rPr>
          <w:rFonts w:hint="eastAsia" w:ascii="仿宋" w:hAnsi="仿宋" w:eastAsia="仿宋"/>
          <w:sz w:val="24"/>
        </w:rPr>
        <w:t>1、具备政务信息化全系列产品培训能力，包括但不限于大数据、云计算、网络安全、存储、服务器等产品，具备业界认可的政务信息化认证能力；</w:t>
      </w:r>
    </w:p>
    <w:p>
      <w:pPr>
        <w:spacing w:line="360" w:lineRule="auto"/>
        <w:ind w:firstLine="480"/>
        <w:rPr>
          <w:rFonts w:hint="eastAsia" w:ascii="仿宋" w:hAnsi="仿宋" w:eastAsia="仿宋"/>
          <w:sz w:val="24"/>
        </w:rPr>
      </w:pPr>
      <w:r>
        <w:rPr>
          <w:rFonts w:hint="eastAsia" w:ascii="仿宋" w:hAnsi="仿宋" w:eastAsia="仿宋"/>
          <w:sz w:val="24"/>
        </w:rPr>
        <w:t>2、具备提供政务信息化网络全生命周期演进的培训方案，包括规划、设计、部署、维护、优化、运营各阶段初中高级提升培训；</w:t>
      </w:r>
    </w:p>
    <w:p>
      <w:pPr>
        <w:spacing w:line="360" w:lineRule="auto"/>
        <w:ind w:firstLine="480"/>
        <w:rPr>
          <w:rFonts w:hint="eastAsia" w:ascii="仿宋" w:hAnsi="仿宋" w:eastAsia="仿宋"/>
          <w:sz w:val="24"/>
        </w:rPr>
      </w:pPr>
      <w:r>
        <w:rPr>
          <w:rFonts w:hint="eastAsia" w:ascii="仿宋" w:hAnsi="仿宋" w:eastAsia="仿宋"/>
          <w:sz w:val="24"/>
        </w:rPr>
        <w:t>3、授课讲师需有3年以上教学经验；</w:t>
      </w:r>
    </w:p>
    <w:p>
      <w:pPr>
        <w:spacing w:line="360" w:lineRule="auto"/>
        <w:ind w:firstLine="480"/>
        <w:rPr>
          <w:rFonts w:hint="eastAsia" w:ascii="仿宋" w:hAnsi="仿宋" w:eastAsia="仿宋"/>
          <w:sz w:val="24"/>
        </w:rPr>
      </w:pPr>
      <w:r>
        <w:rPr>
          <w:rFonts w:hint="eastAsia" w:ascii="仿宋" w:hAnsi="仿宋" w:eastAsia="仿宋"/>
          <w:sz w:val="24"/>
        </w:rPr>
        <w:t>4、具备专业的实验环境；</w:t>
      </w:r>
    </w:p>
    <w:p>
      <w:pPr>
        <w:spacing w:line="360" w:lineRule="auto"/>
        <w:ind w:firstLine="480"/>
        <w:rPr>
          <w:rFonts w:hint="eastAsia" w:ascii="仿宋" w:hAnsi="仿宋" w:eastAsia="仿宋"/>
          <w:sz w:val="24"/>
        </w:rPr>
      </w:pPr>
      <w:r>
        <w:rPr>
          <w:rFonts w:hint="eastAsia" w:ascii="仿宋" w:hAnsi="仿宋" w:eastAsia="仿宋"/>
          <w:sz w:val="24"/>
        </w:rPr>
        <w:t>5、具备在项目开工前提供培训能力，通过模拟现网配置进行网络实施演练。</w:t>
      </w:r>
    </w:p>
    <w:p>
      <w:pPr>
        <w:ind w:right="6"/>
        <w:rPr>
          <w:rFonts w:hint="eastAsia" w:ascii="仿宋" w:hAnsi="仿宋" w:eastAsia="仿宋"/>
          <w:b/>
          <w:bCs/>
          <w:sz w:val="24"/>
        </w:rPr>
      </w:pPr>
      <w:r>
        <w:rPr>
          <w:rFonts w:hint="eastAsia" w:ascii="仿宋" w:hAnsi="仿宋" w:eastAsia="仿宋"/>
          <w:b/>
          <w:bCs/>
          <w:sz w:val="24"/>
        </w:rPr>
        <w:t>十、项目质量保障</w:t>
      </w:r>
    </w:p>
    <w:p>
      <w:pPr>
        <w:spacing w:line="360" w:lineRule="auto"/>
        <w:ind w:firstLine="480"/>
        <w:rPr>
          <w:rFonts w:hint="eastAsia" w:ascii="仿宋" w:hAnsi="仿宋" w:eastAsia="仿宋"/>
          <w:sz w:val="24"/>
        </w:rPr>
      </w:pPr>
      <w:r>
        <w:rPr>
          <w:rFonts w:hint="eastAsia" w:ascii="仿宋" w:hAnsi="仿宋" w:eastAsia="仿宋"/>
          <w:sz w:val="24"/>
        </w:rPr>
        <w:t>1、投标人须出具承诺函，可在招标结果公示后5个工作日内提供样品云资源测试，如测试结果与响应参数不符，将按照政府采购有关规定承担法律责任。</w:t>
      </w:r>
    </w:p>
    <w:p>
      <w:pPr>
        <w:spacing w:line="360" w:lineRule="auto"/>
        <w:ind w:firstLine="480"/>
        <w:rPr>
          <w:rFonts w:hint="eastAsia" w:ascii="仿宋" w:hAnsi="仿宋" w:eastAsia="仿宋"/>
          <w:sz w:val="24"/>
        </w:rPr>
      </w:pPr>
      <w:r>
        <w:rPr>
          <w:rFonts w:hint="eastAsia" w:ascii="仿宋" w:hAnsi="仿宋" w:eastAsia="仿宋"/>
          <w:sz w:val="24"/>
        </w:rPr>
        <w:t>2、投标人须出具承诺函，承诺配合采购人开展网络安全等级保护第三级安全测评。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82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756AA"/>
    <w:rsid w:val="049756AA"/>
    <w:rsid w:val="2D9C6ABF"/>
    <w:rsid w:val="48890EBD"/>
    <w:rsid w:val="4E862C6C"/>
    <w:rsid w:val="64774F92"/>
    <w:rsid w:val="68DC2598"/>
    <w:rsid w:val="6906295E"/>
    <w:rsid w:val="6BCF3A0D"/>
    <w:rsid w:val="72057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99"/>
    <w:pPr>
      <w:ind w:left="256" w:right="6" w:firstLine="624"/>
    </w:pPr>
    <w:rPr>
      <w:rFonts w:eastAsia="仿宋"/>
      <w:sz w:val="28"/>
      <w:szCs w:val="20"/>
    </w:rPr>
  </w:style>
  <w:style w:type="table" w:customStyle="1" w:styleId="5">
    <w:name w:val="网格型2"/>
    <w:basedOn w:val="6"/>
    <w:qFormat/>
    <w:uiPriority w:val="0"/>
    <w:rPr>
      <w:sz w:val="21"/>
      <w:szCs w:val="22"/>
    </w:rPr>
    <w:tblPr>
      <w:tblLayout w:type="fixed"/>
      <w:tblCellMar>
        <w:top w:w="0" w:type="dxa"/>
        <w:left w:w="0" w:type="dxa"/>
        <w:bottom w:w="0" w:type="dxa"/>
        <w:right w:w="0" w:type="dxa"/>
      </w:tblCellMar>
    </w:tblPr>
  </w:style>
  <w:style w:type="table" w:customStyle="1" w:styleId="6">
    <w:name w:val="普通表格1"/>
    <w:semiHidden/>
    <w:qFormat/>
    <w:uiPriority w:val="0"/>
    <w:tblPr>
      <w:tblLayout w:type="fixed"/>
      <w:tblCellMar>
        <w:top w:w="0" w:type="dxa"/>
        <w:left w:w="0" w:type="dxa"/>
        <w:bottom w:w="0" w:type="dxa"/>
        <w:right w:w="0" w:type="dxa"/>
      </w:tblCellMar>
    </w:tblPr>
  </w:style>
  <w:style w:type="table" w:customStyle="1" w:styleId="7">
    <w:name w:val="网格型1"/>
    <w:basedOn w:val="6"/>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2026-05-22T06:15:00Z</dcterms:created>
  <dc:creator>小仙女</dc:creator>
  <cp:lastModifiedBy>༺ༀ༂࿅࿆贾࿅࿆༂ༀ༻</cp:lastModifiedBy>
  <dcterms:modified xsi:type="dcterms:W3CDTF">2026-05-26T03:04:33Z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F2E404E5AABB43CC8B33152186F393A8_11</vt:lpwstr>
  </property>
  <property fmtid="{D5CDD505-2E9C-101B-9397-08002B2CF9AE}" pid="4" name="KSOTemplateDocerSaveRecord">
    <vt:lpwstr>eyJoZGlkIjoiYjg2MzU1ZTQ4NDk2NDc2MDhlNjdlYmY2MjM1NzBhZmQiLCJ1c2VySWQiOiIyNzkyMTg4OTEifQ==</vt:lpwstr>
  </property>
</Properties>
</file>