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A41A0">
      <w:pPr>
        <w:pStyle w:val="3"/>
        <w:keepNext w:val="0"/>
        <w:keepLines w:val="0"/>
        <w:widowControl/>
        <w:suppressLineNumbers w:val="0"/>
        <w:spacing w:before="0" w:beforeAutospacing="1" w:after="0" w:afterAutospacing="1" w:line="27" w:lineRule="atLeast"/>
        <w:ind w:left="0" w:right="0"/>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 xml:space="preserve">附件： </w:t>
      </w:r>
    </w:p>
    <w:p w14:paraId="2CD3DDC0">
      <w:pPr>
        <w:pStyle w:val="3"/>
        <w:keepNext w:val="0"/>
        <w:keepLines w:val="0"/>
        <w:widowControl/>
        <w:suppressLineNumbers w:val="0"/>
        <w:spacing w:before="0" w:beforeAutospacing="1" w:after="0" w:afterAutospacing="1" w:line="27" w:lineRule="atLeast"/>
        <w:ind w:left="0" w:right="0"/>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如有建议或意见，请以书面形式并加盖公章、注明联系人、联系方式，于20</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2</w:t>
      </w:r>
      <w:r>
        <w:rPr>
          <w:rFonts w:hint="eastAsia" w:ascii="宋体" w:hAnsi="宋体" w:cs="宋体"/>
          <w:color w:val="000000" w:themeColor="text1"/>
          <w:kern w:val="0"/>
          <w:sz w:val="28"/>
          <w:szCs w:val="28"/>
          <w:highlight w:val="none"/>
          <w:lang w:val="en-US" w:eastAsia="zh-CN"/>
          <w14:textFill>
            <w14:solidFill>
              <w14:schemeClr w14:val="tx1"/>
            </w14:solidFill>
          </w14:textFill>
        </w:rPr>
        <w:t>6</w:t>
      </w:r>
      <w:r>
        <w:rPr>
          <w:rFonts w:hint="eastAsia" w:ascii="宋体" w:hAnsi="宋体" w:eastAsia="宋体" w:cs="宋体"/>
          <w:color w:val="000000" w:themeColor="text1"/>
          <w:kern w:val="0"/>
          <w:sz w:val="28"/>
          <w:szCs w:val="28"/>
          <w:highlight w:val="none"/>
          <w14:textFill>
            <w14:solidFill>
              <w14:schemeClr w14:val="tx1"/>
            </w14:solidFill>
          </w14:textFill>
        </w:rPr>
        <w:t>年</w:t>
      </w:r>
      <w:r>
        <w:rPr>
          <w:rFonts w:hint="eastAsia" w:ascii="宋体" w:hAnsi="宋体" w:cs="宋体"/>
          <w:color w:val="000000" w:themeColor="text1"/>
          <w:kern w:val="0"/>
          <w:sz w:val="28"/>
          <w:szCs w:val="28"/>
          <w:highlight w:val="none"/>
          <w:lang w:val="en-US" w:eastAsia="zh-CN"/>
          <w14:textFill>
            <w14:solidFill>
              <w14:schemeClr w14:val="tx1"/>
            </w14:solidFill>
          </w14:textFill>
        </w:rPr>
        <w:t>5</w:t>
      </w:r>
      <w:r>
        <w:rPr>
          <w:rFonts w:hint="eastAsia" w:ascii="宋体" w:hAnsi="宋体" w:eastAsia="宋体" w:cs="宋体"/>
          <w:color w:val="000000" w:themeColor="text1"/>
          <w:kern w:val="0"/>
          <w:sz w:val="28"/>
          <w:szCs w:val="28"/>
          <w:highlight w:val="none"/>
          <w14:textFill>
            <w14:solidFill>
              <w14:schemeClr w14:val="tx1"/>
            </w14:solidFill>
          </w14:textFill>
        </w:rPr>
        <w:t>月</w:t>
      </w:r>
      <w:r>
        <w:rPr>
          <w:rFonts w:hint="eastAsia" w:ascii="宋体" w:hAnsi="宋体" w:cs="宋体"/>
          <w:color w:val="000000" w:themeColor="text1"/>
          <w:kern w:val="0"/>
          <w:sz w:val="28"/>
          <w:szCs w:val="28"/>
          <w:highlight w:val="none"/>
          <w:lang w:val="en-US" w:eastAsia="zh-CN"/>
          <w14:textFill>
            <w14:solidFill>
              <w14:schemeClr w14:val="tx1"/>
            </w14:solidFill>
          </w14:textFill>
        </w:rPr>
        <w:t>15</w:t>
      </w:r>
      <w:r>
        <w:rPr>
          <w:rFonts w:hint="eastAsia" w:ascii="宋体" w:hAnsi="宋体" w:eastAsia="宋体" w:cs="宋体"/>
          <w:color w:val="000000" w:themeColor="text1"/>
          <w:kern w:val="0"/>
          <w:sz w:val="28"/>
          <w:szCs w:val="28"/>
          <w:highlight w:val="none"/>
          <w14:textFill>
            <w14:solidFill>
              <w14:schemeClr w14:val="tx1"/>
            </w14:solidFill>
          </w14:textFill>
        </w:rPr>
        <w:t>日</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17</w:t>
      </w:r>
      <w:r>
        <w:rPr>
          <w:rFonts w:hint="eastAsia" w:ascii="宋体" w:hAnsi="宋体" w:eastAsia="宋体" w:cs="宋体"/>
          <w:color w:val="000000" w:themeColor="text1"/>
          <w:kern w:val="0"/>
          <w:sz w:val="28"/>
          <w:szCs w:val="28"/>
          <w:highlight w:val="none"/>
          <w14:textFill>
            <w14:solidFill>
              <w14:schemeClr w14:val="tx1"/>
            </w14:solidFill>
          </w14:textFill>
        </w:rPr>
        <w:t>:</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00</w:t>
      </w:r>
      <w:r>
        <w:rPr>
          <w:rFonts w:hint="eastAsia" w:ascii="宋体" w:hAnsi="宋体" w:eastAsia="宋体" w:cs="宋体"/>
          <w:color w:val="000000" w:themeColor="text1"/>
          <w:kern w:val="0"/>
          <w:sz w:val="28"/>
          <w:szCs w:val="28"/>
          <w:highlight w:val="none"/>
          <w14:textFill>
            <w14:solidFill>
              <w14:schemeClr w14:val="tx1"/>
            </w14:solidFill>
          </w14:textFill>
        </w:rPr>
        <w:t>之前送至我单位，逾期不受理（如邮寄，20</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2</w:t>
      </w:r>
      <w:r>
        <w:rPr>
          <w:rFonts w:hint="eastAsia" w:ascii="宋体" w:hAnsi="宋体" w:cs="宋体"/>
          <w:color w:val="000000" w:themeColor="text1"/>
          <w:kern w:val="0"/>
          <w:sz w:val="28"/>
          <w:szCs w:val="28"/>
          <w:highlight w:val="none"/>
          <w:lang w:val="en-US" w:eastAsia="zh-CN"/>
          <w14:textFill>
            <w14:solidFill>
              <w14:schemeClr w14:val="tx1"/>
            </w14:solidFill>
          </w14:textFill>
        </w:rPr>
        <w:t>6</w:t>
      </w:r>
      <w:r>
        <w:rPr>
          <w:rFonts w:hint="eastAsia" w:ascii="宋体" w:hAnsi="宋体" w:eastAsia="宋体" w:cs="宋体"/>
          <w:color w:val="000000" w:themeColor="text1"/>
          <w:kern w:val="0"/>
          <w:sz w:val="28"/>
          <w:szCs w:val="28"/>
          <w:highlight w:val="none"/>
          <w14:textFill>
            <w14:solidFill>
              <w14:schemeClr w14:val="tx1"/>
            </w14:solidFill>
          </w14:textFill>
        </w:rPr>
        <w:t>年</w:t>
      </w:r>
      <w:r>
        <w:rPr>
          <w:rFonts w:hint="eastAsia" w:ascii="宋体" w:hAnsi="宋体" w:cs="宋体"/>
          <w:color w:val="000000" w:themeColor="text1"/>
          <w:kern w:val="0"/>
          <w:sz w:val="28"/>
          <w:szCs w:val="28"/>
          <w:highlight w:val="none"/>
          <w:lang w:val="en-US" w:eastAsia="zh-CN"/>
          <w14:textFill>
            <w14:solidFill>
              <w14:schemeClr w14:val="tx1"/>
            </w14:solidFill>
          </w14:textFill>
        </w:rPr>
        <w:t>5</w:t>
      </w:r>
      <w:r>
        <w:rPr>
          <w:rFonts w:hint="eastAsia" w:ascii="宋体" w:hAnsi="宋体" w:eastAsia="宋体" w:cs="宋体"/>
          <w:color w:val="000000" w:themeColor="text1"/>
          <w:kern w:val="0"/>
          <w:sz w:val="28"/>
          <w:szCs w:val="28"/>
          <w:highlight w:val="none"/>
          <w14:textFill>
            <w14:solidFill>
              <w14:schemeClr w14:val="tx1"/>
            </w14:solidFill>
          </w14:textFill>
        </w:rPr>
        <w:t>月</w:t>
      </w:r>
      <w:r>
        <w:rPr>
          <w:rFonts w:hint="eastAsia" w:ascii="宋体" w:hAnsi="宋体" w:cs="宋体"/>
          <w:color w:val="000000" w:themeColor="text1"/>
          <w:kern w:val="0"/>
          <w:sz w:val="28"/>
          <w:szCs w:val="28"/>
          <w:highlight w:val="none"/>
          <w:lang w:val="en-US" w:eastAsia="zh-CN"/>
          <w14:textFill>
            <w14:solidFill>
              <w14:schemeClr w14:val="tx1"/>
            </w14:solidFill>
          </w14:textFill>
        </w:rPr>
        <w:t>15</w:t>
      </w:r>
      <w:r>
        <w:rPr>
          <w:rFonts w:hint="eastAsia" w:ascii="宋体" w:hAnsi="宋体" w:eastAsia="宋体" w:cs="宋体"/>
          <w:color w:val="000000" w:themeColor="text1"/>
          <w:kern w:val="0"/>
          <w:sz w:val="28"/>
          <w:szCs w:val="28"/>
          <w:highlight w:val="none"/>
          <w14:textFill>
            <w14:solidFill>
              <w14:schemeClr w14:val="tx1"/>
            </w14:solidFill>
          </w14:textFill>
        </w:rPr>
        <w:t>日</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17</w:t>
      </w:r>
      <w:r>
        <w:rPr>
          <w:rFonts w:hint="eastAsia" w:ascii="宋体" w:hAnsi="宋体" w:eastAsia="宋体" w:cs="宋体"/>
          <w:color w:val="000000" w:themeColor="text1"/>
          <w:kern w:val="0"/>
          <w:sz w:val="28"/>
          <w:szCs w:val="28"/>
          <w:highlight w:val="none"/>
          <w14:textFill>
            <w14:solidFill>
              <w14:schemeClr w14:val="tx1"/>
            </w14:solidFill>
          </w14:textFill>
        </w:rPr>
        <w:t>:</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00</w:t>
      </w:r>
      <w:r>
        <w:rPr>
          <w:rFonts w:hint="eastAsia" w:ascii="宋体" w:hAnsi="宋体" w:eastAsia="宋体" w:cs="宋体"/>
          <w:color w:val="000000" w:themeColor="text1"/>
          <w:kern w:val="0"/>
          <w:sz w:val="28"/>
          <w:szCs w:val="28"/>
          <w:highlight w:val="none"/>
          <w14:textFill>
            <w14:solidFill>
              <w14:schemeClr w14:val="tx1"/>
            </w14:solidFill>
          </w14:textFill>
        </w:rPr>
        <w:t>之后到达本公司的邮件将不再</w:t>
      </w:r>
      <w:bookmarkStart w:id="0" w:name="_GoBack"/>
      <w:bookmarkEnd w:id="0"/>
      <w:r>
        <w:rPr>
          <w:rFonts w:hint="eastAsia" w:ascii="宋体" w:hAnsi="宋体" w:eastAsia="宋体" w:cs="宋体"/>
          <w:color w:val="000000" w:themeColor="text1"/>
          <w:kern w:val="0"/>
          <w:sz w:val="28"/>
          <w:szCs w:val="28"/>
          <w:highlight w:val="none"/>
          <w14:textFill>
            <w14:solidFill>
              <w14:schemeClr w14:val="tx1"/>
            </w14:solidFill>
          </w14:textFill>
        </w:rPr>
        <w:t xml:space="preserve">受理。） </w:t>
      </w:r>
    </w:p>
    <w:p w14:paraId="2B746C75">
      <w:pPr>
        <w:pStyle w:val="2"/>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项目要求（采购需求）</w:t>
      </w:r>
    </w:p>
    <w:p w14:paraId="33187857">
      <w:pPr>
        <w:pStyle w:val="6"/>
        <w:spacing w:line="360" w:lineRule="auto"/>
        <w:ind w:firstLine="560"/>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 xml:space="preserve">一、项目名称 </w:t>
      </w:r>
    </w:p>
    <w:p w14:paraId="7DFB95F4">
      <w:pPr>
        <w:pStyle w:val="6"/>
        <w:spacing w:line="360" w:lineRule="auto"/>
        <w:ind w:firstLine="560"/>
        <w:rPr>
          <w:rFonts w:hint="eastAsia" w:ascii="宋体" w:hAnsi="宋体"/>
          <w:b/>
          <w:bCs/>
          <w:color w:val="000000" w:themeColor="text1"/>
          <w:sz w:val="24"/>
          <w:highlight w:val="none"/>
          <w:lang w:eastAsia="zh-CN"/>
          <w14:textFill>
            <w14:solidFill>
              <w14:schemeClr w14:val="tx1"/>
            </w14:solidFill>
          </w14:textFill>
        </w:rPr>
      </w:pPr>
      <w:r>
        <w:rPr>
          <w:rFonts w:hint="eastAsia" w:ascii="宋体" w:hAnsi="宋体"/>
          <w:b w:val="0"/>
          <w:bCs w:val="0"/>
          <w:color w:val="000000" w:themeColor="text1"/>
          <w:sz w:val="24"/>
          <w:highlight w:val="none"/>
          <w:lang w:eastAsia="zh-CN"/>
          <w14:textFill>
            <w14:solidFill>
              <w14:schemeClr w14:val="tx1"/>
            </w14:solidFill>
          </w14:textFill>
        </w:rPr>
        <w:t>城区市政道路及小微绿地（城区小微绿地和斑块绿地）</w:t>
      </w:r>
    </w:p>
    <w:p w14:paraId="1237F296">
      <w:pPr>
        <w:pStyle w:val="6"/>
        <w:spacing w:line="360" w:lineRule="auto"/>
        <w:ind w:firstLine="56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二、项目报价</w:t>
      </w:r>
    </w:p>
    <w:p w14:paraId="6AF1286A">
      <w:pPr>
        <w:pStyle w:val="6"/>
        <w:spacing w:line="360" w:lineRule="auto"/>
        <w:ind w:firstLine="560"/>
        <w:rPr>
          <w:rFonts w:hint="eastAsia"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lang w:val="en-US" w:eastAsia="zh-CN"/>
          <w14:textFill>
            <w14:solidFill>
              <w14:schemeClr w14:val="tx1"/>
            </w14:solidFill>
          </w14:textFill>
        </w:rPr>
        <w:t>本项目</w:t>
      </w:r>
      <w:r>
        <w:rPr>
          <w:rFonts w:hint="eastAsia" w:ascii="宋体" w:hAnsi="宋体"/>
          <w:b/>
          <w:bCs/>
          <w:color w:val="000000" w:themeColor="text1"/>
          <w:sz w:val="24"/>
          <w:highlight w:val="none"/>
          <w:lang w:val="en-US" w:eastAsia="zh-CN"/>
          <w14:textFill>
            <w14:solidFill>
              <w14:schemeClr w14:val="tx1"/>
            </w14:solidFill>
          </w14:textFill>
        </w:rPr>
        <w:t>不接受超过3049217.58元人民币</w:t>
      </w:r>
      <w:r>
        <w:rPr>
          <w:rFonts w:hint="eastAsia" w:ascii="宋体" w:hAnsi="宋体"/>
          <w:b w:val="0"/>
          <w:bCs w:val="0"/>
          <w:color w:val="000000" w:themeColor="text1"/>
          <w:sz w:val="24"/>
          <w:highlight w:val="none"/>
          <w:lang w:val="en-US" w:eastAsia="zh-CN"/>
          <w14:textFill>
            <w14:solidFill>
              <w14:schemeClr w14:val="tx1"/>
            </w14:solidFill>
          </w14:textFill>
        </w:rPr>
        <w:t>（采购项目预算金额）的磋商报价。</w:t>
      </w:r>
    </w:p>
    <w:p w14:paraId="3AF393E4">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三、项目概况</w:t>
      </w:r>
    </w:p>
    <w:p w14:paraId="0C812681">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1、项目名称：</w:t>
      </w:r>
      <w:r>
        <w:rPr>
          <w:rFonts w:hint="eastAsia" w:ascii="宋体" w:hAnsi="宋体"/>
          <w:b w:val="0"/>
          <w:bCs w:val="0"/>
          <w:color w:val="000000" w:themeColor="text1"/>
          <w:sz w:val="24"/>
          <w:highlight w:val="none"/>
          <w:lang w:eastAsia="zh-CN"/>
          <w14:textFill>
            <w14:solidFill>
              <w14:schemeClr w14:val="tx1"/>
            </w14:solidFill>
          </w14:textFill>
        </w:rPr>
        <w:t>城区市政道路及小微绿地（城区小微绿地和斑块绿地）</w:t>
      </w:r>
    </w:p>
    <w:p w14:paraId="4BF3AEE6">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2、建设地点：沛县城区</w:t>
      </w:r>
    </w:p>
    <w:p w14:paraId="72F73589">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3、标段划分：本招标工程共分一个标段</w:t>
      </w:r>
    </w:p>
    <w:p w14:paraId="03720257">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4、工程规模：</w:t>
      </w:r>
      <w:r>
        <w:rPr>
          <w:rFonts w:hint="eastAsia" w:ascii="宋体" w:hAnsi="宋体"/>
          <w:b w:val="0"/>
          <w:bCs w:val="0"/>
          <w:color w:val="000000" w:themeColor="text1"/>
          <w:sz w:val="24"/>
          <w:highlight w:val="none"/>
          <w:lang w:val="en-US" w:eastAsia="zh-CN"/>
          <w14:textFill>
            <w14:solidFill>
              <w14:schemeClr w14:val="tx1"/>
            </w14:solidFill>
          </w14:textFill>
        </w:rPr>
        <w:t>3049217.58元人民币。</w:t>
      </w:r>
    </w:p>
    <w:p w14:paraId="55A9F6D5">
      <w:pPr>
        <w:pStyle w:val="6"/>
        <w:spacing w:line="360" w:lineRule="auto"/>
        <w:ind w:firstLine="560"/>
        <w:rPr>
          <w:rFonts w:hint="eastAsia" w:ascii="宋体" w:hAnsi="宋体"/>
          <w:b w:val="0"/>
          <w:bCs w:val="0"/>
          <w:color w:val="000000" w:themeColor="text1"/>
          <w:sz w:val="24"/>
          <w:highlight w:val="none"/>
          <w:lang w:val="en-US" w:eastAsia="zh-CN"/>
          <w14:textFill>
            <w14:solidFill>
              <w14:schemeClr w14:val="tx1"/>
            </w14:solidFill>
          </w14:textFill>
        </w:rPr>
      </w:pPr>
      <w:r>
        <w:rPr>
          <w:rFonts w:hint="eastAsia" w:ascii="宋体" w:hAnsi="宋体"/>
          <w:b w:val="0"/>
          <w:bCs w:val="0"/>
          <w:color w:val="000000" w:themeColor="text1"/>
          <w:sz w:val="24"/>
          <w:highlight w:val="none"/>
          <w:lang w:val="en-US" w:eastAsia="zh-CN"/>
          <w14:textFill>
            <w14:solidFill>
              <w14:schemeClr w14:val="tx1"/>
            </w14:solidFill>
          </w14:textFill>
        </w:rPr>
        <w:t>5</w:t>
      </w:r>
      <w:r>
        <w:rPr>
          <w:rFonts w:hint="eastAsia" w:ascii="宋体" w:hAnsi="宋体"/>
          <w:b w:val="0"/>
          <w:bCs w:val="0"/>
          <w:color w:val="000000" w:themeColor="text1"/>
          <w:sz w:val="24"/>
          <w:highlight w:val="none"/>
          <w14:textFill>
            <w14:solidFill>
              <w14:schemeClr w14:val="tx1"/>
            </w14:solidFill>
          </w14:textFill>
        </w:rPr>
        <w:t>、</w:t>
      </w:r>
      <w:r>
        <w:rPr>
          <w:rFonts w:hint="eastAsia" w:ascii="宋体" w:hAnsi="宋体"/>
          <w:b w:val="0"/>
          <w:bCs w:val="0"/>
          <w:color w:val="000000" w:themeColor="text1"/>
          <w:sz w:val="24"/>
          <w:highlight w:val="none"/>
          <w:lang w:val="en-US" w:eastAsia="zh-CN"/>
          <w14:textFill>
            <w14:solidFill>
              <w14:schemeClr w14:val="tx1"/>
            </w14:solidFill>
          </w14:textFill>
        </w:rPr>
        <w:t>供应商资格条件：</w:t>
      </w:r>
    </w:p>
    <w:p w14:paraId="1C690C9C">
      <w:pPr>
        <w:pStyle w:val="7"/>
        <w:spacing w:line="400" w:lineRule="exact"/>
        <w:ind w:firstLine="48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.投标人合法有效的法人或者其他组织的营业执照等证明文件。以上证明文件提供原件的扫描件。</w:t>
      </w:r>
    </w:p>
    <w:p w14:paraId="7985F4D5">
      <w:pPr>
        <w:pStyle w:val="7"/>
        <w:spacing w:line="400" w:lineRule="exact"/>
        <w:ind w:firstLine="48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.财务状况报告，</w:t>
      </w:r>
      <w:r>
        <w:rPr>
          <w:rFonts w:hint="eastAsia" w:ascii="宋体" w:hAnsi="宋体" w:cs="宋体"/>
          <w:color w:val="000000" w:themeColor="text1"/>
          <w:sz w:val="24"/>
          <w:highlight w:val="none"/>
          <w:lang w:val="en-US" w:eastAsia="zh-CN"/>
          <w14:textFill>
            <w14:solidFill>
              <w14:schemeClr w14:val="tx1"/>
            </w14:solidFill>
          </w14:textFill>
        </w:rPr>
        <w:t>至少提供</w:t>
      </w:r>
      <w:r>
        <w:rPr>
          <w:rFonts w:hint="default" w:ascii="Calibri" w:hAnsi="Calibri" w:cs="Calibri"/>
          <w:color w:val="000000" w:themeColor="text1"/>
          <w:sz w:val="24"/>
          <w:highlight w:val="none"/>
          <w14:textFill>
            <w14:solidFill>
              <w14:schemeClr w14:val="tx1"/>
            </w14:solidFill>
          </w14:textFill>
        </w:rPr>
        <w:t>①</w:t>
      </w:r>
      <w:r>
        <w:rPr>
          <w:rFonts w:hint="eastAsia" w:ascii="宋体" w:hAnsi="宋体" w:cs="宋体"/>
          <w:color w:val="000000" w:themeColor="text1"/>
          <w:sz w:val="24"/>
          <w:highlight w:val="none"/>
          <w14:textFill>
            <w14:solidFill>
              <w14:schemeClr w14:val="tx1"/>
            </w14:solidFill>
          </w14:textFill>
        </w:rPr>
        <w:t>供应商的“首次响应文件提交的截止时间”前6个月内任何1月（不含“首次响应文件提交的截止时间”当月）的资产负债表的扫描件1份；</w:t>
      </w:r>
      <w:r>
        <w:rPr>
          <w:rFonts w:hint="default" w:ascii="Calibri" w:hAnsi="Calibri" w:cs="Calibri"/>
          <w:color w:val="000000" w:themeColor="text1"/>
          <w:sz w:val="24"/>
          <w:highlight w:val="none"/>
          <w14:textFill>
            <w14:solidFill>
              <w14:schemeClr w14:val="tx1"/>
            </w14:solidFill>
          </w14:textFill>
        </w:rPr>
        <w:t>②</w:t>
      </w:r>
      <w:r>
        <w:rPr>
          <w:rFonts w:hint="eastAsia" w:ascii="宋体" w:hAnsi="宋体" w:cs="宋体"/>
          <w:color w:val="000000" w:themeColor="text1"/>
          <w:sz w:val="24"/>
          <w:highlight w:val="none"/>
          <w14:textFill>
            <w14:solidFill>
              <w14:schemeClr w14:val="tx1"/>
            </w14:solidFill>
          </w14:textFill>
        </w:rPr>
        <w:t>供应商的“首次响应文件提交的截止时间”前6个月内任何1月（不含“首次响应文件提交的截止时间”当月）的利润表月报表的扫描件1份。或合法有效的经第三方机构审计的年度财务审计报告（复印件）（202</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年度，应包括审计报告正文、资产负债表、现金流量表、利润表）。</w:t>
      </w:r>
    </w:p>
    <w:p w14:paraId="6EA973AD">
      <w:pPr>
        <w:pStyle w:val="7"/>
        <w:spacing w:line="400" w:lineRule="exact"/>
        <w:ind w:firstLine="48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.投标人的本项目开标时间前6个月内任何1个月的依法缴纳税收和社会保障资金的相关材料扫描件（依法免税或不需要缴纳社会保障资金的供应商,提供相应文件证明其依法免税或不需要缴纳社会保障资金)。</w:t>
      </w:r>
    </w:p>
    <w:p w14:paraId="22D2EA2E">
      <w:pPr>
        <w:pStyle w:val="7"/>
        <w:spacing w:line="400" w:lineRule="exact"/>
        <w:ind w:firstLine="48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4.具备履行合同所必需的设备和专业技术能力的</w:t>
      </w:r>
      <w:r>
        <w:rPr>
          <w:rFonts w:hint="eastAsia" w:ascii="宋体" w:hAnsi="宋体" w:cs="宋体"/>
          <w:color w:val="000000" w:themeColor="text1"/>
          <w:sz w:val="24"/>
          <w:highlight w:val="none"/>
          <w:lang w:val="en-US" w:eastAsia="zh-CN"/>
          <w14:textFill>
            <w14:solidFill>
              <w14:schemeClr w14:val="tx1"/>
            </w14:solidFill>
          </w14:textFill>
        </w:rPr>
        <w:t>书面声明</w:t>
      </w:r>
      <w:r>
        <w:rPr>
          <w:rFonts w:hint="eastAsia" w:ascii="宋体" w:hAnsi="宋体" w:cs="宋体"/>
          <w:color w:val="000000" w:themeColor="text1"/>
          <w:sz w:val="24"/>
          <w:highlight w:val="none"/>
          <w14:textFill>
            <w14:solidFill>
              <w14:schemeClr w14:val="tx1"/>
            </w14:solidFill>
          </w14:textFill>
        </w:rPr>
        <w:t>。响应文件中提供《具备履行合同所必需的设备和专业技术能力的书面声明》（加盖电子签章，格式见《磋商文件》附件）。</w:t>
      </w:r>
    </w:p>
    <w:p w14:paraId="50DC7BBF">
      <w:pPr>
        <w:pStyle w:val="7"/>
        <w:spacing w:line="400" w:lineRule="exact"/>
        <w:ind w:firstLine="48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.供应商参加政府采购活动前3年内在经营活动中没有重大违法记录的书面声明(格式见《磋商文件》附件)。</w:t>
      </w:r>
    </w:p>
    <w:p w14:paraId="2C53F3EC">
      <w:pPr>
        <w:pStyle w:val="7"/>
        <w:spacing w:line="400" w:lineRule="exact"/>
        <w:ind w:firstLine="482"/>
        <w:rPr>
          <w:rFonts w:ascii="宋体" w:hAnsi="宋体" w:cstheme="minorEastAsia"/>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theme="minorEastAsia"/>
          <w:bCs/>
          <w:color w:val="000000" w:themeColor="text1"/>
          <w:sz w:val="24"/>
          <w:highlight w:val="none"/>
          <w14:textFill>
            <w14:solidFill>
              <w14:schemeClr w14:val="tx1"/>
            </w14:solidFill>
          </w14:textFill>
        </w:rPr>
        <w:t>.供应商为中小企业（含中型、小型、微型企业，下同）的，提供《中小企业声明函》（本项目属于专门面向中小微企业采购的项目（必须提供，否则响应无效）），加盖电子签章，填写完整，格式见《磋商文件》附件。“中小企业声明函” 查询渠道用微信搜索“中小企业规模类型自测小程序”。</w:t>
      </w:r>
    </w:p>
    <w:p w14:paraId="619829D7">
      <w:pPr>
        <w:rPr>
          <w:rFonts w:hint="default"/>
          <w:lang w:val="en-US" w:eastAsia="zh-CN"/>
        </w:rPr>
      </w:pPr>
    </w:p>
    <w:p w14:paraId="0EEE4A7D">
      <w:pPr>
        <w:pStyle w:val="6"/>
        <w:spacing w:line="360" w:lineRule="auto"/>
        <w:ind w:firstLine="560"/>
        <w:rPr>
          <w:rFonts w:hint="eastAsia"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14:textFill>
            <w14:solidFill>
              <w14:schemeClr w14:val="tx1"/>
            </w14:solidFill>
          </w14:textFill>
        </w:rPr>
        <w:t>工程内容：</w:t>
      </w:r>
      <w:r>
        <w:rPr>
          <w:rFonts w:hint="eastAsia" w:ascii="宋体" w:hAnsi="宋体"/>
          <w:b w:val="0"/>
          <w:bCs w:val="0"/>
          <w:color w:val="000000" w:themeColor="text1"/>
          <w:sz w:val="24"/>
          <w:highlight w:val="none"/>
          <w:lang w:val="en-US" w:eastAsia="zh-CN"/>
          <w14:textFill>
            <w14:solidFill>
              <w14:schemeClr w14:val="tx1"/>
            </w14:solidFill>
          </w14:textFill>
        </w:rPr>
        <w:t>改善城区市政道路两侧环境，提升城市整体形像，拟对市政道路两侧空白地、重要节点和搭接不畅区域进行景观绿化建设等。</w:t>
      </w:r>
    </w:p>
    <w:p w14:paraId="543C78C4">
      <w:pPr>
        <w:pStyle w:val="6"/>
        <w:spacing w:line="360" w:lineRule="auto"/>
        <w:ind w:firstLine="560"/>
        <w:rPr>
          <w:rFonts w:hint="eastAsia"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lang w:val="en-US" w:eastAsia="zh-CN"/>
          <w14:textFill>
            <w14:solidFill>
              <w14:schemeClr w14:val="tx1"/>
            </w14:solidFill>
          </w14:textFill>
        </w:rPr>
        <w:t>6</w:t>
      </w:r>
      <w:r>
        <w:rPr>
          <w:rFonts w:ascii="宋体" w:hAnsi="宋体"/>
          <w:b w:val="0"/>
          <w:bCs w:val="0"/>
          <w:color w:val="000000" w:themeColor="text1"/>
          <w:sz w:val="24"/>
          <w:highlight w:val="none"/>
          <w14:textFill>
            <w14:solidFill>
              <w14:schemeClr w14:val="tx1"/>
            </w14:solidFill>
          </w14:textFill>
        </w:rPr>
        <w:t>、要求工期：</w:t>
      </w:r>
      <w:r>
        <w:rPr>
          <w:rFonts w:hint="eastAsia" w:ascii="宋体" w:hAnsi="宋体"/>
          <w:b w:val="0"/>
          <w:bCs w:val="0"/>
          <w:color w:val="000000" w:themeColor="text1"/>
          <w:sz w:val="24"/>
          <w:highlight w:val="none"/>
          <w:lang w:val="en-US" w:eastAsia="zh-CN"/>
          <w14:textFill>
            <w14:solidFill>
              <w14:schemeClr w14:val="tx1"/>
            </w14:solidFill>
          </w14:textFill>
        </w:rPr>
        <w:t>自项目开工之日起30日历天，苗木养护期二年三级养护。</w:t>
      </w:r>
    </w:p>
    <w:p w14:paraId="253B3461">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lang w:val="en-US" w:eastAsia="zh-CN"/>
          <w14:textFill>
            <w14:solidFill>
              <w14:schemeClr w14:val="tx1"/>
            </w14:solidFill>
          </w14:textFill>
        </w:rPr>
        <w:t>7</w:t>
      </w:r>
      <w:r>
        <w:rPr>
          <w:rFonts w:ascii="宋体" w:hAnsi="宋体"/>
          <w:b w:val="0"/>
          <w:bCs w:val="0"/>
          <w:color w:val="000000" w:themeColor="text1"/>
          <w:sz w:val="24"/>
          <w:highlight w:val="none"/>
          <w14:textFill>
            <w14:solidFill>
              <w14:schemeClr w14:val="tx1"/>
            </w14:solidFill>
          </w14:textFill>
        </w:rPr>
        <w:t>、质量要求标准：合格，通过相关部门验收。</w:t>
      </w:r>
    </w:p>
    <w:p w14:paraId="05409DE1">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lang w:val="en-US" w:eastAsia="zh-CN"/>
          <w14:textFill>
            <w14:solidFill>
              <w14:schemeClr w14:val="tx1"/>
            </w14:solidFill>
          </w14:textFill>
        </w:rPr>
        <w:t>8</w:t>
      </w:r>
      <w:r>
        <w:rPr>
          <w:rFonts w:ascii="宋体" w:hAnsi="宋体"/>
          <w:b w:val="0"/>
          <w:bCs w:val="0"/>
          <w:color w:val="000000" w:themeColor="text1"/>
          <w:sz w:val="24"/>
          <w:highlight w:val="none"/>
          <w14:textFill>
            <w14:solidFill>
              <w14:schemeClr w14:val="tx1"/>
            </w14:solidFill>
          </w14:textFill>
        </w:rPr>
        <w:t>、承包方式：包工包料。</w:t>
      </w:r>
    </w:p>
    <w:p w14:paraId="44F4CF60">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lang w:val="en-US" w:eastAsia="zh-CN"/>
          <w14:textFill>
            <w14:solidFill>
              <w14:schemeClr w14:val="tx1"/>
            </w14:solidFill>
          </w14:textFill>
        </w:rPr>
        <w:t>9</w:t>
      </w:r>
      <w:r>
        <w:rPr>
          <w:rFonts w:ascii="宋体" w:hAnsi="宋体"/>
          <w:b w:val="0"/>
          <w:bCs w:val="0"/>
          <w:color w:val="000000" w:themeColor="text1"/>
          <w:sz w:val="24"/>
          <w:highlight w:val="none"/>
          <w14:textFill>
            <w14:solidFill>
              <w14:schemeClr w14:val="tx1"/>
            </w14:solidFill>
          </w14:textFill>
        </w:rPr>
        <w:t>、采用的技术规范：</w:t>
      </w:r>
      <w:r>
        <w:rPr>
          <w:rFonts w:hint="eastAsia" w:ascii="宋体" w:hAnsi="宋体"/>
          <w:b w:val="0"/>
          <w:bCs w:val="0"/>
          <w:color w:val="000000" w:themeColor="text1"/>
          <w:sz w:val="24"/>
          <w:highlight w:val="none"/>
          <w:lang w:val="en-US" w:eastAsia="zh-CN"/>
          <w14:textFill>
            <w14:solidFill>
              <w14:schemeClr w14:val="tx1"/>
            </w14:solidFill>
          </w14:textFill>
        </w:rPr>
        <w:t>符合现行国家技术、施工及验收规范规程标准，对施工工艺的特殊要求按设计图纸及国家有关规定执行。</w:t>
      </w:r>
    </w:p>
    <w:p w14:paraId="36DF179E">
      <w:pPr>
        <w:pStyle w:val="6"/>
        <w:spacing w:line="360" w:lineRule="auto"/>
        <w:ind w:firstLine="560"/>
        <w:rPr>
          <w:rFonts w:hint="eastAsia"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14:textFill>
            <w14:solidFill>
              <w14:schemeClr w14:val="tx1"/>
            </w14:solidFill>
          </w14:textFill>
        </w:rPr>
        <w:t>1</w:t>
      </w:r>
      <w:r>
        <w:rPr>
          <w:rFonts w:hint="eastAsia" w:ascii="宋体" w:hAnsi="宋体"/>
          <w:b w:val="0"/>
          <w:bCs w:val="0"/>
          <w:color w:val="000000" w:themeColor="text1"/>
          <w:sz w:val="24"/>
          <w:highlight w:val="none"/>
          <w:lang w:val="en-US" w:eastAsia="zh-CN"/>
          <w14:textFill>
            <w14:solidFill>
              <w14:schemeClr w14:val="tx1"/>
            </w14:solidFill>
          </w14:textFill>
        </w:rPr>
        <w:t>0</w:t>
      </w:r>
      <w:r>
        <w:rPr>
          <w:rFonts w:ascii="宋体" w:hAnsi="宋体"/>
          <w:b w:val="0"/>
          <w:bCs w:val="0"/>
          <w:color w:val="000000" w:themeColor="text1"/>
          <w:sz w:val="24"/>
          <w:highlight w:val="none"/>
          <w14:textFill>
            <w14:solidFill>
              <w14:schemeClr w14:val="tx1"/>
            </w14:solidFill>
          </w14:textFill>
        </w:rPr>
        <w:t>、现场自然及施工条件：建议供应商对项目现场和周围环境进行实地踏勘，以</w:t>
      </w:r>
      <w:r>
        <w:rPr>
          <w:rFonts w:ascii="宋体" w:hAnsi="宋体"/>
          <w:b w:val="0"/>
          <w:bCs w:val="0"/>
          <w:color w:val="000000" w:themeColor="text1"/>
          <w:sz w:val="24"/>
          <w:highlight w:val="none"/>
          <w:lang w:val="zh-CN"/>
          <w14:textFill>
            <w14:solidFill>
              <w14:schemeClr w14:val="tx1"/>
            </w14:solidFill>
          </w14:textFill>
        </w:rPr>
        <w:t>了解现场的施工环境、施工范围、技术要求及相关服务，</w:t>
      </w:r>
      <w:r>
        <w:rPr>
          <w:rFonts w:ascii="宋体" w:hAnsi="宋体"/>
          <w:b w:val="0"/>
          <w:bCs w:val="0"/>
          <w:color w:val="000000" w:themeColor="text1"/>
          <w:sz w:val="24"/>
          <w:highlight w:val="none"/>
          <w14:textFill>
            <w14:solidFill>
              <w14:schemeClr w14:val="tx1"/>
            </w14:solidFill>
          </w14:textFill>
        </w:rPr>
        <w:t>供应商应承担现场踏勘的责任和风险，费用由供应商自己承担。成交</w:t>
      </w:r>
      <w:r>
        <w:rPr>
          <w:rFonts w:ascii="宋体" w:hAnsi="宋体"/>
          <w:b w:val="0"/>
          <w:bCs w:val="0"/>
          <w:color w:val="000000" w:themeColor="text1"/>
          <w:sz w:val="24"/>
          <w:highlight w:val="none"/>
          <w:lang w:val="zh-CN"/>
          <w14:textFill>
            <w14:solidFill>
              <w14:schemeClr w14:val="tx1"/>
            </w14:solidFill>
          </w14:textFill>
        </w:rPr>
        <w:t>后不得以未踏勘现场或不了解现场为由提出任何增加费用的要求。</w:t>
      </w:r>
    </w:p>
    <w:p w14:paraId="76373E8B">
      <w:pPr>
        <w:pStyle w:val="6"/>
        <w:spacing w:line="360" w:lineRule="auto"/>
        <w:ind w:firstLine="56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四</w:t>
      </w:r>
      <w:r>
        <w:rPr>
          <w:rFonts w:ascii="宋体" w:hAnsi="宋体"/>
          <w:b/>
          <w:bCs/>
          <w:color w:val="000000" w:themeColor="text1"/>
          <w:sz w:val="24"/>
          <w:highlight w:val="none"/>
          <w14:textFill>
            <w14:solidFill>
              <w14:schemeClr w14:val="tx1"/>
            </w14:solidFill>
          </w14:textFill>
        </w:rPr>
        <w:t>、《已标价的工程量清单》要求</w:t>
      </w:r>
    </w:p>
    <w:p w14:paraId="162FAE9E">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（一）工程量清单：详见本项目磋商公告附件《工程量清单》</w:t>
      </w:r>
    </w:p>
    <w:p w14:paraId="2DE337CF">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（二）《已标价的工程量清单》报价要求</w:t>
      </w:r>
    </w:p>
    <w:p w14:paraId="2BB7999F">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1、响应报价应包括磋商文件所确定的招标范围内工程量清单中所含施工图项目的全部内容，以及为完成上述内容所需的全部费用，其根据为供应商提交的已标价的工程量清单及附表，并含现场清理垃圾及外运、平整场地、地基处理等全部内容，采购人不再额外支付任何费用。</w:t>
      </w:r>
    </w:p>
    <w:p w14:paraId="24E723F3">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2、供应商应按采购人提供的工程量清单填报价格。填写的项目编码、项目名称、项目特征、计量单位、工程量必须与采购人提供的一致。</w:t>
      </w:r>
    </w:p>
    <w:p w14:paraId="1F436778">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3、实行工程量清单招标的工程建设项目，量的风险由采购人承担，价的风险在约定风险范围内的，由投标人承担，风险范围以外的按合同约定。</w:t>
      </w:r>
    </w:p>
    <w:p w14:paraId="4F4B98CB">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4、供应商应按采购人提供的工程量计算工程项目的单价和合价。工程量清单中的每一单项均需计算填写单价和合价，供应商没有填写单价和合价的项目将不予支付，认为此项费用已包括在工程量清单的其他单价和合价中。项目特征描述不全的工序，如图纸已明确或已指明引用的规范、图集等或是常规工艺必须的工序应包括在报价中。</w:t>
      </w:r>
    </w:p>
    <w:p w14:paraId="0F11BBBC">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5、施工组织设计所描述的技术措施所发生的费用，视为已体现在供应商响应报价的非实体性消耗所发生的费用中。</w:t>
      </w:r>
    </w:p>
    <w:p w14:paraId="00ACE9DE">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6、本工程采用固定单价合同（除另有规定外）。供应商应充分考虑施工期间各类建材及苗木的市场风险，并计入总报价，供应商在计算报价时应考虑一定的风险系数。</w:t>
      </w:r>
    </w:p>
    <w:p w14:paraId="485F62FF">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7、供应商报价需考虑工程位置原有建筑、设施、邻近建筑物、工地情况、开挖的土质，通路、储存空间、起卸限制、及任何其它足以影响报价的情况，成交供应商须按接收工地日的现况，接收工地及自费清理任何遗留在工地上之废物，施工过程中因工地特殊情况而引起二次搬运、安全防护等，采购人不接受供应商关于此类费用的任何诉讼或索赔。</w:t>
      </w:r>
    </w:p>
    <w:p w14:paraId="34816386">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8、安全文明施工是供应商的责任，采购人不接受任何由于供应商施工而导致的扰民或民扰引起的诉讼或索赔。供应商应在其投标时充分考虑因扰民与民扰而造成的工期影响与费用增加，在报价予以考虑，采购人不接受任何由于供应商考虑不周为由而提出的任何索赔。</w:t>
      </w:r>
    </w:p>
    <w:p w14:paraId="3FD828E9">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9、由供应商负责办理相关建设、城管、市政、安全、环保等部门的手续，施工供应商在投标时应考虑这些因素，费用包含在响应报价中，采购人不接受供应商关于此类费用的任何诉讼或索赔。</w:t>
      </w:r>
    </w:p>
    <w:p w14:paraId="67994C76">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10、垃圾外运，运距及运输方式供应商自行考虑。</w:t>
      </w:r>
    </w:p>
    <w:p w14:paraId="22F9E1C3">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11、本工程要求养护期为二年三级养护，因此产生的各项费用视为投标人已自行考虑在报价中。</w:t>
      </w:r>
    </w:p>
    <w:p w14:paraId="47ECCEA6">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12、养护期内若出现死苗，成交供应商需补植，补植后的苗木养护期重新计算，补植的所有费用不再支付（采购人特别通知另行补植的苗木除外）。</w:t>
      </w:r>
    </w:p>
    <w:p w14:paraId="674B8E67">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13、绿化苗木的综合单价应包括种植穴开挖、更换种植土、苗木种植、苗木购置、运输、装卸、施肥浇水、缠草绳、搭扶木、病虫害的防治、二年三级养护费、现场安全文明施工措施费、社会保障费、住房公积金、税金应缴的各项费用、政策性文件规定及施工进程中包含的所有风险、责任等各项应有费用。个别规格品种不全时，须经采购人同意后可选其他规格苗木替代，发生的费用增减等问题另行协商。</w:t>
      </w:r>
    </w:p>
    <w:p w14:paraId="29CB485D">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（三）本工程对于工程价款调整约定如下：</w:t>
      </w:r>
    </w:p>
    <w:p w14:paraId="43B74F21">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1、因设计变更、清单错误、现场签证引起新增工程量清单项目，其相应综合单价按本磋商文件规定的招标预算价计价编制办法计算，再乘以投标报价浮动比率结算。</w:t>
      </w:r>
    </w:p>
    <w:p w14:paraId="7F9326A3">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2、因设计变更、清单错误、现场签证引起的已有清单工程量增减，其相应综合单价执行投标报价的综合单价，但不得高于招标控制价的综合单价。</w:t>
      </w:r>
    </w:p>
    <w:p w14:paraId="4967EE8A">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3、投标报价浮动比率=【1-（中标价-专业工程暂估价-暂列金额）/（招标控制价-专业工程暂估价-暂列金额）】*100%。以上变更及工程量签证，必须由发、承包双方、现场监理工程师共同确认。</w:t>
      </w:r>
    </w:p>
    <w:p w14:paraId="7E1A6970">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清单项目中特征描述不全的工序，如图纸已明确或已指明引用的规范、图集等或是常规工艺必须的工序，应包括在报价中。采购人保留在施工过程中增加或取消工程内容及相应费用的权利，供应商须无条件配合。</w:t>
      </w:r>
    </w:p>
    <w:p w14:paraId="58A9DD4D">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（四）报价编制依据及要求：</w:t>
      </w:r>
    </w:p>
    <w:p w14:paraId="3BD41859">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本工程执行现行国家标准《建设工程工程量清单计价规范》（GB50500-2013）、《江苏省建筑与装饰工程计价定额》（2014版）、《园林绿化工程工程量清单计价规范》（GB50858-2013）及《园林绿化工程工程量清单计价定额》（2007版）、《江苏省安装工程计价定额》（2014版）、《江苏省市政工程计价定额》（2014版）、《江苏省建设工程费用定额》（2014年）（营改增后调整内容）、《省住房城乡建设厅关于调整建设工程计价增值税税率的通知》（苏建函价〔2019〕178号文）有关文件规定及采购人提供的工程量清单。还包括采购人提供的施工图纸、招标文件、工程量清单及其补充通知和答疑纪要。</w:t>
      </w:r>
    </w:p>
    <w:p w14:paraId="7862BBA7">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1、不可竞争费用：执行《江苏省建设工程费用定额》（2014）（营改增后调整内容）的各项要求，该项费用按《江苏省建设工程费用定额》（2014）（营改增后调整内容）、《省住房城乡建设厅关于调整建设工程计价增值税税率的通知》（苏建函价〔2019〕178号文）文件规定计算。（不可竞争费包括：安全文明施工措施费、社会保险费、住房公积金、税金）。</w:t>
      </w:r>
    </w:p>
    <w:p w14:paraId="0AB39ED7">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14:textFill>
            <w14:solidFill>
              <w14:schemeClr w14:val="tx1"/>
            </w14:solidFill>
          </w14:textFill>
        </w:rPr>
        <w:t>2、本工程的其他规定</w:t>
      </w:r>
    </w:p>
    <w:p w14:paraId="42A7A534">
      <w:pPr>
        <w:pStyle w:val="6"/>
        <w:spacing w:line="360" w:lineRule="auto"/>
        <w:ind w:firstLine="560"/>
        <w:rPr>
          <w:rFonts w:ascii="宋体" w:hAnsi="宋体"/>
          <w:b w:val="0"/>
          <w:bCs w:val="0"/>
          <w:color w:val="auto"/>
          <w:sz w:val="24"/>
          <w:highlight w:val="none"/>
        </w:rPr>
      </w:pPr>
      <w:r>
        <w:rPr>
          <w:rFonts w:hint="eastAsia" w:ascii="宋体" w:hAnsi="宋体"/>
          <w:b w:val="0"/>
          <w:bCs w:val="0"/>
          <w:color w:val="auto"/>
          <w:sz w:val="24"/>
          <w:highlight w:val="none"/>
        </w:rPr>
        <w:t>招标控制价编制价格参考沛县市场价及徐州202</w:t>
      </w:r>
      <w:r>
        <w:rPr>
          <w:rFonts w:hint="eastAsia" w:ascii="宋体" w:hAnsi="宋体"/>
          <w:b w:val="0"/>
          <w:bCs w:val="0"/>
          <w:color w:val="auto"/>
          <w:sz w:val="24"/>
          <w:highlight w:val="none"/>
          <w:lang w:val="en-US" w:eastAsia="zh-CN"/>
        </w:rPr>
        <w:t>5</w:t>
      </w:r>
      <w:r>
        <w:rPr>
          <w:rFonts w:hint="eastAsia" w:ascii="宋体" w:hAnsi="宋体"/>
          <w:b w:val="0"/>
          <w:bCs w:val="0"/>
          <w:color w:val="auto"/>
          <w:sz w:val="24"/>
          <w:highlight w:val="none"/>
        </w:rPr>
        <w:t xml:space="preserve"> 年</w:t>
      </w:r>
      <w:r>
        <w:rPr>
          <w:rFonts w:ascii="宋体" w:hAnsi="宋体"/>
          <w:b w:val="0"/>
          <w:bCs w:val="0"/>
          <w:color w:val="auto"/>
          <w:sz w:val="24"/>
          <w:highlight w:val="none"/>
        </w:rPr>
        <w:t>10</w:t>
      </w:r>
      <w:r>
        <w:rPr>
          <w:rFonts w:hint="eastAsia" w:ascii="宋体" w:hAnsi="宋体"/>
          <w:b w:val="0"/>
          <w:bCs w:val="0"/>
          <w:color w:val="auto"/>
          <w:sz w:val="24"/>
          <w:highlight w:val="none"/>
        </w:rPr>
        <w:t>月份信息指导价执行供应商的材料价格根据市场行情自主报价。</w:t>
      </w:r>
    </w:p>
    <w:p w14:paraId="67FF1921">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auto"/>
          <w:sz w:val="24"/>
          <w:highlight w:val="none"/>
        </w:rPr>
        <w:t>招标控制价人工单价执行苏建函价(</w:t>
      </w:r>
      <w:r>
        <w:rPr>
          <w:rFonts w:hint="eastAsia" w:ascii="宋体" w:hAnsi="宋体"/>
          <w:b w:val="0"/>
          <w:bCs w:val="0"/>
          <w:color w:val="auto"/>
          <w:sz w:val="24"/>
          <w:highlight w:val="none"/>
          <w:lang w:val="en-US" w:eastAsia="zh-CN"/>
        </w:rPr>
        <w:t>2025</w:t>
      </w:r>
      <w:r>
        <w:rPr>
          <w:rFonts w:hint="eastAsia" w:ascii="宋体" w:hAnsi="宋体"/>
          <w:b w:val="0"/>
          <w:bCs w:val="0"/>
          <w:color w:val="auto"/>
          <w:sz w:val="24"/>
          <w:highlight w:val="none"/>
        </w:rPr>
        <w:t>)</w:t>
      </w:r>
      <w:r>
        <w:rPr>
          <w:rFonts w:hint="eastAsia" w:ascii="宋体" w:hAnsi="宋体"/>
          <w:b w:val="0"/>
          <w:bCs w:val="0"/>
          <w:color w:val="auto"/>
          <w:sz w:val="24"/>
          <w:highlight w:val="none"/>
          <w:lang w:val="en-US" w:eastAsia="zh-CN"/>
        </w:rPr>
        <w:t>273</w:t>
      </w:r>
      <w:r>
        <w:rPr>
          <w:rFonts w:hint="eastAsia" w:ascii="宋体" w:hAnsi="宋体"/>
          <w:b w:val="0"/>
          <w:bCs w:val="0"/>
          <w:color w:val="auto"/>
          <w:sz w:val="24"/>
          <w:highlight w:val="none"/>
        </w:rPr>
        <w:t>号文件执行。</w:t>
      </w:r>
      <w:r>
        <w:rPr>
          <w:rFonts w:hint="eastAsia" w:ascii="宋体" w:hAnsi="宋体"/>
          <w:b w:val="0"/>
          <w:bCs w:val="0"/>
          <w:color w:val="000000" w:themeColor="text1"/>
          <w:sz w:val="24"/>
          <w:highlight w:val="none"/>
          <w14:textFill>
            <w14:solidFill>
              <w14:schemeClr w14:val="tx1"/>
            </w14:solidFill>
          </w14:textFill>
        </w:rPr>
        <w:t>暂估价材料的单价由采购人提供，材料单价组成中应包括场外运输与采购</w:t>
      </w:r>
      <w:r>
        <w:rPr>
          <w:rFonts w:ascii="宋体" w:hAnsi="宋体"/>
          <w:b w:val="0"/>
          <w:bCs w:val="0"/>
          <w:color w:val="000000" w:themeColor="text1"/>
          <w:sz w:val="24"/>
          <w:highlight w:val="none"/>
          <w14:textFill>
            <w14:solidFill>
              <w14:schemeClr w14:val="tx1"/>
            </w14:solidFill>
          </w14:textFill>
        </w:rPr>
        <w:t>保管费。投标人根据该单价计算相应分部分项工程和措施项目的综合单价，并在材料暂估价格表中列出暂估材料的数量、单价、合价和汇总价格，该汇总价格不计入其他项目工程费合计中。</w:t>
      </w:r>
    </w:p>
    <w:p w14:paraId="5B590F6B">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本工程暂估材料详见清单《材料暂估价格表》，本工程暂估材料为详见工程量清单 。</w:t>
      </w:r>
    </w:p>
    <w:p w14:paraId="7ABB6CF3">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3、建筑安装工程造价的组成：</w:t>
      </w:r>
    </w:p>
    <w:p w14:paraId="0C7DF9DC">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分部分项工程费：现行国家标准《建设工程工程量清单计价规范》（GB50500-2013）及《江苏省建筑与装饰工程计价定额》（2014版）、《江苏省安装工程计价定额》(2014版)、《江苏省建设工程费用定额》（2014年）（营改增后调整内容）、《省住房城乡建设厅关于调整建设工程计价增值税税率的通知》（苏建函价〔2019〕178号文）及有关文件规定。</w:t>
      </w:r>
    </w:p>
    <w:p w14:paraId="4E88D7E2">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措施项目费</w:t>
      </w:r>
    </w:p>
    <w:p w14:paraId="4131C84C">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（1）现场安全文明施工基本费（园林）：按(分部分项工程费+单价措施项目费-工程设备费)× 1 %计取；</w:t>
      </w:r>
    </w:p>
    <w:p w14:paraId="4B0B2B69">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 xml:space="preserve">     扬尘污染防治增加费（园林）：按(分部分项工程费+单价措施项目费-工程设备费)× 0.21 %计取；</w:t>
      </w:r>
    </w:p>
    <w:p w14:paraId="36D23872">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本项费用包干使用，中标人必须承担与此相关的责任及费用，结算时亦不再调整。</w:t>
      </w:r>
    </w:p>
    <w:p w14:paraId="7FBA1B56">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 xml:space="preserve">（2）夜间施工：按(分部分项工程费+单价措施项目费-工程设备费)× 0.05 %计取，投标人根据自身情况自主报价，结算不再调整。 </w:t>
      </w:r>
    </w:p>
    <w:p w14:paraId="24935079">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（3）二次搬运：招标控制价不计，投标人根据自身情况自主报价 ，结算不再调整。</w:t>
      </w:r>
    </w:p>
    <w:p w14:paraId="68069866">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（4）冬雨季施工：招标控制价不计，投标人根据自身情况自主报价 ，结算不再调整。</w:t>
      </w:r>
    </w:p>
    <w:p w14:paraId="51EE8F2B">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（5）大型机械设备进出场及安拆：一台履带式挖掘机，投标人根据自身情况自主报价 ，结算不再调整。</w:t>
      </w:r>
    </w:p>
    <w:p w14:paraId="3B2EF7A6">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（6）施工排水：招标控制价不计，投标人根据自身情况自主报价，结算不再调整。</w:t>
      </w:r>
    </w:p>
    <w:p w14:paraId="30685BD3">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（7）施工降水：招标控制价不计，投标人根据自身情况自主报价，结算不再调整。</w:t>
      </w:r>
    </w:p>
    <w:p w14:paraId="7E881FA2">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（8）地上、地下设施，建筑物的临时保护设施：招标控制价不计，投标人根据自身情况自主报价，结算不再调整。</w:t>
      </w:r>
    </w:p>
    <w:p w14:paraId="6E4008F0">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（9）已完工程及设备保护：招标控制价不计，投标人根据自身情况自主报价，结算不再调整。</w:t>
      </w:r>
    </w:p>
    <w:p w14:paraId="682B05B1">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（10）临时设施： 招标控制价按（分部分项工程费+单价措施项目费-除税工程设备费）*费率 0.55%计取，投标人根据实际情况自主报价，结算不再调整；</w:t>
      </w:r>
    </w:p>
    <w:p w14:paraId="56F6B4D6">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（11）赶工措施：按(分部分项工程费+单价措施项目费-工程设备费)× 1.3 %计取，投标人根据自身情况自主报价，结算不再调整。</w:t>
      </w:r>
    </w:p>
    <w:p w14:paraId="30E217FB">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（12）工程按质论价：招标控制价不计，投标人根据自身情况自主报价，结算不再调整。</w:t>
      </w:r>
    </w:p>
    <w:p w14:paraId="776933C8">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（13）特殊条件下施工增加：招标控制价不计，投标人根据自身情况自主报价，结算不再调整。</w:t>
      </w:r>
    </w:p>
    <w:p w14:paraId="73BE2505">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14）供应商应认真勘察现场，充分了解其施工环境、工地现场场地情况、用水用电情况、道路、储存空间、装卸限制、高压线防护、临设搭建及任何其他影响造价及工期的情况，由供应商自行考虑风险并计入响应报价中，结算时不予调整。</w:t>
      </w:r>
    </w:p>
    <w:p w14:paraId="731B7D2C">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lang w:val="en-US" w:eastAsia="zh-CN"/>
          <w14:textFill>
            <w14:solidFill>
              <w14:schemeClr w14:val="tx1"/>
            </w14:solidFill>
          </w14:textFill>
        </w:rPr>
        <w:t>4</w:t>
      </w:r>
      <w:r>
        <w:rPr>
          <w:rFonts w:ascii="宋体" w:hAnsi="宋体"/>
          <w:b w:val="0"/>
          <w:bCs w:val="0"/>
          <w:color w:val="000000" w:themeColor="text1"/>
          <w:sz w:val="24"/>
          <w:highlight w:val="none"/>
          <w14:textFill>
            <w14:solidFill>
              <w14:schemeClr w14:val="tx1"/>
            </w14:solidFill>
          </w14:textFill>
        </w:rPr>
        <w:t>、其他项目费</w:t>
      </w:r>
    </w:p>
    <w:p w14:paraId="5011BA56">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 xml:space="preserve">  暂列金额：以发包人给定的标准计取，不宜超过分部分项工程费的10%。</w:t>
      </w:r>
    </w:p>
    <w:p w14:paraId="7C5C65C2">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本工程暂列金额为以下内容： 详见工程量清单 。</w:t>
      </w:r>
    </w:p>
    <w:p w14:paraId="5F94C2D5">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施工招标文件中设定的暂估价和暂列金额应当符合市场价格水平。以暂估价形式包括在承包范围内的工程、货物属于依法必须进行招标的项目范围且达到规定的规模标准的，应当依法进行招标。暂估价项目的招标主体、招标方式、招标组织方式应当在招标文件中明确。</w:t>
      </w:r>
    </w:p>
    <w:p w14:paraId="5FBAF886">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本工程暂估价项目的招标主体 / ，招标方式 / ，招标组织方式 / 。</w:t>
      </w:r>
    </w:p>
    <w:p w14:paraId="0DD7F639">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暂估价：本项包括材料暂估价和专业工程暂估价。</w:t>
      </w:r>
    </w:p>
    <w:p w14:paraId="727AD673">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 xml:space="preserve">  材料暂估价：暂估价材料的单价由招标人提供，材料单价组成中应包括场外运输与采购保管费。投标人根据该单价计算相应分部分项工程和措施项目的综合单价，并在材料暂估价格表中列出暂估材料的数量、单价、合价和汇总价格，该汇总价格不计入其他项目工程费合计中。</w:t>
      </w:r>
    </w:p>
    <w:p w14:paraId="131A2739">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暂估价详见清单《暂估价格表》，暂估价为 详见工程量清单 。</w:t>
      </w:r>
    </w:p>
    <w:p w14:paraId="7F20653F">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 xml:space="preserve">  专业工程暂估价项目是必然发生但暂时不能确定价格，由总承包人与专业工程分包人签订分包合同的专业工程。发包人拟单独发包的专业工程，不得以暂估价的形式列入主体工程招标文件的其他项目工程量清单中，发包人应与专业工程承包人另行签订施工合同。</w:t>
      </w:r>
    </w:p>
    <w:p w14:paraId="01032939">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本工程专业工程及其暂估价为：详见工程量清单</w:t>
      </w:r>
    </w:p>
    <w:p w14:paraId="36FE30FD">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计日工：由发承包双方在合同中另行约定。</w:t>
      </w:r>
    </w:p>
    <w:p w14:paraId="192B5FAF">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总承包服务费：招标控制价不计。</w:t>
      </w:r>
    </w:p>
    <w:p w14:paraId="5BD87AFE">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 xml:space="preserve">  规费 （《江苏省建设工程费用定额》（2014）文件及苏建价【2016】154 号）</w:t>
      </w:r>
    </w:p>
    <w:p w14:paraId="3A11EFEB">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(1) 社会保障费：按（分部分项工程费+措施项目费+其它项目费-除税工程设备费）×费率3.3% 计取；</w:t>
      </w:r>
    </w:p>
    <w:p w14:paraId="244DC898">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(2) 住房公积金：按（分部分项工程费+措施项目费+其它项目费-除税工程设备费）×费率0.55% 计取；</w:t>
      </w:r>
    </w:p>
    <w:p w14:paraId="3CDEFC5B">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 xml:space="preserve">税金：按（分部分项工程费+措施项目费+其它项目费+规费-（除税甲供材料费+除税甲供设备费）/1.01）×9%计取； </w:t>
      </w:r>
    </w:p>
    <w:p w14:paraId="1952FE3D">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 xml:space="preserve">不可竞争费费率不得改变，所有规费的缴纳由投标人办理，如发包人缴纳，结算时扣除。 </w:t>
      </w:r>
    </w:p>
    <w:p w14:paraId="3DC758FE">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（五）低于成本报价</w:t>
      </w:r>
    </w:p>
    <w:p w14:paraId="40116B32">
      <w:pPr>
        <w:pStyle w:val="6"/>
        <w:spacing w:line="360" w:lineRule="auto"/>
        <w:ind w:firstLine="560"/>
        <w:rPr>
          <w:rFonts w:hint="eastAsia"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14:textFill>
            <w14:solidFill>
              <w14:schemeClr w14:val="tx1"/>
            </w14:solidFill>
          </w14:textFill>
        </w:rPr>
        <w:t>评标委员会启动异常低价投标审查的情形和具体要求，包括:</w:t>
      </w:r>
    </w:p>
    <w:p w14:paraId="3C6AD738">
      <w:pPr>
        <w:pStyle w:val="6"/>
        <w:spacing w:line="360" w:lineRule="auto"/>
        <w:ind w:firstLine="560"/>
        <w:rPr>
          <w:rFonts w:hint="eastAsia"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lang w:val="en-US" w:eastAsia="zh-CN"/>
          <w14:textFill>
            <w14:solidFill>
              <w14:schemeClr w14:val="tx1"/>
            </w14:solidFill>
          </w14:textFill>
        </w:rPr>
        <w:t>5</w:t>
      </w:r>
      <w:r>
        <w:rPr>
          <w:rFonts w:hint="eastAsia" w:ascii="宋体" w:hAnsi="宋体"/>
          <w:b w:val="0"/>
          <w:bCs w:val="0"/>
          <w:color w:val="000000" w:themeColor="text1"/>
          <w:sz w:val="24"/>
          <w:highlight w:val="none"/>
          <w14:textFill>
            <w14:solidFill>
              <w14:schemeClr w14:val="tx1"/>
            </w14:solidFill>
          </w14:textFill>
        </w:rPr>
        <w:t>.1.评审过程中出现下列情形之一的，评标委员会应当启动异常低价投标审查程序：</w:t>
      </w:r>
    </w:p>
    <w:p w14:paraId="4F13A7B4">
      <w:pPr>
        <w:pStyle w:val="6"/>
        <w:spacing w:line="360" w:lineRule="auto"/>
        <w:ind w:firstLine="560"/>
        <w:rPr>
          <w:rFonts w:hint="eastAsia"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14:textFill>
            <w14:solidFill>
              <w14:schemeClr w14:val="tx1"/>
            </w14:solidFill>
          </w14:textFill>
        </w:rPr>
        <w:t>（1）投标报价低于采购项目预算50%的，即投标报价&lt;采购项目预算×50%；</w:t>
      </w:r>
    </w:p>
    <w:p w14:paraId="6E9F0391">
      <w:pPr>
        <w:pStyle w:val="6"/>
        <w:spacing w:line="360" w:lineRule="auto"/>
        <w:ind w:firstLine="560"/>
        <w:rPr>
          <w:rFonts w:hint="eastAsia"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14:textFill>
            <w14:solidFill>
              <w14:schemeClr w14:val="tx1"/>
            </w14:solidFill>
          </w14:textFill>
        </w:rPr>
        <w:t>（2）投标报价低于采购项目最高限价45%的，即投标报价&lt;采购项目最高限价×45%；</w:t>
      </w:r>
    </w:p>
    <w:p w14:paraId="60FBAF7D">
      <w:pPr>
        <w:pStyle w:val="6"/>
        <w:spacing w:line="360" w:lineRule="auto"/>
        <w:ind w:firstLine="560"/>
        <w:rPr>
          <w:rFonts w:hint="eastAsia"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14:textFill>
            <w14:solidFill>
              <w14:schemeClr w14:val="tx1"/>
            </w14:solidFill>
          </w14:textFill>
        </w:rPr>
        <w:t>（3）评标委员会认定的投标人报价过低、有可能影响产品质量或者不能诚信履约的其他情形。</w:t>
      </w:r>
    </w:p>
    <w:p w14:paraId="2BA2E95E">
      <w:pPr>
        <w:pStyle w:val="6"/>
        <w:spacing w:line="360" w:lineRule="auto"/>
        <w:ind w:firstLine="560"/>
        <w:rPr>
          <w:rFonts w:hint="eastAsia"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lang w:val="en-US" w:eastAsia="zh-CN"/>
          <w14:textFill>
            <w14:solidFill>
              <w14:schemeClr w14:val="tx1"/>
            </w14:solidFill>
          </w14:textFill>
        </w:rPr>
        <w:t>5</w:t>
      </w:r>
      <w:r>
        <w:rPr>
          <w:rFonts w:hint="eastAsia" w:ascii="宋体" w:hAnsi="宋体"/>
          <w:b w:val="0"/>
          <w:bCs w:val="0"/>
          <w:color w:val="000000" w:themeColor="text1"/>
          <w:sz w:val="24"/>
          <w:highlight w:val="none"/>
          <w14:textFill>
            <w14:solidFill>
              <w14:schemeClr w14:val="tx1"/>
            </w14:solidFill>
          </w14:textFill>
        </w:rPr>
        <w:t>.2.启动异常低价投标审查后，评标委员会应当通过“苏采云”系统要求相关投标人在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说明应当采用通过“苏采云”系统（使用“CA数字证书”,加盖电子签章）形式。投标人不提供书面说明、证明材料，或者提供的书面说明、证明材料不能证明其报价合理性的，评标委员会应当将其作为无效投标处理。审查相关情况应当在评标报告中进行记录。</w:t>
      </w:r>
    </w:p>
    <w:p w14:paraId="0BCD1BDB">
      <w:pPr>
        <w:pStyle w:val="6"/>
        <w:spacing w:line="360" w:lineRule="auto"/>
        <w:ind w:firstLine="56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五、其他要求</w:t>
      </w:r>
    </w:p>
    <w:p w14:paraId="044D5D33">
      <w:pPr>
        <w:rPr>
          <w:rFonts w:hint="default" w:ascii="宋体" w:hAnsi="宋体"/>
          <w:b w:val="0"/>
          <w:bCs w:val="0"/>
          <w:color w:val="000000" w:themeColor="text1"/>
          <w:sz w:val="24"/>
          <w:highlight w:val="none"/>
          <w:lang w:val="en-US" w:eastAsia="zh-CN"/>
          <w14:textFill>
            <w14:solidFill>
              <w14:schemeClr w14:val="tx1"/>
            </w14:solidFill>
          </w14:textFill>
        </w:rPr>
      </w:pPr>
      <w:r>
        <w:rPr>
          <w:rFonts w:hint="eastAsia" w:ascii="宋体" w:hAnsi="宋体"/>
          <w:b w:val="0"/>
          <w:bCs w:val="0"/>
          <w:color w:val="000000" w:themeColor="text1"/>
          <w:sz w:val="24"/>
          <w:highlight w:val="none"/>
          <w14:textFill>
            <w14:solidFill>
              <w14:schemeClr w14:val="tx1"/>
            </w14:solidFill>
          </w14:textFill>
        </w:rPr>
        <w:t>见招标文件第五章《拟签订的合同文本》。</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D57749"/>
    <w:rsid w:val="0D6B1344"/>
    <w:rsid w:val="2781559B"/>
    <w:rsid w:val="2D842DFD"/>
    <w:rsid w:val="319A6E3F"/>
    <w:rsid w:val="339F4CC9"/>
    <w:rsid w:val="4F3C50FD"/>
    <w:rsid w:val="5138177D"/>
    <w:rsid w:val="66630314"/>
    <w:rsid w:val="6BA05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hint="default" w:ascii="Times New Roman" w:hAnsi="Times New Roman" w:eastAsia="宋体" w:cs="Times New Roman"/>
    </w:rPr>
  </w:style>
  <w:style w:type="paragraph" w:styleId="2">
    <w:name w:val="heading 1"/>
    <w:basedOn w:val="1"/>
    <w:next w:val="1"/>
    <w:qFormat/>
    <w:uiPriority w:val="0"/>
    <w:pPr>
      <w:keepNext/>
      <w:keepLines/>
      <w:spacing w:line="360" w:lineRule="auto"/>
      <w:jc w:val="center"/>
      <w:outlineLvl w:val="0"/>
    </w:pPr>
    <w:rPr>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qFormat/>
    <w:uiPriority w:val="0"/>
    <w:pPr>
      <w:widowControl w:val="0"/>
      <w:jc w:val="both"/>
    </w:pPr>
    <w:rPr>
      <w:rFonts w:hint="default" w:ascii="Calibri" w:hAnsi="Calibri" w:eastAsia="宋体" w:cs="Times New Roman"/>
      <w:sz w:val="24"/>
      <w:szCs w:val="24"/>
      <w:lang w:val="en-US" w:eastAsia="zh-CN" w:bidi="ar-SA"/>
    </w:rPr>
  </w:style>
  <w:style w:type="paragraph" w:customStyle="1" w:styleId="6">
    <w:name w:val="正文111"/>
    <w:next w:val="1"/>
    <w:qFormat/>
    <w:uiPriority w:val="0"/>
    <w:pPr>
      <w:widowControl w:val="0"/>
      <w:jc w:val="both"/>
    </w:pPr>
    <w:rPr>
      <w:rFonts w:hint="default" w:ascii="Times New Roman" w:hAnsi="Times New Roman" w:eastAsia="宋体" w:cs="Times New Roman"/>
      <w:sz w:val="21"/>
      <w:szCs w:val="24"/>
    </w:rPr>
  </w:style>
  <w:style w:type="paragraph" w:customStyle="1" w:styleId="7">
    <w:name w:val="正文11"/>
    <w:next w:val="8"/>
    <w:qFormat/>
    <w:uiPriority w:val="0"/>
    <w:pPr>
      <w:widowControl w:val="0"/>
      <w:jc w:val="both"/>
    </w:pPr>
    <w:rPr>
      <w:rFonts w:hint="default" w:ascii="Times New Roman" w:hAnsi="Times New Roman" w:eastAsia="宋体" w:cs="Times New Roman"/>
      <w:sz w:val="21"/>
      <w:szCs w:val="24"/>
    </w:rPr>
  </w:style>
  <w:style w:type="paragraph" w:customStyle="1" w:styleId="8">
    <w:name w:val="文本块1"/>
    <w:basedOn w:val="6"/>
    <w:next w:val="9"/>
    <w:qFormat/>
    <w:uiPriority w:val="0"/>
    <w:pPr>
      <w:ind w:left="256" w:right="6" w:firstLine="624"/>
    </w:pPr>
    <w:rPr>
      <w:rFonts w:eastAsia="仿宋"/>
      <w:sz w:val="28"/>
      <w:szCs w:val="20"/>
    </w:rPr>
  </w:style>
  <w:style w:type="paragraph" w:customStyle="1" w:styleId="9">
    <w:name w:val="标题 41"/>
    <w:basedOn w:val="1"/>
    <w:next w:val="7"/>
    <w:qFormat/>
    <w:uiPriority w:val="0"/>
    <w:pPr>
      <w:keepNext/>
      <w:keepLines/>
      <w:spacing w:before="280" w:after="290" w:line="376" w:lineRule="auto"/>
      <w:outlineLvl w:val="3"/>
    </w:pPr>
    <w:rPr>
      <w:rFonts w:ascii="Arial" w:hAnsi="Arial" w:eastAsia="黑体"/>
      <w:b/>
      <w:bCs/>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5578</Words>
  <Characters>5776</Characters>
  <Lines>0</Lines>
  <Paragraphs>0</Paragraphs>
  <TotalTime>12</TotalTime>
  <ScaleCrop>false</ScaleCrop>
  <LinksUpToDate>false</LinksUpToDate>
  <CharactersWithSpaces>5827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2026-03-17T14:05:00Z</dcterms:created>
  <dc:creator>Administrator</dc:creator>
  <cp:lastModifiedBy>Administrator</cp:lastModifiedBy>
  <dcterms:modified xsi:type="dcterms:W3CDTF">2026-05-09T03:22:54Z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eyJoZGlkIjoiOGI4NTAxMTU3Mjk1Nzg5Y2ViYmQxODQ0NWMyZWJjMjciLCJ1c2VySWQiOiIxMzg0NTY4NjY4In0=</vt:lpwstr>
  </property>
  <property fmtid="{D5CDD505-2E9C-101B-9397-08002B2CF9AE}" pid="4" name="ICV">
    <vt:lpwstr>BC869AA128024F3D9A9D83B1FD769C58_13</vt:lpwstr>
  </property>
</Properties>
</file>