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F8E0D">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附件： </w:t>
      </w:r>
    </w:p>
    <w:p w14:paraId="4BEA6B9C">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如有建议或意见，请以书面形式并加盖公章、注明联系人、联系方式，于</w:t>
      </w:r>
      <w:r>
        <w:rPr>
          <w:rFonts w:hint="eastAsia" w:ascii="宋体" w:hAnsi="宋体" w:cs="宋体"/>
          <w:color w:val="000000" w:themeColor="text1"/>
          <w:sz w:val="28"/>
          <w:szCs w:val="28"/>
          <w:highlight w:val="none"/>
          <w:lang w:val="en-US" w:eastAsia="zh-CN"/>
          <w14:textFill>
            <w14:solidFill>
              <w14:schemeClr w14:val="tx1"/>
            </w14:solidFill>
          </w14:textFill>
        </w:rPr>
        <w:t>2026</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19</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30</w:t>
      </w:r>
      <w:r>
        <w:rPr>
          <w:rFonts w:hint="eastAsia" w:ascii="宋体" w:hAnsi="宋体" w:eastAsia="宋体" w:cs="宋体"/>
          <w:color w:val="000000" w:themeColor="text1"/>
          <w:sz w:val="28"/>
          <w:szCs w:val="28"/>
          <w:highlight w:val="none"/>
          <w14:textFill>
            <w14:solidFill>
              <w14:schemeClr w14:val="tx1"/>
            </w14:solidFill>
          </w14:textFill>
        </w:rPr>
        <w:t>之前送至我单位，逾期不受理（如邮寄，20</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19</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 xml:space="preserve">0之后到达本公司的邮件将不再受理。） </w:t>
      </w:r>
    </w:p>
    <w:p w14:paraId="63061ED3">
      <w:pPr>
        <w:pStyle w:val="6"/>
        <w:ind w:firstLine="0"/>
        <w:jc w:val="both"/>
        <w:rPr>
          <w:rFonts w:hint="eastAsia" w:ascii="宋体" w:hAnsi="宋体"/>
          <w:b/>
          <w:bCs/>
          <w:color w:val="auto"/>
          <w:sz w:val="36"/>
          <w:szCs w:val="36"/>
          <w:highlight w:val="none"/>
        </w:rPr>
      </w:pPr>
    </w:p>
    <w:p w14:paraId="5AE5498B">
      <w:pPr>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hint="eastAsia" w:ascii="宋体" w:hAnsi="宋体" w:eastAsia="宋体" w:cs="宋体"/>
        </w:rPr>
      </w:pPr>
      <w:r>
        <w:rPr>
          <w:rFonts w:hint="eastAsia" w:ascii="宋体" w:hAnsi="宋体" w:eastAsia="宋体" w:cs="宋体"/>
          <w:b/>
          <w:color w:val="000000"/>
          <w:sz w:val="36"/>
        </w:rPr>
        <w:t>项目要求（采购需求）</w:t>
      </w:r>
    </w:p>
    <w:p w14:paraId="12AA62E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442"/>
        <w:rPr>
          <w:rFonts w:hint="eastAsia" w:ascii="宋体" w:hAnsi="宋体" w:eastAsia="宋体" w:cs="宋体"/>
          <w:b/>
          <w:bCs/>
          <w:color w:val="000000"/>
          <w:sz w:val="24"/>
          <w:highlight w:val="yellow"/>
        </w:rPr>
      </w:pPr>
      <w:r>
        <w:rPr>
          <w:rFonts w:hint="eastAsia" w:ascii="宋体" w:hAnsi="宋体" w:eastAsia="宋体" w:cs="宋体"/>
          <w:b/>
          <w:color w:val="000000"/>
          <w:sz w:val="22"/>
        </w:rPr>
        <w:t>一</w:t>
      </w:r>
      <w:r>
        <w:rPr>
          <w:rFonts w:hint="eastAsia" w:ascii="宋体" w:hAnsi="宋体" w:eastAsia="宋体" w:cs="宋体"/>
          <w:b/>
          <w:color w:val="000000"/>
          <w:sz w:val="24"/>
        </w:rPr>
        <w:t>、 本项目最高限价1626075.67元人民币，不接受超过 1626075.67元人民币（最高限价）的响应报价。</w:t>
      </w:r>
      <w:r>
        <w:rPr>
          <w:rFonts w:hint="eastAsia" w:ascii="宋体" w:hAnsi="宋体" w:eastAsia="宋体" w:cs="宋体"/>
          <w:color w:val="000000"/>
          <w:sz w:val="24"/>
          <w:highlight w:val="none"/>
        </w:rPr>
        <w:t>报价包含项目完成的所有费用，供</w:t>
      </w:r>
      <w:r>
        <w:rPr>
          <w:rFonts w:hint="eastAsia" w:ascii="宋体" w:hAnsi="宋体" w:eastAsia="宋体" w:cs="宋体"/>
          <w:color w:val="000000"/>
          <w:sz w:val="24"/>
        </w:rPr>
        <w:t>应商报价时需考虑完成本项目内容所涉及的包含并不限于</w:t>
      </w:r>
      <w:r>
        <w:rPr>
          <w:rFonts w:hint="eastAsia" w:ascii="宋体" w:hAnsi="宋体" w:eastAsia="宋体" w:cs="宋体"/>
          <w:color w:val="000000"/>
          <w:sz w:val="24"/>
          <w:lang w:val="en-US" w:eastAsia="zh-CN"/>
        </w:rPr>
        <w:t>招标代理费、</w:t>
      </w:r>
      <w:r>
        <w:rPr>
          <w:rFonts w:hint="eastAsia" w:ascii="宋体" w:hAnsi="宋体" w:eastAsia="宋体" w:cs="宋体"/>
          <w:color w:val="000000"/>
          <w:sz w:val="24"/>
        </w:rPr>
        <w:t>人工费、材料费、机械费、工具设备费、税费、保险、</w:t>
      </w:r>
      <w:r>
        <w:rPr>
          <w:rFonts w:hint="eastAsia" w:ascii="宋体" w:hAnsi="宋体" w:eastAsia="宋体" w:cs="宋体"/>
          <w:color w:val="000000"/>
          <w:sz w:val="24"/>
          <w:lang w:val="en-US" w:eastAsia="zh-CN"/>
        </w:rPr>
        <w:t>安全文明施工费</w:t>
      </w:r>
      <w:r>
        <w:rPr>
          <w:rFonts w:hint="eastAsia" w:ascii="宋体" w:hAnsi="宋体" w:eastAsia="宋体" w:cs="宋体"/>
          <w:color w:val="000000"/>
          <w:sz w:val="24"/>
        </w:rPr>
        <w:t>、验收、利润等供应商认为可能发生的相关一切费用</w:t>
      </w:r>
      <w:r>
        <w:rPr>
          <w:rFonts w:hint="eastAsia" w:ascii="宋体" w:hAnsi="宋体" w:eastAsia="宋体" w:cs="宋体"/>
          <w:color w:val="000000"/>
          <w:sz w:val="24"/>
          <w:lang w:eastAsia="zh-CN"/>
        </w:rPr>
        <w:t>，</w:t>
      </w:r>
      <w:r>
        <w:rPr>
          <w:rFonts w:hint="eastAsia" w:ascii="宋体" w:hAnsi="宋体" w:eastAsia="宋体" w:cs="宋体"/>
          <w:b/>
          <w:bCs/>
          <w:color w:val="auto"/>
          <w:sz w:val="24"/>
          <w:highlight w:val="none"/>
          <w:lang w:val="en-US" w:eastAsia="zh-CN"/>
        </w:rPr>
        <w:t>且</w:t>
      </w:r>
      <w:r>
        <w:rPr>
          <w:rFonts w:hint="eastAsia" w:ascii="宋体" w:hAnsi="宋体" w:eastAsia="宋体" w:cs="宋体"/>
          <w:b/>
          <w:bCs/>
          <w:color w:val="000000"/>
          <w:sz w:val="24"/>
          <w:highlight w:val="none"/>
          <w:lang w:val="en-US" w:eastAsia="zh-CN"/>
        </w:rPr>
        <w:t>报价包含本工程相关的所有费用，</w:t>
      </w:r>
      <w:r>
        <w:rPr>
          <w:rFonts w:hint="eastAsia" w:ascii="宋体" w:hAnsi="宋体" w:eastAsia="宋体" w:cs="宋体"/>
          <w:b/>
          <w:bCs/>
          <w:color w:val="000000"/>
          <w:sz w:val="24"/>
          <w:highlight w:val="none"/>
        </w:rPr>
        <w:t>采购人不再支付报价以外的任何费用。</w:t>
      </w:r>
    </w:p>
    <w:p w14:paraId="15B8956C">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0"/>
        <w:rPr>
          <w:rFonts w:hint="eastAsia" w:ascii="宋体" w:hAnsi="宋体" w:eastAsia="宋体" w:cs="宋体"/>
        </w:rPr>
      </w:pPr>
      <w:r>
        <w:rPr>
          <w:rFonts w:hint="eastAsia" w:ascii="宋体" w:hAnsi="宋体" w:eastAsia="宋体" w:cs="宋体"/>
          <w:b/>
          <w:color w:val="000000"/>
          <w:sz w:val="24"/>
        </w:rPr>
        <w:t>二、项目概况</w:t>
      </w:r>
      <w:bookmarkStart w:id="0" w:name="_GoBack"/>
      <w:bookmarkEnd w:id="0"/>
    </w:p>
    <w:p w14:paraId="71A06AE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lang w:eastAsia="zh-CN"/>
        </w:rPr>
      </w:pPr>
      <w:r>
        <w:rPr>
          <w:rFonts w:hint="eastAsia" w:ascii="宋体" w:hAnsi="宋体" w:eastAsia="宋体" w:cs="宋体"/>
          <w:color w:val="000000"/>
          <w:sz w:val="24"/>
        </w:rPr>
        <w:t>1、项目名称：</w:t>
      </w:r>
      <w:r>
        <w:rPr>
          <w:rFonts w:hint="eastAsia" w:ascii="宋体" w:hAnsi="宋体" w:cs="宋体"/>
          <w:color w:val="000000"/>
          <w:sz w:val="24"/>
          <w:lang w:eastAsia="zh-CN"/>
        </w:rPr>
        <w:t>沛县胡寨镇2026年度一事一议财政奖补项目</w:t>
      </w:r>
    </w:p>
    <w:p w14:paraId="6FE2A5F1">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default" w:ascii="宋体" w:hAnsi="宋体" w:eastAsia="宋体" w:cs="宋体"/>
          <w:lang w:val="en-US" w:eastAsia="zh-CN"/>
        </w:rPr>
      </w:pPr>
      <w:r>
        <w:rPr>
          <w:rFonts w:hint="eastAsia" w:ascii="宋体" w:hAnsi="宋体" w:eastAsia="宋体" w:cs="宋体"/>
          <w:color w:val="000000"/>
          <w:sz w:val="24"/>
        </w:rPr>
        <w:t>2、项目地点：</w:t>
      </w:r>
      <w:r>
        <w:rPr>
          <w:rFonts w:hint="eastAsia" w:ascii="宋体" w:hAnsi="宋体" w:eastAsia="宋体" w:cs="宋体"/>
          <w:color w:val="000000"/>
          <w:sz w:val="24"/>
          <w:lang w:eastAsia="zh-CN"/>
        </w:rPr>
        <w:t>沛县</w:t>
      </w:r>
      <w:r>
        <w:rPr>
          <w:rFonts w:hint="eastAsia" w:ascii="宋体" w:hAnsi="宋体" w:eastAsia="宋体" w:cs="宋体"/>
          <w:color w:val="000000"/>
          <w:sz w:val="24"/>
          <w:lang w:val="en-US" w:eastAsia="zh-CN"/>
        </w:rPr>
        <w:t>胡寨镇</w:t>
      </w:r>
    </w:p>
    <w:p w14:paraId="05EEA5E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3、本项目主要内容：</w:t>
      </w:r>
      <w:r>
        <w:rPr>
          <w:rFonts w:hint="eastAsia" w:ascii="宋体" w:hAnsi="宋体" w:eastAsia="宋体" w:cs="宋体"/>
          <w:color w:val="000000"/>
          <w:sz w:val="24"/>
          <w:lang w:val="en-US" w:eastAsia="zh-CN"/>
        </w:rPr>
        <w:t>拟</w:t>
      </w:r>
      <w:r>
        <w:rPr>
          <w:rFonts w:hint="eastAsia" w:ascii="宋体" w:hAnsi="宋体" w:eastAsia="宋体" w:cs="宋体"/>
          <w:color w:val="000000"/>
          <w:sz w:val="24"/>
          <w:lang w:val="en-US" w:eastAsia="en-US"/>
        </w:rPr>
        <w:t>对胡寨镇部分行政村庄路面进行修建水泥道路（杨店村、刘岭村、十里铺村、朱阁村、隍城村）</w:t>
      </w:r>
      <w:r>
        <w:rPr>
          <w:rFonts w:hint="eastAsia" w:ascii="仿宋" w:hAnsi="仿宋" w:eastAsia="仿宋" w:cs="仿宋"/>
          <w:snapToGrid w:val="0"/>
          <w:color w:val="000000"/>
          <w:spacing w:val="-17"/>
          <w:kern w:val="0"/>
          <w:position w:val="1"/>
          <w:sz w:val="31"/>
          <w:szCs w:val="31"/>
          <w:lang w:val="en-US" w:eastAsia="en-US" w:bidi="ar-SA"/>
        </w:rPr>
        <w:t>。</w:t>
      </w:r>
      <w:r>
        <w:rPr>
          <w:rFonts w:hint="eastAsia" w:ascii="宋体" w:hAnsi="宋体" w:eastAsia="宋体" w:cs="宋体"/>
          <w:color w:val="000000"/>
          <w:sz w:val="24"/>
        </w:rPr>
        <w:t>具体详</w:t>
      </w:r>
      <w:r>
        <w:rPr>
          <w:rFonts w:hint="eastAsia" w:ascii="宋体" w:hAnsi="宋体" w:eastAsia="宋体" w:cs="宋体"/>
          <w:color w:val="000000"/>
          <w:sz w:val="24"/>
          <w:highlight w:val="none"/>
        </w:rPr>
        <w:t>见工程</w:t>
      </w:r>
      <w:r>
        <w:rPr>
          <w:rFonts w:hint="eastAsia" w:ascii="宋体" w:hAnsi="宋体" w:eastAsia="宋体" w:cs="宋体"/>
          <w:color w:val="000000"/>
          <w:sz w:val="24"/>
        </w:rPr>
        <w:t>量清单所含全部内容。</w:t>
      </w:r>
    </w:p>
    <w:p w14:paraId="06741948">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4、承包方式：包工包料，不得分包与转包。</w:t>
      </w:r>
    </w:p>
    <w:p w14:paraId="54D85E9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5、工程质量：合格，同时须符合现行最新的国家有关标准、规范及其他适用于本工程的技术标准、规范。</w:t>
      </w:r>
    </w:p>
    <w:p w14:paraId="702A849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6、工</w:t>
      </w:r>
      <w:r>
        <w:rPr>
          <w:rFonts w:hint="eastAsia" w:ascii="宋体" w:hAnsi="宋体" w:eastAsia="宋体" w:cs="宋体"/>
          <w:color w:val="000000"/>
          <w:sz w:val="24"/>
          <w:highlight w:val="none"/>
        </w:rPr>
        <w:t>期：</w:t>
      </w:r>
      <w:r>
        <w:rPr>
          <w:rFonts w:hint="eastAsia" w:ascii="宋体" w:hAnsi="宋体" w:eastAsia="宋体" w:cs="宋体"/>
          <w:color w:val="auto"/>
          <w:sz w:val="24"/>
          <w:highlight w:val="none"/>
          <w:lang w:val="en-US" w:eastAsia="zh-CN"/>
        </w:rPr>
        <w:t>30</w:t>
      </w:r>
      <w:r>
        <w:rPr>
          <w:rFonts w:hint="eastAsia" w:ascii="宋体" w:hAnsi="宋体" w:eastAsia="宋体" w:cs="宋体"/>
          <w:color w:val="000000"/>
          <w:sz w:val="24"/>
          <w:highlight w:val="none"/>
        </w:rPr>
        <w:t>日历天。</w:t>
      </w:r>
    </w:p>
    <w:p w14:paraId="39AAEC37">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b w:val="0"/>
          <w:bCs/>
        </w:rPr>
      </w:pPr>
      <w:r>
        <w:rPr>
          <w:rFonts w:hint="eastAsia" w:ascii="宋体" w:hAnsi="宋体" w:eastAsia="宋体" w:cs="宋体"/>
          <w:b w:val="0"/>
          <w:bCs/>
          <w:color w:val="000000"/>
          <w:sz w:val="24"/>
        </w:rPr>
        <w:t>7、现场踏勘：自行踏勘现场。</w:t>
      </w:r>
    </w:p>
    <w:p w14:paraId="2517095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7.1 供应商自行对施工现场进行踏勘，以获取编制响应文件所需的现场信息资料。</w:t>
      </w:r>
    </w:p>
    <w:p w14:paraId="27A4B23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7.2 供应商对本磋商文件所作出的理解、推论和解释由其自己负责。</w:t>
      </w:r>
    </w:p>
    <w:p w14:paraId="6A0DF83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7.3 由于现场踏勘没有进行或者不详细所导致的一切问题均由供应商自行负责。</w:t>
      </w:r>
    </w:p>
    <w:p w14:paraId="659C708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7.4 供应商应承担现场踏勘的责任和风险，现场踏勘费用由供应商自己承担。</w:t>
      </w:r>
    </w:p>
    <w:p w14:paraId="51439D9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8、现场自然及施工条件：要求供应商对项目现场和周围环境进行实地踏勘，以了解现场的施工环境、施工范围、技术要求及相关服务，获取有关编制响应文件和签订合同所需的各项资料，供应商应承担现场踏勘的责任和风险，费用由供应商自己承担。成交后不得以未踏勘现场或不了解现场为由提出任何增加费用的要求。</w:t>
      </w:r>
    </w:p>
    <w:p w14:paraId="18FFE70A">
      <w:pPr>
        <w:keepNext w:val="0"/>
        <w:keepLines w:val="0"/>
        <w:pageBreakBefore w:val="0"/>
        <w:widowControl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、工程量清单报价</w:t>
      </w:r>
    </w:p>
    <w:p w14:paraId="5CD929B4">
      <w:pPr>
        <w:keepNext w:val="0"/>
        <w:keepLines w:val="0"/>
        <w:pageBreakBefore w:val="0"/>
        <w:widowControl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  工程量清单详见本项目</w:t>
      </w:r>
      <w:r>
        <w:rPr>
          <w:rFonts w:hint="eastAsia" w:ascii="宋体" w:hAnsi="宋体" w:eastAsia="宋体" w:cs="宋体"/>
          <w:color w:val="auto"/>
          <w:sz w:val="24"/>
          <w:szCs w:val="24"/>
          <w:highlight w:val="none"/>
          <w:lang w:eastAsia="zh-CN"/>
        </w:rPr>
        <w:t>竞争性磋商文件。</w:t>
      </w:r>
    </w:p>
    <w:p w14:paraId="087B6DCF">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 《已标价的工程量清单》报价要求</w:t>
      </w:r>
    </w:p>
    <w:p w14:paraId="555635B8">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1、报价内容</w:t>
      </w:r>
    </w:p>
    <w:p w14:paraId="535D303E">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 响应报价应包括竞争性磋商文件中所确定的范围内工程量清单中所含的全部内容，以及为完成上述内容所需的全部费用。</w:t>
      </w:r>
    </w:p>
    <w:p w14:paraId="762E24A9">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注：供应商必须按采购人提供的工程量清单进行报价，否则视为对竞争性磋商文件商务条款的实质性偏离。供应商不得修改工程量清单中的分部分项内容及数量，否则视为不响应竞争性磋商文件。</w:t>
      </w:r>
    </w:p>
    <w:p w14:paraId="329D2D50">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 供应商应按采购人提供的工程量清单填报价格。填写的项目名称、项目特征、计量单位、工程量必须与采购人提供的一致。</w:t>
      </w:r>
    </w:p>
    <w:p w14:paraId="1785288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22D9E3D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1.4 响应的供应商必须按统一的工程量清单报价，成交后，在施工过程中，不论由于工程量清单有误或漏项，还是由于设计变更、现场变更、签证引起的工程量清单项目或清单项目工程数量的增减，均按实调整。</w:t>
      </w:r>
    </w:p>
    <w:p w14:paraId="185C23D6">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1.5 技术参数、项目实施方案所描述的技术措施所发生的费用，视为已体现在供应商报价的非实体性消耗所发生的费用中。</w:t>
      </w:r>
    </w:p>
    <w:p w14:paraId="7ED86F8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1.6 供应商自行勘察，了解周边原有建筑、设施，事先视察工地，充分了解工程位置、邻近建筑物、工地情况，通路、储存空间、起卸限制、以及任何其他足以影响报价之情况，供应商须按接收工地日的现况，接收工地及自费清理任何遗留在工地上之废物，施工过程中因工地特殊情况而引起二次搬运、安全防护等。供应商在响应报价时应考虑这些因素，并在响应报价中予以考虑，采购人不接受供应商关于此类费用的任何诉讼或索赔。</w:t>
      </w:r>
    </w:p>
    <w:p w14:paraId="56985887">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0D4B02BE">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1.8 垃圾外运，在报价中综合考虑。</w:t>
      </w:r>
    </w:p>
    <w:p w14:paraId="67CE8151">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辅助工程部分：综合单价中应包括采购人提供的施工图所含内容，以及工程量清单报价中的价格，应包括完成清单项目的人工费、材料费、机械费、管理费及利润等费用。政策性文件规定及施工进程中包含的所有风险、责任等各项应有费用，并包含相应的平整场地、地基处理调整等图纸及建设方要求的工程施工全部内容的全部费用。</w:t>
      </w:r>
    </w:p>
    <w:p w14:paraId="4F1FCD3B">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1.10地方关系协调费投标人自行考虑，就此项采购人不支付任何费用。</w:t>
      </w:r>
    </w:p>
    <w:p w14:paraId="014DFB02">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1.11本工程质保期按质量保证书所填时间，必须保证工程质量，因此产生的各项费用视为投标人已自行考虑在投标报价中；除采购人确认的有效变更签证、设计变更外，结算时不因任何因素调整中标的综合单价。</w:t>
      </w:r>
    </w:p>
    <w:p w14:paraId="6F83D0BD">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1.12施工时需做好防护措施保证周边安全，因中标人保障不力对采购人或第三方造成损失的，赔偿责任全部由中标人承担，若因此会增加费用，控制价不计取，投标人自行考虑在报价中，结算时不予调整。</w:t>
      </w:r>
    </w:p>
    <w:p w14:paraId="70986FF0">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2、报价方式</w:t>
      </w:r>
    </w:p>
    <w:p w14:paraId="6237506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 本工程根据工程量清单报价。供应商应充分考虑施工期间各类建材的市场风险，并计入总报价，供应商在计算报价时应考虑一定的风险系数。</w:t>
      </w:r>
    </w:p>
    <w:p w14:paraId="5BEA7D5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 材料风险约定：</w:t>
      </w:r>
    </w:p>
    <w:p w14:paraId="0C357635">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2.2.1 对于法律、法规、规章或有关政策出台导致工程税金、规费等发生变化的，应按照有关规定执行。</w:t>
      </w:r>
    </w:p>
    <w:p w14:paraId="7C70FC7D">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0462FB0C">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3、报价的计价方法</w:t>
      </w:r>
    </w:p>
    <w:p w14:paraId="41CF7BD7">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他单价、合价中。</w:t>
      </w:r>
    </w:p>
    <w:p w14:paraId="077FA649">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4、报价编制依据及要求：</w:t>
      </w:r>
    </w:p>
    <w:p w14:paraId="62342724">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本工程执行现行国家标准《建设工程工程量清单计价规范》（GB50500-2013）, </w:t>
      </w:r>
      <w:r>
        <w:rPr>
          <w:rFonts w:hint="eastAsia" w:ascii="宋体" w:hAnsi="宋体" w:eastAsia="宋体" w:cs="宋体"/>
          <w:sz w:val="24"/>
          <w:szCs w:val="24"/>
          <w:highlight w:val="none"/>
          <w:lang w:val="en-US" w:eastAsia="zh-CN" w:bidi="ar-SA"/>
        </w:rPr>
        <w:t>《江苏省市政工程计价定额》（2014年）、</w:t>
      </w:r>
      <w:r>
        <w:rPr>
          <w:rFonts w:hint="eastAsia" w:ascii="宋体" w:hAnsi="宋体" w:eastAsia="宋体" w:cs="宋体"/>
          <w:color w:val="auto"/>
          <w:sz w:val="24"/>
          <w:szCs w:val="24"/>
          <w:highlight w:val="none"/>
          <w:lang w:val="en-US" w:eastAsia="zh-CN" w:bidi="ar-SA"/>
        </w:rPr>
        <w:t>《江苏省建设工程费用定额》</w:t>
      </w:r>
      <w:r>
        <w:rPr>
          <w:rFonts w:hint="eastAsia" w:ascii="宋体" w:hAnsi="宋体" w:eastAsia="宋体" w:cs="宋体"/>
          <w:sz w:val="24"/>
          <w:szCs w:val="24"/>
          <w:highlight w:val="none"/>
          <w:lang w:val="en-US" w:eastAsia="zh-CN" w:bidi="ar-SA"/>
        </w:rPr>
        <w:t>（2014年）</w:t>
      </w:r>
      <w:r>
        <w:rPr>
          <w:rFonts w:hint="eastAsia" w:ascii="宋体" w:hAnsi="宋体" w:eastAsia="宋体" w:cs="宋体"/>
          <w:color w:val="auto"/>
          <w:sz w:val="24"/>
          <w:szCs w:val="24"/>
          <w:highlight w:val="none"/>
          <w:lang w:val="en-US" w:eastAsia="zh-CN" w:bidi="ar-SA"/>
        </w:rPr>
        <w:t>、《市政工程工程量计算标准》（GB50857-2013）</w:t>
      </w:r>
      <w:r>
        <w:rPr>
          <w:rFonts w:hint="eastAsia" w:ascii="宋体" w:hAnsi="宋体" w:eastAsia="宋体" w:cs="宋体"/>
          <w:sz w:val="24"/>
          <w:szCs w:val="24"/>
          <w:highlight w:val="none"/>
          <w:lang w:val="en-US" w:eastAsia="zh-CN" w:bidi="ar-SA"/>
        </w:rPr>
        <w:t>以及省市现行有关计价文件规定，还包括磋商文件、工程量清单及其补充通知和答疑纪要等。</w:t>
      </w:r>
    </w:p>
    <w:p w14:paraId="7375BF66">
      <w:pPr>
        <w:keepNext w:val="0"/>
        <w:keepLines w:val="0"/>
        <w:pageBreakBefore w:val="0"/>
        <w:widowControl w:val="0"/>
        <w:spacing w:after="0"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四、</w:t>
      </w:r>
      <w:r>
        <w:rPr>
          <w:rFonts w:hint="default" w:ascii="宋体" w:hAnsi="宋体" w:eastAsia="宋体" w:cs="宋体"/>
          <w:color w:val="auto"/>
          <w:sz w:val="24"/>
          <w:szCs w:val="24"/>
          <w:highlight w:val="none"/>
          <w:lang w:val="en-US" w:eastAsia="zh-CN" w:bidi="ar-SA"/>
        </w:rPr>
        <w:t>异常低价审查</w:t>
      </w:r>
    </w:p>
    <w:p w14:paraId="5629C790">
      <w:pPr>
        <w:keepNext w:val="0"/>
        <w:keepLines w:val="0"/>
        <w:pageBreakBefore w:val="0"/>
        <w:widowControl w:val="0"/>
        <w:spacing w:after="0" w:line="360" w:lineRule="auto"/>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执行</w:t>
      </w:r>
      <w:r>
        <w:rPr>
          <w:rFonts w:hint="default" w:ascii="宋体" w:hAnsi="宋体" w:eastAsia="宋体" w:cs="宋体"/>
          <w:color w:val="auto"/>
          <w:sz w:val="24"/>
          <w:szCs w:val="24"/>
          <w:highlight w:val="none"/>
          <w:lang w:val="en-US" w:eastAsia="zh-CN"/>
        </w:rPr>
        <w:t>苏财购〔2025</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val="en-US" w:eastAsia="zh-CN"/>
        </w:rPr>
        <w:t>号</w:t>
      </w:r>
      <w:r>
        <w:rPr>
          <w:rFonts w:hint="default" w:ascii="宋体" w:hAnsi="宋体" w:eastAsia="宋体" w:cs="宋体"/>
          <w:color w:val="auto"/>
          <w:sz w:val="24"/>
          <w:szCs w:val="24"/>
          <w:highlight w:val="none"/>
          <w:lang w:val="en-US" w:eastAsia="zh-CN"/>
        </w:rPr>
        <w:t>关于推动解决政府采购异常低价问题相关工作的通知</w:t>
      </w:r>
      <w:r>
        <w:rPr>
          <w:rFonts w:hint="eastAsia" w:ascii="宋体" w:hAnsi="宋体" w:eastAsia="宋体" w:cs="宋体"/>
          <w:color w:val="auto"/>
          <w:sz w:val="24"/>
          <w:szCs w:val="24"/>
          <w:highlight w:val="none"/>
          <w:lang w:val="en-US" w:eastAsia="zh-CN"/>
        </w:rPr>
        <w:t>文件，具体为：</w:t>
      </w:r>
    </w:p>
    <w:p w14:paraId="3E2D7E1D">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（一）评审过程中出现下列情形之一的，</w:t>
      </w:r>
      <w:r>
        <w:rPr>
          <w:rFonts w:hint="eastAsia" w:ascii="宋体" w:hAnsi="宋体" w:eastAsia="宋体" w:cs="宋体"/>
          <w:color w:val="auto"/>
          <w:sz w:val="24"/>
          <w:szCs w:val="24"/>
          <w:highlight w:val="none"/>
          <w:lang w:val="en-US" w:eastAsia="zh-CN"/>
        </w:rPr>
        <w:t>磋商小组</w:t>
      </w:r>
      <w:r>
        <w:rPr>
          <w:rFonts w:hint="default" w:ascii="宋体" w:hAnsi="宋体" w:eastAsia="宋体" w:cs="宋体"/>
          <w:color w:val="auto"/>
          <w:sz w:val="24"/>
          <w:szCs w:val="24"/>
          <w:highlight w:val="none"/>
          <w:lang w:val="en-US" w:eastAsia="zh-CN"/>
        </w:rPr>
        <w:t>应当启</w:t>
      </w:r>
      <w:r>
        <w:rPr>
          <w:rFonts w:hint="eastAsia" w:ascii="宋体" w:hAnsi="宋体" w:eastAsia="宋体" w:cs="宋体"/>
          <w:color w:val="auto"/>
          <w:sz w:val="24"/>
          <w:szCs w:val="24"/>
          <w:highlight w:val="none"/>
          <w:lang w:val="en-US" w:eastAsia="zh-CN"/>
        </w:rPr>
        <w:t xml:space="preserve">动异常低价响应审查程序： </w:t>
      </w:r>
    </w:p>
    <w:p w14:paraId="5A3A45DC">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．响应报价低于采购项目预算</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的，即响应报价</w:t>
      </w:r>
      <w:r>
        <w:rPr>
          <w:rFonts w:hint="default"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lang w:val="en-US" w:eastAsia="zh-CN"/>
        </w:rPr>
        <w:t>采购项目预算×</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 xml:space="preserve">； </w:t>
      </w:r>
    </w:p>
    <w:p w14:paraId="49A00A14">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．响应报价低于采购项目最高限价</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的，即响应报价</w:t>
      </w:r>
      <w:r>
        <w:rPr>
          <w:rFonts w:hint="default"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lang w:val="en-US" w:eastAsia="zh-CN"/>
        </w:rPr>
        <w:t>采购项目最高限价×</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 xml:space="preserve">； </w:t>
      </w:r>
    </w:p>
    <w:p w14:paraId="57CD05F1">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．磋商小组认定的供应商报价过低、有可能影响产品质量或者不能诚信履约的其他情形。 </w:t>
      </w:r>
    </w:p>
    <w:p w14:paraId="23B05B16">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启动异常低价响应审查后，磋商小组应当要求相关供应商在评标现场合理的时间内，提供项目具体成本测算等与报价合理性相关的书面说明及相关证明材料，对响应价格作出解释，由磋商小组结合同类产品在主要电商平台的价格、该行业当地薪资水平等情况，依据专业经验对供应商报价合理性进行判断。响应供应商不提供书面说明、证明材料，或者提供的书面说明、证明材料不能证明其报价合理性的，磋商小组应当将其作为无效响应处理。审查相关情况应当在评审报告中进行记录。</w:t>
      </w:r>
    </w:p>
    <w:p w14:paraId="2496AD38">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五、项目相关要求</w:t>
      </w:r>
    </w:p>
    <w:p w14:paraId="66E9F1E8">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1、供应商报价时需考虑完成本项目内容所涉及的人工费、材料费、机械费、税费、验收等相关的一切费用。</w:t>
      </w:r>
    </w:p>
    <w:p w14:paraId="60B49F7D">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2、供应商应根据本项目实际情况，合理配置人员，除项目经理外，安全员、质检员、施工员、预算员、材料员等人员应经验丰富，确保项目顺利实施。</w:t>
      </w:r>
    </w:p>
    <w:p w14:paraId="6B20FB5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 。  </w:t>
      </w:r>
    </w:p>
    <w:p w14:paraId="3DF4DAC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符合徐州市有关部门规定的标准化施工现场要求，同时应满足建筑、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29E6AD25">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5、承包人对工程建设期间扬尘治理工作负主体责任。应制定施工现场扬尘污染防治专项方案，按照承包工程范围做好扬尘污染防治措施的落实。方案必须符合我市关于扬尘管控的相关规定要求。</w:t>
      </w:r>
    </w:p>
    <w:p w14:paraId="68484EB3">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工程质量必须达到合同约定标准，且保证相关部门验收通过；未达到质量要求的，成交供应商负责无条件返工，直至达到要求，所发生的费用由成交供应商承担，成交供应商还应赔偿因此给采购人造成的损失，工期不予顺延，同时采购人有权对成交供应商进行适当处罚；</w:t>
      </w:r>
    </w:p>
    <w:p w14:paraId="3C7FA237">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六、服务要求 </w:t>
      </w:r>
    </w:p>
    <w:p w14:paraId="6F797D05">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1、质保期服务：执行国家相关标准。质保期外，工程质量出现问题，中标人应主动提供维修方案，只收取材料费。 </w:t>
      </w:r>
    </w:p>
    <w:p w14:paraId="31B47EE4">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2、质保期内，如发生故障，采购人通知成交供应商服务人员时，相关服务人员要在12小时内到达现场配合采购人处理问题，进行更换或进行必要的维修。                                                                                                                                            </w:t>
      </w:r>
    </w:p>
    <w:p w14:paraId="2864A0D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3、供应商需根据本项目特征及自身情况编制施工方案。</w:t>
      </w:r>
    </w:p>
    <w:p w14:paraId="1FF18C13">
      <w:pPr>
        <w:keepNext w:val="0"/>
        <w:keepLines w:val="0"/>
        <w:pageBreakBefore w:val="0"/>
        <w:widowControl w:val="0"/>
        <w:spacing w:after="0" w:line="360" w:lineRule="auto"/>
        <w:rPr>
          <w:rFonts w:hint="eastAsia" w:ascii="宋体" w:hAnsi="宋体" w:eastAsia="宋体" w:cs="宋体"/>
          <w:sz w:val="24"/>
          <w:szCs w:val="24"/>
          <w:highlight w:val="none"/>
          <w:lang w:val="en-US" w:eastAsia="zh-CN"/>
        </w:rPr>
        <w:sectPr>
          <w:footerReference r:id="rId3" w:type="default"/>
          <w:pgSz w:w="11906" w:h="16838"/>
          <w:pgMar w:top="1440" w:right="1800" w:bottom="1440" w:left="1800" w:header="851" w:footer="992" w:gutter="0"/>
          <w:cols w:space="425" w:num="1"/>
          <w:docGrid w:linePitch="360" w:charSpace="0"/>
        </w:sectPr>
      </w:pPr>
      <w:r>
        <w:rPr>
          <w:rFonts w:hint="eastAsia" w:ascii="宋体" w:hAnsi="宋体" w:eastAsia="宋体" w:cs="宋体"/>
          <w:color w:val="auto"/>
          <w:sz w:val="24"/>
          <w:szCs w:val="24"/>
          <w:highlight w:val="none"/>
          <w:lang w:val="en-US" w:eastAsia="zh-CN" w:bidi="ar-SA"/>
        </w:rPr>
        <w:t>七、其他要求：见《竞争性磋商文件》附件：7、《拟签订的合同文本》</w:t>
      </w:r>
    </w:p>
    <w:p w14:paraId="1751AA45">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b/>
          <w:bCs/>
          <w:color w:val="000000"/>
          <w:sz w:val="24"/>
          <w:szCs w:val="24"/>
          <w:lang w:val="en-US" w:eastAsia="zh-CN" w:bidi="ar"/>
        </w:rPr>
      </w:pPr>
      <w:r>
        <w:rPr>
          <w:rFonts w:hint="eastAsia" w:ascii="宋体" w:hAnsi="宋体" w:eastAsia="宋体" w:cs="宋体"/>
          <w:b/>
          <w:bCs/>
          <w:color w:val="000000"/>
          <w:sz w:val="24"/>
          <w:szCs w:val="24"/>
          <w:lang w:val="en-US" w:eastAsia="zh-CN" w:bidi="ar"/>
        </w:rPr>
        <w:t>本项目资格条件如下：</w:t>
      </w:r>
    </w:p>
    <w:p w14:paraId="52C0D275">
      <w:pPr>
        <w:keepNext w:val="0"/>
        <w:keepLines w:val="0"/>
        <w:pageBreakBefore w:val="0"/>
        <w:widowControl w:val="0"/>
        <w:spacing w:line="360" w:lineRule="auto"/>
        <w:ind w:firstLine="482"/>
        <w:jc w:val="both"/>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 xml:space="preserve">1、提供合法有效的法人的营业执照或事业法人证或其他组织应提供合法证明文件或自然人提供身份证明，以上证明文件的扫描件； </w:t>
      </w:r>
    </w:p>
    <w:p w14:paraId="1966818C">
      <w:pPr>
        <w:keepNext w:val="0"/>
        <w:keepLines w:val="0"/>
        <w:pageBreakBefore w:val="0"/>
        <w:widowControl w:val="0"/>
        <w:spacing w:line="360" w:lineRule="auto"/>
        <w:ind w:firstLine="482"/>
        <w:jc w:val="both"/>
        <w:rPr>
          <w:rFonts w:hint="eastAsia" w:ascii="宋体" w:hAnsi="宋体" w:eastAsia="宋体" w:cs="宋体"/>
          <w:b w:val="0"/>
          <w:bCs/>
          <w:sz w:val="24"/>
          <w:szCs w:val="24"/>
          <w:lang w:val="en-US" w:eastAsia="zh-CN" w:bidi="ar-SA"/>
        </w:rPr>
      </w:pPr>
      <w:r>
        <w:rPr>
          <w:rFonts w:hint="eastAsia" w:ascii="宋体" w:hAnsi="宋体" w:eastAsia="宋体" w:cs="宋体"/>
          <w:b w:val="0"/>
          <w:bCs/>
          <w:color w:val="000000"/>
          <w:sz w:val="24"/>
          <w:szCs w:val="24"/>
          <w:highlight w:val="none"/>
          <w:lang w:val="en-US" w:eastAsia="zh-CN" w:bidi="ar-SA"/>
        </w:rPr>
        <w:t>2、</w:t>
      </w:r>
      <w:r>
        <w:rPr>
          <w:rFonts w:hint="eastAsia" w:ascii="宋体" w:hAnsi="宋体" w:eastAsia="宋体" w:cs="宋体"/>
          <w:b w:val="0"/>
          <w:bCs/>
          <w:sz w:val="24"/>
          <w:szCs w:val="24"/>
          <w:lang w:val="en-US" w:eastAsia="zh-CN" w:bidi="ar-SA"/>
        </w:rPr>
        <w:t xml:space="preserve">财务状况报告，至少提供： </w:t>
      </w:r>
    </w:p>
    <w:p w14:paraId="4D443138">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（1）供应商的“首次响应文件提交的截止时间”前6个月内任何1月（不含“首次响应文件提交的截止时间”当月）的资产负债表的扫描件1份；</w:t>
      </w:r>
    </w:p>
    <w:p w14:paraId="7E92842F">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（2）供应商的“首次响应文件提交的截止时间”前6个月内任何1月（不含“首次响应文件提交的截止时间”当月）的利润表月报表的扫描件1份。</w:t>
      </w:r>
    </w:p>
    <w:p w14:paraId="3F415DBA">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或合法有效的经第三方机构审计的年度财务审计报告（复印件）（2025年度，应包括审计报告正文、资产负债表、现金流量表、利润表）。</w:t>
      </w:r>
    </w:p>
    <w:p w14:paraId="736C1B6D">
      <w:pPr>
        <w:keepNext w:val="0"/>
        <w:keepLines w:val="0"/>
        <w:pageBreakBefore w:val="0"/>
        <w:widowControl w:val="0"/>
        <w:spacing w:line="360" w:lineRule="auto"/>
        <w:ind w:firstLine="482"/>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val="0"/>
          <w:bCs/>
          <w:sz w:val="24"/>
          <w:szCs w:val="24"/>
          <w:lang w:val="en-US" w:eastAsia="zh-CN" w:bidi="ar-SA"/>
        </w:rPr>
        <w:t>3、供应商</w:t>
      </w:r>
      <w:r>
        <w:rPr>
          <w:rFonts w:hint="eastAsia" w:ascii="宋体" w:hAnsi="宋体" w:eastAsia="宋体" w:cs="宋体"/>
          <w:color w:val="000000"/>
          <w:sz w:val="24"/>
          <w:szCs w:val="24"/>
          <w:highlight w:val="none"/>
          <w:lang w:val="en-US" w:eastAsia="zh-CN" w:bidi="ar-SA"/>
        </w:rPr>
        <w:t>提交首次响应文件时间前6个月内（不含开标当月）任何1月的</w:t>
      </w:r>
      <w:r>
        <w:rPr>
          <w:rFonts w:hint="eastAsia" w:ascii="宋体" w:hAnsi="宋体" w:eastAsia="宋体" w:cs="宋体"/>
          <w:b/>
          <w:bCs/>
          <w:color w:val="000000"/>
          <w:sz w:val="24"/>
          <w:szCs w:val="24"/>
          <w:highlight w:val="none"/>
          <w:lang w:val="en-US" w:eastAsia="zh-CN" w:bidi="ar-SA"/>
        </w:rPr>
        <w:t>依法缴纳税收和社会保障资金的相关材料扫描件各一份</w:t>
      </w:r>
      <w:r>
        <w:rPr>
          <w:rFonts w:hint="eastAsia" w:ascii="宋体" w:hAnsi="宋体" w:eastAsia="宋体" w:cs="宋体"/>
          <w:color w:val="000000"/>
          <w:sz w:val="24"/>
          <w:szCs w:val="24"/>
          <w:highlight w:val="none"/>
          <w:lang w:val="en-US" w:eastAsia="zh-CN" w:bidi="ar-SA"/>
        </w:rPr>
        <w:t>（依法免税或不需要缴纳社会保障资金的供应商,提供相应文件证明其依法免税或不需要缴纳社会保障资金)；</w:t>
      </w:r>
    </w:p>
    <w:p w14:paraId="2A3F11E7">
      <w:pPr>
        <w:keepNext w:val="0"/>
        <w:keepLines w:val="0"/>
        <w:pageBreakBefore w:val="0"/>
        <w:widowControl w:val="0"/>
        <w:spacing w:line="360" w:lineRule="auto"/>
        <w:ind w:firstLine="482"/>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4、</w:t>
      </w:r>
      <w:r>
        <w:rPr>
          <w:rFonts w:hint="eastAsia" w:ascii="宋体" w:hAnsi="宋体" w:eastAsia="宋体" w:cs="宋体"/>
          <w:color w:val="000000"/>
          <w:sz w:val="24"/>
          <w:szCs w:val="24"/>
          <w:lang w:val="en-US" w:eastAsia="zh-CN" w:bidi="ar-SA"/>
        </w:rPr>
        <w:t>具备履行合同所必需的设备和专业技术能力的书面声明，并附证明材料扫描件，即提供：</w:t>
      </w:r>
    </w:p>
    <w:p w14:paraId="670B5608">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360" w:lineRule="auto"/>
        <w:ind w:right="0" w:firstLine="480"/>
        <w:rPr>
          <w:rFonts w:hint="eastAsia" w:ascii="宋体" w:hAnsi="宋体" w:eastAsia="宋体" w:cs="宋体"/>
          <w:b w:val="0"/>
          <w:bCs/>
          <w:highlight w:val="none"/>
        </w:rPr>
      </w:pPr>
      <w:r>
        <w:rPr>
          <w:rFonts w:hint="eastAsia" w:ascii="宋体" w:hAnsi="宋体" w:eastAsia="宋体" w:cs="宋体"/>
          <w:b w:val="0"/>
          <w:bCs/>
          <w:color w:val="000000"/>
          <w:sz w:val="24"/>
        </w:rPr>
        <w:t>①即供应商资质类别和等级：</w:t>
      </w:r>
      <w:r>
        <w:rPr>
          <w:rFonts w:hint="eastAsia" w:ascii="宋体" w:hAnsi="宋体" w:eastAsia="宋体" w:cs="宋体"/>
          <w:b w:val="0"/>
          <w:bCs/>
          <w:color w:val="000000"/>
          <w:sz w:val="24"/>
          <w:lang w:val="en-US" w:eastAsia="zh-CN"/>
        </w:rPr>
        <w:t>具备</w:t>
      </w:r>
      <w:r>
        <w:rPr>
          <w:rFonts w:hint="eastAsia" w:ascii="宋体" w:hAnsi="宋体" w:eastAsia="宋体" w:cs="宋体"/>
          <w:b/>
          <w:bCs/>
          <w:color w:val="000000"/>
          <w:sz w:val="24"/>
          <w:highlight w:val="none"/>
          <w:u w:val="none"/>
          <w:lang w:val="en-US" w:eastAsia="zh-CN"/>
        </w:rPr>
        <w:t>市政公用工程</w:t>
      </w:r>
      <w:r>
        <w:rPr>
          <w:rFonts w:hint="eastAsia" w:ascii="宋体" w:hAnsi="宋体" w:eastAsia="宋体" w:cs="宋体"/>
          <w:b/>
          <w:bCs/>
          <w:color w:val="000000"/>
          <w:sz w:val="24"/>
          <w:highlight w:val="none"/>
          <w:u w:val="none"/>
        </w:rPr>
        <w:t>施工总承包叁级及以上资质</w:t>
      </w:r>
      <w:r>
        <w:rPr>
          <w:rFonts w:hint="eastAsia" w:ascii="宋体" w:hAnsi="宋体" w:eastAsia="宋体" w:cs="宋体"/>
          <w:b/>
          <w:color w:val="auto"/>
          <w:sz w:val="24"/>
          <w:szCs w:val="24"/>
          <w:highlight w:val="none"/>
          <w:u w:val="none"/>
        </w:rPr>
        <w:t>；</w:t>
      </w:r>
      <w:r>
        <w:rPr>
          <w:rFonts w:hint="eastAsia" w:ascii="宋体" w:hAnsi="宋体" w:eastAsia="宋体" w:cs="宋体"/>
          <w:b/>
          <w:bCs w:val="0"/>
          <w:color w:val="000000"/>
          <w:sz w:val="24"/>
          <w:highlight w:val="none"/>
          <w:u w:val="none"/>
        </w:rPr>
        <w:t>且</w:t>
      </w:r>
      <w:r>
        <w:rPr>
          <w:rFonts w:hint="eastAsia" w:ascii="宋体" w:hAnsi="宋体" w:eastAsia="宋体" w:cs="宋体"/>
          <w:b/>
          <w:bCs w:val="0"/>
          <w:color w:val="000000"/>
          <w:sz w:val="24"/>
          <w:highlight w:val="none"/>
          <w:lang w:val="en-US" w:eastAsia="zh-CN"/>
        </w:rPr>
        <w:t>具有有效的</w:t>
      </w:r>
      <w:r>
        <w:rPr>
          <w:rFonts w:hint="eastAsia" w:ascii="宋体" w:hAnsi="宋体" w:eastAsia="宋体" w:cs="宋体"/>
          <w:b/>
          <w:bCs w:val="0"/>
          <w:color w:val="000000"/>
          <w:sz w:val="24"/>
          <w:highlight w:val="none"/>
        </w:rPr>
        <w:t>安全生产许可证</w:t>
      </w:r>
      <w:r>
        <w:rPr>
          <w:rFonts w:hint="eastAsia" w:ascii="宋体" w:hAnsi="宋体" w:eastAsia="宋体" w:cs="宋体"/>
          <w:b/>
          <w:bCs w:val="0"/>
          <w:color w:val="000000"/>
          <w:sz w:val="24"/>
          <w:highlight w:val="none"/>
          <w:lang w:eastAsia="zh-CN"/>
        </w:rPr>
        <w:t>，</w:t>
      </w:r>
      <w:r>
        <w:rPr>
          <w:rFonts w:hint="eastAsia" w:ascii="宋体" w:hAnsi="宋体" w:eastAsia="宋体" w:cs="宋体"/>
          <w:b/>
          <w:bCs/>
          <w:color w:val="000000"/>
          <w:sz w:val="24"/>
          <w:highlight w:val="none"/>
        </w:rPr>
        <w:t>提供扫描件并加盖电子签章</w:t>
      </w:r>
      <w:r>
        <w:rPr>
          <w:rFonts w:hint="eastAsia" w:ascii="宋体" w:hAnsi="宋体" w:eastAsia="宋体" w:cs="宋体"/>
          <w:b/>
          <w:bCs w:val="0"/>
          <w:color w:val="000000"/>
          <w:sz w:val="24"/>
          <w:highlight w:val="none"/>
        </w:rPr>
        <w:t>；</w:t>
      </w:r>
    </w:p>
    <w:p w14:paraId="7410CF79">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360" w:lineRule="auto"/>
        <w:ind w:right="0" w:firstLine="480"/>
        <w:rPr>
          <w:rFonts w:hint="eastAsia" w:ascii="宋体" w:hAnsi="宋体" w:eastAsia="宋体" w:cs="宋体"/>
          <w:b/>
          <w:bCs w:val="0"/>
          <w:color w:val="000000"/>
          <w:sz w:val="24"/>
        </w:rPr>
      </w:pPr>
      <w:r>
        <w:rPr>
          <w:rFonts w:hint="eastAsia" w:ascii="宋体" w:hAnsi="宋体" w:eastAsia="宋体" w:cs="宋体"/>
          <w:b w:val="0"/>
          <w:bCs/>
          <w:color w:val="000000"/>
          <w:sz w:val="24"/>
          <w:highlight w:val="none"/>
        </w:rPr>
        <w:t>②拟选派项目负责人具备</w:t>
      </w:r>
      <w:r>
        <w:rPr>
          <w:rFonts w:hint="eastAsia" w:ascii="宋体" w:hAnsi="宋体" w:eastAsia="宋体" w:cs="宋体"/>
          <w:b/>
          <w:color w:val="auto"/>
          <w:sz w:val="24"/>
          <w:szCs w:val="24"/>
          <w:highlight w:val="none"/>
          <w:u w:val="none"/>
          <w:lang w:eastAsia="zh-CN"/>
        </w:rPr>
        <w:t>市政</w:t>
      </w:r>
      <w:r>
        <w:rPr>
          <w:rFonts w:hint="eastAsia" w:ascii="宋体" w:hAnsi="宋体" w:eastAsia="宋体" w:cs="宋体"/>
          <w:b/>
          <w:bCs/>
          <w:color w:val="000000"/>
          <w:sz w:val="24"/>
          <w:highlight w:val="none"/>
          <w:u w:val="none"/>
          <w:lang w:val="en-US" w:eastAsia="zh-CN"/>
        </w:rPr>
        <w:t>公用</w:t>
      </w:r>
      <w:r>
        <w:rPr>
          <w:rFonts w:hint="eastAsia" w:ascii="宋体" w:hAnsi="宋体" w:eastAsia="宋体" w:cs="宋体"/>
          <w:b/>
          <w:bCs/>
          <w:color w:val="000000"/>
          <w:sz w:val="24"/>
          <w:highlight w:val="none"/>
          <w:u w:val="none"/>
        </w:rPr>
        <w:t>工程</w:t>
      </w:r>
      <w:r>
        <w:rPr>
          <w:rFonts w:hint="eastAsia" w:ascii="宋体" w:hAnsi="宋体" w:eastAsia="宋体" w:cs="宋体"/>
          <w:b/>
          <w:color w:val="auto"/>
          <w:sz w:val="24"/>
          <w:szCs w:val="24"/>
          <w:highlight w:val="none"/>
          <w:u w:val="none"/>
        </w:rPr>
        <w:t>专业贰级（含）</w:t>
      </w:r>
      <w:r>
        <w:rPr>
          <w:rFonts w:hint="eastAsia" w:ascii="宋体" w:hAnsi="宋体" w:eastAsia="宋体" w:cs="宋体"/>
          <w:b/>
          <w:color w:val="auto"/>
          <w:sz w:val="24"/>
          <w:szCs w:val="24"/>
          <w:highlight w:val="none"/>
          <w:u w:val="none"/>
          <w:lang w:val="en-US" w:eastAsia="zh-CN"/>
        </w:rPr>
        <w:t>及以上注册建造师（资格）</w:t>
      </w:r>
      <w:r>
        <w:rPr>
          <w:rFonts w:hint="eastAsia" w:ascii="宋体" w:hAnsi="宋体" w:eastAsia="宋体" w:cs="宋体"/>
          <w:b/>
          <w:bCs w:val="0"/>
          <w:color w:val="000000"/>
          <w:sz w:val="24"/>
          <w:highlight w:val="none"/>
          <w:u w:val="none"/>
        </w:rPr>
        <w:t>；</w:t>
      </w:r>
      <w:r>
        <w:rPr>
          <w:rFonts w:hint="eastAsia" w:ascii="宋体" w:hAnsi="宋体" w:eastAsia="宋体" w:cs="Times New Roman"/>
          <w:b/>
          <w:color w:val="auto"/>
          <w:sz w:val="24"/>
          <w:highlight w:val="none"/>
          <w:lang w:val="en-US" w:eastAsia="zh-CN"/>
        </w:rPr>
        <w:t>具有有效《建筑施工企业安全生产考核合格证书》（B证）</w:t>
      </w:r>
      <w:r>
        <w:rPr>
          <w:rFonts w:hint="eastAsia" w:ascii="宋体" w:hAnsi="宋体" w:eastAsia="宋体" w:cs="宋体"/>
          <w:b/>
          <w:bCs w:val="0"/>
          <w:color w:val="000000"/>
          <w:sz w:val="24"/>
          <w:highlight w:val="none"/>
        </w:rPr>
        <w:t>且</w:t>
      </w:r>
      <w:r>
        <w:rPr>
          <w:rFonts w:hint="eastAsia" w:ascii="宋体" w:hAnsi="宋体" w:eastAsia="宋体" w:cs="宋体"/>
          <w:b/>
          <w:bCs/>
          <w:color w:val="000000"/>
          <w:sz w:val="24"/>
          <w:highlight w:val="none"/>
          <w:lang w:val="en-US" w:eastAsia="zh-CN"/>
        </w:rPr>
        <w:t>提供</w:t>
      </w:r>
      <w:r>
        <w:rPr>
          <w:rFonts w:hint="eastAsia" w:ascii="宋体" w:hAnsi="宋体" w:eastAsia="宋体" w:cs="宋体"/>
          <w:b/>
          <w:bCs/>
          <w:color w:val="000000"/>
          <w:sz w:val="24"/>
          <w:highlight w:val="none"/>
        </w:rPr>
        <w:t>无在建工程</w:t>
      </w:r>
      <w:r>
        <w:rPr>
          <w:rFonts w:hint="eastAsia" w:ascii="宋体" w:hAnsi="宋体" w:eastAsia="宋体" w:cs="宋体"/>
          <w:b/>
          <w:bCs/>
          <w:color w:val="000000"/>
          <w:sz w:val="24"/>
          <w:highlight w:val="none"/>
          <w:lang w:val="en-US" w:eastAsia="zh-CN"/>
        </w:rPr>
        <w:t>的承诺书</w:t>
      </w:r>
      <w:r>
        <w:rPr>
          <w:rFonts w:hint="eastAsia" w:ascii="宋体" w:hAnsi="宋体" w:eastAsia="宋体" w:cs="宋体"/>
          <w:b/>
          <w:bCs/>
          <w:color w:val="000000"/>
          <w:sz w:val="24"/>
          <w:highlight w:val="none"/>
        </w:rPr>
        <w:t>(承诺书格</w:t>
      </w:r>
      <w:r>
        <w:rPr>
          <w:rFonts w:hint="eastAsia" w:ascii="宋体" w:hAnsi="宋体" w:eastAsia="宋体" w:cs="宋体"/>
          <w:b/>
          <w:bCs/>
          <w:color w:val="000000"/>
          <w:sz w:val="24"/>
        </w:rPr>
        <w:t>式自拟，</w:t>
      </w:r>
      <w:r>
        <w:rPr>
          <w:rFonts w:hint="eastAsia" w:ascii="宋体" w:hAnsi="宋体" w:eastAsia="宋体" w:cs="宋体"/>
          <w:b/>
          <w:bCs/>
          <w:color w:val="000000"/>
          <w:sz w:val="24"/>
          <w:highlight w:val="none"/>
        </w:rPr>
        <w:t>其余提供扫描件并加盖电子签章</w:t>
      </w:r>
      <w:r>
        <w:rPr>
          <w:rFonts w:hint="eastAsia" w:ascii="宋体" w:hAnsi="宋体" w:eastAsia="宋体" w:cs="宋体"/>
          <w:b/>
          <w:bCs/>
          <w:color w:val="000000"/>
          <w:sz w:val="24"/>
        </w:rPr>
        <w:t>）</w:t>
      </w:r>
      <w:r>
        <w:rPr>
          <w:rFonts w:hint="eastAsia" w:ascii="宋体" w:hAnsi="宋体" w:eastAsia="宋体" w:cs="宋体"/>
          <w:b/>
          <w:bCs w:val="0"/>
          <w:color w:val="000000"/>
          <w:sz w:val="24"/>
        </w:rPr>
        <w:t>。</w:t>
      </w:r>
    </w:p>
    <w:p w14:paraId="1E3A89A6">
      <w:pPr>
        <w:spacing w:line="360" w:lineRule="auto"/>
        <w:ind w:right="-334" w:firstLine="482"/>
        <w:rPr>
          <w:rFonts w:hint="eastAsia" w:ascii="宋体" w:hAnsi="宋体" w:eastAsia="宋体" w:cs="宋体"/>
          <w:b/>
          <w:bCs w:val="0"/>
          <w:color w:val="000000"/>
          <w:sz w:val="24"/>
        </w:rPr>
      </w:pPr>
      <w:r>
        <w:rPr>
          <w:rFonts w:hint="eastAsia" w:ascii="宋体" w:hAnsi="宋体" w:eastAsia="宋体" w:cs="宋体"/>
          <w:bCs/>
          <w:color w:val="000000"/>
          <w:sz w:val="24"/>
          <w:highlight w:val="none"/>
        </w:rPr>
        <w:t>③</w:t>
      </w:r>
      <w:r>
        <w:rPr>
          <w:rFonts w:hint="eastAsia" w:ascii="宋体" w:hAnsi="宋体" w:eastAsia="宋体" w:cs="宋体"/>
          <w:bCs/>
          <w:color w:val="000000"/>
          <w:sz w:val="24"/>
          <w:highlight w:val="none"/>
          <w:lang w:val="en-US" w:eastAsia="zh-CN"/>
        </w:rPr>
        <w:t>安全员：</w:t>
      </w:r>
      <w:r>
        <w:rPr>
          <w:rFonts w:hint="eastAsia" w:ascii="宋体" w:hAnsi="宋体" w:eastAsia="宋体" w:cs="宋体"/>
          <w:bCs/>
          <w:color w:val="000000"/>
          <w:sz w:val="24"/>
          <w:highlight w:val="none"/>
        </w:rPr>
        <w:t xml:space="preserve"> </w:t>
      </w:r>
      <w:r>
        <w:rPr>
          <w:rFonts w:hint="eastAsia" w:ascii="宋体" w:hAnsi="宋体" w:eastAsia="宋体" w:cs="宋体"/>
          <w:b/>
          <w:bCs w:val="0"/>
          <w:color w:val="000000"/>
          <w:sz w:val="24"/>
          <w:highlight w:val="none"/>
        </w:rPr>
        <w:t>必须设置独立的专职安全员，专职安全员具备有效的《安全生产考核合格证书》</w:t>
      </w:r>
      <w:r>
        <w:rPr>
          <w:rFonts w:hint="eastAsia" w:ascii="宋体" w:hAnsi="宋体" w:eastAsia="宋体" w:cs="宋体"/>
          <w:b/>
          <w:bCs w:val="0"/>
          <w:color w:val="000000"/>
          <w:sz w:val="24"/>
          <w:highlight w:val="none"/>
          <w:lang w:val="en-US" w:eastAsia="zh-CN"/>
        </w:rPr>
        <w:t>C证</w:t>
      </w:r>
      <w:r>
        <w:rPr>
          <w:rFonts w:hint="eastAsia" w:ascii="宋体" w:hAnsi="宋体" w:eastAsia="宋体" w:cs="宋体"/>
          <w:b/>
          <w:bCs w:val="0"/>
          <w:color w:val="000000"/>
          <w:sz w:val="24"/>
          <w:highlight w:val="none"/>
        </w:rPr>
        <w:t>；</w:t>
      </w:r>
    </w:p>
    <w:p w14:paraId="79733B9D">
      <w:pPr>
        <w:pageBreakBefore w:val="0"/>
        <w:widowControl w:val="0"/>
        <w:spacing w:line="360" w:lineRule="auto"/>
        <w:ind w:firstLine="482"/>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highlight w:val="none"/>
          <w:lang w:val="en-US" w:eastAsia="zh-CN" w:bidi="ar-SA"/>
        </w:rPr>
        <w:t>5、</w:t>
      </w:r>
      <w:r>
        <w:rPr>
          <w:rFonts w:hint="eastAsia" w:ascii="宋体" w:hAnsi="宋体" w:eastAsia="宋体" w:cs="宋体"/>
          <w:b w:val="0"/>
          <w:bCs/>
          <w:sz w:val="24"/>
          <w:szCs w:val="24"/>
          <w:lang w:val="en-US" w:eastAsia="zh-CN" w:bidi="ar-SA"/>
        </w:rPr>
        <w:t>供应商参加政府采购活动前3年内在经营活动中没有重大违法记录的书面声明（加盖电子签章，格式见《磋商文件》附件）；</w:t>
      </w:r>
    </w:p>
    <w:p w14:paraId="36AA0BE0">
      <w:pPr>
        <w:keepNext w:val="0"/>
        <w:keepLines w:val="0"/>
        <w:widowControl w:val="0"/>
        <w:numPr>
          <w:ilvl w:val="0"/>
          <w:numId w:val="0"/>
        </w:numPr>
        <w:suppressLineNumbers w:val="0"/>
        <w:spacing w:before="0" w:beforeAutospacing="0" w:after="0" w:afterAutospacing="0" w:line="360" w:lineRule="auto"/>
        <w:ind w:right="0" w:rightChars="0" w:firstLine="480" w:firstLineChars="200"/>
        <w:jc w:val="both"/>
        <w:rPr>
          <w:rFonts w:hint="default" w:ascii="宋体" w:hAnsi="宋体" w:eastAsia="宋体" w:cs="宋体"/>
          <w:color w:val="000000"/>
          <w:sz w:val="24"/>
          <w:szCs w:val="24"/>
          <w:lang w:val="en-US" w:eastAsia="zh-CN" w:bidi="ar"/>
        </w:rPr>
      </w:pPr>
      <w:r>
        <w:rPr>
          <w:rFonts w:hint="eastAsia" w:ascii="宋体" w:hAnsi="宋体" w:eastAsia="宋体" w:cs="宋体"/>
          <w:sz w:val="24"/>
          <w:szCs w:val="24"/>
          <w:lang w:val="en-US" w:eastAsia="zh-CN" w:bidi="ar-SA"/>
        </w:rPr>
        <w:t>6、供应商须提供《中小企业声明函》</w:t>
      </w:r>
    </w:p>
    <w:p w14:paraId="74ECD055"/>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FF660">
    <w:pPr>
      <w:widowControl w:val="0"/>
      <w:tabs>
        <w:tab w:val="center" w:pos="4153"/>
        <w:tab w:val="right" w:pos="8306"/>
      </w:tabs>
      <w:jc w:val="left"/>
      <w:rPr>
        <w:rFonts w:hint="eastAsia"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C7F40">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13</w:t>
                          </w:r>
                          <w:r>
                            <w:rPr>
                              <w:rFonts w:hint="default" w:ascii="Times New Roman" w:hAnsi="Times New Roman" w:eastAsia="宋体"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SX+ROkECAAB9BAAADgAAAAAAAAABACAAAAAfAQAAZHJz&#10;L2Uyb0RvYy54bWxQSwUGAAAAAAYABgBZAQAA0gUAAAAA&#10;">
              <v:fill on="f" focussize="0,0"/>
              <v:stroke on="f" weight="0.5pt"/>
              <v:imagedata o:title=""/>
              <o:lock v:ext="edit" aspectratio="f"/>
              <v:textbox inset="0mm,0mm,0mm,0mm" style="mso-fit-shape-to-text:t;">
                <w:txbxContent>
                  <w:p w14:paraId="359C7F40">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13</w:t>
                    </w:r>
                    <w:r>
                      <w:rPr>
                        <w:rFonts w:hint="default" w:ascii="Times New Roman" w:hAnsi="Times New Roman" w:eastAsia="宋体" w:cs="Times New Roman"/>
                        <w:sz w:val="18"/>
                        <w:szCs w:val="18"/>
                        <w:lang w:val="en-US" w:eastAsia="zh-CN" w:bidi="ar-SA"/>
                      </w:rPr>
                      <w:fldChar w:fldCharType="end"/>
                    </w:r>
                  </w:p>
                </w:txbxContent>
              </v:textbox>
            </v:shape>
          </w:pict>
        </mc:Fallback>
      </mc:AlternateContent>
    </w:r>
  </w:p>
  <w:p w14:paraId="7703CC96">
    <w:pPr>
      <w:widowControl w:val="0"/>
      <w:tabs>
        <w:tab w:val="center" w:pos="4153"/>
        <w:tab w:val="right" w:pos="8306"/>
      </w:tabs>
      <w:jc w:val="left"/>
      <w:rPr>
        <w:rFonts w:hint="default" w:ascii="Times New Roman" w:hAnsi="Times New Roman" w:eastAsia="宋体" w:cs="Times New Roman"/>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F6B8">
    <w:pPr>
      <w:widowControl w:val="0"/>
      <w:tabs>
        <w:tab w:val="center" w:pos="4153"/>
        <w:tab w:val="right" w:pos="8306"/>
      </w:tabs>
      <w:jc w:val="left"/>
      <w:rPr>
        <w:rFonts w:hint="eastAsia"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5E38EE">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13</w:t>
                          </w:r>
                          <w:r>
                            <w:rPr>
                              <w:rFonts w:hint="default" w:ascii="Times New Roman" w:hAnsi="Times New Roman" w:eastAsia="宋体"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CHQWYlCAgAAfQQAAA4AAAAAAAAAAQAgAAAAHwEAAGRy&#10;cy9lMm9Eb2MueG1sUEsFBgAAAAAGAAYAWQEAANMFAAAAAA==&#10;">
              <v:fill on="f" focussize="0,0"/>
              <v:stroke on="f" weight="0.5pt"/>
              <v:imagedata o:title=""/>
              <o:lock v:ext="edit" aspectratio="f"/>
              <v:textbox inset="0mm,0mm,0mm,0mm" style="mso-fit-shape-to-text:t;">
                <w:txbxContent>
                  <w:p w14:paraId="075E38EE">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13</w:t>
                    </w:r>
                    <w:r>
                      <w:rPr>
                        <w:rFonts w:hint="default" w:ascii="Times New Roman" w:hAnsi="Times New Roman" w:eastAsia="宋体" w:cs="Times New Roman"/>
                        <w:sz w:val="18"/>
                        <w:szCs w:val="18"/>
                        <w:lang w:val="en-US" w:eastAsia="zh-CN" w:bidi="ar-SA"/>
                      </w:rPr>
                      <w:fldChar w:fldCharType="end"/>
                    </w:r>
                  </w:p>
                </w:txbxContent>
              </v:textbox>
            </v:shape>
          </w:pict>
        </mc:Fallback>
      </mc:AlternateContent>
    </w:r>
  </w:p>
  <w:p w14:paraId="29923804">
    <w:pPr>
      <w:widowControl w:val="0"/>
      <w:tabs>
        <w:tab w:val="center" w:pos="4153"/>
        <w:tab w:val="right" w:pos="8306"/>
      </w:tabs>
      <w:jc w:val="left"/>
      <w:rPr>
        <w:rFonts w:hint="default" w:ascii="Times New Roman" w:hAnsi="Times New Roman" w:eastAsia="宋体" w:cs="Times New Roman"/>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D616D"/>
    <w:rsid w:val="00E642B6"/>
    <w:rsid w:val="01027FD7"/>
    <w:rsid w:val="03702324"/>
    <w:rsid w:val="042B66AD"/>
    <w:rsid w:val="045719A7"/>
    <w:rsid w:val="062D0E51"/>
    <w:rsid w:val="084E66B4"/>
    <w:rsid w:val="0B3B4666"/>
    <w:rsid w:val="0F7E7E10"/>
    <w:rsid w:val="103923D0"/>
    <w:rsid w:val="11ED616D"/>
    <w:rsid w:val="13E510D9"/>
    <w:rsid w:val="174171DE"/>
    <w:rsid w:val="1B75323D"/>
    <w:rsid w:val="1D2E78BA"/>
    <w:rsid w:val="1E7730EB"/>
    <w:rsid w:val="229B7761"/>
    <w:rsid w:val="244B286A"/>
    <w:rsid w:val="26253E74"/>
    <w:rsid w:val="277976C4"/>
    <w:rsid w:val="28387E79"/>
    <w:rsid w:val="318E1FC7"/>
    <w:rsid w:val="332B764D"/>
    <w:rsid w:val="35A62403"/>
    <w:rsid w:val="385C0B47"/>
    <w:rsid w:val="427F607F"/>
    <w:rsid w:val="44D6158F"/>
    <w:rsid w:val="470F446A"/>
    <w:rsid w:val="481245D8"/>
    <w:rsid w:val="48417E8F"/>
    <w:rsid w:val="4E335CEB"/>
    <w:rsid w:val="55142068"/>
    <w:rsid w:val="649830A6"/>
    <w:rsid w:val="64AA5257"/>
    <w:rsid w:val="66651731"/>
    <w:rsid w:val="67372436"/>
    <w:rsid w:val="69937A97"/>
    <w:rsid w:val="69E43CAC"/>
    <w:rsid w:val="6BFF7935"/>
    <w:rsid w:val="6C1D57AE"/>
    <w:rsid w:val="6CED5E0F"/>
    <w:rsid w:val="6F770CED"/>
    <w:rsid w:val="6F7D663A"/>
    <w:rsid w:val="72944210"/>
    <w:rsid w:val="752D0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sz w:val="20"/>
      <w:szCs w:val="24"/>
    </w:rPr>
  </w:style>
  <w:style w:type="paragraph" w:styleId="3">
    <w:name w:val="Normal (Web)"/>
    <w:basedOn w:val="1"/>
    <w:qFormat/>
    <w:uiPriority w:val="0"/>
    <w:rPr>
      <w:sz w:val="24"/>
    </w:rPr>
  </w:style>
  <w:style w:type="paragraph" w:customStyle="1" w:styleId="6">
    <w:name w:val="列出段落2"/>
    <w:basedOn w:val="7"/>
    <w:qFormat/>
    <w:uiPriority w:val="0"/>
    <w:pPr>
      <w:ind w:firstLine="420"/>
    </w:pPr>
    <w:rPr>
      <w:rFonts w:ascii="Times New Roman" w:hAnsi="Times New Roman" w:eastAsia="宋体"/>
    </w:rPr>
  </w:style>
  <w:style w:type="paragraph" w:customStyle="1" w:styleId="7">
    <w:name w:val="正文1"/>
    <w:next w:val="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8">
    <w:name w:val="脚注文本1"/>
    <w:basedOn w:val="9"/>
    <w:next w:val="14"/>
    <w:unhideWhenUsed/>
    <w:qFormat/>
    <w:uiPriority w:val="99"/>
    <w:pPr>
      <w:spacing w:after="40"/>
    </w:pPr>
    <w:rPr>
      <w:sz w:val="18"/>
    </w:rPr>
  </w:style>
  <w:style w:type="paragraph" w:customStyle="1" w:styleId="9">
    <w:name w:val="正文1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正文文本1"/>
    <w:basedOn w:val="11"/>
    <w:next w:val="13"/>
    <w:qFormat/>
    <w:uiPriority w:val="0"/>
    <w:pPr>
      <w:widowControl w:val="0"/>
      <w:spacing w:after="120"/>
      <w:jc w:val="both"/>
    </w:pPr>
    <w:rPr>
      <w:rFonts w:ascii="Calibri" w:hAnsi="Calibri"/>
      <w:sz w:val="21"/>
      <w:szCs w:val="24"/>
    </w:rPr>
  </w:style>
  <w:style w:type="paragraph" w:customStyle="1" w:styleId="11">
    <w:name w:val="正文12"/>
    <w:next w:val="12"/>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12">
    <w:name w:val="目录 111"/>
    <w:basedOn w:val="9"/>
    <w:next w:val="11"/>
    <w:qFormat/>
    <w:uiPriority w:val="0"/>
    <w:pPr>
      <w:tabs>
        <w:tab w:val="right" w:leader="dot" w:pos="8296"/>
      </w:tabs>
      <w:spacing w:before="120" w:after="120" w:line="360" w:lineRule="auto"/>
      <w:ind w:firstLine="0"/>
      <w:jc w:val="left"/>
    </w:pPr>
  </w:style>
  <w:style w:type="paragraph" w:customStyle="1" w:styleId="13">
    <w:name w:val="正文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索引 51"/>
    <w:basedOn w:val="7"/>
    <w:next w:val="13"/>
    <w:qFormat/>
    <w:uiPriority w:val="0"/>
    <w:pPr>
      <w:ind w:left="798" w:firstLine="482"/>
      <w:jc w:val="left"/>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09e2c336-c055-42b7-9f1b-cff91d6786f1</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4BEA6B9C</paraID>
      <start>32</start>
      <end>43</end>
      <status>unmodified</status>
      <modifiedWord/>
      <trackRevisions>false</trackRevisions>
    </reviewItem>
    <reviewItem>
      <errorID>b2d506dc-a3a9-479f-aa8c-ae5df567e52a</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4BEA6B9C</paraID>
      <start>66</start>
      <end>77</end>
      <status>unmodified</status>
      <modifiedWord/>
      <trackRevisions>false</trackRevisions>
    </reviewItem>
    <reviewItem>
      <errorID>69664b91-d3e4-425c-b4be-8c19ee15b2b7</errorID>
      <errorWord>肿瘤标记物</errorWord>
      <group>L1_Word</group>
      <groupName>字词问题</groupName>
      <ability>L2_Typo</ability>
      <abilityName>字词错误</abilityName>
      <candidateList>
        <item>肿瘤标志物</item>
      </candidateList>
      <explain/>
      <paraID>286EDFDF</paraID>
      <start>0</start>
      <end>5</end>
      <status>unmodified</status>
      <modifiedWord/>
      <trackRevisions>false</trackRevisions>
    </reviewItem>
    <reviewItem>
      <errorID>6dbd6c8f-9036-4428-a464-d6454c710192</errorID>
      <errorWord>(</errorWord>
      <group>L1_Format</group>
      <groupName>格式问题</groupName>
      <ability>L2_HalfPunc</ability>
      <abilityName>全半角检查</abilityName>
      <candidateList>
        <item>（</item>
      </candidateList>
      <explain>文本全半角错误。</explain>
      <paraID>4EE0AFF6</paraID>
      <start>3</start>
      <end>4</end>
      <status>unmodified</status>
      <modifiedWord/>
      <trackRevisions>false</trackRevisions>
    </reviewItem>
    <reviewItem>
      <errorID>79bf03f5-6259-4b6d-bb4d-4b66c611c23a</errorID>
      <errorWord>)</errorWord>
      <group>L1_Format</group>
      <groupName>格式问题</groupName>
      <ability>L2_HalfPunc</ability>
      <abilityName>全半角检查</abilityName>
      <candidateList>
        <item>）</item>
      </candidateList>
      <explain>文本全半角错误。</explain>
      <paraID>4EE0AFF6</paraID>
      <start>8</start>
      <end>9</end>
      <status>unmodified</status>
      <modifiedWord/>
      <trackRevisions>false</trackRevisions>
    </reviewItem>
    <reviewItem>
      <errorID>dc2e84f5-7b7e-4b10-8aa4-0a09b29888fb</errorID>
      <errorWord>(</errorWord>
      <group>L1_Format</group>
      <groupName>格式问题</groupName>
      <ability>L2_HalfPunc</ability>
      <abilityName>全半角检查</abilityName>
      <candidateList>
        <item>（</item>
      </candidateList>
      <explain>文本全半角错误。</explain>
      <paraID>41464DFD</paraID>
      <start>14</start>
      <end>15</end>
      <status>unmodified</status>
      <modifiedWord/>
      <trackRevisions>false</trackRevisions>
    </reviewItem>
    <reviewItem>
      <errorID>cb0b0519-b52e-4447-98a2-05e0e617e609</errorID>
      <errorWord>)</errorWord>
      <group>L1_Format</group>
      <groupName>格式问题</groupName>
      <ability>L2_HalfPunc</ability>
      <abilityName>全半角检查</abilityName>
      <candidateList>
        <item>）</item>
      </candidateList>
      <explain>文本全半角错误。</explain>
      <paraID>41464DFD</paraID>
      <start>16</start>
      <end>17</end>
      <status>unmodified</status>
      <modifiedWord/>
      <trackRevisions>false</trackRevisions>
    </reviewItem>
    <reviewItem>
      <errorID>599a8d52-1e35-4078-b3d1-061d81b25455</errorID>
      <errorWord>其它</errorWord>
      <group>L1_Word</group>
      <groupName>字词问题</groupName>
      <ability>L2_Alias</ability>
      <abilityName>也作/曾用词</abilityName>
      <candidateList>
        <item>其他</item>
      </candidateList>
      <explain>词汇[其它]为不规范表述或旧称，其规范书面表述为[其他]。</explain>
      <paraID>5965E4B5</paraID>
      <start>11</start>
      <end>13</end>
      <status>modified</status>
      <modifiedWord>其他</modifiedWord>
      <trackRevisions>false</trackRevisions>
    </reviewItem>
    <reviewItem>
      <errorID>4347fa5b-b680-4b8e-b75f-7be36b6898c1</errorID>
      <errorWord>,</errorWord>
      <group>L1_Format</group>
      <groupName>格式问题</groupName>
      <ability>L2_HalfPunc</ability>
      <abilityName>全半角检查</abilityName>
      <candidateList>
        <item>，</item>
      </candidateList>
      <explain>文本全半角错误。</explain>
      <paraID>22656B90</paraID>
      <start>31</start>
      <end>32</end>
      <status>unmodified</status>
      <modifiedWord/>
      <trackRevisions>false</trackRevisions>
    </reviewItem>
    <reviewItem>
      <errorID>d6399119-e439-4223-af38-0724bed88ebb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5190E6BE</paraID>
      <start>0</start>
      <end>2</end>
      <status>unmodified</status>
      <modifiedWord/>
      <trackRevisions>false</trackRevisions>
    </reviewItem>
    <reviewItem>
      <errorID>b3f319f6-14c6-4fc6-a6c4-2c6de4d44ec4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71FC8559</paraID>
      <start>0</start>
      <end>2</end>
      <status>unmodified</status>
      <modifiedWord/>
      <trackRevisions>false</trackRevisions>
    </reviewItem>
    <reviewItem>
      <errorID>5b0366d7-7ced-431d-ade7-ca594485058d</errorID>
      <errorWord>（</errorWord>
      <group>L1_Punc</group>
      <groupName>标点问题</groupName>
      <ability>L2_Punc</ability>
      <abilityName>标点符号检查</abilityName>
      <candidateList/>
      <explain>同一形式括号套用。</explain>
      <paraID>71FC8559</paraID>
      <start>31</start>
      <end>32</end>
      <status>unmodified</status>
      <modifiedWord/>
      <trackRevisions>false</trackRevisions>
    </reviewItem>
    <reviewItem>
      <errorID>1695f776-a862-4d00-b136-65c71e22dadd</errorID>
      <errorWord>）</errorWord>
      <group>L1_Punc</group>
      <groupName>标点问题</groupName>
      <ability>L2_Punc</ability>
      <abilityName>标点符号检查</abilityName>
      <candidateList/>
      <explain>同一形式括号套用。</explain>
      <paraID>71FC8559</paraID>
      <start>38</start>
      <end>39</end>
      <status>unmodified</status>
      <modifiedWord/>
      <trackRevisions>false</trackRevisions>
    </reviewItem>
    <reviewItem>
      <errorID>4f03f304-504d-4e62-95ec-427c013c88c2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4BFD0E6F</paraID>
      <start>0</start>
      <end>2</end>
      <status>unmodified</status>
      <modifiedWord/>
      <trackRevisions>false</trackRevisions>
    </reviewItem>
    <reviewItem>
      <errorID>f55db0a8-2696-402a-afde-94fba13464de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391BD46B</paraID>
      <start>0</start>
      <end>2</end>
      <status>unmodified</status>
      <modifiedWord/>
      <trackRevisions>false</trackRevisions>
    </reviewItem>
    <reviewItem>
      <errorID>e171c021-bd38-4593-a9af-ca44ff3480d9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2E2D2FED</paraID>
      <start>0</start>
      <end>2</end>
      <status>unmodified</status>
      <modifiedWord/>
      <trackRevisions>false</trackRevisions>
    </reviewItem>
    <reviewItem>
      <errorID>f1f3bd37-21e4-475a-90e2-0a1bfe39383d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69AB18D1</paraID>
      <start>0</start>
      <end>2</end>
      <status>unmodified</status>
      <modifiedWord/>
      <trackRevisions>false</trackRevisions>
    </reviewItem>
    <reviewItem>
      <errorID>d034af85-163d-487b-922c-919bc9c29f2d</errorID>
      <errorWord>且</errorWord>
      <group>L1_Word</group>
      <groupName>字词问题</groupName>
      <ability>L2_Typo</ability>
      <abilityName>字词错误</abilityName>
      <candidateList>
        <item>且在</item>
      </candidateList>
      <explain/>
      <paraID>7A2E40CC</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20282a-0225-454a-a4c3-47840fd0f6f5}">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4266</Words>
  <Characters>4400</Characters>
  <Lines>0</Lines>
  <Paragraphs>0</Paragraphs>
  <TotalTime>1</TotalTime>
  <ScaleCrop>false</ScaleCrop>
  <LinksUpToDate>false</LinksUpToDate>
  <CharactersWithSpaces>4576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2025-02-10T09:30:00Z</dcterms:created>
  <dc:creator>Administrator</dc:creator>
  <cp:lastModifiedBy>Administrator</cp:lastModifiedBy>
  <dcterms:modified xsi:type="dcterms:W3CDTF">2026-05-12T08:49:41Z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4F2B9E9811A84846B9DD6A904B5C2DBE_13</vt:lpwstr>
  </property>
  <property fmtid="{D5CDD505-2E9C-101B-9397-08002B2CF9AE}" pid="4" name="KSOTemplateDocerSaveRecord">
    <vt:lpwstr>eyJoZGlkIjoiM2RjMGRkNmIxZmQyMmEzMmMwZTQ1MDQzZjc2OWIwZTQiLCJ1c2VySWQiOiIxMzg0NTY4NjY4In0=</vt:lpwstr>
  </property>
</Properties>
</file>