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kern w:val="0"/>
          <w:sz w:val="30"/>
          <w:szCs w:val="44"/>
        </w:rPr>
      </w:pPr>
      <w:r>
        <w:rPr>
          <w:rFonts w:hint="eastAsia" w:ascii="宋体" w:hAnsi="宋体" w:eastAsia="宋体" w:cs="宋体"/>
          <w:kern w:val="0"/>
          <w:sz w:val="28"/>
          <w:szCs w:val="28"/>
        </w:rPr>
        <w:t>如有建议或意见，请以书面形式并加盖公章、注明联系人、联系方式，于202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12</w:t>
      </w:r>
      <w:r>
        <w:rPr>
          <w:rFonts w:hint="eastAsia" w:ascii="宋体" w:hAnsi="宋体" w:eastAsia="宋体" w:cs="宋体"/>
          <w:kern w:val="0"/>
          <w:sz w:val="28"/>
          <w:szCs w:val="28"/>
        </w:rPr>
        <w:t>日17:00之前送至我单位，逾期不受理（如邮寄，202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12</w:t>
      </w:r>
      <w:r>
        <w:rPr>
          <w:rFonts w:hint="eastAsia" w:ascii="宋体" w:hAnsi="宋体" w:eastAsia="宋体" w:cs="宋体"/>
          <w:kern w:val="0"/>
          <w:sz w:val="28"/>
          <w:szCs w:val="28"/>
        </w:rPr>
        <w:t>日17:00之后到达本公司的邮件将不再受理）。</w:t>
      </w:r>
    </w:p>
    <w:p>
      <w:pPr>
        <w:rPr>
          <w:rFonts w:hint="eastAsia" w:ascii="宋体" w:hAnsi="宋体" w:eastAsia="宋体" w:cs="宋体"/>
          <w:b/>
          <w:bCs/>
          <w:kern w:val="0"/>
          <w:sz w:val="30"/>
          <w:szCs w:val="44"/>
        </w:rPr>
      </w:pPr>
      <w:r>
        <w:rPr>
          <w:rFonts w:hint="eastAsia" w:ascii="宋体" w:hAnsi="宋体" w:eastAsia="宋体" w:cs="宋体"/>
          <w:b/>
          <w:bCs/>
          <w:kern w:val="0"/>
          <w:sz w:val="30"/>
          <w:szCs w:val="44"/>
        </w:rPr>
        <w:br w:type="page"/>
      </w:r>
    </w:p>
    <w:p>
      <w:pPr>
        <w:widowControl/>
        <w:spacing w:line="240" w:lineRule="auto"/>
        <w:jc w:val="center"/>
        <w:rPr>
          <w:rFonts w:hint="eastAsia" w:ascii="宋体" w:hAnsi="宋体" w:eastAsia="宋体" w:cs="Times New Roman"/>
          <w:b/>
          <w:color w:val="auto"/>
          <w:kern w:val="0"/>
          <w:sz w:val="24"/>
          <w:szCs w:val="20"/>
          <w:highlight w:val="none"/>
          <w:lang w:val="en-US" w:eastAsia="zh-CN"/>
        </w:rPr>
      </w:pPr>
      <w:r>
        <w:rPr>
          <w:rFonts w:hint="eastAsia" w:ascii="宋体" w:hAnsi="宋体" w:eastAsia="宋体" w:cs="宋体"/>
          <w:b/>
          <w:color w:val="auto"/>
          <w:sz w:val="36"/>
          <w:szCs w:val="24"/>
          <w:highlight w:val="none"/>
          <w:lang w:val="en-US" w:eastAsia="zh-CN" w:bidi="ar-SA"/>
        </w:rPr>
        <w:t>采购需求</w:t>
      </w:r>
      <w:bookmarkStart w:id="0" w:name="OLE_LINK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Times New Roman"/>
          <w:b/>
          <w:color w:val="auto"/>
          <w:kern w:val="0"/>
          <w:sz w:val="24"/>
          <w:szCs w:val="20"/>
          <w:highlight w:val="none"/>
          <w:lang w:val="en-US" w:eastAsia="zh-CN"/>
        </w:rPr>
        <w:t>一、</w:t>
      </w:r>
      <w:bookmarkEnd w:id="0"/>
      <w:r>
        <w:rPr>
          <w:rFonts w:hint="eastAsia" w:ascii="宋体" w:hAnsi="宋体" w:eastAsia="宋体" w:cs="宋体"/>
          <w:b/>
          <w:bCs/>
          <w:kern w:val="0"/>
          <w:sz w:val="24"/>
          <w:szCs w:val="24"/>
          <w:highlight w:val="none"/>
          <w:lang w:val="en-US" w:eastAsia="zh-CN"/>
        </w:rPr>
        <w:t>项目说明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1、本项目不接受超过1992492.50元人民币（采购项目预算金额）的报价。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outlineLvl w:val="9"/>
        <w:rPr>
          <w:rFonts w:hint="eastAsia" w:ascii="宋体" w:hAnsi="宋体" w:eastAsia="宋体" w:cs="宋体"/>
          <w:b w:val="0"/>
          <w:bCs w:val="0"/>
          <w:kern w:val="0"/>
          <w:sz w:val="24"/>
          <w:szCs w:val="24"/>
          <w:highlight w:val="none"/>
          <w:lang w:val="en-US" w:eastAsia="zh-CN"/>
        </w:rPr>
      </w:pPr>
      <w:r>
        <w:rPr>
          <w:rFonts w:hint="eastAsia" w:ascii="宋体" w:hAnsi="宋体" w:eastAsia="宋体" w:cs="宋体"/>
          <w:b w:val="0"/>
          <w:bCs w:val="0"/>
          <w:kern w:val="0"/>
          <w:sz w:val="24"/>
          <w:szCs w:val="24"/>
          <w:highlight w:val="none"/>
          <w:lang w:val="en-US" w:eastAsia="zh-CN"/>
        </w:rPr>
        <w:t>报价包括但不限于人工费、施工机械使用费、材料费、检测费、设备进出场费(包含试验桩检测需提前进出场的费用)、转场费、运输费、取土费、检测作业水电费、废弃物清运费、安全措施费、因检测工作不连续而造成的窝工费、各项辅助费用、配合费、风险费用、保险、政策性调价、市场变化(上涨或下浮)、加班费、税金、管理费、利润、代理费以及风险、责任和义务等一切与本工程相关的全部费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2、项目名称：</w:t>
      </w:r>
      <w:r>
        <w:rPr>
          <w:rFonts w:hint="eastAsia" w:ascii="宋体" w:hAnsi="宋体" w:eastAsia="宋体" w:cs="宋体"/>
          <w:b w:val="0"/>
          <w:bCs w:val="0"/>
          <w:kern w:val="0"/>
          <w:sz w:val="24"/>
          <w:szCs w:val="24"/>
          <w:highlight w:val="none"/>
          <w:lang w:val="en-US" w:eastAsia="zh-CN"/>
        </w:rPr>
        <w:t>徐州百耀房地产开发有限公司XT2022-23号地块安置房项目桩基</w:t>
      </w:r>
      <w:r>
        <w:rPr>
          <w:rFonts w:hint="eastAsia" w:ascii="宋体" w:hAnsi="宋体" w:eastAsia="宋体" w:cs="宋体"/>
          <w:b w:val="0"/>
          <w:bCs w:val="0"/>
          <w:color w:val="auto"/>
          <w:kern w:val="0"/>
          <w:sz w:val="24"/>
          <w:szCs w:val="24"/>
          <w:highlight w:val="none"/>
          <w:lang w:val="en-US" w:eastAsia="zh-CN"/>
        </w:rPr>
        <w:t>检测</w:t>
      </w:r>
      <w:r>
        <w:rPr>
          <w:rFonts w:hint="eastAsia" w:ascii="宋体" w:hAnsi="宋体" w:eastAsia="宋体" w:cs="宋体"/>
          <w:b w:val="0"/>
          <w:bCs w:val="0"/>
          <w:kern w:val="0"/>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3、项目内容：</w:t>
      </w:r>
      <w:r>
        <w:rPr>
          <w:rFonts w:hint="eastAsia" w:ascii="宋体" w:hAnsi="宋体" w:eastAsia="宋体" w:cs="宋体"/>
          <w:b w:val="0"/>
          <w:bCs w:val="0"/>
          <w:kern w:val="0"/>
          <w:sz w:val="24"/>
          <w:szCs w:val="24"/>
          <w:highlight w:val="none"/>
          <w:lang w:val="en-US" w:eastAsia="zh-CN"/>
        </w:rPr>
        <w:t>通过承载力和完整性检测、孔内成像检测接桩质量、钻芯法检测预制桩桩身混凝土强度和预制桩钢筋配置检测等方式对桩基工程施工质量进行检测和综合评估。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二、技术及服务要求</w:t>
      </w:r>
    </w:p>
    <w:p>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1、检测项目一览表</w:t>
      </w:r>
    </w:p>
    <w:tbl>
      <w:tblPr>
        <w:tblStyle w:val="6"/>
        <w:tblW w:w="851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64"/>
        <w:gridCol w:w="3058"/>
        <w:gridCol w:w="2102"/>
        <w:gridCol w:w="23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tblHeader/>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序号</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检测项目</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检测数量（根）</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kern w:val="0"/>
                <w:sz w:val="22"/>
                <w:szCs w:val="22"/>
                <w:highlight w:val="none"/>
                <w:u w:val="none"/>
              </w:rPr>
            </w:pPr>
            <w:r>
              <w:rPr>
                <w:rFonts w:hint="eastAsia" w:ascii="宋体" w:hAnsi="宋体" w:eastAsia="宋体" w:cs="宋体"/>
                <w:b/>
                <w:bCs/>
                <w:i w:val="0"/>
                <w:iCs w:val="0"/>
                <w:snapToGrid w:val="0"/>
                <w:color w:val="000000"/>
                <w:kern w:val="0"/>
                <w:sz w:val="22"/>
                <w:szCs w:val="22"/>
                <w:highlight w:val="none"/>
                <w:u w:val="none"/>
                <w:lang w:val="en-US" w:eastAsia="zh-CN" w:bidi="ar"/>
              </w:rPr>
              <w:t>极限承载力（kN）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单桩竖向抗压静载试验</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36</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单桩竖向抗压静载试验</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18</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单桩竖向抗拔静载试验</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9</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4</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低应变法检测</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870</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高应变法检测</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222</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2700/3500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6</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高应变法检测</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60</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7</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孔内成像法检测</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176</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8</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桩顶标高</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870</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9</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截面尺寸</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65</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10</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桩位偏差</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870</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11</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宋体" w:hAnsi="宋体" w:eastAsia="宋体" w:cs="宋体"/>
                <w:i w:val="0"/>
                <w:iCs w:val="0"/>
                <w:color w:val="000000"/>
                <w:kern w:val="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预制桩钢筋配置</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65</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Ex>
        <w:trPr>
          <w:trHeight w:val="454" w:hRule="atLeast"/>
          <w:jc w:val="center"/>
        </w:trPr>
        <w:tc>
          <w:tcPr>
            <w:tcW w:w="96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12</w:t>
            </w:r>
          </w:p>
        </w:tc>
        <w:tc>
          <w:tcPr>
            <w:tcW w:w="305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480" w:firstLineChars="200"/>
              <w:jc w:val="left"/>
              <w:textAlignment w:val="center"/>
              <w:rPr>
                <w:rFonts w:hint="eastAsia" w:ascii="宋体" w:hAnsi="宋体" w:eastAsia="宋体" w:cs="宋体"/>
                <w:i w:val="0"/>
                <w:iCs w:val="0"/>
                <w:color w:val="000000"/>
                <w:kern w:val="0"/>
                <w:sz w:val="24"/>
                <w:szCs w:val="24"/>
                <w:highlight w:val="none"/>
                <w:u w:val="none"/>
              </w:rPr>
            </w:pPr>
            <w:r>
              <w:rPr>
                <w:rFonts w:hint="eastAsia" w:ascii="宋体" w:hAnsi="宋体" w:eastAsia="宋体" w:cs="宋体"/>
                <w:i w:val="0"/>
                <w:iCs w:val="0"/>
                <w:snapToGrid w:val="0"/>
                <w:color w:val="000000"/>
                <w:kern w:val="0"/>
                <w:sz w:val="24"/>
                <w:szCs w:val="24"/>
                <w:highlight w:val="none"/>
                <w:u w:val="none"/>
                <w:lang w:val="en-US" w:eastAsia="zh-CN" w:bidi="ar"/>
              </w:rPr>
              <w:t>桩身混凝土抗压强度</w:t>
            </w:r>
          </w:p>
        </w:tc>
        <w:tc>
          <w:tcPr>
            <w:tcW w:w="210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35</w:t>
            </w:r>
          </w:p>
        </w:tc>
        <w:tc>
          <w:tcPr>
            <w:tcW w:w="239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2"/>
                <w:szCs w:val="22"/>
                <w:highlight w:val="none"/>
                <w:u w:val="none"/>
              </w:rPr>
            </w:pPr>
            <w:r>
              <w:rPr>
                <w:rFonts w:hint="eastAsia" w:ascii="宋体" w:hAnsi="宋体" w:eastAsia="宋体" w:cs="宋体"/>
                <w:i w:val="0"/>
                <w:iCs w:val="0"/>
                <w:snapToGrid w:val="0"/>
                <w:color w:val="000000"/>
                <w:kern w:val="0"/>
                <w:sz w:val="22"/>
                <w:szCs w:val="22"/>
                <w:highlight w:val="none"/>
                <w:u w:val="none"/>
                <w:lang w:val="en-US" w:eastAsia="zh-CN" w:bidi="ar"/>
              </w:rPr>
              <w:t>/</w:t>
            </w:r>
          </w:p>
        </w:tc>
      </w:tr>
    </w:tbl>
    <w:p>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注：最终桩数据以审查通过施工图为准。</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2" w:firstLineChars="200"/>
        <w:jc w:val="both"/>
        <w:outlineLvl w:val="9"/>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2、技术服务的方法和依据：</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《建筑基桩检测技术规范》JGJ 106-2014</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《建筑地基基础检测规程》DB32/T 3916-2020</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《地基基础孔内成像检测标准》T/CECS 253-2022</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《建筑地基基础工程施工质量验收标准》GB 50202-2018 </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《钻芯检测离心高强混凝土抗压强度试验方法》GB/T 19496-2004 </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如以上所列规范中如国家或相关部门发布更新版本，应以最新版本为准。</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2" w:firstLineChars="200"/>
        <w:jc w:val="both"/>
        <w:outlineLvl w:val="9"/>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3、服务要求：</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 成交供应商应根据采购人提供的资料和图纸制定检测方案，通过采购人、监理单位、有关监督部门审批后方可进行检测。实施检测前，成交供应商还需将检测项目及检测数量提交采购人确认。</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3.2 成交供应商必须根据检测技术方案，按合同工期组织完成检测工作。</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3.3 成交供应商必须严格按照国家和省市颁布的现行规范和规定的质量标准进行检测并对所提交的检测结果负责。对其检测数据和检测报告的真实性和准确性负责，不得弄虚作假，提供不真实的检测报告。</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2" w:firstLineChars="200"/>
        <w:jc w:val="both"/>
        <w:outlineLvl w:val="9"/>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4、其他要求：</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 成交供应商在履约过程中若有出现安全事故，其责任及相应的赔偿均由成交供应商自行承担，采购人不承担所有责任及义务。</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 若成交供应商拟投入本项目的人员无法到位的，采购人有权取消采购合同，由此造成的损失由供应商全部承担。</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 成交供应商应采取相关安全防护措施，保障安全生产，如有安全生产事故发生，由成交供应商自行承担全部责任。</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2" w:firstLineChars="200"/>
        <w:jc w:val="both"/>
        <w:outlineLvl w:val="9"/>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四、项目实施要求：</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1、交付地点：采购人指定地点。</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2、交付时间：50日历天内完成。</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3、交付条件：检测工作全部完成并提交合格报告。</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4、质量标准：合格，检测结果通过有关监督部门审核。</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5、成交供应商更换项目负责人，必须书面通知采购人，经采购人书面同意后才能更换且更换的项目负责人必须与原项目负责人具有同等或以上资格。</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6、本项目验收等相关费用由成交供应商支付。</w:t>
      </w:r>
    </w:p>
    <w:p>
      <w:pPr>
        <w:keepNext w:val="0"/>
        <w:keepLines w:val="0"/>
        <w:pageBreakBefore w:val="0"/>
        <w:widowControl w:val="0"/>
        <w:kinsoku/>
        <w:wordWrap/>
        <w:overflowPunct/>
        <w:topLinePunct w:val="0"/>
        <w:autoSpaceDE/>
        <w:autoSpaceDN/>
        <w:bidi w:val="0"/>
        <w:adjustRightInd/>
        <w:snapToGrid/>
        <w:spacing w:after="0" w:line="360" w:lineRule="auto"/>
        <w:ind w:left="0" w:right="0" w:firstLine="480" w:firstLineChars="200"/>
        <w:jc w:val="both"/>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保密要求：成交供应商对成果资料和采购人提供的所有资料负有保密责任。未经采购人同意，不得将采购人提供的资料再次提供给与本项目无关的任何单位及个人使用。供应商要妥善保管采购人提供的资料。如因供应商原因丢失或者泄密，应当负责赔偿采购人相关的经济损失，必要时采购人将追究其他法律责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outlineLvl w:val="9"/>
        <w:rPr>
          <w:rFonts w:hint="eastAsia" w:ascii="宋体" w:hAnsi="宋体" w:eastAsia="宋体" w:cs="宋体"/>
          <w:b/>
          <w:bCs/>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8、知识产权：成交供应商须保障采购人在使用该服务或其任何一部分时不受到第三方关于侵犯专利权、商标权或工业设 计权等知识产权的指控。如果任何第三方提出侵权指控与采购人无关，供应商须与第三方交涉并承担可能发生的责任与一切费用。如采购人因此而遭致损失的，供应商应赔偿该损失</w:t>
      </w:r>
      <w:r>
        <w:rPr>
          <w:rFonts w:hint="eastAsia" w:ascii="宋体" w:hAnsi="宋体" w:eastAsia="宋体" w:cs="宋体"/>
          <w:b/>
          <w:bCs/>
          <w:kern w:val="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rPr>
          <w:rFonts w:hint="eastAsia" w:ascii="宋体" w:hAnsi="宋体" w:eastAsia="宋体" w:cs="宋体"/>
          <w:b/>
          <w:bCs w:val="0"/>
          <w:color w:val="000000"/>
          <w:kern w:val="0"/>
          <w:sz w:val="24"/>
          <w:szCs w:val="24"/>
          <w:highlight w:val="none"/>
          <w:lang w:val="zh-CN" w:eastAsia="en-US"/>
        </w:rPr>
      </w:pPr>
      <w:r>
        <w:rPr>
          <w:rFonts w:hint="eastAsia" w:ascii="宋体" w:hAnsi="宋体" w:eastAsia="宋体" w:cs="宋体"/>
          <w:b/>
          <w:bCs w:val="0"/>
          <w:color w:val="000000"/>
          <w:kern w:val="0"/>
          <w:sz w:val="24"/>
          <w:szCs w:val="24"/>
          <w:highlight w:val="none"/>
          <w:lang w:val="en-US" w:eastAsia="zh-CN" w:bidi="ar-SA"/>
        </w:rPr>
        <w:t>五</w:t>
      </w:r>
      <w:r>
        <w:rPr>
          <w:rFonts w:hint="eastAsia" w:ascii="宋体" w:hAnsi="宋体" w:eastAsia="宋体" w:cs="宋体"/>
          <w:b/>
          <w:bCs w:val="0"/>
          <w:color w:val="000000"/>
          <w:kern w:val="0"/>
          <w:sz w:val="24"/>
          <w:szCs w:val="24"/>
          <w:highlight w:val="none"/>
          <w:lang w:val="zh-CN" w:eastAsia="en-US" w:bidi="ar-SA"/>
        </w:rPr>
        <w:t>、</w:t>
      </w:r>
      <w:r>
        <w:rPr>
          <w:rFonts w:hint="eastAsia" w:ascii="宋体" w:hAnsi="宋体" w:eastAsia="宋体" w:cs="宋体"/>
          <w:b/>
          <w:bCs w:val="0"/>
          <w:color w:val="000000"/>
          <w:kern w:val="0"/>
          <w:sz w:val="24"/>
          <w:szCs w:val="24"/>
          <w:highlight w:val="none"/>
          <w:lang w:val="zh-CN" w:eastAsia="en-US"/>
        </w:rPr>
        <w:t>其他要求</w:t>
      </w:r>
    </w:p>
    <w:p>
      <w:pPr>
        <w:ind w:firstLine="480" w:firstLineChars="200"/>
      </w:pPr>
      <w:r>
        <w:rPr>
          <w:rFonts w:hint="eastAsia" w:ascii="宋体" w:hAnsi="宋体" w:eastAsia="宋体" w:cs="宋体"/>
          <w:sz w:val="24"/>
          <w:szCs w:val="24"/>
          <w:highlight w:val="none"/>
          <w:lang w:val="zh-CN" w:eastAsia="zh-CN" w:bidi="ar-SA"/>
        </w:rPr>
        <w:t>见</w:t>
      </w:r>
      <w:r>
        <w:rPr>
          <w:rFonts w:hint="eastAsia" w:ascii="宋体" w:hAnsi="宋体" w:eastAsia="宋体" w:cs="宋体"/>
          <w:sz w:val="24"/>
          <w:szCs w:val="24"/>
          <w:highlight w:val="none"/>
          <w:lang w:val="en-US" w:eastAsia="zh-CN" w:bidi="ar-SA"/>
        </w:rPr>
        <w:t>招标文件</w:t>
      </w:r>
      <w:bookmarkStart w:id="1" w:name="_GoBack"/>
      <w:bookmarkEnd w:id="1"/>
      <w:r>
        <w:rPr>
          <w:rFonts w:hint="eastAsia" w:ascii="宋体" w:hAnsi="宋体" w:eastAsia="宋体" w:cs="宋体"/>
          <w:sz w:val="24"/>
          <w:szCs w:val="24"/>
          <w:highlight w:val="none"/>
          <w:lang w:val="zh-CN" w:eastAsia="zh-CN" w:bidi="ar-SA"/>
        </w:rPr>
        <w:t>《拟签订的合同文本》</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5527CB"/>
    <w:rsid w:val="055F0E01"/>
    <w:rsid w:val="14200315"/>
    <w:rsid w:val="1869193F"/>
    <w:rsid w:val="1D5A3AA1"/>
    <w:rsid w:val="27161A2F"/>
    <w:rsid w:val="297615A4"/>
    <w:rsid w:val="29C64FAC"/>
    <w:rsid w:val="2C1E2BDB"/>
    <w:rsid w:val="384C1449"/>
    <w:rsid w:val="398448C2"/>
    <w:rsid w:val="41070370"/>
    <w:rsid w:val="42BD6EA0"/>
    <w:rsid w:val="47D8564B"/>
    <w:rsid w:val="56AA353D"/>
    <w:rsid w:val="59A942F9"/>
    <w:rsid w:val="59EE6EF4"/>
    <w:rsid w:val="5D4D37E5"/>
    <w:rsid w:val="631B3177"/>
    <w:rsid w:val="63522734"/>
    <w:rsid w:val="6AC23136"/>
    <w:rsid w:val="6D3C195A"/>
    <w:rsid w:val="6D5C4010"/>
    <w:rsid w:val="6EFB242C"/>
    <w:rsid w:val="724147AA"/>
    <w:rsid w:val="765F1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6"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lock Text"/>
    <w:basedOn w:val="1"/>
    <w:next w:val="1"/>
    <w:unhideWhenUsed/>
    <w:qFormat/>
    <w:uiPriority w:val="6"/>
    <w:pPr>
      <w:spacing w:beforeLines="0" w:afterLines="0"/>
      <w:ind w:left="256" w:right="6" w:firstLine="624"/>
    </w:pPr>
    <w:rPr>
      <w:rFonts w:hint="default" w:eastAsia="仿宋"/>
      <w:sz w:val="28"/>
    </w:rPr>
  </w:style>
  <w:style w:type="paragraph" w:styleId="3">
    <w:name w:val="Body Text"/>
    <w:basedOn w:val="1"/>
    <w:next w:val="1"/>
    <w:unhideWhenUsed/>
    <w:qFormat/>
    <w:uiPriority w:val="0"/>
    <w:pPr>
      <w:spacing w:beforeLines="0" w:afterLines="0"/>
    </w:pPr>
    <w:rPr>
      <w:rFonts w:hint="default" w:ascii="Verdana" w:hAnsi="Verdana"/>
      <w:sz w:val="24"/>
    </w:rPr>
  </w:style>
  <w:style w:type="paragraph" w:styleId="4">
    <w:name w:val="footer"/>
    <w:basedOn w:val="1"/>
    <w:unhideWhenUsed/>
    <w:qFormat/>
    <w:uiPriority w:val="99"/>
    <w:pPr>
      <w:tabs>
        <w:tab w:val="center" w:pos="7143"/>
        <w:tab w:val="right" w:pos="14287"/>
      </w:tabs>
      <w:spacing w:beforeLines="0" w:afterLines="0"/>
    </w:pPr>
    <w:rPr>
      <w:rFonts w:hint="default"/>
      <w:sz w:val="24"/>
    </w:rPr>
  </w:style>
  <w:style w:type="paragraph" w:customStyle="1" w:styleId="7">
    <w:name w:val="正文111"/>
    <w:next w:val="8"/>
    <w:unhideWhenUsed/>
    <w:qFormat/>
    <w:uiPriority w:val="0"/>
    <w:pPr>
      <w:widowControl w:val="0"/>
      <w:spacing w:beforeLines="0" w:afterLines="0"/>
      <w:jc w:val="both"/>
    </w:pPr>
    <w:rPr>
      <w:rFonts w:hint="default" w:ascii="Times New Roman" w:hAnsi="Times New Roman" w:eastAsia="宋体" w:cstheme="minorBidi"/>
      <w:sz w:val="21"/>
      <w:lang w:val="en-US" w:eastAsia="zh-CN" w:bidi="ar-SA"/>
    </w:rPr>
  </w:style>
  <w:style w:type="paragraph" w:customStyle="1" w:styleId="8">
    <w:name w:val="脚注文本11"/>
    <w:basedOn w:val="1"/>
    <w:next w:val="9"/>
    <w:unhideWhenUsed/>
    <w:qFormat/>
    <w:uiPriority w:val="0"/>
    <w:pPr>
      <w:spacing w:beforeLines="0" w:after="40" w:afterLines="0"/>
    </w:pPr>
    <w:rPr>
      <w:rFonts w:hint="default"/>
      <w:sz w:val="18"/>
    </w:rPr>
  </w:style>
  <w:style w:type="paragraph" w:customStyle="1" w:styleId="9">
    <w:name w:val="索引 511"/>
    <w:basedOn w:val="1"/>
    <w:next w:val="7"/>
    <w:unhideWhenUsed/>
    <w:qFormat/>
    <w:uiPriority w:val="0"/>
    <w:pPr>
      <w:spacing w:beforeLines="0" w:afterLines="0"/>
      <w:ind w:left="798"/>
    </w:pPr>
    <w:rPr>
      <w:rFonts w:hint="default"/>
      <w:sz w:val="24"/>
    </w:rPr>
  </w:style>
  <w:style w:type="paragraph" w:customStyle="1" w:styleId="10">
    <w:name w:val="正文文本缩进11"/>
    <w:basedOn w:val="11"/>
    <w:next w:val="13"/>
    <w:unhideWhenUsed/>
    <w:qFormat/>
    <w:uiPriority w:val="0"/>
    <w:pPr>
      <w:spacing w:beforeLines="0" w:afterLines="0" w:line="360" w:lineRule="auto"/>
      <w:ind w:firstLine="425"/>
    </w:pPr>
    <w:rPr>
      <w:rFonts w:hint="default"/>
      <w:sz w:val="21"/>
    </w:rPr>
  </w:style>
  <w:style w:type="paragraph" w:customStyle="1" w:styleId="11">
    <w:name w:val="正文12"/>
    <w:next w:val="12"/>
    <w:unhideWhenUsed/>
    <w:qFormat/>
    <w:uiPriority w:val="0"/>
    <w:pPr>
      <w:widowControl w:val="0"/>
      <w:spacing w:beforeLines="0" w:afterLines="0"/>
      <w:jc w:val="both"/>
    </w:pPr>
    <w:rPr>
      <w:rFonts w:hint="default" w:ascii="Calibri" w:hAnsi="Calibri" w:eastAsia="宋体" w:cstheme="minorBidi"/>
      <w:sz w:val="21"/>
      <w:lang w:val="en-US" w:eastAsia="zh-CN" w:bidi="ar-SA"/>
    </w:rPr>
  </w:style>
  <w:style w:type="paragraph" w:customStyle="1" w:styleId="12">
    <w:name w:val="无间隔1"/>
    <w:unhideWhenUsed/>
    <w:qFormat/>
    <w:uiPriority w:val="99"/>
    <w:pPr>
      <w:spacing w:beforeLines="0" w:afterLines="0"/>
    </w:pPr>
    <w:rPr>
      <w:rFonts w:hint="default" w:ascii="Tahoma" w:hAnsi="Tahoma" w:eastAsia="微软雅黑" w:cstheme="minorBidi"/>
      <w:sz w:val="22"/>
      <w:lang w:val="en-US" w:eastAsia="zh-CN" w:bidi="ar-SA"/>
    </w:rPr>
  </w:style>
  <w:style w:type="paragraph" w:customStyle="1" w:styleId="13">
    <w:name w:val="正文112"/>
    <w:next w:val="14"/>
    <w:unhideWhenUsed/>
    <w:qFormat/>
    <w:uiPriority w:val="0"/>
    <w:pPr>
      <w:widowControl w:val="0"/>
      <w:spacing w:beforeLines="0" w:afterLines="0"/>
      <w:jc w:val="both"/>
    </w:pPr>
    <w:rPr>
      <w:rFonts w:hint="default" w:ascii="Times New Roman" w:hAnsi="Times New Roman" w:eastAsia="宋体" w:cstheme="minorBidi"/>
      <w:sz w:val="21"/>
      <w:lang w:val="en-US" w:eastAsia="zh-CN" w:bidi="ar-SA"/>
    </w:rPr>
  </w:style>
  <w:style w:type="paragraph" w:customStyle="1" w:styleId="14">
    <w:name w:val="正文首行缩进1"/>
    <w:basedOn w:val="3"/>
    <w:next w:val="15"/>
    <w:unhideWhenUsed/>
    <w:qFormat/>
    <w:uiPriority w:val="0"/>
    <w:pPr>
      <w:spacing w:beforeLines="0" w:after="120" w:afterLines="0"/>
      <w:ind w:firstLine="420"/>
    </w:pPr>
    <w:rPr>
      <w:rFonts w:hint="default" w:ascii="Times New Roman"/>
      <w:sz w:val="24"/>
    </w:rPr>
  </w:style>
  <w:style w:type="paragraph" w:customStyle="1" w:styleId="15">
    <w:name w:val="正文首行缩进 211"/>
    <w:basedOn w:val="10"/>
    <w:next w:val="13"/>
    <w:unhideWhenUsed/>
    <w:qFormat/>
    <w:uiPriority w:val="0"/>
    <w:pPr>
      <w:spacing w:beforeLines="0" w:afterLines="0"/>
      <w:ind w:firstLine="420"/>
    </w:pPr>
    <w:rPr>
      <w:rFonts w:hint="default"/>
      <w:sz w:val="24"/>
    </w:rPr>
  </w:style>
  <w:style w:type="paragraph" w:customStyle="1" w:styleId="16">
    <w:name w:val="标题1"/>
    <w:basedOn w:val="7"/>
    <w:next w:val="13"/>
    <w:unhideWhenUsed/>
    <w:qFormat/>
    <w:uiPriority w:val="0"/>
    <w:pPr>
      <w:spacing w:before="300" w:beforeLines="0" w:after="300" w:afterLines="0"/>
      <w:jc w:val="center"/>
      <w:outlineLvl w:val="0"/>
    </w:pPr>
    <w:rPr>
      <w:rFonts w:hint="default" w:ascii="Cambria" w:hAnsi="Cambria" w:eastAsia="仿宋_GB2312"/>
      <w:b/>
      <w:sz w:val="36"/>
    </w:rPr>
  </w:style>
  <w:style w:type="paragraph" w:customStyle="1" w:styleId="17">
    <w:name w:val="标题 41"/>
    <w:basedOn w:val="16"/>
    <w:next w:val="18"/>
    <w:unhideWhenUsed/>
    <w:qFormat/>
    <w:uiPriority w:val="0"/>
    <w:pPr>
      <w:keepNext/>
      <w:keepLines/>
      <w:spacing w:before="280" w:beforeLines="0" w:after="290" w:afterLines="0" w:line="376" w:lineRule="auto"/>
      <w:outlineLvl w:val="3"/>
    </w:pPr>
    <w:rPr>
      <w:rFonts w:hint="default" w:ascii="Calibri Light" w:hAnsi="Calibri Light" w:eastAsia="宋体"/>
      <w:sz w:val="28"/>
    </w:rPr>
  </w:style>
  <w:style w:type="paragraph" w:customStyle="1" w:styleId="18">
    <w:name w:val="正文11"/>
    <w:next w:val="19"/>
    <w:unhideWhenUsed/>
    <w:qFormat/>
    <w:uiPriority w:val="0"/>
    <w:pPr>
      <w:widowControl w:val="0"/>
      <w:spacing w:beforeLines="0" w:afterLines="0"/>
      <w:jc w:val="both"/>
    </w:pPr>
    <w:rPr>
      <w:rFonts w:hint="default" w:ascii="Times New Roman" w:hAnsi="Times New Roman" w:eastAsia="宋体" w:cstheme="minorBidi"/>
      <w:sz w:val="21"/>
      <w:lang w:val="en-US" w:eastAsia="zh-CN" w:bidi="ar-SA"/>
    </w:rPr>
  </w:style>
  <w:style w:type="paragraph" w:customStyle="1" w:styleId="19">
    <w:name w:val="标题 111"/>
    <w:next w:val="18"/>
    <w:unhideWhenUsed/>
    <w:qFormat/>
    <w:uiPriority w:val="0"/>
    <w:pPr>
      <w:keepNext/>
      <w:keepLines/>
      <w:widowControl w:val="0"/>
      <w:spacing w:beforeLines="0" w:afterLines="0" w:line="578" w:lineRule="auto"/>
      <w:jc w:val="center"/>
      <w:outlineLvl w:val="0"/>
    </w:pPr>
    <w:rPr>
      <w:rFonts w:hint="default" w:ascii="Times New Roman" w:hAnsi="Times New Roman" w:eastAsia="新宋体" w:cstheme="minorBidi"/>
      <w:b/>
      <w:sz w:val="30"/>
    </w:rPr>
  </w:style>
  <w:style w:type="paragraph" w:customStyle="1" w:styleId="20">
    <w:name w:val="文本块1"/>
    <w:basedOn w:val="21"/>
    <w:next w:val="17"/>
    <w:unhideWhenUsed/>
    <w:qFormat/>
    <w:uiPriority w:val="0"/>
    <w:pPr>
      <w:spacing w:beforeLines="0" w:after="120" w:afterLines="0"/>
      <w:ind w:left="1440" w:right="1440"/>
    </w:pPr>
    <w:rPr>
      <w:rFonts w:hint="default"/>
      <w:sz w:val="21"/>
    </w:rPr>
  </w:style>
  <w:style w:type="paragraph" w:customStyle="1" w:styleId="21">
    <w:name w:val="正文1"/>
    <w:basedOn w:val="18"/>
    <w:next w:val="20"/>
    <w:unhideWhenUsed/>
    <w:qFormat/>
    <w:uiPriority w:val="0"/>
    <w:pPr>
      <w:spacing w:beforeLines="0" w:afterLines="0"/>
    </w:pPr>
    <w:rPr>
      <w:rFonts w:hint="default"/>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7616</Words>
  <Characters>7703</Characters>
  <Lines>0</Lines>
  <Paragraphs>0</Paragraphs>
  <TotalTime>3</TotalTime>
  <ScaleCrop>false</ScaleCrop>
  <LinksUpToDate>false</LinksUpToDate>
  <CharactersWithSpaces>7705</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2025-07-22T08:50:00Z</dcterms:created>
  <dc:creator>WPS_1740625603</dc:creator>
  <cp:lastModifiedBy>Administrator</cp:lastModifiedBy>
  <dcterms:modified xsi:type="dcterms:W3CDTF">2026-05-06T01:58:46Z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533A3185A3F34E7DB47C5BEF7688577D_11</vt:lpwstr>
  </property>
  <property fmtid="{D5CDD505-2E9C-101B-9397-08002B2CF9AE}" pid="4" name="KSOTemplateDocerSaveRecord">
    <vt:lpwstr>eyJoZGlkIjoiZWVhOTYyZDU1MTBjMzczMGYyMjMxNDc0MWNjYzU2Y2QiLCJ1c2VySWQiOiIxNjgzNTE0Nzk1In0=</vt:lpwstr>
  </property>
</Properties>
</file>