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hint="eastAsia" w:ascii="宋体" w:hAnsi="宋体" w:cs="宋体"/>
          <w:b/>
          <w:color w:val="000000" w:themeColor="text1"/>
          <w:spacing w:val="76"/>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r>
      <w:r/>
    </w:p>
    <w:p>
      <w:pPr>
        <w:jc w:val="center"/>
        <w:widowControl w:val="off"/>
        <w:rPr>
          <w:rFonts w:hint="eastAsia" w:ascii="宋体" w:hAnsi="宋体" w:cs="宋体"/>
          <w:b/>
          <w:color w:val="000000" w:themeColor="text1"/>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t xml:space="preserve">招标文件</w:t>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t xml:space="preserve">      </w:t>
      </w:r>
      <w:r/>
    </w:p>
    <w:p>
      <w:pPr>
        <w:ind w:firstLine="828"/>
        <w:jc w:val="both"/>
        <w:keepLines w:val="0"/>
        <w:keepNext w:val="0"/>
        <w:pageBreakBefore w:val="0"/>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项目编号：</w:t>
      </w:r>
      <w:r>
        <w:rPr>
          <w:rFonts w:hint="eastAsia" w:ascii="宋体" w:hAnsi="宋体" w:cs="宋体"/>
          <w:color w:val="000000" w:themeColor="text1"/>
          <w:sz w:val="32"/>
          <w:szCs w:val="32"/>
          <w:lang w:eastAsia="zh-CN"/>
          <w14:textFill>
            <w14:solidFill>
              <w14:schemeClr w14:val="tx1"/>
            </w14:solidFill>
          </w14:textFill>
        </w:rPr>
        <w:t xml:space="preserve">JSZC-320305-XZGX-G2026-0011</w:t>
      </w:r>
      <w:r>
        <w:rPr>
          <w:rFonts w:hint="eastAsia" w:ascii="宋体" w:hAnsi="宋体" w:cs="宋体"/>
          <w:color w:val="000000" w:themeColor="text1"/>
          <w:sz w:val="32"/>
          <w:szCs w:val="32"/>
          <w14:textFill>
            <w14:solidFill>
              <w14:schemeClr w14:val="tx1"/>
            </w14:solidFill>
          </w14:textFill>
        </w:rPr>
        <w:t xml:space="preserve">       </w:t>
      </w:r>
      <w:r/>
    </w:p>
    <w:p>
      <w:pPr>
        <w:ind w:firstLine="828"/>
        <w:jc w:val="both"/>
        <w:keepLines w:val="0"/>
        <w:keepNext w:val="0"/>
        <w:pageBreakBefore w:val="0"/>
        <w:spacing w:line="360" w:lineRule="auto"/>
        <w:widowControl w:val="off"/>
        <w:rPr>
          <w:rFonts w:hint="eastAsia" w:ascii="宋体" w:hAnsi="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项目名称：贾汪区区域性农业综合服务中心建设</w:t>
      </w:r>
      <w:r>
        <w:rPr>
          <w:rFonts w:hint="eastAsia" w:ascii="宋体" w:hAnsi="宋体" w:cs="宋体"/>
          <w:color w:val="000000" w:themeColor="text1"/>
          <w:sz w:val="32"/>
          <w:szCs w:val="32"/>
          <w:lang w:eastAsia="zh-CN"/>
          <w14:textFill>
            <w14:solidFill>
              <w14:schemeClr w14:val="tx1"/>
            </w14:solidFill>
          </w14:textFill>
        </w:rPr>
        <w:t xml:space="preserve"> </w:t>
      </w:r>
      <w:r/>
    </w:p>
    <w:p>
      <w:pPr>
        <w:ind w:firstLine="828"/>
        <w:jc w:val="both"/>
        <w:keepLines w:val="0"/>
        <w:keepNext w:val="0"/>
        <w:pageBreakBefore w:val="0"/>
        <w:spacing w:line="360" w:lineRule="auto"/>
        <w:widowControl w:val="off"/>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 购 人：</w:t>
      </w:r>
      <w:r>
        <w:rPr>
          <w:rFonts w:hint="eastAsia" w:ascii="宋体" w:hAnsi="宋体" w:cs="宋体"/>
          <w:color w:val="000000" w:themeColor="text1"/>
          <w:sz w:val="32"/>
          <w:szCs w:val="32"/>
          <w:lang w:eastAsia="zh-CN"/>
          <w14:textFill>
            <w14:solidFill>
              <w14:schemeClr w14:val="tx1"/>
            </w14:solidFill>
          </w14:textFill>
        </w:rPr>
        <w:t xml:space="preserve">徐州市贾汪区农业农村局</w:t>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r>
      <w:r/>
    </w:p>
    <w:p>
      <w:pPr>
        <w:pStyle w:val="746"/>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630"/>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p>
      <w:pPr>
        <w:ind w:firstLine="630"/>
        <w:jc w:val="center"/>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1"/>
          <w:szCs w:val="24"/>
          <w14:textFill>
            <w14:solidFill>
              <w14:schemeClr w14:val="tx1"/>
            </w14:solidFill>
          </w14:textFill>
        </w:rPr>
        <mc:AlternateContent>
          <mc:Choice Requires="wpg">
            <w:drawing>
              <wp:inline xmlns:wp="http://schemas.openxmlformats.org/drawingml/2006/wordprocessingDrawing" distT="0" distB="0" distL="0" distR="0">
                <wp:extent cx="2276475" cy="1721485"/>
                <wp:effectExtent l="0" t="0" r="9525" b="1206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7"/>
                        <a:stretch/>
                      </pic:blipFill>
                      <pic:spPr bwMode="auto">
                        <a:xfrm>
                          <a:off x="0" y="0"/>
                          <a:ext cx="2276475" cy="1721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9.2pt;height:135.5pt;mso-wrap-distance-left:0.0pt;mso-wrap-distance-top:0.0pt;mso-wrap-distance-right:0.0pt;mso-wrap-distance-bottom:0.0pt;" stroked="f">
                <v:path textboxrect="0,0,0,0"/>
                <v:imagedata r:id="rId17" o:title=""/>
              </v:shape>
            </w:pict>
          </mc:Fallback>
        </mc:AlternateContent>
      </w:r>
      <w:r/>
    </w:p>
    <w:p>
      <w:pPr>
        <w:jc w:val="right"/>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招标代理机构：</w:t>
      </w:r>
      <w:r>
        <w:rPr>
          <w:rFonts w:hint="eastAsia" w:ascii="宋体" w:hAnsi="宋体" w:cs="宋体"/>
          <w:color w:val="000000" w:themeColor="text1"/>
          <w:sz w:val="32"/>
          <w:szCs w:val="24"/>
          <w14:textFill>
            <w14:solidFill>
              <w14:schemeClr w14:val="tx1"/>
            </w14:solidFill>
          </w14:textFill>
        </w:rPr>
        <w:t xml:space="preserve">徐州国信招标有限公司</w:t>
      </w:r>
      <w:r/>
    </w:p>
    <w:p>
      <w:pPr>
        <w:pStyle w:val="1029"/>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二〇二</w:t>
      </w:r>
      <w:r>
        <w:rPr>
          <w:rFonts w:hint="eastAsia" w:ascii="宋体" w:hAnsi="宋体" w:cs="宋体"/>
          <w:color w:val="000000" w:themeColor="text1"/>
          <w:sz w:val="32"/>
          <w:szCs w:val="32"/>
          <w:lang w:val="en-US" w:eastAsia="zh-CN"/>
          <w14:textFill>
            <w14:solidFill>
              <w14:schemeClr w14:val="tx1"/>
            </w14:solidFill>
          </w14:textFill>
        </w:rPr>
        <w:t xml:space="preserve">六</w:t>
      </w:r>
      <w:r>
        <w:rPr>
          <w:rFonts w:hint="eastAsia" w:ascii="宋体" w:hAnsi="宋体" w:cs="宋体"/>
          <w:color w:val="000000" w:themeColor="text1"/>
          <w:sz w:val="32"/>
          <w:szCs w:val="32"/>
          <w14:textFill>
            <w14:solidFill>
              <w14:schemeClr w14:val="tx1"/>
            </w14:solidFill>
          </w14:textFill>
        </w:rPr>
        <w:t xml:space="preserve">年</w:t>
      </w:r>
      <w:r>
        <w:rPr>
          <w:rFonts w:hint="eastAsia" w:ascii="宋体" w:hAnsi="宋体" w:cs="宋体"/>
          <w:color w:val="000000" w:themeColor="text1"/>
          <w:sz w:val="32"/>
          <w:szCs w:val="32"/>
          <w:lang w:val="en-US" w:eastAsia="zh-CN"/>
          <w14:textFill>
            <w14:solidFill>
              <w14:schemeClr w14:val="tx1"/>
            </w14:solidFill>
          </w14:textFill>
        </w:rPr>
        <w:t xml:space="preserve">五</w:t>
      </w:r>
      <w:r>
        <w:rPr>
          <w:rFonts w:hint="eastAsia" w:ascii="宋体" w:hAnsi="宋体" w:cs="宋体"/>
          <w:color w:val="000000" w:themeColor="text1"/>
          <w:sz w:val="32"/>
          <w:szCs w:val="32"/>
          <w14:textFill>
            <w14:solidFill>
              <w14:schemeClr w14:val="tx1"/>
            </w14:solidFill>
          </w14:textFill>
        </w:rPr>
        <w:t xml:space="preserve">月</w:t>
      </w:r>
      <w:r/>
    </w:p>
    <w:p>
      <w:pPr>
        <w:pStyle w:val="1029"/>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r>
      <w:r/>
    </w:p>
    <w:p>
      <w:pPr>
        <w:pStyle w:val="1029"/>
        <w:ind w:firstLine="0"/>
        <w:jc w:val="center"/>
        <w:rPr>
          <w:rFonts w:hint="eastAsia" w:ascii="宋体" w:hAnsi="宋体" w:cs="宋体"/>
          <w:b/>
          <w:color w:val="000000" w:themeColor="text1"/>
          <w:sz w:val="44"/>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000000" w:themeColor="text1"/>
          <w:sz w:val="44"/>
          <w14:textFill>
            <w14:solidFill>
              <w14:schemeClr w14:val="tx1"/>
            </w14:solidFill>
          </w14:textFill>
        </w:rPr>
      </w:r>
      <w:r/>
    </w:p>
    <w:p>
      <w:pPr>
        <w:pStyle w:val="1029"/>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t xml:space="preserve">目 录</w:t>
      </w:r>
      <w:r/>
    </w:p>
    <w:p>
      <w:pPr>
        <w:pStyle w:val="778"/>
        <w:jc w:val="center"/>
        <w:spacing w:line="520" w:lineRule="exact"/>
        <w:rPr>
          <w:rFonts w:hint="eastAsia" w:ascii="宋体" w:hAnsi="宋体" w:cs="宋体"/>
          <w:b/>
          <w:color w:val="000000" w:themeColor="text1"/>
          <w:sz w:val="44"/>
          <w:szCs w:val="44"/>
          <w14:textFill>
            <w14:solidFill>
              <w14:schemeClr w14:val="tx1"/>
            </w14:solidFill>
          </w14:textFill>
        </w:rPr>
      </w:pPr>
      <w:r/>
      <w:bookmarkStart w:id="0" w:name="_Toc522790130"/>
      <w:r/>
      <w:r/>
    </w:p>
    <w:p>
      <w:pPr>
        <w:pStyle w:val="778"/>
        <w:jc w:val="center"/>
        <w:spacing w:line="520" w:lineRule="exact"/>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r>
      <w:r/>
    </w:p>
    <w:p>
      <w:pPr>
        <w:pStyle w:val="797"/>
        <w:tabs>
          <w:tab w:val="right" w:pos="8948" w:leader="dot"/>
        </w:tabs>
        <w:rPr>
          <w:rFonts w:hint="eastAsia"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begin"/>
      </w:r>
      <w:r>
        <w:rPr>
          <w:rFonts w:hint="eastAsia" w:ascii="宋体" w:hAnsi="宋体" w:cs="宋体"/>
          <w:b/>
          <w:color w:val="000000" w:themeColor="text1"/>
          <w:sz w:val="28"/>
          <w:szCs w:val="28"/>
          <w14:textFill>
            <w14:solidFill>
              <w14:schemeClr w14:val="tx1"/>
            </w14:solidFill>
          </w14:textFill>
        </w:rPr>
        <w:instrText xml:space="preserve"> TOC \o "1-3" \h \z \u </w:instrText>
      </w:r>
      <w:r>
        <w:rPr>
          <w:rFonts w:hint="eastAsia" w:ascii="宋体" w:hAnsi="宋体" w:cs="宋体"/>
          <w:b/>
          <w:color w:val="000000" w:themeColor="text1"/>
          <w:sz w:val="28"/>
          <w:szCs w:val="28"/>
          <w14:textFill>
            <w14:solidFill>
              <w14:schemeClr w14:val="tx1"/>
            </w14:solidFill>
          </w14:textFill>
        </w:rPr>
        <w:fldChar w:fldCharType="separate"/>
      </w:r>
      <w:r>
        <w:fldChar w:fldCharType="begin"/>
      </w:r>
      <w:r>
        <w:instrText xml:space="preserve"> HYPERLINK \l "_Toc523404695" </w:instrText>
      </w:r>
      <w:r>
        <w:fldChar w:fldCharType="separate"/>
      </w:r>
      <w:r>
        <w:rPr>
          <w:rStyle w:val="1002"/>
          <w:rFonts w:hint="eastAsia" w:ascii="宋体" w:hAnsi="宋体" w:cs="宋体"/>
          <w:color w:val="000000" w:themeColor="text1"/>
          <w:sz w:val="28"/>
          <w:szCs w:val="28"/>
          <w14:textFill>
            <w14:solidFill>
              <w14:schemeClr w14:val="tx1"/>
            </w14:solidFill>
          </w14:textFill>
        </w:rPr>
        <w:t xml:space="preserve">第一章  投标邀请</w:t>
      </w:r>
      <w:r>
        <w:rPr>
          <w:rStyle w:val="1002"/>
          <w:rFonts w:hint="eastAsia" w:ascii="宋体" w:hAnsi="宋体" w:cs="宋体"/>
          <w:color w:val="000000" w:themeColor="text1"/>
          <w:sz w:val="28"/>
          <w:szCs w:val="28"/>
          <w14:textFill>
            <w14:solidFill>
              <w14:schemeClr w14:val="tx1"/>
            </w14:solidFill>
          </w14:textFill>
        </w:rPr>
        <w:fldChar w:fldCharType="end"/>
      </w:r>
      <w:r/>
    </w:p>
    <w:p>
      <w:pPr>
        <w:pStyle w:val="797"/>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"_Toc523404696" </w:instrText>
      </w:r>
      <w:r>
        <w:fldChar w:fldCharType="separate"/>
      </w:r>
      <w:r>
        <w:rPr>
          <w:rStyle w:val="1002"/>
          <w:rFonts w:hint="eastAsia" w:ascii="宋体" w:hAnsi="宋体" w:cs="宋体"/>
          <w:color w:val="000000" w:themeColor="text1"/>
          <w:sz w:val="28"/>
          <w:szCs w:val="28"/>
          <w14:textFill>
            <w14:solidFill>
              <w14:schemeClr w14:val="tx1"/>
            </w14:solidFill>
          </w14:textFill>
        </w:rPr>
        <w:t xml:space="preserve">第二章  投标人须知</w:t>
      </w:r>
      <w:r>
        <w:rPr>
          <w:rStyle w:val="1002"/>
          <w:rFonts w:hint="eastAsia" w:ascii="宋体" w:hAnsi="宋体" w:cs="宋体"/>
          <w:color w:val="000000" w:themeColor="text1"/>
          <w:sz w:val="28"/>
          <w:szCs w:val="28"/>
          <w14:textFill>
            <w14:solidFill>
              <w14:schemeClr w14:val="tx1"/>
            </w14:solidFill>
          </w14:textFill>
        </w:rPr>
        <w:fldChar w:fldCharType="end"/>
      </w:r>
      <w:r/>
    </w:p>
    <w:p>
      <w:pPr>
        <w:pStyle w:val="797"/>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"_Toc523404697" </w:instrText>
      </w:r>
      <w:r>
        <w:fldChar w:fldCharType="separate"/>
      </w:r>
      <w:r>
        <w:rPr>
          <w:rStyle w:val="1002"/>
          <w:rFonts w:hint="eastAsia" w:ascii="宋体" w:hAnsi="宋体" w:cs="宋体"/>
          <w:color w:val="000000" w:themeColor="text1"/>
          <w:sz w:val="28"/>
          <w:szCs w:val="28"/>
          <w14:textFill>
            <w14:solidFill>
              <w14:schemeClr w14:val="tx1"/>
            </w14:solidFill>
          </w14:textFill>
        </w:rPr>
        <w:t xml:space="preserve">第三章  投标资料表</w:t>
      </w:r>
      <w:r>
        <w:rPr>
          <w:rStyle w:val="1002"/>
          <w:rFonts w:hint="eastAsia" w:ascii="宋体" w:hAnsi="宋体" w:cs="宋体"/>
          <w:color w:val="000000" w:themeColor="text1"/>
          <w:sz w:val="28"/>
          <w:szCs w:val="28"/>
          <w14:textFill>
            <w14:solidFill>
              <w14:schemeClr w14:val="tx1"/>
            </w14:solidFill>
          </w14:textFill>
        </w:rPr>
        <w:fldChar w:fldCharType="end"/>
      </w:r>
      <w:r/>
    </w:p>
    <w:p>
      <w:pPr>
        <w:pStyle w:val="797"/>
        <w:tabs>
          <w:tab w:val="right" w:pos="8948" w:leader="dot"/>
        </w:tabs>
        <w:rPr>
          <w:rFonts w:hint="eastAsia" w:ascii="宋体" w:hAnsi="宋体" w:cs="宋体"/>
          <w:color w:val="000000" w:themeColor="text1"/>
          <w:sz w:val="28"/>
          <w:szCs w:val="28"/>
          <w14:textFill>
            <w14:solidFill>
              <w14:schemeClr w14:val="tx1"/>
            </w14:solidFill>
          </w14:textFill>
        </w:rPr>
      </w:pPr>
      <w:r>
        <w:rPr>
          <w:rStyle w:val="1002"/>
          <w:rFonts w:hint="eastAsia" w:ascii="宋体" w:hAnsi="宋体" w:cs="宋体"/>
          <w:color w:val="000000" w:themeColor="text1"/>
          <w:sz w:val="28"/>
          <w:szCs w:val="28"/>
          <w14:textFill>
            <w14:solidFill>
              <w14:schemeClr w14:val="tx1"/>
            </w14:solidFill>
          </w14:textFill>
        </w:rPr>
        <w:t xml:space="preserve">第四章  评标标准</w:t>
      </w:r>
      <w:r/>
    </w:p>
    <w:p>
      <w:pPr>
        <w:pStyle w:val="797"/>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"_Toc523404699" </w:instrText>
      </w:r>
      <w:r>
        <w:fldChar w:fldCharType="separate"/>
      </w:r>
      <w:r>
        <w:rPr>
          <w:rStyle w:val="1002"/>
          <w:rFonts w:hint="eastAsia" w:ascii="宋体" w:hAnsi="宋体" w:cs="宋体"/>
          <w:color w:val="000000" w:themeColor="text1"/>
          <w:sz w:val="28"/>
          <w:szCs w:val="28"/>
          <w14:textFill>
            <w14:solidFill>
              <w14:schemeClr w14:val="tx1"/>
            </w14:solidFill>
          </w14:textFill>
        </w:rPr>
        <w:t xml:space="preserve">第五章  拟签订的合同文本</w:t>
      </w:r>
      <w:r>
        <w:rPr>
          <w:rStyle w:val="1002"/>
          <w:rFonts w:hint="eastAsia" w:ascii="宋体" w:hAnsi="宋体" w:cs="宋体"/>
          <w:color w:val="000000" w:themeColor="text1"/>
          <w:sz w:val="28"/>
          <w:szCs w:val="28"/>
          <w14:textFill>
            <w14:solidFill>
              <w14:schemeClr w14:val="tx1"/>
            </w14:solidFill>
          </w14:textFill>
        </w:rPr>
        <w:fldChar w:fldCharType="end"/>
      </w:r>
      <w:r/>
    </w:p>
    <w:p>
      <w:pPr>
        <w:pStyle w:val="797"/>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"_Toc523404700" </w:instrText>
      </w:r>
      <w:r>
        <w:fldChar w:fldCharType="separate"/>
      </w:r>
      <w:r>
        <w:rPr>
          <w:rStyle w:val="1002"/>
          <w:rFonts w:hint="eastAsia" w:ascii="宋体" w:hAnsi="宋体" w:cs="宋体"/>
          <w:color w:val="000000" w:themeColor="text1"/>
          <w:sz w:val="28"/>
          <w:szCs w:val="28"/>
          <w14:textFill>
            <w14:solidFill>
              <w14:schemeClr w14:val="tx1"/>
            </w14:solidFill>
          </w14:textFill>
        </w:rPr>
        <w:t xml:space="preserve">第六章  采购需求</w:t>
      </w:r>
      <w:r>
        <w:rPr>
          <w:rStyle w:val="1002"/>
          <w:rFonts w:hint="eastAsia" w:ascii="宋体" w:hAnsi="宋体" w:cs="宋体"/>
          <w:color w:val="000000" w:themeColor="text1"/>
          <w:sz w:val="28"/>
          <w:szCs w:val="28"/>
          <w14:textFill>
            <w14:solidFill>
              <w14:schemeClr w14:val="tx1"/>
            </w14:solidFill>
          </w14:textFill>
        </w:rPr>
        <w:fldChar w:fldCharType="end"/>
      </w:r>
      <w:r/>
    </w:p>
    <w:p>
      <w:pPr>
        <w:pStyle w:val="797"/>
        <w:tabs>
          <w:tab w:val="right" w:pos="8948" w:leader="dot"/>
        </w:tabs>
        <w:rPr>
          <w:rFonts w:hint="eastAsia" w:ascii="宋体" w:hAnsi="宋体" w:cs="宋体"/>
          <w:color w:val="000000" w:themeColor="text1"/>
          <w14:textFill>
            <w14:solidFill>
              <w14:schemeClr w14:val="tx1"/>
            </w14:solidFill>
          </w14:textFill>
        </w:rPr>
      </w:pPr>
      <w:r>
        <w:fldChar w:fldCharType="begin"/>
      </w:r>
      <w:r>
        <w:instrText xml:space="preserve"> HYPERLINK \l "_Toc523404701" </w:instrText>
      </w:r>
      <w:r>
        <w:fldChar w:fldCharType="separate"/>
      </w:r>
      <w:r>
        <w:rPr>
          <w:rStyle w:val="1002"/>
          <w:rFonts w:hint="eastAsia" w:ascii="宋体" w:hAnsi="宋体" w:cs="宋体"/>
          <w:color w:val="000000" w:themeColor="text1"/>
          <w:sz w:val="28"/>
          <w:szCs w:val="28"/>
          <w14:textFill>
            <w14:solidFill>
              <w14:schemeClr w14:val="tx1"/>
            </w14:solidFill>
          </w14:textFill>
        </w:rPr>
        <w:t xml:space="preserve">第七章  投标文件相关格</w:t>
      </w:r>
      <w:bookmarkStart w:id="1" w:name="_Hlt532911772"/>
      <w:r/>
      <w:bookmarkStart w:id="2" w:name="_Hlt532911771"/>
      <w:r>
        <w:rPr>
          <w:rStyle w:val="1002"/>
          <w:rFonts w:hint="eastAsia" w:ascii="宋体" w:hAnsi="宋体" w:cs="宋体"/>
          <w:color w:val="000000" w:themeColor="text1"/>
          <w:sz w:val="28"/>
          <w:szCs w:val="28"/>
          <w14:textFill>
            <w14:solidFill>
              <w14:schemeClr w14:val="tx1"/>
            </w14:solidFill>
          </w14:textFill>
        </w:rPr>
        <w:t xml:space="preserve">式</w:t>
      </w:r>
      <w:bookmarkEnd w:id="1"/>
      <w:r/>
      <w:bookmarkEnd w:id="2"/>
      <w:r>
        <w:rPr>
          <w:rStyle w:val="1002"/>
          <w:rFonts w:hint="eastAsia" w:ascii="宋体" w:hAnsi="宋体" w:cs="宋体"/>
          <w:color w:val="000000" w:themeColor="text1"/>
          <w:sz w:val="28"/>
          <w:szCs w:val="28"/>
          <w14:textFill>
            <w14:solidFill>
              <w14:schemeClr w14:val="tx1"/>
            </w14:solidFill>
          </w14:textFill>
        </w:rPr>
        <w:fldChar w:fldCharType="end"/>
      </w:r>
      <w:r/>
    </w:p>
    <w:p>
      <w:pPr>
        <w:pStyle w:val="778"/>
        <w:jc w:val="center"/>
        <w:spacing w:line="360" w:lineRule="auto"/>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end"/>
      </w:r>
      <w:r/>
    </w:p>
    <w:p>
      <w:pPr>
        <w:pStyle w:val="778"/>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8"/>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8"/>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8"/>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8"/>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8"/>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8"/>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8"/>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8"/>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8"/>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8"/>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8"/>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8"/>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8"/>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8"/>
        <w:jc w:val="center"/>
        <w:spacing w:line="520" w:lineRule="exact"/>
        <w:rPr>
          <w:rFonts w:hint="eastAsia" w:ascii="宋体" w:hAnsi="宋体" w:cs="宋体"/>
          <w:b/>
          <w:color w:val="000000" w:themeColor="text1"/>
          <w:sz w:val="40"/>
          <w:szCs w:val="40"/>
          <w:lang w:eastAsia="zh-CN"/>
          <w14:textFill>
            <w14:solidFill>
              <w14:schemeClr w14:val="tx1"/>
            </w14:solidFill>
          </w14:textFill>
        </w:rPr>
        <w:sectPr>
          <w:footerReference w:type="default" r:id="rId10"/>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000000" w:themeColor="text1"/>
          <w:sz w:val="40"/>
          <w:szCs w:val="40"/>
          <w:lang w:eastAsia="zh-CN"/>
          <w14:textFill>
            <w14:solidFill>
              <w14:schemeClr w14:val="tx1"/>
            </w14:solidFill>
          </w14:textFill>
        </w:rPr>
      </w:r>
      <w:r/>
    </w:p>
    <w:p>
      <w:pPr>
        <w:pStyle w:val="778"/>
        <w:jc w:val="center"/>
        <w:spacing w:line="520" w:lineRule="exact"/>
        <w:rPr>
          <w:rFonts w:hint="eastAsia" w:ascii="宋体" w:hAnsi="宋体" w:eastAsia="宋体" w:cs="宋体"/>
          <w:b/>
          <w:color w:val="000000" w:themeColor="text1"/>
          <w:sz w:val="40"/>
          <w:szCs w:val="40"/>
          <w:lang w:eastAsia="zh-CN"/>
          <w14:textFill>
            <w14:solidFill>
              <w14:schemeClr w14:val="tx1"/>
            </w14:solidFill>
          </w14:textFill>
        </w:rPr>
      </w:pPr>
      <w:r>
        <w:rPr>
          <w:rFonts w:hint="eastAsia" w:ascii="宋体" w:hAnsi="宋体" w:cs="宋体"/>
          <w:b/>
          <w:color w:val="000000" w:themeColor="text1"/>
          <w:sz w:val="40"/>
          <w:szCs w:val="40"/>
          <w:lang w:eastAsia="zh-CN"/>
          <w14:textFill>
            <w14:solidFill>
              <w14:schemeClr w14:val="tx1"/>
            </w14:solidFill>
          </w14:textFill>
        </w:rPr>
        <w:t xml:space="preserve">徐州市贾汪区农业农村局</w:t>
      </w:r>
      <w:r/>
    </w:p>
    <w:p>
      <w:pPr>
        <w:pStyle w:val="778"/>
        <w:jc w:val="center"/>
        <w:spacing w:line="520" w:lineRule="exact"/>
        <w:rPr>
          <w:rFonts w:hint="eastAsia" w:ascii="宋体" w:hAnsi="宋体" w:eastAsia="宋体" w:cs="宋体"/>
          <w:b/>
          <w:color w:val="000000" w:themeColor="text1"/>
          <w:sz w:val="40"/>
          <w:szCs w:val="40"/>
          <w14:textFill>
            <w14:solidFill>
              <w14:schemeClr w14:val="tx1"/>
            </w14:solidFill>
          </w14:textFill>
        </w:rPr>
      </w:pPr>
      <w:r>
        <w:rPr>
          <w:rFonts w:hint="eastAsia" w:ascii="宋体" w:hAnsi="宋体" w:eastAsia="宋体" w:cs="宋体"/>
          <w:b/>
          <w:color w:val="000000" w:themeColor="text1"/>
          <w:sz w:val="40"/>
          <w:szCs w:val="40"/>
          <w14:textFill>
            <w14:solidFill>
              <w14:schemeClr w14:val="tx1"/>
            </w14:solidFill>
          </w14:textFill>
        </w:rPr>
        <w:t xml:space="preserve">《</w:t>
      </w:r>
      <w:r>
        <w:rPr>
          <w:rFonts w:hint="eastAsia" w:ascii="宋体" w:hAnsi="宋体" w:cs="宋体"/>
          <w:b/>
          <w:color w:val="000000" w:themeColor="text1"/>
          <w:sz w:val="40"/>
          <w:szCs w:val="40"/>
          <w:lang w:eastAsia="zh-CN"/>
          <w14:textFill>
            <w14:solidFill>
              <w14:schemeClr w14:val="tx1"/>
            </w14:solidFill>
          </w14:textFill>
        </w:rPr>
        <w:t xml:space="preserve">贾汪区区域性农业综合服务中心建设</w:t>
      </w:r>
      <w:r>
        <w:rPr>
          <w:rFonts w:hint="eastAsia" w:ascii="宋体" w:hAnsi="宋体" w:eastAsia="宋体" w:cs="宋体"/>
          <w:b/>
          <w:color w:val="000000" w:themeColor="text1"/>
          <w:sz w:val="40"/>
          <w:szCs w:val="40"/>
          <w14:textFill>
            <w14:solidFill>
              <w14:schemeClr w14:val="tx1"/>
            </w14:solidFill>
          </w14:textFill>
        </w:rPr>
        <w:t xml:space="preserve">》</w:t>
      </w:r>
      <w:r/>
    </w:p>
    <w:p>
      <w:pPr>
        <w:pStyle w:val="778"/>
        <w:jc w:val="center"/>
        <w:spacing w:line="520" w:lineRule="exact"/>
        <w:rPr>
          <w:rFonts w:hint="eastAsia" w:ascii="宋体" w:hAnsi="宋体" w:eastAsia="宋体" w:cs="宋体"/>
          <w:b/>
          <w:color w:val="000000" w:themeColor="text1"/>
          <w:sz w:val="40"/>
          <w:szCs w:val="40"/>
          <w14:textFill>
            <w14:solidFill>
              <w14:schemeClr w14:val="tx1"/>
            </w14:solidFill>
          </w14:textFill>
        </w:rPr>
      </w:pPr>
      <w:r>
        <w:rPr>
          <w:rFonts w:hint="eastAsia" w:ascii="宋体" w:hAnsi="宋体" w:eastAsia="宋体" w:cs="宋体"/>
          <w:b/>
          <w:color w:val="000000" w:themeColor="text1"/>
          <w:sz w:val="40"/>
          <w:szCs w:val="40"/>
          <w14:textFill>
            <w14:solidFill>
              <w14:schemeClr w14:val="tx1"/>
            </w14:solidFill>
          </w14:textFill>
        </w:rPr>
        <w:t xml:space="preserve">招标文件</w:t>
      </w:r>
      <w:r>
        <w:rPr>
          <w:rFonts w:hint="eastAsia" w:ascii="宋体" w:hAnsi="宋体" w:eastAsia="宋体" w:cs="宋体"/>
          <w:b/>
          <w:color w:val="000000" w:themeColor="text1"/>
          <w:sz w:val="28"/>
          <w:szCs w:val="28"/>
          <w14:textFill>
            <w14:solidFill>
              <w14:schemeClr w14:val="tx1"/>
            </w14:solidFill>
          </w14:textFill>
        </w:rPr>
        <w:t xml:space="preserve"> </w:t>
      </w:r>
      <w:r/>
    </w:p>
    <w:p>
      <w:pPr>
        <w:pStyle w:val="778"/>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    </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78"/>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5"/>
        <w:spacing w:line="520" w:lineRule="exact"/>
        <w:rPr>
          <w:rFonts w:hint="eastAsia" w:ascii="宋体" w:hAnsi="宋体" w:eastAsia="宋体" w:cs="宋体"/>
          <w:color w:val="000000" w:themeColor="text1"/>
          <w:sz w:val="24"/>
          <w:szCs w:val="24"/>
          <w14:textFill>
            <w14:solidFill>
              <w14:schemeClr w14:val="tx1"/>
            </w14:solidFill>
          </w14:textFill>
        </w:rPr>
      </w:pPr>
      <w:r/>
      <w:bookmarkStart w:id="3" w:name="_Toc523404695"/>
      <w:r>
        <w:rPr>
          <w:rFonts w:hint="eastAsia" w:ascii="宋体" w:hAnsi="宋体" w:eastAsia="宋体" w:cs="宋体"/>
          <w:color w:val="000000" w:themeColor="text1"/>
          <w:sz w:val="24"/>
          <w:szCs w:val="24"/>
          <w14:textFill>
            <w14:solidFill>
              <w14:schemeClr w14:val="tx1"/>
            </w14:solidFill>
          </w14:textFill>
        </w:rPr>
        <w:t xml:space="preserve">第一章  投标邀请</w:t>
      </w:r>
      <w:bookmarkEnd w:id="3"/>
      <w:r/>
      <w:r/>
    </w:p>
    <w:p>
      <w:pPr>
        <w:pStyle w:val="778"/>
        <w:jc w:val="center"/>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徐州国信招标有限公司对</w:t>
      </w:r>
      <w:r>
        <w:rPr>
          <w:rFonts w:hint="eastAsia" w:ascii="宋体" w:hAnsi="宋体" w:cs="宋体"/>
          <w:color w:val="000000" w:themeColor="text1"/>
          <w:sz w:val="24"/>
          <w:szCs w:val="24"/>
          <w:lang w:eastAsia="zh-CN"/>
          <w14:textFill>
            <w14:solidFill>
              <w14:schemeClr w14:val="tx1"/>
            </w14:solidFill>
          </w14:textFill>
        </w:rPr>
        <w:t xml:space="preserve">徐州市贾汪区农业农村局</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eastAsia="zh-CN"/>
          <w14:textFill>
            <w14:solidFill>
              <w14:schemeClr w14:val="tx1"/>
            </w14:solidFill>
          </w14:textFill>
        </w:rPr>
        <w:t xml:space="preserve">贾汪区区域性农业综合服务中心建设</w:t>
      </w:r>
      <w:r>
        <w:rPr>
          <w:rFonts w:hint="eastAsia" w:ascii="宋体" w:hAnsi="宋体" w:eastAsia="宋体" w:cs="宋体"/>
          <w:color w:val="000000" w:themeColor="text1"/>
          <w:sz w:val="24"/>
          <w:szCs w:val="24"/>
          <w14:textFill>
            <w14:solidFill>
              <w14:schemeClr w14:val="tx1"/>
            </w14:solidFill>
          </w14:textFill>
        </w:rPr>
        <w:t xml:space="preserve">”进行公开招标采购，现邀请符合相关条件的供应商投标。</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一、项目名称和项目编号</w:t>
      </w:r>
      <w:r/>
    </w:p>
    <w:p>
      <w:pPr>
        <w:pStyle w:val="778"/>
        <w:ind w:firstLine="60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（一）项目名称：</w:t>
      </w:r>
      <w:r>
        <w:rPr>
          <w:rFonts w:hint="eastAsia" w:ascii="宋体" w:hAnsi="宋体" w:cs="宋体"/>
          <w:color w:val="000000" w:themeColor="text1"/>
          <w:sz w:val="24"/>
          <w:szCs w:val="24"/>
          <w:lang w:eastAsia="zh-CN"/>
          <w14:textFill>
            <w14:solidFill>
              <w14:schemeClr w14:val="tx1"/>
            </w14:solidFill>
          </w14:textFill>
        </w:rPr>
        <w:t xml:space="preserve">贾汪区区域性农业综合服务中心建设 </w:t>
      </w:r>
      <w:r/>
    </w:p>
    <w:p>
      <w:pPr>
        <w:pStyle w:val="778"/>
        <w:ind w:firstLine="60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（二）项目编号：</w:t>
      </w:r>
      <w:r>
        <w:rPr>
          <w:rFonts w:hint="eastAsia" w:ascii="宋体" w:hAnsi="宋体" w:cs="宋体"/>
          <w:color w:val="000000" w:themeColor="text1"/>
          <w:sz w:val="24"/>
          <w:szCs w:val="24"/>
          <w:lang w:eastAsia="zh-CN"/>
          <w14:textFill>
            <w14:solidFill>
              <w14:schemeClr w14:val="tx1"/>
            </w14:solidFill>
          </w14:textFill>
        </w:rPr>
        <w:t xml:space="preserve">JSZC-320305-XZGX-G2026-0011</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二、对投标人的资格要求</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详见本项目公开招标公告。</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三、获取招标文件</w:t>
      </w:r>
      <w:bookmarkEnd w:id="0"/>
      <w:r/>
      <w:r/>
    </w:p>
    <w:p>
      <w:pPr>
        <w:pStyle w:val="778"/>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（1）潜在供应商访问电子招标投标交易平台的网络地址和方法：</w:t>
      </w:r>
      <w:r/>
    </w:p>
    <w:p>
      <w:pPr>
        <w:pStyle w:val="778"/>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①登录 http://jszfcg.jsczt.cn/ ，或进入徐州政府采购网-－业务工作－－用户登录，点击“苏采云”进入系统。</w:t>
      </w:r>
      <w:r/>
    </w:p>
    <w:p>
      <w:pPr>
        <w:pStyle w:val="778"/>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78"/>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（2）采购代理机构将数据电文形式的招标文件加载至电子招标投标交易平台，供潜在供应商下载或者查阅。</w:t>
      </w:r>
      <w:r/>
    </w:p>
    <w:p>
      <w:pPr>
        <w:pStyle w:val="778"/>
        <w:ind w:firstLine="600"/>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（3）售价：免费。  </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四、投标有关信息</w:t>
      </w:r>
      <w:r/>
    </w:p>
    <w:p>
      <w:pPr>
        <w:pStyle w:val="778"/>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14:textFill>
            <w14:solidFill>
              <w14:schemeClr w14:val="tx1"/>
            </w14:solidFill>
          </w14:textFill>
        </w:rPr>
        <w:t xml:space="preserve">（一）</w:t>
      </w:r>
      <w:r>
        <w:rPr>
          <w:rFonts w:hint="eastAsia" w:ascii="宋体" w:hAnsi="宋体" w:eastAsia="宋体" w:cs="宋体"/>
          <w:color w:val="auto"/>
          <w:sz w:val="24"/>
          <w:szCs w:val="24"/>
        </w:rPr>
        <w:t xml:space="preserve">投标截止时间</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日北京时间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w:t>
      </w:r>
      <w:r/>
    </w:p>
    <w:p>
      <w:pPr>
        <w:pStyle w:val="778"/>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（二）开标时间：202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日北京时间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w:t>
      </w:r>
      <w:r/>
    </w:p>
    <w:p>
      <w:pPr>
        <w:pStyle w:val="778"/>
        <w:ind w:firstLine="601"/>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（三）开标地点：“苏采云”系统（网址： http://jszfcg.jsczt.cn/）“开标大厅”或进入徐州政府采购网（网址：</w:t>
      </w:r>
      <w:bookmarkStart w:id="16" w:name="_GoBack"/>
      <w:r/>
      <w:bookmarkEnd w:id="16"/>
      <w:r>
        <w:rPr>
          <w:rFonts w:hint="eastAsia" w:ascii="宋体" w:hAnsi="宋体" w:eastAsia="宋体" w:cs="宋体"/>
          <w:color w:val="000000" w:themeColor="text1"/>
          <w:sz w:val="24"/>
          <w:szCs w:val="24"/>
          <w14:textFill>
            <w14:solidFill>
              <w14:schemeClr w14:val="tx1"/>
            </w14:solidFill>
          </w14:textFill>
        </w:rPr>
        <w:t xml:space="preserve">http://czj.xz.gov.cn/Home/HomeIndex）－业务工作 －用户登录，点击“苏采云”进入系统“开标大厅”。 </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五、采购人</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（一）名称：</w:t>
      </w:r>
      <w:r>
        <w:rPr>
          <w:rFonts w:hint="eastAsia" w:ascii="宋体" w:hAnsi="宋体" w:cs="宋体"/>
          <w:color w:val="000000" w:themeColor="text1"/>
          <w:sz w:val="24"/>
          <w:szCs w:val="24"/>
          <w:lang w:eastAsia="zh-CN"/>
          <w14:textFill>
            <w14:solidFill>
              <w14:schemeClr w14:val="tx1"/>
            </w14:solidFill>
          </w14:textFill>
        </w:rPr>
        <w:t xml:space="preserve">徐州市贾汪区农业农村局</w:t>
      </w:r>
      <w:r/>
    </w:p>
    <w:p>
      <w:pPr>
        <w:pStyle w:val="778"/>
        <w:ind w:firstLine="60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（二）地址：江苏省徐州市贾汪区府佐路5号</w:t>
      </w:r>
      <w:r/>
    </w:p>
    <w:p>
      <w:pPr>
        <w:pStyle w:val="778"/>
        <w:ind w:firstLine="60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（三）联系</w:t>
      </w:r>
      <w:r>
        <w:rPr>
          <w:rFonts w:hint="eastAsia" w:ascii="宋体" w:hAnsi="宋体" w:cs="宋体"/>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张科</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联系电话：15852321858</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六、采购代理机构</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（一）名称：徐州国信招标有限公司</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（二）地址：江苏省徐州市淮海东路29号苏宁广场A塔3623室</w:t>
      </w:r>
      <w:r/>
    </w:p>
    <w:p>
      <w:pPr>
        <w:pStyle w:val="778"/>
        <w:ind w:firstLine="601"/>
        <w:spacing w:line="52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（三）项</w:t>
      </w:r>
      <w:r>
        <w:rPr>
          <w:rFonts w:hint="eastAsia" w:ascii="宋体" w:hAnsi="宋体" w:eastAsia="宋体" w:cs="宋体"/>
          <w:color w:val="000000" w:themeColor="text1"/>
          <w:sz w:val="24"/>
          <w:szCs w:val="24"/>
          <w:highlight w:val="none"/>
          <w14:textFill>
            <w14:solidFill>
              <w14:schemeClr w14:val="tx1"/>
            </w14:solidFill>
          </w14:textFill>
        </w:rPr>
        <w:t xml:space="preserve">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陈旭</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联系电话：0516-67598336/18205086895</w:t>
      </w:r>
      <w:r/>
    </w:p>
    <w:p>
      <w:pPr>
        <w:pStyle w:val="778"/>
        <w:ind w:firstLine="600"/>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5"/>
        <w:rPr>
          <w:rFonts w:hint="eastAsia" w:ascii="宋体" w:hAnsi="宋体" w:eastAsia="宋体" w:cs="宋体"/>
          <w:color w:val="000000" w:themeColor="text1"/>
          <w:sz w:val="24"/>
          <w:szCs w:val="24"/>
          <w14:textFill>
            <w14:solidFill>
              <w14:schemeClr w14:val="tx1"/>
            </w14:solidFill>
          </w14:textFill>
        </w:rPr>
      </w:pPr>
      <w:r/>
      <w:bookmarkStart w:id="4" w:name="_Toc523404696"/>
      <w:r/>
      <w:bookmarkStart w:id="5" w:name="_Toc522790131"/>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第二章  投标人须知</w:t>
      </w:r>
      <w:bookmarkEnd w:id="4"/>
      <w:r/>
      <w:bookmarkEnd w:id="5"/>
      <w:r/>
      <w:r/>
    </w:p>
    <w:p>
      <w:pPr>
        <w:pStyle w:val="778"/>
        <w:spacing w:line="520" w:lineRule="exact"/>
        <w:rPr>
          <w:rFonts w:hint="eastAsia" w:ascii="宋体" w:hAnsi="宋体" w:eastAsia="宋体" w:cs="宋体"/>
          <w:color w:val="000000" w:themeColor="text1"/>
          <w:sz w:val="24"/>
          <w:szCs w:val="24"/>
          <w14:textFill>
            <w14:solidFill>
              <w14:schemeClr w14:val="tx1"/>
            </w14:solidFill>
          </w14:textFill>
        </w:rPr>
      </w:pPr>
      <w:r/>
      <w:bookmarkStart w:id="6" w:name="_Toc523404697"/>
      <w:r/>
      <w:bookmarkStart w:id="7" w:name="_Toc522790132"/>
      <w:r>
        <w:rPr>
          <w:rFonts w:hint="eastAsia" w:ascii="宋体" w:hAnsi="宋体" w:eastAsia="宋体" w:cs="宋体"/>
          <w:color w:val="000000" w:themeColor="text1"/>
          <w:sz w:val="24"/>
          <w:szCs w:val="24"/>
          <w14:textFill>
            <w14:solidFill>
              <w14:schemeClr w14:val="tx1"/>
            </w14:solidFill>
          </w14:textFill>
        </w:rPr>
        <w:t xml:space="preserve">一、总则</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（一）采购人。采购人即指依法进行政府采购的国家机关、事业单位和团体组织。</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（二）政府招标采购方式。政府采购货物或服务（以下简称“货物服务”）的招标方式，分为公开招标和邀请招标。</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（五）采购人委托采购代理机构代理招标的，采购代理机构必须在采购人委托的范围内依法开展采购活动。</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（六）投标人的资格条件：</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投标人是指响应招标、参加投标竞争的法人、其他组织或者自然人。</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2.投标人授权代表系指法定代表人或受法人委托的受托人。</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二、招标</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（八）招标文件应包括以下内容：</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第一章，投标邀请；</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第二章，投标人须知；</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第三章，投标资料表；</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第四章，评标标准；</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第五章，拟签订的合同文本；</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第六章，采购需求；</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第七章，投标文件相关格式。</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（九）招标文件澄清或者修改：</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2.现场考察以本文件第三章《投标资料表》中的要求为准。</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3.开标前答疑会以本文件第三章《投标资料表》中的要求为准。</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三、投标</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（十）投标人应当按照招标文件的要求编制投标文件。投标文件应对招标文件提出的要求和条件作出实质性响应。</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（十二）投标文件的构成：</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1.投标文件的构成以本文件第三章《投标资料表》中的要求为准。</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2.投标人应当提交的资格、资信证明文件，以本文件第三章《投标资料表》中的所提要求为准。</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（十三）投标函和价格表、商务条件、交货和提供服务的时间：</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1.投标函和价格表的要求见本章（十二）、（十三），格式见本文件第七章《投标文件相关格式》中《投标函》和《开标一览表》。</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2.商务条件以本文件第三章《投标资料表》中的要求为准。</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3.交货和提供服务的时间，以本文件第三章《投标资料表》中所提要求为准。</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（十四）投标报价要求：</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1.投标人应按照招标文件的要求报出分项价格和总价。</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2.投标人应按照招标文件的要求进行报价，如投标人作出偏离，应在《偏离表》中列出。</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3.采购人不支付报价以外的任何费用。</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5.投标人只能提交一个投标价格，投标人提交多个价格的投标文件，在资格性、符合性检查时按照无效投标处理。</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（十五）投标货币。以本文件第三章《投标资料表》中所提要求为准。</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（十六）投标有效期：</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1.投标有效期为开标之日后90天。采购人可以要求对投标有效期延长一次，但该延长期最长不得超过30天。</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（十七）投标文件的编制要求和签署要求</w:t>
      </w:r>
      <w:r/>
    </w:p>
    <w:p>
      <w:pPr>
        <w:pStyle w:val="778"/>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pStyle w:val="778"/>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2.投标人应对 CA 证书妥善保管，如被他人盗用投标，因此带来的结果均由投标人自行承担。</w:t>
      </w:r>
      <w:r/>
    </w:p>
    <w:p>
      <w:pPr>
        <w:pStyle w:val="778"/>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3.投标人应当对招标文件提出的要求和条件作出实质性响应，并在电子投标系统逐条应答。</w:t>
      </w:r>
      <w:r/>
    </w:p>
    <w:p>
      <w:pPr>
        <w:pStyle w:val="778"/>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（十八）投标文件的盖章要求：</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投标文件的盖章要求，以本文件第三章《投标资料表》中所提要求为准。</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778"/>
        <w:ind w:firstLine="600"/>
        <w:jc w:val="left"/>
        <w:spacing w:line="520" w:lineRule="exact"/>
        <w:widowControl/>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（二十二）本项目不允许分包。</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在评标过程中发现投标人有上述情形的，评标委员会应当认定其投标无效，并书面报告本级财政部门。</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（二十四）有下列情形之一的，其投标无效。</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1.不同投标人的投标文件，由同一单位或者个人编制；</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2.不同投标人委托同一单位或者个人办理投标事宜；</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3.不同投标人的投标文件中，所载明的项目管理成员或联系人为同一人；</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4.不同投标人的投标文件，异常一致或者投标报价呈规律性差异；</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6.电子投标文件未按规定期限投标的；</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7.电子投标文件未按招标文件要求签章的；</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8.投标人未在规定时间内解密电子投标文件的；</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9.投标文件未按招标文件规定的内容和要求填写的；没有在投标系统指定位置上传对应文件、材料的；材料模糊不清无法辨认的；</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10.不具备招标文件中规定的资格要求的；</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11.报价超过招标文件中规定的预算金额或者最高限价的；</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12.投标文件含有采购人不能接受的附加条件的；</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13.法律、法规和招标文件规定的其他无效情形。</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四、开标</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（二十五）开标：</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778"/>
        <w:ind w:firstLine="600"/>
        <w:spacing w:line="52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2.由电子招标投标交易平台主持，邀请投标人参加。</w:t>
      </w:r>
      <w:r/>
    </w:p>
    <w:p>
      <w:pPr>
        <w:pStyle w:val="778"/>
        <w:ind w:firstLine="600"/>
        <w:spacing w:line="52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3.所有投标单位使用 CA 证书在开标时间时，解密各自投标文件，投标人不足3家的，不得评标。</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4.投标人原因造成投标文件未</w:t>
      </w:r>
      <w:r>
        <w:rPr>
          <w:rFonts w:hint="eastAsia" w:ascii="宋体" w:hAnsi="宋体" w:eastAsia="宋体" w:cs="宋体"/>
          <w:color w:val="000000" w:themeColor="text1"/>
          <w:sz w:val="24"/>
          <w:szCs w:val="24"/>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五、评标</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（二十六）公开招标采购项目开标结束后，采购人依法对投标人的资格进行审查。合格投标人不足3家的，不得评标。</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1.评标工作由采购代理机构负责组织，并履行下列职责：</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（2）宣布评标纪律；</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（3）公布投标人名单，告知评审专家应当回避的情形；</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（4）组织评标委员会推选评标组长（采购人代表不得担任组长）；</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（5）在评标期间采取必要的通讯管理措施，保证评标活动不受外界干扰；</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（6）根据评标委员会的要求介绍政府采购相关政策法规、招标文件；</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（8）核对评标结果，对有《</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"http://www.caigou2003.com/"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政府采购</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（10）处理与评标有关的其他事项。</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2.评标委员会负责具体评标事务，并独立履行下列职责：</w:t>
      </w:r>
      <w:r/>
    </w:p>
    <w:p>
      <w:pPr>
        <w:pStyle w:val="778"/>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（1）审查、评价投标文件是否符合招标文件的商务、技术等实质性要求；</w:t>
      </w:r>
      <w:r/>
    </w:p>
    <w:p>
      <w:pPr>
        <w:pStyle w:val="778"/>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（2）要求投标人对投标文件有关事项作出澄清或者说明；</w:t>
      </w:r>
      <w:r/>
    </w:p>
    <w:p>
      <w:pPr>
        <w:pStyle w:val="778"/>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（3）对投标文件进行比较和评价；</w:t>
      </w:r>
      <w:r/>
    </w:p>
    <w:p>
      <w:pPr>
        <w:pStyle w:val="778"/>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（4）确定中标候选人名单，以及根据采购人委托直接确定中标人；</w:t>
      </w:r>
      <w:r/>
    </w:p>
    <w:p>
      <w:pPr>
        <w:pStyle w:val="778"/>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（5）向采购人、采购代理机构或有关部门报告评标中发现的违法行为。</w:t>
      </w:r>
      <w:r/>
    </w:p>
    <w:p>
      <w:pPr>
        <w:pStyle w:val="778"/>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（二十七）评标方法分为最低评标价法和综合评分法。</w:t>
      </w:r>
      <w:r/>
    </w:p>
    <w:p>
      <w:pPr>
        <w:pStyle w:val="778"/>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（二十八）评标</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1.评标工作程序：</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（1）投标文件初审。</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①资格性审查。</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②符合性审查。</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（2）澄清有关问题。</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（3）比较与评价。</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（4）推荐中标候选供应商名单。</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（5）编写评审报告（评标报告）。</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3.采用</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"http://lilun.caigou2003.com/recijiedu/2365668.html"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最低评标价法</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"http://lilun.caigou2003.com/recijiedu/2365667.html"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综合评分法</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非单一产品采购项目，多家投标人提供的核心产品品牌相同的，按前两款规定处理。</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（二十九）投标文件报价出现前后不一致的，按照下列规定修正：</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1.投标文件中开标一览表（报价表）内容与投标文件中相应内容不一致的，以开标一览表（报价表）为准；</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2.大写金额和小写金额不一致的，以大写金额为准；</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4.总价金额与按单价合计金额不一致的，以单价金额计算结果为准。</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778"/>
        <w:ind w:firstLine="600"/>
        <w:jc w:val="left"/>
        <w:spacing w:line="520" w:lineRule="exact"/>
        <w:widowControl/>
        <w:rPr>
          <w:rFonts w:hint="eastAsia" w:ascii="宋体" w:hAnsi="宋体" w:eastAsia="宋体" w:cs="宋体"/>
          <w:i/>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评标中需要投标人对投标文件澄清或者说明的，应当通过“苏采云”系统交换数据电文。在评标期间，请投标人保持在线。</w:t>
      </w:r>
      <w:r/>
    </w:p>
    <w:p>
      <w:pPr>
        <w:pStyle w:val="778"/>
        <w:ind w:firstLine="600"/>
        <w:jc w:val="left"/>
        <w:spacing w:line="520" w:lineRule="exact"/>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（三十）实施政府采购异常低价审查的有关要求：</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（一）采购人应当在采购文件中明确，政府采购评审中出现下列情形之一的，评审委员会应当启动异常低价投标（响应）审查程序：</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3.投标（响应）报价低于采购项目最高限价45%的，即投标（响应）报价&lt;采购项目最高限价×45%；</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4.评审委员会基于专业判断，认为供应商报价过低，有可能影响产品质量或者不能诚信履约的其他情形。</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采购人可以结合具体项目实际情况，提高上述第1项至第3项中启动异常低价投标（响应）审查的数值标准，但是最高不得超过65%。</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相关法律法规对供应商报价有规定的，从其规定。</w:t>
      </w:r>
      <w:r/>
    </w:p>
    <w:p>
      <w:pPr>
        <w:numPr>
          <w:ilvl w:val="0"/>
          <w:numId w:val="1"/>
        </w:num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（三十二）废标条款：</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出现下列情形之一的，应予废标。</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1.符合专业条件的供应商或者对招标文件作实质响应的供应商不足三家的；</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2.出现影响采购公正的违法、违规行为的；</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3.投标人的报价均超过了采购预算，采购人不能支付的；</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4.因重大变故，采购任务取消的。</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六、定标</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（三十三）采购代理机构应当在评标结束后2个工作日内将评标报告送采购人。</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（三十四）采购人应当自收到评标报告之日起5个工作日内，在评标报告确定的中标候选人名单中按顺序确定中标人。</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七、政府采购合同</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（三十六）签订政府采购合同（合同签订方式）：</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78"/>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采购人不得向中标人提出任何不合理的要求作为签订合同的条件。</w:t>
      </w:r>
      <w:r/>
    </w:p>
    <w:p>
      <w:pPr>
        <w:pStyle w:val="778"/>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78"/>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（三十七）采购人与中标人应当根据合同的约定依法履行合同义务。政府采购合同的履行、违约责任和解决争议的方法等，按《中华人民共和国合同法》相关条款执行。</w:t>
      </w:r>
      <w:r/>
    </w:p>
    <w:p>
      <w:pPr>
        <w:pStyle w:val="778"/>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（三十八）履约保证金：</w:t>
      </w:r>
      <w:r/>
    </w:p>
    <w:p>
      <w:pPr>
        <w:pStyle w:val="778"/>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1.中标人应当在评审结果公示日起三日内，向采购人提交本文件第三章《投标资料表》中规定金额的履约保证金。</w:t>
      </w:r>
      <w:r/>
    </w:p>
    <w:p>
      <w:pPr>
        <w:pStyle w:val="778"/>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78"/>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履约保证金退还：中标人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招标人有权扣除履约保证金获得补偿。</w:t>
      </w:r>
      <w:r/>
    </w:p>
    <w:p>
      <w:pPr>
        <w:pStyle w:val="778"/>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（三十九）腐败和欺诈行为：</w:t>
      </w:r>
      <w:r/>
    </w:p>
    <w:p>
      <w:pPr>
        <w:pStyle w:val="778"/>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1.采购代理机构、采购人、投标人等参与招投标的各方，均应在招标、采购、合同执行等过程中保持廉洁和最高的道德水准。</w:t>
      </w:r>
      <w:r/>
    </w:p>
    <w:p>
      <w:pPr>
        <w:pStyle w:val="778"/>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（1）腐败和欺诈行为的含义：</w:t>
      </w:r>
      <w:r/>
    </w:p>
    <w:p>
      <w:pPr>
        <w:pStyle w:val="778"/>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①“腐败行为”系指在招标、采购和合同执行等过程中，为了谋求私利，影响相关人员提供、给予、接受或索取有价物品，并导致损害甲方、已方、采购代理机构和他人利益的行为。</w:t>
      </w:r>
      <w:r/>
    </w:p>
    <w:p>
      <w:pPr>
        <w:pStyle w:val="778"/>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②“欺诈行为”系指为了影响招标、采购和合同执行等过程，隐瞒事实真相，给甲方、已方、采购代理机构及他人造成损害的行为，其中包括投标人之间的串通行为。</w:t>
      </w:r>
      <w:r/>
    </w:p>
    <w:p>
      <w:pPr>
        <w:pStyle w:val="778"/>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（2）如果被推荐的中标人有腐败和欺诈行为，将取消其中标资格。</w:t>
      </w:r>
      <w:r/>
    </w:p>
    <w:p>
      <w:pPr>
        <w:pStyle w:val="778"/>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pStyle w:val="77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八、询问和质疑</w:t>
      </w:r>
      <w:r/>
    </w:p>
    <w:p>
      <w:pPr>
        <w:pStyle w:val="778"/>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（四十）询问和质疑</w:t>
      </w:r>
      <w:r/>
    </w:p>
    <w:p>
      <w:pPr>
        <w:pStyle w:val="778"/>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78"/>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九、电子招标投标交易平台</w:t>
      </w:r>
      <w:r/>
    </w:p>
    <w:p>
      <w:pPr>
        <w:pStyle w:val="778"/>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（四十一）电子招标投标交易平台（即“苏采云”系统，网址：</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"http://jszfcg.jsczt.cn/" \o "http://jszfcg.jsczt.cn/"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http://jszfcg.jsczt.cn/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）相关要求是本招标文件的组成部分。</w:t>
      </w:r>
      <w:r/>
    </w:p>
    <w:p>
      <w:pPr>
        <w:pStyle w:val="995"/>
        <w:rPr>
          <w:rFonts w:hint="eastAsia" w:ascii="宋体" w:hAnsi="宋体" w:eastAsia="宋体" w:cs="宋体"/>
          <w:color w:val="000000" w:themeColor="text1"/>
          <w:sz w:val="28"/>
          <w:szCs w:val="40"/>
          <w14:textFill>
            <w14:solidFill>
              <w14:schemeClr w14:val="tx1"/>
            </w14:solidFill>
          </w14:textFill>
        </w:rPr>
      </w:pPr>
      <w:r>
        <w:rPr>
          <w:rFonts w:hint="eastAsia" w:ascii="宋体" w:hAnsi="宋体" w:eastAsia="宋体" w:cs="宋体"/>
          <w:color w:val="000000" w:themeColor="text1"/>
          <w:sz w:val="28"/>
          <w:szCs w:val="40"/>
          <w14:textFill>
            <w14:solidFill>
              <w14:schemeClr w14:val="tx1"/>
            </w14:solidFill>
          </w14:textFill>
        </w:rPr>
        <w:br w:type="page" w:clear="all"/>
      </w:r>
      <w:r>
        <w:rPr>
          <w:rFonts w:hint="eastAsia" w:ascii="宋体" w:hAnsi="宋体" w:eastAsia="宋体" w:cs="宋体"/>
          <w:color w:val="000000" w:themeColor="text1"/>
          <w:sz w:val="28"/>
          <w:szCs w:val="40"/>
          <w14:textFill>
            <w14:solidFill>
              <w14:schemeClr w14:val="tx1"/>
            </w14:solidFill>
          </w14:textFill>
        </w:rPr>
        <w:t xml:space="preserve">第三章  投标资料表</w:t>
      </w:r>
      <w:bookmarkEnd w:id="6"/>
      <w:r/>
      <w:bookmarkEnd w:id="7"/>
      <w:r/>
      <w:r/>
    </w:p>
    <w:p>
      <w:pPr>
        <w:pStyle w:val="10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778"/>
        <w:spacing w:line="2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739"/>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63"/>
      </w:tblGrid>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本项目采购人：</w:t>
            </w:r>
            <w:r>
              <w:rPr>
                <w:rFonts w:hint="eastAsia" w:ascii="宋体" w:hAnsi="宋体" w:cs="宋体"/>
                <w:color w:val="000000" w:themeColor="text1"/>
                <w:sz w:val="24"/>
                <w:szCs w:val="24"/>
                <w:lang w:eastAsia="zh-CN"/>
                <w14:textFill>
                  <w14:solidFill>
                    <w14:schemeClr w14:val="tx1"/>
                  </w14:solidFill>
                </w14:textFill>
              </w:rPr>
              <w:t xml:space="preserve">徐州市贾汪区农业农村局</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采购人确定的采购项目属</w:t>
            </w:r>
            <w:r>
              <w:rPr>
                <w:rFonts w:hint="eastAsia" w:ascii="宋体" w:hAnsi="宋体" w:eastAsia="宋体" w:cs="宋体"/>
                <w:color w:val="000000" w:themeColor="text1"/>
                <w:sz w:val="24"/>
                <w:szCs w:val="24"/>
                <w:highlight w:val="none"/>
                <w14:textFill>
                  <w14:solidFill>
                    <w14:schemeClr w14:val="tx1"/>
                  </w14:solidFill>
                </w14:textFill>
              </w:rPr>
              <w:t xml:space="preserve">性：货物</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本项目采购代理机构：徐州国信招标有限公司</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投标人的资格条件：</w:t>
            </w:r>
            <w:r/>
          </w:p>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一、符合《中华人民共和国政府采购法》第二十二条的规定；</w:t>
            </w:r>
            <w:r/>
          </w:p>
          <w:p>
            <w:pPr>
              <w:pStyle w:val="778"/>
              <w:spacing w:line="400" w:lineRule="exact"/>
              <w:widowControl/>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此项目</w:t>
            </w:r>
            <w:r>
              <w:rPr>
                <w:rFonts w:hint="eastAsia" w:ascii="宋体" w:hAnsi="宋体" w:cs="宋体"/>
                <w:b/>
                <w:bCs/>
                <w:color w:val="000000" w:themeColor="text1"/>
                <w:sz w:val="24"/>
                <w:szCs w:val="24"/>
                <w:highlight w:val="none"/>
                <w:lang w:eastAsia="zh-CN"/>
                <w14:textFill>
                  <w14:solidFill>
                    <w14:schemeClr w14:val="tx1"/>
                  </w14:solidFill>
                </w14:textFill>
              </w:rPr>
              <w:t xml:space="preserve">采购包</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1为</w:t>
            </w:r>
            <w:r>
              <w:rPr>
                <w:rFonts w:hint="eastAsia" w:ascii="宋体" w:hAnsi="宋体" w:cs="宋体"/>
                <w:b/>
                <w:bCs/>
                <w:color w:val="000000" w:themeColor="text1"/>
                <w:sz w:val="24"/>
                <w:szCs w:val="24"/>
                <w:highlight w:val="none"/>
                <w:lang w:eastAsia="zh-CN"/>
                <w14:textFill>
                  <w14:solidFill>
                    <w14:schemeClr w14:val="tx1"/>
                  </w14:solidFill>
                </w14:textFill>
              </w:rPr>
              <w:t xml:space="preserve">不</w:t>
            </w:r>
            <w:r>
              <w:rPr>
                <w:rFonts w:hint="eastAsia" w:ascii="宋体" w:hAnsi="宋体" w:eastAsia="宋体" w:cs="宋体"/>
                <w:b/>
                <w:bCs/>
                <w:color w:val="000000" w:themeColor="text1"/>
                <w:sz w:val="24"/>
                <w:szCs w:val="24"/>
                <w:highlight w:val="none"/>
                <w14:textFill>
                  <w14:solidFill>
                    <w14:schemeClr w14:val="tx1"/>
                  </w14:solidFill>
                </w14:textFill>
              </w:rPr>
              <w:t xml:space="preserve">属于专门面向中小微企业采购的项目</w:t>
            </w:r>
            <w:r>
              <w:rPr>
                <w:rFonts w:hint="eastAsia" w:ascii="宋体" w:hAnsi="宋体" w:cs="宋体"/>
                <w:b/>
                <w:bCs/>
                <w:color w:val="000000" w:themeColor="text1"/>
                <w:sz w:val="24"/>
                <w:szCs w:val="24"/>
                <w:highlight w:val="none"/>
                <w:lang w:eastAsia="zh-CN"/>
                <w14:textFill>
                  <w14:solidFill>
                    <w14:schemeClr w14:val="tx1"/>
                  </w14:solidFill>
                </w14:textFill>
              </w:rPr>
              <w:t xml:space="preserve">。采购包</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2、采购包3、采购包4为</w:t>
            </w:r>
            <w:r>
              <w:rPr>
                <w:rFonts w:hint="eastAsia" w:ascii="宋体" w:hAnsi="宋体" w:eastAsia="宋体" w:cs="宋体"/>
                <w:b/>
                <w:bCs/>
                <w:color w:val="000000" w:themeColor="text1"/>
                <w:sz w:val="24"/>
                <w:szCs w:val="24"/>
                <w:highlight w:val="none"/>
                <w14:textFill>
                  <w14:solidFill>
                    <w14:schemeClr w14:val="tx1"/>
                  </w14:solidFill>
                </w14:textFill>
              </w:rPr>
              <w:t xml:space="preserve">专门面向中小微企业采购的项目，</w:t>
            </w:r>
            <w:r>
              <w:rPr>
                <w:rFonts w:hint="eastAsia" w:ascii="宋体" w:hAnsi="宋体" w:cs="宋体"/>
                <w:b/>
                <w:bCs/>
                <w:color w:val="000000" w:themeColor="text1"/>
                <w:sz w:val="24"/>
                <w:highlight w:val="none"/>
                <w14:textFill>
                  <w14:solidFill>
                    <w14:schemeClr w14:val="tx1"/>
                  </w14:solidFill>
                </w14:textFill>
              </w:rPr>
              <w:t xml:space="preserve">供应商应为中小微企业或监狱企业或残疾人福利性单位。</w:t>
            </w:r>
            <w:r/>
          </w:p>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同时明确相关事项如下：</w:t>
            </w:r>
            <w:r/>
          </w:p>
          <w:p>
            <w:pPr>
              <w:pStyle w:val="778"/>
              <w:ind w:firstLine="2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一、本项目不接受联合体参与采购活动。</w:t>
            </w:r>
            <w:r/>
          </w:p>
          <w:p>
            <w:pPr>
              <w:pStyle w:val="778"/>
              <w:ind w:left="559" w:hanging="2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二、单位负责人为同一人或者存在直接控股、管理关系的不同供应商，不得参加同一合同项下的政府采购活动。</w:t>
            </w:r>
            <w:r/>
          </w:p>
          <w:p>
            <w:pPr>
              <w:pStyle w:val="778"/>
              <w:ind w:left="559" w:hanging="280"/>
              <w:jc w:val="left"/>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三、为本采购项目提供整体设计、规范编制或者项目管理、监理、检测等服务的供应商，不得再参加本采购项目的采购活动。</w:t>
            </w:r>
            <w:r/>
          </w:p>
          <w:p>
            <w:pPr>
              <w:pStyle w:val="778"/>
              <w:ind w:firstLine="2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四、查询及使用供应商信用记录：</w:t>
            </w:r>
            <w:r/>
          </w:p>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（一）由采购人查询信用信息。</w:t>
            </w:r>
            <w:r/>
          </w:p>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（二）查询渠道包括：</w:t>
            </w:r>
            <w:r/>
          </w:p>
          <w:p>
            <w:pPr>
              <w:pStyle w:val="778"/>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1.“信用中国”网（</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"http://www.creditchina.gov.cn/"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www.creditchina.gov.cn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778"/>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2.“中国政府采购”网（</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"http://www.ccgp.gov.cn/"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www.ccgp.gov.cn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778"/>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3.“信用江苏”网（www.jscredit.gov.cn）；</w:t>
            </w:r>
            <w:r/>
          </w:p>
          <w:p>
            <w:pPr>
              <w:pStyle w:val="778"/>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4.“信用中国（江苏徐州）”网</w:t>
            </w:r>
            <w:r/>
          </w:p>
          <w:p>
            <w:pPr>
              <w:pStyle w:val="778"/>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"http://www.xuzhoucredit.gov.cn/"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http://www.xuzhoucredit.gov.cn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（三）截止时点（查询环节）：资格审查结束前。</w:t>
            </w:r>
            <w:r/>
          </w:p>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（四）信用信息查询记录和证据留存的具体方式：网页截屏打印，与其他采购文件一并保存。</w:t>
            </w:r>
            <w:r/>
          </w:p>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（五）信用信息的使用规则：</w:t>
            </w:r>
            <w:r/>
          </w:p>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tabs>
                <w:tab w:val="left" w:pos="57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不统一安排现场考察。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投标文件的语言为中文</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（十二）1</w:t>
            </w:r>
            <w:r/>
          </w:p>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投标文件编制要求：</w:t>
            </w:r>
            <w:r/>
          </w:p>
          <w:p>
            <w:pPr>
              <w:pStyle w:val="778"/>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请按照以下要求（包括但不限于以下要求）制作：</w:t>
            </w:r>
            <w:r/>
          </w:p>
          <w:p>
            <w:pPr>
              <w:pStyle w:val="778"/>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一、基本目录</w:t>
            </w:r>
            <w:r/>
          </w:p>
          <w:p>
            <w:pPr>
              <w:pStyle w:val="778"/>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1.《开标一览表》（加盖电子签章，政府采购客户端工具输入报价自动生成）；</w:t>
            </w:r>
            <w:r/>
          </w:p>
          <w:p>
            <w:pPr>
              <w:pStyle w:val="778"/>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2.所投产品的环境标志产品认证证书原件的扫描件（如有）。</w:t>
            </w:r>
            <w:r/>
          </w:p>
          <w:p>
            <w:pPr>
              <w:pStyle w:val="778"/>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778"/>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78"/>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（2）环境标志产品认证证书是否符合要求，采购人评标时查询中国政府采购网（www.ccgp.gov.cn）相关内容后确定。</w:t>
            </w:r>
            <w:r/>
          </w:p>
          <w:p>
            <w:pPr>
              <w:pStyle w:val="778"/>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3.所投产品的节能产品认证证书原件的扫描件（如有）。</w:t>
            </w:r>
            <w:r/>
          </w:p>
          <w:p>
            <w:pPr>
              <w:pStyle w:val="778"/>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778"/>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78"/>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（2）节能产品认证证书是否符合要求，采购人评标时查询中国政府采购网（www.ccgp.gov.cn）相关内容后确定。</w:t>
            </w:r>
            <w:r/>
          </w:p>
          <w:p>
            <w:pPr>
              <w:pStyle w:val="778"/>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二、资格条件（必须提供，否则投标无效）</w:t>
            </w:r>
            <w:r/>
          </w:p>
          <w:p>
            <w:pPr>
              <w:pStyle w:val="778"/>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1.投标人合法有效的法人或者其他组织的营业执照等证明文件。以上证明文件提供原件的扫描件；</w:t>
            </w:r>
            <w:r/>
          </w:p>
          <w:p>
            <w:pPr>
              <w:pStyle w:val="778"/>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2.财务状况报告，至少提供：</w:t>
            </w:r>
            <w:r/>
          </w:p>
          <w:p>
            <w:pPr>
              <w:pStyle w:val="778"/>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（1）供应商的“首次响应文件提交的截止时间”前6个月内任何1月（不含“首次响应文件提交的截止时间”当月）的资产负债表的扫描件1份；</w:t>
            </w:r>
            <w:r/>
          </w:p>
          <w:p>
            <w:pPr>
              <w:pStyle w:val="778"/>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（2）供应商的“首次响应文件提交的截止时间”前6个月内任何1月（不含“首次响应文件提交的截止时间”当月）的利润表月报表的扫描件1份。</w:t>
            </w:r>
            <w:r/>
          </w:p>
          <w:p>
            <w:pPr>
              <w:pStyle w:val="778"/>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或提供202</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年度或202</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年度经审计的财务报告。</w:t>
            </w:r>
            <w:r/>
          </w:p>
          <w:p>
            <w:pPr>
              <w:pStyle w:val="778"/>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3.供应商的“首次响应文件提交的截止时间”前6个月内任何1月（不含“首次响应文件提交的截止时间”当月）的依法缴纳税收和社会保障资金的相关材料的扫描件</w:t>
            </w:r>
            <w:r>
              <w:rPr>
                <w:rFonts w:hint="eastAsia" w:ascii="宋体" w:hAnsi="宋体" w:cs="宋体"/>
                <w:color w:val="000000" w:themeColor="text1"/>
                <w:sz w:val="24"/>
                <w:szCs w:val="24"/>
                <w:lang w:val="en-US" w:eastAsia="zh-CN"/>
                <w14:textFill>
                  <w14:solidFill>
                    <w14:schemeClr w14:val="tx1"/>
                  </w14:solidFill>
                </w14:textFill>
              </w:rPr>
              <w:t xml:space="preserve">各一份</w:t>
            </w:r>
            <w:r>
              <w:rPr>
                <w:rFonts w:hint="eastAsia" w:ascii="宋体" w:hAnsi="宋体" w:eastAsia="宋体" w:cs="宋体"/>
                <w:color w:val="000000" w:themeColor="text1"/>
                <w:sz w:val="24"/>
                <w:szCs w:val="24"/>
                <w14:textFill>
                  <w14:solidFill>
                    <w14:schemeClr w14:val="tx1"/>
                  </w14:solidFill>
                </w14:textFill>
              </w:rPr>
              <w:t xml:space="preserve">（依法免税或不需要缴纳社会保障资金的供应商,应提供相应文件证明其依法免税或不需要缴纳社会保障资金)；</w:t>
            </w:r>
            <w:r/>
          </w:p>
          <w:p>
            <w:pPr>
              <w:pStyle w:val="778"/>
              <w:spacing w:line="400" w:lineRule="exac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4.具备履行合同所必需的设备和专业技术能力的证明材料</w:t>
            </w:r>
            <w:r>
              <w:rPr>
                <w:rFonts w:hint="eastAsia" w:ascii="宋体" w:hAnsi="宋体" w:eastAsia="宋体" w:cs="宋体"/>
                <w:bCs/>
                <w:color w:val="000000" w:themeColor="text1"/>
                <w:sz w:val="24"/>
                <w:szCs w:val="24"/>
                <w14:textFill>
                  <w14:solidFill>
                    <w14:schemeClr w14:val="tx1"/>
                  </w14:solidFill>
                </w14:textFill>
              </w:rPr>
              <w:t xml:space="preserve">（加盖电子签章，格式见招标文件第七章《投标文件相关格式》。）</w:t>
            </w:r>
            <w:r>
              <w:rPr>
                <w:rFonts w:hint="eastAsia" w:ascii="宋体" w:hAnsi="宋体" w:eastAsia="宋体" w:cs="宋体"/>
                <w:color w:val="000000" w:themeColor="text1"/>
                <w:sz w:val="24"/>
                <w:szCs w:val="24"/>
                <w14:textFill>
                  <w14:solidFill>
                    <w14:schemeClr w14:val="tx1"/>
                  </w14:solidFill>
                </w14:textFill>
              </w:rPr>
              <w:t xml:space="preserve">；</w:t>
            </w:r>
            <w:r/>
          </w:p>
          <w:p>
            <w:pPr>
              <w:pStyle w:val="778"/>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pStyle w:val="778"/>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6.提供投标人《中小企业声明函》（请填写完整，加盖电子签章，格式见招标文件第七章《投标文件相关格式》）。查询渠道参考工业和信息化部发布的中小企业规模自测小程序。</w:t>
            </w:r>
            <w:r/>
          </w:p>
          <w:p>
            <w:pPr>
              <w:pStyle w:val="778"/>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w:t>
            </w:r>
            <w:r/>
          </w:p>
          <w:p>
            <w:pPr>
              <w:pStyle w:val="778"/>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78"/>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778"/>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p>
          <w:p>
            <w:pPr>
              <w:pStyle w:val="778"/>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投标人为监狱企业的，提供省级（含新疆生产建设兵团）以上监狱管理局、戒毒管理局出具的属于监狱企业的证明文件扫描件。具体以《财政部司法部关于政府采购支持监狱企业发展有关问题的通知》（财库〔2014〕68号）的规定为准。</w:t>
            </w:r>
            <w:r/>
          </w:p>
          <w:p>
            <w:pPr>
              <w:pStyle w:val="778"/>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投标人为残疾人福利性单位的，提供《残疾人福利性单位声明函》。要求加盖电子签章，格式见本文件第七章《投标文件相关格式》。具体以《关于促进残疾人就业政府采购政策的通知》（财库〔2017〕141号）的规定为准。</w:t>
            </w:r>
            <w:r/>
          </w:p>
          <w:p>
            <w:pPr>
              <w:pStyle w:val="778"/>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三、符合条件（必须提供，否则投标无效）</w:t>
            </w:r>
            <w:r/>
          </w:p>
          <w:p>
            <w:pPr>
              <w:pStyle w:val="778"/>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（一）报价</w:t>
            </w:r>
            <w:r/>
          </w:p>
          <w:p>
            <w:pPr>
              <w:pStyle w:val="778"/>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1.《开标一览表》（加盖电子签章，格式见招标文件第七章《投标文件相关格式》。）</w:t>
            </w:r>
            <w:r/>
          </w:p>
          <w:p>
            <w:pPr>
              <w:pStyle w:val="778"/>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2.《分项价格表》（加盖电子签章，格式见招标文件第七章《投标文件相关格式》。）</w:t>
            </w:r>
            <w:r/>
          </w:p>
          <w:p>
            <w:pPr>
              <w:pStyle w:val="778"/>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（二）商务资信</w:t>
            </w:r>
            <w:r/>
          </w:p>
          <w:p>
            <w:pPr>
              <w:pStyle w:val="778"/>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1.《投标函》（加盖电子签章，格式见招标文件第七章《投标文件相关格式》。）</w:t>
            </w:r>
            <w:r/>
          </w:p>
          <w:p>
            <w:pPr>
              <w:pStyle w:val="778"/>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2.《授权委托书》（加盖电子签章，格式见招标文件第七章《投标文件相关格式》。）</w:t>
            </w:r>
            <w:r/>
          </w:p>
          <w:p>
            <w:pPr>
              <w:pStyle w:val="778"/>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（三）技术响应</w:t>
            </w:r>
            <w:r/>
          </w:p>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1.《偏离表》（加盖电子签章，格式见招标文件第七章《投标文件相关格式》。）</w:t>
            </w:r>
            <w:r/>
          </w:p>
          <w:p>
            <w:pPr>
              <w:pStyle w:val="778"/>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四、综合评审评分项</w:t>
            </w:r>
            <w:r/>
          </w:p>
          <w:p>
            <w:pPr>
              <w:pStyle w:val="79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要求见招标文件第四章《评标标准》</w:t>
            </w:r>
            <w:r/>
          </w:p>
          <w:p>
            <w:pPr>
              <w:pStyle w:val="778"/>
              <w:spacing w:line="400" w:lineRule="exac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五、价格折扣文件格式</w:t>
            </w:r>
            <w:r/>
          </w:p>
          <w:p>
            <w:pPr>
              <w:rPr>
                <w:rFonts w:hint="eastAsia" w:ascii="宋体" w:hAnsi="宋体" w:eastAsia="宋体" w:cs="宋体"/>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按要求填写的，视为非本国产品）。</w:t>
            </w:r>
            <w:r/>
          </w:p>
          <w:p>
            <w:pPr>
              <w:rPr>
                <w:rFonts w:hint="eastAsia" w:ascii="宋体" w:hAnsi="宋体" w:eastAsia="宋体" w:cs="宋体"/>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1、本国产品应当符合以下条件：</w:t>
            </w:r>
            <w:r/>
          </w:p>
          <w:p>
            <w:pPr>
              <w:rPr>
                <w:rFonts w:hint="eastAsia" w:ascii="宋体" w:hAnsi="宋体" w:eastAsia="宋体" w:cs="宋体"/>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（一）在中国境内生产</w:t>
            </w:r>
            <w:r/>
          </w:p>
          <w:p>
            <w:pPr>
              <w:rPr>
                <w:rFonts w:hint="eastAsia" w:ascii="宋体" w:hAnsi="宋体" w:eastAsia="宋体" w:cs="宋体"/>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pic:cNvPicPr>
                                <a:picLocks noChangeAspect="1"/>
                              </pic:cNvPicPr>
                              <pic:nvPr/>
                            </pic:nvPicPr>
                            <pic:blipFill>
                              <a:blip r:embed="rId18"/>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8"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pStyle w:val="778"/>
              <w:spacing w:line="400" w:lineRule="exact"/>
              <w:rPr>
                <w:rFonts w:hint="eastAsia" w:ascii="宋体" w:hAnsi="宋体" w:eastAsia="宋体" w:cs="宋体"/>
                <w:bCs/>
                <w:color w:val="000000" w:themeColor="text1"/>
                <w:sz w:val="24"/>
                <w:szCs w:val="24"/>
                <w:highlight w:val="yellow"/>
                <w14:textFill>
                  <w14:solidFill>
                    <w14:schemeClr w14:val="tx1"/>
                  </w14:solidFill>
                </w14:textFill>
              </w:rP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商务条件见：</w:t>
            </w:r>
            <w:r/>
          </w:p>
          <w:p>
            <w:pPr>
              <w:pStyle w:val="778"/>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一、本文件第四章《评标标准》中《评分细则》。</w:t>
            </w:r>
            <w:r/>
          </w:p>
          <w:p>
            <w:pPr>
              <w:pStyle w:val="778"/>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（十四）3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本项目不接受超过143.3765</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万元（采购包一85.432万元、采购包二</w:t>
            </w:r>
            <w:r>
              <w:rPr>
                <w:rFonts w:hint="eastAsia" w:ascii="宋体" w:hAnsi="宋体" w:cs="宋体"/>
                <w:b/>
                <w:bCs/>
                <w:color w:val="000000" w:themeColor="text1"/>
                <w:sz w:val="24"/>
                <w:szCs w:val="24"/>
                <w:lang w:val="en-US" w:eastAsia="zh-CN"/>
                <w14:textFill>
                  <w14:solidFill>
                    <w14:schemeClr w14:val="tx1"/>
                  </w14:solidFill>
                </w14:textFill>
              </w:rPr>
              <w:t xml:space="preserve">22.2293</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万元、采购包三19.6052万元、采购包四16.11万元）</w:t>
            </w:r>
            <w:r>
              <w:rPr>
                <w:rFonts w:hint="eastAsia" w:ascii="宋体" w:hAnsi="宋体" w:eastAsia="宋体" w:cs="宋体"/>
                <w:color w:val="000000" w:themeColor="text1"/>
                <w:sz w:val="24"/>
                <w:szCs w:val="24"/>
                <w14:textFill>
                  <w14:solidFill>
                    <w14:schemeClr w14:val="tx1"/>
                  </w14:solidFill>
                </w14:textFill>
              </w:rPr>
              <w:t xml:space="preserve">（采购项目预算金额）的投标报价。报价包括产品价、税金、运费、安装调试、检验、运输保险、验收等全部费用。用户不再支付报价以外的任何费用。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投标人应当通过“苏采云”系统提交数据电文形式的投标文件（即电子投标）。</w:t>
            </w:r>
            <w:r/>
          </w:p>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特别说明：通过“苏采云”系统提交政府采购客户端工具导出加密的投标文件（后缀名为zip）。投标文件不得超过150M！</w:t>
            </w:r>
            <w:r/>
          </w:p>
          <w:p>
            <w:pPr>
              <w:pStyle w:val="778"/>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投标文件的提交与接收： </w:t>
            </w:r>
            <w:r/>
          </w:p>
          <w:p>
            <w:pPr>
              <w:pStyle w:val="778"/>
              <w:jc w:val="left"/>
              <w:spacing w:line="400" w:lineRule="exact"/>
              <w:rPr>
                <w:rFonts w:hint="eastAsia" w:ascii="宋体" w:hAnsi="宋体" w:eastAsia="宋体" w:cs="宋体"/>
                <w:b/>
                <w:bCs/>
                <w:color w:val="ff0000"/>
                <w:sz w:val="24"/>
                <w:szCs w:val="24"/>
                <w:highlight w:val="none"/>
                <w:shd w:val="clear" w:color="auto"/>
              </w:rPr>
            </w:pPr>
            <w:r>
              <w:rPr>
                <w:rFonts w:hint="eastAsia" w:ascii="宋体" w:hAnsi="宋体" w:eastAsia="宋体" w:cs="宋体"/>
                <w:color w:val="000000" w:themeColor="text1"/>
                <w:sz w:val="24"/>
                <w:szCs w:val="24"/>
                <w14:textFill>
                  <w14:solidFill>
                    <w14:schemeClr w14:val="tx1"/>
                  </w14:solidFill>
                </w14:textFill>
              </w:rPr>
              <w:t xml:space="preserve">1.投标文件提交与接收时间：</w:t>
            </w:r>
            <w:r>
              <w:rPr>
                <w:rFonts w:hint="eastAsia" w:ascii="宋体" w:hAnsi="宋体" w:eastAsia="宋体" w:cs="宋体"/>
                <w:b/>
                <w:bCs/>
                <w:color w:val="auto"/>
                <w:sz w:val="24"/>
                <w:szCs w:val="24"/>
              </w:rPr>
              <w:t xml:space="preserve">提交投标文件截止时间</w:t>
            </w:r>
            <w:r>
              <w:rPr>
                <w:rFonts w:hint="eastAsia" w:ascii="宋体" w:hAnsi="宋体" w:eastAsia="宋体" w:cs="宋体"/>
                <w:b/>
                <w:bCs/>
                <w:color w:val="auto"/>
                <w:sz w:val="24"/>
                <w:szCs w:val="24"/>
                <w:highlight w:val="none"/>
                <w:shd w:val="clear" w:color="auto"/>
              </w:rPr>
              <w:t xml:space="preserve">（202</w:t>
            </w:r>
            <w:r>
              <w:rPr>
                <w:rFonts w:hint="eastAsia" w:ascii="宋体" w:hAnsi="宋体" w:cs="宋体"/>
                <w:b/>
                <w:bCs/>
                <w:color w:val="auto"/>
                <w:sz w:val="24"/>
                <w:szCs w:val="24"/>
                <w:highlight w:val="none"/>
                <w:shd w:val="clear" w:color="auto"/>
                <w:lang w:val="en-US" w:eastAsia="zh-CN"/>
              </w:rPr>
              <w:t xml:space="preserve">6</w:t>
            </w:r>
            <w:r>
              <w:rPr>
                <w:rFonts w:hint="eastAsia" w:ascii="宋体" w:hAnsi="宋体" w:eastAsia="宋体" w:cs="宋体"/>
                <w:b/>
                <w:bCs/>
                <w:color w:val="auto"/>
                <w:sz w:val="24"/>
                <w:szCs w:val="24"/>
                <w:highlight w:val="none"/>
                <w:shd w:val="clear" w:color="auto"/>
              </w:rPr>
              <w:t xml:space="preserve">年</w:t>
            </w:r>
            <w:r>
              <w:rPr>
                <w:rFonts w:hint="eastAsia" w:ascii="宋体" w:hAnsi="宋体" w:cs="宋体"/>
                <w:b/>
                <w:bCs/>
                <w:color w:val="auto"/>
                <w:sz w:val="24"/>
                <w:szCs w:val="24"/>
                <w:highlight w:val="none"/>
                <w:shd w:val="clear" w:color="auto"/>
                <w:lang w:val="en-US" w:eastAsia="zh-CN"/>
              </w:rPr>
              <w:t xml:space="preserve">6</w:t>
            </w:r>
            <w:r>
              <w:rPr>
                <w:rFonts w:hint="eastAsia" w:ascii="宋体" w:hAnsi="宋体" w:eastAsia="宋体" w:cs="宋体"/>
                <w:b/>
                <w:bCs/>
                <w:color w:val="auto"/>
                <w:sz w:val="24"/>
                <w:szCs w:val="24"/>
                <w:highlight w:val="none"/>
                <w:shd w:val="clear" w:color="auto"/>
              </w:rPr>
              <w:t xml:space="preserve">月</w:t>
            </w:r>
            <w:r>
              <w:rPr>
                <w:rFonts w:hint="eastAsia" w:ascii="宋体" w:hAnsi="宋体" w:cs="宋体"/>
                <w:b/>
                <w:bCs/>
                <w:color w:val="auto"/>
                <w:sz w:val="24"/>
                <w:szCs w:val="24"/>
                <w:highlight w:val="none"/>
                <w:shd w:val="clear" w:color="auto"/>
                <w:lang w:val="en-US" w:eastAsia="zh-CN"/>
              </w:rPr>
              <w:t xml:space="preserve">4</w:t>
            </w:r>
            <w:r>
              <w:rPr>
                <w:rFonts w:hint="eastAsia" w:ascii="宋体" w:hAnsi="宋体" w:eastAsia="宋体" w:cs="宋体"/>
                <w:b/>
                <w:bCs/>
                <w:color w:val="auto"/>
                <w:sz w:val="24"/>
                <w:szCs w:val="24"/>
                <w:highlight w:val="none"/>
                <w:shd w:val="clear" w:color="auto"/>
              </w:rPr>
              <w:t xml:space="preserve">日</w:t>
            </w:r>
            <w:r>
              <w:rPr>
                <w:rFonts w:hint="eastAsia" w:ascii="宋体" w:hAnsi="宋体" w:cs="宋体"/>
                <w:b/>
                <w:bCs/>
                <w:color w:val="auto"/>
                <w:sz w:val="24"/>
                <w:szCs w:val="24"/>
                <w:highlight w:val="none"/>
                <w:shd w:val="clear" w:color="auto"/>
                <w:lang w:val="en-US" w:eastAsia="zh-CN"/>
              </w:rPr>
              <w:t xml:space="preserve">10</w:t>
            </w:r>
            <w:r>
              <w:rPr>
                <w:rFonts w:hint="eastAsia" w:ascii="宋体" w:hAnsi="宋体" w:eastAsia="宋体" w:cs="宋体"/>
                <w:b/>
                <w:bCs/>
                <w:color w:val="auto"/>
                <w:sz w:val="24"/>
                <w:szCs w:val="24"/>
                <w:highlight w:val="none"/>
                <w:shd w:val="clear" w:color="auto"/>
              </w:rPr>
              <w:t xml:space="preserve">：</w:t>
            </w:r>
            <w:r>
              <w:rPr>
                <w:rFonts w:hint="eastAsia" w:ascii="宋体" w:hAnsi="宋体" w:cs="宋体"/>
                <w:b/>
                <w:bCs/>
                <w:color w:val="auto"/>
                <w:sz w:val="24"/>
                <w:szCs w:val="24"/>
                <w:highlight w:val="none"/>
                <w:shd w:val="clear" w:color="auto"/>
                <w:lang w:val="en-US" w:eastAsia="zh-CN"/>
              </w:rPr>
              <w:t xml:space="preserve">00</w:t>
            </w:r>
            <w:r>
              <w:rPr>
                <w:rFonts w:hint="eastAsia" w:ascii="宋体" w:hAnsi="宋体" w:eastAsia="宋体" w:cs="宋体"/>
                <w:b/>
                <w:bCs/>
                <w:color w:val="auto"/>
                <w:sz w:val="24"/>
                <w:szCs w:val="24"/>
                <w:highlight w:val="none"/>
                <w:shd w:val="clear" w:color="auto"/>
              </w:rPr>
              <w:t xml:space="preserve">）前。</w:t>
            </w:r>
            <w:r/>
          </w:p>
          <w:p>
            <w:pPr>
              <w:pStyle w:val="778"/>
              <w:spacing w:line="400" w:lineRule="exact"/>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电子投标文件应由其法定代表人或法定代表人授权代表在规定的网上投标时间内，凭 CA 证书登录“苏采云”系统在线编制投标文件（电子数据），并在投标截止时间之前上传投标文件。</w:t>
            </w:r>
            <w:r/>
          </w:p>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开标时间及地点：</w:t>
            </w:r>
            <w:r/>
          </w:p>
          <w:p>
            <w:pPr>
              <w:pStyle w:val="778"/>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b/>
                <w:bCs/>
                <w:color w:val="auto"/>
                <w:sz w:val="24"/>
                <w:szCs w:val="24"/>
              </w:rPr>
              <w:t xml:space="preserve">开标时间</w:t>
            </w:r>
            <w:r>
              <w:rPr>
                <w:rFonts w:hint="eastAsia" w:ascii="宋体" w:hAnsi="宋体" w:eastAsia="宋体" w:cs="宋体"/>
                <w:b/>
                <w:bCs/>
                <w:color w:val="auto"/>
                <w:sz w:val="24"/>
                <w:szCs w:val="24"/>
                <w:highlight w:val="none"/>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0（标准时间）</w:t>
            </w:r>
            <w:r/>
          </w:p>
          <w:p>
            <w:pPr>
              <w:pStyle w:val="778"/>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线上开标时，“苏采云”系统自动提取所有投标文件，投标人按招标文件规定方式按时</w:t>
            </w:r>
            <w:r/>
          </w:p>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在线解密。本项目招标文件规定的投标人按时在线解密方式：开标时间后30分钟内，通过“苏采云”系统（使用“CA数字证书”）解密。</w:t>
            </w:r>
            <w:r/>
          </w:p>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（二十八）1</w:t>
            </w:r>
            <w:r/>
          </w:p>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（二十八）1（4）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一、推荐中标候选供应商名单。中标候选供应商数量应当根据采购需要确定，但必须按顺序排列中标候选供应商。</w:t>
            </w:r>
            <w:r/>
          </w:p>
          <w:p>
            <w:pPr>
              <w:pStyle w:val="778"/>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二、采用综合评分法的，按评审后得分由高到低顺序排列。得分相同的，按投标报价由低到高顺序排列。得分且投标报价相同的，按技术指标优劣得分顺序排列。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（二十九）</w:t>
            </w:r>
            <w:r/>
          </w:p>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1.评标中需要投标人对投标文件澄清或者说明的，应当通过“苏采云”系统交换数据电文。在评标期间，请投标人保持在线。</w:t>
            </w:r>
            <w:r/>
          </w:p>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履约保证金缴纳方式、时间及退款具体要求：</w:t>
            </w:r>
            <w:r/>
          </w:p>
          <w:p>
            <w:pPr>
              <w:pStyle w:val="799"/>
              <w:rPr>
                <w:rFonts w:hint="eastAsia" w:ascii="宋体" w:hAnsi="宋体" w:eastAsia="宋体" w:cs="宋体"/>
                <w:color w:val="000000" w:themeColor="text1"/>
                <w:sz w:val="16"/>
                <w:szCs w:val="16"/>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无需缴纳</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9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供应商在法定质疑期内一次性提出针对同一采购程序环节的质疑。</w:t>
            </w:r>
            <w:r/>
          </w:p>
          <w:p>
            <w:pPr>
              <w:pStyle w:val="778"/>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质疑接收人：</w:t>
            </w:r>
            <w:r>
              <w:rPr>
                <w:rFonts w:hint="eastAsia" w:ascii="宋体" w:hAnsi="宋体" w:cs="宋体"/>
                <w:color w:val="000000" w:themeColor="text1"/>
                <w:sz w:val="24"/>
                <w:szCs w:val="24"/>
                <w:lang w:val="en-US" w:eastAsia="zh-CN"/>
                <w14:textFill>
                  <w14:solidFill>
                    <w14:schemeClr w14:val="tx1"/>
                  </w14:solidFill>
                </w14:textFill>
              </w:rPr>
              <w:t xml:space="preserve">陈旭 </w:t>
            </w:r>
            <w:r>
              <w:rPr>
                <w:rFonts w:hint="eastAsia" w:ascii="宋体" w:hAnsi="宋体" w:eastAsia="宋体" w:cs="宋体"/>
                <w:color w:val="000000" w:themeColor="text1"/>
                <w:sz w:val="24"/>
                <w:szCs w:val="24"/>
                <w14:textFill>
                  <w14:solidFill>
                    <w14:schemeClr w14:val="tx1"/>
                  </w14:solidFill>
                </w14:textFill>
              </w:rPr>
              <w:t xml:space="preserve">；联系电话：0516-67598336</w:t>
            </w:r>
            <w:r/>
          </w:p>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办公地址：江苏省徐州市淮海东路29号苏宁广场A塔3623室</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8"/>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8"/>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中标人在收到中标通知书时，须向采购代理机构提交《开标一览表》和《分项价格表》的数据文件（WORD格式）。</w:t>
            </w:r>
            <w:r/>
          </w:p>
        </w:tc>
      </w:tr>
    </w:tbl>
    <w:p>
      <w:pPr>
        <w:pStyle w:val="778"/>
        <w:ind w:firstLine="600"/>
        <w:spacing w:line="240" w:lineRule="exact"/>
        <w:widowControl/>
        <w:rPr>
          <w:rFonts w:hint="eastAsia" w:ascii="宋体" w:hAnsi="宋体" w:eastAsia="宋体" w:cs="宋体"/>
          <w:color w:val="000000" w:themeColor="text1"/>
          <w:sz w:val="28"/>
          <w:szCs w:val="28"/>
          <w14:textFill>
            <w14:solidFill>
              <w14:schemeClr w14:val="tx1"/>
            </w14:solidFill>
          </w14:textFill>
        </w:rPr>
      </w:pPr>
      <w:r/>
      <w:bookmarkStart w:id="8" w:name="_Toc522790133"/>
      <w:r/>
      <w:r/>
    </w:p>
    <w:p>
      <w:pPr>
        <w:ind w:firstLine="600"/>
        <w:jc w:val="center"/>
        <w:rPr>
          <w:rStyle w:val="1059"/>
          <w:rFonts w:hint="eastAsia" w:ascii="宋体" w:hAnsi="宋体" w:eastAsia="宋体" w:cs="宋体"/>
          <w:b/>
          <w:bCs w:val="0"/>
          <w:sz w:val="28"/>
          <w:szCs w:val="28"/>
          <w:highlight w:val="none"/>
        </w:rPr>
      </w:pPr>
      <w:r>
        <w:rPr>
          <w:rFonts w:hint="eastAsia" w:ascii="宋体" w:hAnsi="宋体" w:eastAsia="宋体" w:cs="宋体"/>
          <w:color w:val="000000" w:themeColor="text1"/>
          <w:sz w:val="28"/>
          <w:szCs w:val="28"/>
          <w14:textFill>
            <w14:solidFill>
              <w14:schemeClr w14:val="tx1"/>
            </w14:solidFill>
          </w14:textFill>
        </w:rPr>
        <w:br w:type="page" w:clear="all"/>
      </w:r>
      <w:bookmarkStart w:id="9" w:name="_Toc523404698"/>
      <w:r>
        <w:rPr>
          <w:rFonts w:hint="eastAsia" w:ascii="宋体" w:hAnsi="宋体" w:eastAsia="宋体" w:cs="宋体"/>
          <w:color w:val="000000" w:themeColor="text1"/>
          <w:sz w:val="28"/>
          <w:szCs w:val="28"/>
          <w14:textFill>
            <w14:solidFill>
              <w14:schemeClr w14:val="tx1"/>
            </w14:solidFill>
          </w14:textFill>
        </w:rPr>
        <w:t xml:space="preserve">本章附件：</w:t>
      </w:r>
      <w:bookmarkEnd w:id="8"/>
      <w:r/>
      <w:bookmarkEnd w:id="9"/>
      <w:r>
        <w:rPr>
          <w:rFonts w:hint="eastAsia" w:ascii="宋体" w:hAnsi="宋体" w:eastAsia="宋体" w:cs="宋体"/>
          <w:color w:val="000000" w:themeColor="text1"/>
          <w:sz w:val="28"/>
          <w:szCs w:val="28"/>
          <w14:textFill>
            <w14:solidFill>
              <w14:schemeClr w14:val="tx1"/>
            </w14:solidFill>
          </w14:textFill>
        </w:rPr>
        <w:t xml:space="preserve">招标代理服务收费标准</w:t>
      </w:r>
      <w:r/>
    </w:p>
    <w:tbl>
      <w:tblPr>
        <w:tblStyle w:val="739"/>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059"/>
                <w:rFonts w:ascii="宋体" w:hAnsi="宋体" w:cs="宋体"/>
                <w:sz w:val="24"/>
                <w:highlight w:val="none"/>
              </w:rPr>
            </w:pPr>
            <w:r>
              <w:rPr>
                <w:rStyle w:val="1059"/>
                <w:rFonts w:hint="eastAsia" w:ascii="宋体" w:hAnsi="宋体" w:cs="宋体"/>
                <w:sz w:val="24"/>
                <w:highlight w:val="none"/>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059"/>
                <w:rFonts w:ascii="宋体" w:hAnsi="宋体" w:cs="宋体"/>
                <w:sz w:val="24"/>
                <w:highlight w:val="none"/>
              </w:rPr>
            </w:pPr>
            <w:r>
              <w:rPr>
                <w:rStyle w:val="1059"/>
                <w:rFonts w:hint="eastAsia" w:ascii="宋体" w:hAnsi="宋体" w:cs="宋体"/>
                <w:sz w:val="24"/>
                <w:highlight w:val="none"/>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9"/>
                <w:rFonts w:ascii="宋体" w:hAnsi="宋体" w:cs="宋体"/>
                <w:sz w:val="24"/>
                <w:highlight w:val="none"/>
              </w:rPr>
            </w:pPr>
            <w:r>
              <w:rPr>
                <w:rStyle w:val="1059"/>
                <w:rFonts w:hint="eastAsia" w:ascii="宋体" w:hAnsi="宋体" w:cs="宋体"/>
                <w:sz w:val="24"/>
                <w:highlight w:val="none"/>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059"/>
                <w:rFonts w:ascii="宋体" w:hAnsi="宋体" w:cs="宋体"/>
                <w:sz w:val="24"/>
                <w:highlight w:val="none"/>
              </w:rPr>
            </w:pPr>
            <w:r>
              <w:rPr>
                <w:rStyle w:val="1059"/>
                <w:rFonts w:hint="eastAsia" w:ascii="宋体" w:hAnsi="宋体" w:cs="宋体"/>
                <w:sz w:val="24"/>
                <w:highlight w:val="none"/>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9"/>
                <w:rFonts w:ascii="宋体" w:hAnsi="宋体" w:cs="宋体"/>
                <w:sz w:val="24"/>
                <w:highlight w:val="none"/>
              </w:rPr>
            </w:pPr>
            <w:r>
              <w:rPr>
                <w:rStyle w:val="1059"/>
                <w:rFonts w:hint="eastAsia" w:ascii="宋体" w:hAnsi="宋体" w:cs="宋体"/>
                <w:sz w:val="24"/>
                <w:highlight w:val="none"/>
              </w:rPr>
              <w:t xml:space="preserve">50万元以下（含50万元）</w:t>
            </w:r>
            <w:r/>
          </w:p>
        </w:tc>
        <w:tc>
          <w:tcPr>
            <w:tcW w:w="3382" w:type="dxa"/>
            <w:textDirection w:val="lrTb"/>
            <w:noWrap w:val="false"/>
          </w:tcPr>
          <w:p>
            <w:pPr>
              <w:jc w:val="center"/>
              <w:spacing w:before="100" w:beforeAutospacing="1" w:after="100" w:afterAutospacing="1" w:line="360" w:lineRule="auto"/>
              <w:rPr>
                <w:rStyle w:val="1059"/>
                <w:rFonts w:ascii="宋体" w:hAnsi="宋体" w:cs="宋体"/>
                <w:sz w:val="24"/>
                <w:highlight w:val="none"/>
              </w:rPr>
            </w:pPr>
            <w:r>
              <w:rPr>
                <w:rStyle w:val="1059"/>
                <w:rFonts w:hint="eastAsia" w:ascii="宋体" w:hAnsi="宋体" w:cs="宋体"/>
                <w:sz w:val="24"/>
                <w:highlight w:val="none"/>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9"/>
                <w:rFonts w:ascii="宋体" w:hAnsi="宋体" w:cs="宋体"/>
                <w:sz w:val="24"/>
                <w:highlight w:val="none"/>
              </w:rPr>
            </w:pPr>
            <w:r>
              <w:rPr>
                <w:rStyle w:val="1059"/>
                <w:rFonts w:hint="eastAsia" w:ascii="宋体" w:hAnsi="宋体" w:cs="宋体"/>
                <w:sz w:val="24"/>
                <w:highlight w:val="none"/>
              </w:rPr>
              <w:t xml:space="preserve">50-400万元（含400万元）</w:t>
            </w:r>
            <w:r/>
          </w:p>
        </w:tc>
        <w:tc>
          <w:tcPr>
            <w:tcW w:w="3382" w:type="dxa"/>
            <w:textDirection w:val="lrTb"/>
            <w:noWrap w:val="false"/>
          </w:tcPr>
          <w:p>
            <w:pPr>
              <w:jc w:val="center"/>
              <w:spacing w:before="100" w:beforeAutospacing="1" w:after="100" w:afterAutospacing="1" w:line="360" w:lineRule="auto"/>
              <w:rPr>
                <w:rStyle w:val="1059"/>
                <w:rFonts w:ascii="宋体" w:hAnsi="宋体" w:cs="宋体"/>
                <w:sz w:val="24"/>
                <w:highlight w:val="none"/>
              </w:rPr>
            </w:pPr>
            <w:r>
              <w:rPr>
                <w:rStyle w:val="1059"/>
                <w:rFonts w:hint="eastAsia" w:ascii="宋体" w:hAnsi="宋体" w:cs="宋体"/>
                <w:sz w:val="24"/>
                <w:highlight w:val="none"/>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9"/>
                <w:rFonts w:ascii="宋体" w:hAnsi="宋体" w:cs="宋体"/>
                <w:sz w:val="24"/>
                <w:highlight w:val="none"/>
              </w:rPr>
            </w:pPr>
            <w:r>
              <w:rPr>
                <w:rStyle w:val="1059"/>
                <w:rFonts w:hint="eastAsia" w:ascii="宋体" w:hAnsi="宋体" w:cs="宋体"/>
                <w:sz w:val="24"/>
                <w:highlight w:val="none"/>
              </w:rPr>
              <w:t xml:space="preserve">400-1000万元（含1000万元）</w:t>
            </w:r>
            <w:r/>
          </w:p>
        </w:tc>
        <w:tc>
          <w:tcPr>
            <w:tcW w:w="3382" w:type="dxa"/>
            <w:textDirection w:val="lrTb"/>
            <w:noWrap w:val="false"/>
          </w:tcPr>
          <w:p>
            <w:pPr>
              <w:jc w:val="center"/>
              <w:spacing w:before="100" w:beforeAutospacing="1" w:after="100" w:afterAutospacing="1" w:line="360" w:lineRule="auto"/>
              <w:rPr>
                <w:rStyle w:val="1059"/>
                <w:rFonts w:ascii="宋体" w:hAnsi="宋体" w:cs="宋体"/>
                <w:sz w:val="24"/>
                <w:highlight w:val="none"/>
              </w:rPr>
            </w:pPr>
            <w:r>
              <w:rPr>
                <w:rStyle w:val="1059"/>
                <w:rFonts w:hint="eastAsia" w:ascii="宋体" w:hAnsi="宋体" w:cs="宋体"/>
                <w:sz w:val="24"/>
                <w:highlight w:val="none"/>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9"/>
                <w:rFonts w:ascii="宋体" w:hAnsi="宋体" w:cs="宋体"/>
                <w:sz w:val="24"/>
                <w:highlight w:val="none"/>
              </w:rPr>
            </w:pPr>
            <w:r>
              <w:rPr>
                <w:rStyle w:val="1059"/>
                <w:rFonts w:hint="eastAsia" w:ascii="宋体" w:hAnsi="宋体" w:cs="宋体"/>
                <w:sz w:val="24"/>
                <w:highlight w:val="none"/>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059"/>
                <w:rFonts w:ascii="宋体" w:hAnsi="宋体" w:cs="宋体"/>
                <w:sz w:val="24"/>
                <w:highlight w:val="none"/>
              </w:rPr>
            </w:pPr>
            <w:r>
              <w:rPr>
                <w:rStyle w:val="1059"/>
                <w:rFonts w:hint="eastAsia" w:ascii="宋体" w:hAnsi="宋体" w:cs="宋体"/>
                <w:sz w:val="24"/>
                <w:highlight w:val="none"/>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9"/>
                <w:rFonts w:ascii="宋体" w:hAnsi="宋体" w:cs="宋体"/>
                <w:sz w:val="24"/>
                <w:highlight w:val="none"/>
              </w:rPr>
            </w:pPr>
            <w:r>
              <w:rPr>
                <w:rStyle w:val="1059"/>
                <w:rFonts w:hint="eastAsia" w:ascii="宋体" w:hAnsi="宋体" w:cs="宋体"/>
                <w:sz w:val="24"/>
                <w:highlight w:val="none"/>
              </w:rPr>
              <w:t xml:space="preserve">5000-1亿元（含1亿元）</w:t>
            </w:r>
            <w:r/>
          </w:p>
        </w:tc>
        <w:tc>
          <w:tcPr>
            <w:tcW w:w="3382" w:type="dxa"/>
            <w:textDirection w:val="lrTb"/>
            <w:noWrap w:val="false"/>
          </w:tcPr>
          <w:p>
            <w:pPr>
              <w:jc w:val="center"/>
              <w:spacing w:before="100" w:beforeAutospacing="1" w:after="100" w:afterAutospacing="1" w:line="360" w:lineRule="auto"/>
              <w:rPr>
                <w:rStyle w:val="1059"/>
                <w:rFonts w:ascii="宋体" w:hAnsi="宋体" w:cs="宋体"/>
                <w:sz w:val="24"/>
                <w:highlight w:val="none"/>
              </w:rPr>
            </w:pPr>
            <w:r>
              <w:rPr>
                <w:rStyle w:val="1059"/>
                <w:rFonts w:hint="eastAsia" w:ascii="宋体" w:hAnsi="宋体" w:cs="宋体"/>
                <w:sz w:val="24"/>
                <w:highlight w:val="none"/>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9"/>
                <w:rFonts w:ascii="宋体" w:hAnsi="宋体" w:cs="宋体"/>
                <w:sz w:val="24"/>
                <w:highlight w:val="none"/>
              </w:rPr>
            </w:pPr>
            <w:r>
              <w:rPr>
                <w:rStyle w:val="1059"/>
                <w:rFonts w:hint="eastAsia" w:ascii="宋体" w:hAnsi="宋体" w:cs="宋体"/>
                <w:sz w:val="24"/>
                <w:highlight w:val="none"/>
              </w:rPr>
              <w:t xml:space="preserve">1-10亿元（含10亿元）</w:t>
            </w:r>
            <w:r/>
          </w:p>
        </w:tc>
        <w:tc>
          <w:tcPr>
            <w:tcW w:w="3382" w:type="dxa"/>
            <w:textDirection w:val="lrTb"/>
            <w:noWrap w:val="false"/>
          </w:tcPr>
          <w:p>
            <w:pPr>
              <w:jc w:val="center"/>
              <w:spacing w:before="100" w:beforeAutospacing="1" w:after="100" w:afterAutospacing="1" w:line="360" w:lineRule="auto"/>
              <w:rPr>
                <w:rStyle w:val="1059"/>
                <w:rFonts w:ascii="宋体" w:hAnsi="宋体" w:cs="宋体"/>
                <w:sz w:val="24"/>
                <w:highlight w:val="none"/>
              </w:rPr>
            </w:pPr>
            <w:r>
              <w:rPr>
                <w:rStyle w:val="1059"/>
                <w:rFonts w:hint="eastAsia" w:ascii="宋体" w:hAnsi="宋体" w:cs="宋体"/>
                <w:sz w:val="24"/>
                <w:highlight w:val="none"/>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9"/>
                <w:rFonts w:ascii="宋体" w:hAnsi="宋体" w:cs="宋体"/>
                <w:sz w:val="24"/>
                <w:highlight w:val="none"/>
              </w:rPr>
            </w:pPr>
            <w:r>
              <w:rPr>
                <w:rStyle w:val="1059"/>
                <w:rFonts w:hint="eastAsia" w:ascii="宋体" w:hAnsi="宋体" w:cs="宋体"/>
                <w:sz w:val="24"/>
                <w:highlight w:val="none"/>
              </w:rPr>
              <w:t xml:space="preserve">10-50亿元（含50亿元）</w:t>
            </w:r>
            <w:r/>
          </w:p>
        </w:tc>
        <w:tc>
          <w:tcPr>
            <w:tcW w:w="3382" w:type="dxa"/>
            <w:textDirection w:val="lrTb"/>
            <w:noWrap w:val="false"/>
          </w:tcPr>
          <w:p>
            <w:pPr>
              <w:jc w:val="center"/>
              <w:spacing w:before="100" w:beforeAutospacing="1" w:after="100" w:afterAutospacing="1" w:line="360" w:lineRule="auto"/>
              <w:rPr>
                <w:rStyle w:val="1059"/>
                <w:rFonts w:ascii="宋体" w:hAnsi="宋体" w:cs="宋体"/>
                <w:sz w:val="24"/>
                <w:highlight w:val="none"/>
              </w:rPr>
            </w:pPr>
            <w:r>
              <w:rPr>
                <w:rStyle w:val="1059"/>
                <w:rFonts w:hint="eastAsia" w:ascii="宋体" w:hAnsi="宋体" w:cs="宋体"/>
                <w:sz w:val="24"/>
                <w:highlight w:val="none"/>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9"/>
                <w:rFonts w:ascii="宋体" w:hAnsi="宋体" w:cs="宋体"/>
                <w:sz w:val="24"/>
                <w:highlight w:val="none"/>
              </w:rPr>
            </w:pPr>
            <w:r>
              <w:rPr>
                <w:rStyle w:val="1059"/>
                <w:rFonts w:hint="eastAsia" w:ascii="宋体" w:hAnsi="宋体" w:cs="宋体"/>
                <w:sz w:val="24"/>
                <w:highlight w:val="none"/>
              </w:rPr>
              <w:t xml:space="preserve">50亿元以上</w:t>
            </w:r>
            <w:r/>
          </w:p>
        </w:tc>
        <w:tc>
          <w:tcPr>
            <w:tcW w:w="3382" w:type="dxa"/>
            <w:textDirection w:val="lrTb"/>
            <w:noWrap w:val="false"/>
          </w:tcPr>
          <w:p>
            <w:pPr>
              <w:jc w:val="center"/>
              <w:spacing w:before="100" w:beforeAutospacing="1" w:after="100" w:afterAutospacing="1" w:line="360" w:lineRule="auto"/>
              <w:rPr>
                <w:rStyle w:val="1059"/>
                <w:rFonts w:ascii="宋体" w:hAnsi="宋体" w:cs="宋体"/>
                <w:sz w:val="24"/>
                <w:highlight w:val="none"/>
              </w:rPr>
            </w:pPr>
            <w:r>
              <w:rPr>
                <w:rStyle w:val="1059"/>
                <w:rFonts w:hint="eastAsia" w:ascii="宋体" w:hAnsi="宋体" w:cs="宋体"/>
                <w:sz w:val="24"/>
                <w:highlight w:val="none"/>
              </w:rPr>
              <w:t xml:space="preserve">0.005%</w:t>
            </w:r>
            <w:r/>
          </w:p>
        </w:tc>
      </w:tr>
    </w:tbl>
    <w:p>
      <w:pPr>
        <w:ind w:firstLine="480"/>
        <w:keepLines w:val="0"/>
        <w:keepNext w:val="0"/>
        <w:pageBreakBefore w:val="0"/>
        <w:spacing w:line="360" w:lineRule="auto"/>
        <w:widowControl/>
        <w:rPr>
          <w:rStyle w:val="1059"/>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ind w:firstLine="480"/>
        <w:rPr>
          <w:rStyle w:val="1059"/>
          <w:rFonts w:ascii="宋体" w:hAnsi="宋体" w:cs="宋体"/>
          <w:sz w:val="24"/>
          <w:highlight w:val="none"/>
        </w:rPr>
      </w:pPr>
      <w:r>
        <w:rPr>
          <w:rStyle w:val="1059"/>
          <w:rFonts w:hint="eastAsia" w:ascii="宋体" w:hAnsi="宋体" w:cs="宋体"/>
          <w:sz w:val="24"/>
          <w:highlight w:val="none"/>
        </w:rPr>
        <w:t xml:space="preserve">说明:</w:t>
      </w:r>
      <w:r/>
    </w:p>
    <w:p>
      <w:pPr>
        <w:ind w:firstLine="480"/>
        <w:rPr>
          <w:rStyle w:val="1059"/>
          <w:rFonts w:ascii="宋体" w:hAnsi="宋体" w:cs="宋体"/>
          <w:sz w:val="24"/>
          <w:highlight w:val="none"/>
        </w:rPr>
      </w:pPr>
      <w:r>
        <w:rPr>
          <w:rStyle w:val="1059"/>
          <w:rFonts w:hint="eastAsia" w:ascii="宋体" w:hAnsi="宋体" w:cs="宋体"/>
          <w:sz w:val="24"/>
          <w:highlight w:val="none"/>
        </w:rPr>
        <w:t xml:space="preserve">1.按上表计算的收费为代理服务全过程的收费金额。各社会代理机构不再收取采购文件制作售卖费用。</w:t>
      </w:r>
      <w:r/>
    </w:p>
    <w:p>
      <w:pPr>
        <w:ind w:firstLine="480"/>
        <w:rPr>
          <w:rStyle w:val="1059"/>
          <w:rFonts w:ascii="宋体" w:hAnsi="宋体" w:cs="宋体"/>
          <w:sz w:val="24"/>
          <w:highlight w:val="none"/>
        </w:rPr>
      </w:pPr>
      <w:r>
        <w:rPr>
          <w:rStyle w:val="1059"/>
          <w:rFonts w:hint="eastAsia" w:ascii="宋体" w:hAnsi="宋体" w:cs="宋体"/>
          <w:sz w:val="24"/>
          <w:highlight w:val="none"/>
        </w:rPr>
        <w:t xml:space="preserve">2.代理服务费按差额定率累进法计算。</w:t>
      </w:r>
      <w:r/>
    </w:p>
    <w:p>
      <w:pPr>
        <w:ind w:firstLine="480"/>
        <w:rPr>
          <w:rStyle w:val="1059"/>
          <w:rFonts w:ascii="宋体" w:hAnsi="宋体" w:cs="宋体"/>
          <w:sz w:val="24"/>
          <w:highlight w:val="none"/>
        </w:rPr>
      </w:pPr>
      <w:r>
        <w:rPr>
          <w:rStyle w:val="1059"/>
          <w:rFonts w:hint="eastAsia" w:ascii="宋体" w:hAnsi="宋体" w:cs="宋体"/>
          <w:sz w:val="24"/>
          <w:highlight w:val="none"/>
        </w:rPr>
        <w:t xml:space="preserve">3.代理服务费基准金额(按差额定率累进法计算的)=中标金额(按差额定率累进法计算的)*费率(%)。</w:t>
      </w:r>
      <w:r/>
    </w:p>
    <w:p>
      <w:pPr>
        <w:ind w:firstLine="480"/>
        <w:rPr>
          <w:rStyle w:val="1059"/>
          <w:rFonts w:ascii="宋体" w:hAnsi="宋体" w:cs="宋体"/>
          <w:sz w:val="24"/>
          <w:highlight w:val="none"/>
        </w:rPr>
      </w:pPr>
      <w:r>
        <w:rPr>
          <w:rStyle w:val="1059"/>
          <w:rFonts w:hint="eastAsia" w:ascii="宋体" w:hAnsi="宋体" w:cs="宋体"/>
          <w:sz w:val="24"/>
          <w:highlight w:val="none"/>
        </w:rPr>
        <w:t xml:space="preserve">4.代理服务费应收取金额=代理服务费基准金额(按差额定率累进法计算的)的合计数。</w:t>
      </w:r>
      <w:r/>
    </w:p>
    <w:p>
      <w:pPr>
        <w:ind w:firstLine="480"/>
        <w:rPr>
          <w:rStyle w:val="1059"/>
          <w:rFonts w:ascii="宋体" w:hAnsi="宋体" w:cs="宋体"/>
          <w:sz w:val="24"/>
          <w:highlight w:val="none"/>
        </w:rPr>
      </w:pPr>
      <w:r>
        <w:rPr>
          <w:rStyle w:val="1059"/>
          <w:rFonts w:hint="eastAsia" w:ascii="宋体" w:hAnsi="宋体" w:cs="宋体"/>
          <w:sz w:val="24"/>
          <w:highlight w:val="none"/>
        </w:rPr>
        <w:t xml:space="preserve">5.定点类等无金额或事先不能计算出价格总额的项目，按中标(成交)金额100万元计算。</w:t>
      </w:r>
      <w:r/>
    </w:p>
    <w:p>
      <w:pPr>
        <w:ind w:firstLine="480"/>
        <w:rPr>
          <w:rStyle w:val="1059"/>
          <w:rFonts w:ascii="宋体" w:hAnsi="宋体" w:cs="宋体"/>
          <w:sz w:val="24"/>
          <w:highlight w:val="none"/>
        </w:rPr>
      </w:pPr>
      <w:r>
        <w:rPr>
          <w:rStyle w:val="1059"/>
          <w:rFonts w:hint="eastAsia" w:ascii="宋体" w:hAnsi="宋体" w:cs="宋体"/>
          <w:sz w:val="24"/>
          <w:highlight w:val="none"/>
        </w:rPr>
        <w:t xml:space="preserve">6.有分包(分标段)的按一个项目计算。</w:t>
      </w:r>
      <w:r/>
    </w:p>
    <w:p>
      <w:pPr>
        <w:ind w:firstLine="480"/>
        <w:rPr>
          <w:rStyle w:val="1059"/>
          <w:rFonts w:hint="eastAsia" w:ascii="宋体" w:hAnsi="宋体" w:cs="宋体"/>
          <w:sz w:val="24"/>
          <w:highlight w:val="none"/>
        </w:rPr>
      </w:pPr>
      <w:r>
        <w:rPr>
          <w:rStyle w:val="1059"/>
          <w:rFonts w:hint="eastAsia" w:ascii="宋体" w:hAnsi="宋体" w:cs="宋体"/>
          <w:sz w:val="24"/>
          <w:highlight w:val="none"/>
        </w:rPr>
        <w:t xml:space="preserve">7.以上价格为协会指导价，双方可根据项目难易程度和优质优价原则协商确定。</w:t>
      </w:r>
      <w:r/>
    </w:p>
    <w:p>
      <w:pPr>
        <w:pStyle w:val="760"/>
        <w:rPr>
          <w:rFonts w:hint="default"/>
          <w:highlight w:val="none"/>
          <w:lang w:val="en-US"/>
        </w:rPr>
      </w:pPr>
      <w:r>
        <w:rPr>
          <w:rStyle w:val="1059"/>
          <w:rFonts w:hint="eastAsia" w:ascii="宋体" w:hAnsi="宋体" w:cs="宋体"/>
          <w:sz w:val="24"/>
          <w:highlight w:val="none"/>
          <w:lang w:val="en-US"/>
        </w:rPr>
        <w:t xml:space="preserve">    8.根据苏财规[2026]1号文件有关规定，本项目代理服务费由中标人支付，各投标人在投标报价时应充分考虑在内。</w:t>
      </w:r>
      <w:r/>
    </w:p>
    <w:p>
      <w:pPr>
        <w:ind w:firstLine="480"/>
        <w:rPr>
          <w:rStyle w:val="1059"/>
          <w:rFonts w:ascii="宋体" w:hAnsi="宋体" w:cs="宋体"/>
          <w:sz w:val="24"/>
          <w:highlight w:val="none"/>
        </w:rPr>
      </w:pPr>
      <w:r>
        <w:rPr>
          <w:rStyle w:val="1059"/>
          <w:rFonts w:hint="eastAsia" w:ascii="宋体" w:hAnsi="宋体" w:cs="宋体"/>
          <w:sz w:val="24"/>
          <w:highlight w:val="none"/>
          <w:lang w:val="en-US"/>
        </w:rPr>
        <w:t xml:space="preserve">9</w:t>
      </w:r>
      <w:r>
        <w:rPr>
          <w:rStyle w:val="1059"/>
          <w:rFonts w:hint="eastAsia" w:ascii="宋体" w:hAnsi="宋体" w:cs="宋体"/>
          <w:sz w:val="24"/>
          <w:highlight w:val="none"/>
        </w:rPr>
        <w:t xml:space="preserve">.账户信息：</w:t>
      </w:r>
      <w:r/>
    </w:p>
    <w:p>
      <w:pPr>
        <w:ind w:firstLine="480"/>
        <w:rPr>
          <w:rStyle w:val="1059"/>
          <w:rFonts w:ascii="宋体" w:hAnsi="宋体" w:cs="宋体"/>
          <w:sz w:val="24"/>
          <w:highlight w:val="none"/>
        </w:rPr>
      </w:pPr>
      <w:r>
        <w:rPr>
          <w:rStyle w:val="1059"/>
          <w:rFonts w:hint="eastAsia" w:ascii="宋体" w:hAnsi="宋体" w:cs="宋体"/>
          <w:sz w:val="24"/>
          <w:highlight w:val="none"/>
        </w:rPr>
        <w:t xml:space="preserve">收款人：徐州国信招标有限公司</w:t>
      </w:r>
      <w:r/>
    </w:p>
    <w:p>
      <w:pPr>
        <w:ind w:firstLine="480"/>
        <w:rPr>
          <w:rStyle w:val="1059"/>
          <w:rFonts w:ascii="宋体" w:hAnsi="宋体" w:cs="宋体"/>
          <w:sz w:val="24"/>
          <w:highlight w:val="none"/>
        </w:rPr>
      </w:pPr>
      <w:r>
        <w:rPr>
          <w:rStyle w:val="1059"/>
          <w:rFonts w:hint="eastAsia" w:ascii="宋体" w:hAnsi="宋体" w:cs="宋体"/>
          <w:sz w:val="24"/>
          <w:highlight w:val="none"/>
        </w:rPr>
        <w:t xml:space="preserve">开户银行：江苏银行徐州彭城支行</w:t>
      </w:r>
      <w:r/>
    </w:p>
    <w:p>
      <w:pPr>
        <w:ind w:firstLine="480"/>
        <w:rPr>
          <w:rStyle w:val="1059"/>
          <w:rFonts w:ascii="宋体" w:hAnsi="宋体" w:cs="宋体"/>
          <w:sz w:val="24"/>
          <w:highlight w:val="none"/>
        </w:rPr>
      </w:pPr>
      <w:r>
        <w:rPr>
          <w:rStyle w:val="1059"/>
          <w:rFonts w:hint="eastAsia" w:ascii="宋体" w:hAnsi="宋体" w:cs="宋体"/>
          <w:sz w:val="24"/>
          <w:highlight w:val="none"/>
        </w:rPr>
        <w:t xml:space="preserve">账号：</w:t>
      </w:r>
      <w:r>
        <w:rPr>
          <w:rStyle w:val="1059"/>
          <w:rFonts w:hint="eastAsia" w:ascii="宋体" w:hAnsi="宋体" w:cs="宋体"/>
          <w:sz w:val="24"/>
        </w:rPr>
        <w:t xml:space="preserve">60060188000345346</w:t>
      </w:r>
      <w:r/>
    </w:p>
    <w:p>
      <w:pPr>
        <w:ind w:firstLine="480"/>
        <w:keepLines w:val="0"/>
        <w:keepNext w:val="0"/>
        <w:pageBreakBefore w:val="0"/>
        <w:spacing w:line="360" w:lineRule="auto"/>
        <w:widowControl/>
        <w:rPr>
          <w:rStyle w:val="1059"/>
          <w:rFonts w:hint="eastAsia" w:ascii="宋体" w:hAnsi="宋体" w:eastAsia="宋体" w:cs="宋体"/>
          <w:sz w:val="22"/>
          <w:szCs w:val="22"/>
          <w:highlight w:val="none"/>
          <w:lang w:val="en-US" w:eastAsia="zh-CN"/>
        </w:rPr>
      </w:pPr>
      <w:r>
        <w:rPr>
          <w:rStyle w:val="1059"/>
          <w:rFonts w:hint="eastAsia" w:ascii="宋体" w:hAnsi="宋体" w:eastAsia="宋体" w:cs="宋体"/>
          <w:sz w:val="22"/>
          <w:szCs w:val="22"/>
          <w:highlight w:val="none"/>
          <w:lang w:val="en-US" w:eastAsia="zh-CN"/>
        </w:rPr>
        <w:t xml:space="preserve"> </w:t>
      </w:r>
      <w:r/>
    </w:p>
    <w:p>
      <w:pPr>
        <w:ind w:firstLine="480"/>
        <w:keepLines w:val="0"/>
        <w:keepNext w:val="0"/>
        <w:pageBreakBefore w:val="0"/>
        <w:spacing w:line="360" w:lineRule="auto"/>
        <w:widowControl/>
        <w:rPr>
          <w:rStyle w:val="1059"/>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pStyle w:val="778"/>
        <w:ind w:firstLine="630"/>
        <w:spacing w:line="420" w:lineRule="exact"/>
        <w:rPr>
          <w:rFonts w:hint="eastAsia" w:ascii="宋体" w:hAnsi="宋体" w:eastAsia="宋体" w:cs="宋体"/>
          <w:color w:val="000000" w:themeColor="text1"/>
          <w:sz w:val="20"/>
          <w:szCs w:val="22"/>
          <w14:textFill>
            <w14:solidFill>
              <w14:schemeClr w14:val="tx1"/>
            </w14:solidFill>
          </w14:textFill>
        </w:rPr>
        <w:sectPr>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color w:val="000000" w:themeColor="text1"/>
          <w:sz w:val="20"/>
          <w:szCs w:val="22"/>
          <w14:textFill>
            <w14:solidFill>
              <w14:schemeClr w14:val="tx1"/>
            </w14:solidFill>
          </w14:textFill>
        </w:rPr>
      </w:r>
      <w:r/>
    </w:p>
    <w:p>
      <w:pPr>
        <w:pStyle w:val="729"/>
        <w:numPr>
          <w:ilvl w:val="0"/>
          <w:numId w:val="0"/>
        </w:numPr>
        <w:jc w:val="center"/>
        <w:spacing w:before="0" w:after="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第四章</w:t>
      </w:r>
      <w:r>
        <w:rPr>
          <w:rFonts w:hint="eastAsia" w:ascii="宋体" w:hAnsi="宋体" w:eastAsia="宋体" w:cs="宋体"/>
          <w:b/>
          <w:bCs/>
          <w:color w:val="000000" w:themeColor="text1"/>
          <w:sz w:val="28"/>
          <w:szCs w:val="28"/>
          <w:highlight w:val="none"/>
          <w14:textFill>
            <w14:solidFill>
              <w14:schemeClr w14:val="tx1"/>
            </w14:solidFill>
          </w14:textFill>
        </w:rPr>
        <w:t xml:space="preserve"> 评标标准</w:t>
      </w:r>
      <w:r/>
    </w:p>
    <w:p>
      <w:pPr>
        <w:pStyle w:val="803"/>
        <w:ind w:left="0"/>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采购包1：</w:t>
      </w:r>
      <w:r/>
    </w:p>
    <w:tbl>
      <w:tblPr>
        <w:tblStyle w:val="739"/>
        <w:tblW w:w="5767"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645"/>
        <w:gridCol w:w="8177"/>
      </w:tblGrid>
      <w:tr>
        <w:trPr>
          <w:jc w:val="center"/>
          <w:trHeight w:val="20"/>
        </w:trPr>
        <w:tc>
          <w:tcPr>
            <w:tcBorders>
              <w:top w:val="single" w:color="auto" w:sz="4" w:space="0"/>
              <w:right w:val="single" w:color="auto" w:sz="4" w:space="0"/>
            </w:tcBorders>
            <w:tcW w:w="837" w:type="pct"/>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评审因素</w:t>
            </w:r>
            <w:r/>
          </w:p>
        </w:tc>
        <w:tc>
          <w:tcPr>
            <w:tcBorders>
              <w:top w:val="single" w:color="auto" w:sz="4" w:space="0"/>
              <w:left w:val="single" w:color="auto" w:sz="4" w:space="0"/>
            </w:tcBorders>
            <w:tcW w:w="4162" w:type="pct"/>
            <w:vAlign w:val="center"/>
            <w:textDirection w:val="lrTb"/>
            <w:noWrap w:val="false"/>
          </w:tcPr>
          <w:p>
            <w:pPr>
              <w:jc w:val="center"/>
              <w:spacing w:line="400" w:lineRule="exact"/>
              <w:rPr>
                <w:rFonts w:ascii="宋体" w:hAnsi="宋体" w:cs="宋体"/>
                <w:color w:val="000000"/>
                <w:sz w:val="24"/>
                <w:szCs w:val="24"/>
              </w:rPr>
            </w:pPr>
            <w:r>
              <w:rPr>
                <w:rFonts w:hint="eastAsia" w:ascii="宋体" w:hAnsi="宋体" w:cs="宋体"/>
                <w:bCs/>
                <w:color w:val="000000" w:themeColor="text1"/>
                <w:sz w:val="24"/>
                <w:szCs w:val="24"/>
                <w14:textFill>
                  <w14:solidFill>
                    <w14:schemeClr w14:val="tx1"/>
                  </w14:solidFill>
                </w14:textFill>
              </w:rPr>
              <w:t xml:space="preserve">评审内容及分值</w:t>
            </w:r>
            <w:r/>
          </w:p>
        </w:tc>
      </w:tr>
      <w:tr>
        <w:trPr>
          <w:jc w:val="center"/>
          <w:trHeight w:val="20"/>
        </w:trPr>
        <w:tc>
          <w:tcPr>
            <w:tcBorders>
              <w:left w:val="single" w:color="auto" w:sz="4" w:space="0"/>
            </w:tcBorders>
            <w:tcW w:w="837" w:type="pct"/>
            <w:vAlign w:val="center"/>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themeColor="text1"/>
                <w:sz w:val="24"/>
                <w:szCs w:val="24"/>
                <w14:textFill>
                  <w14:solidFill>
                    <w14:schemeClr w14:val="tx1"/>
                  </w14:solidFill>
                </w14:textFill>
              </w:rPr>
              <w:t xml:space="preserve">价格</w:t>
            </w:r>
            <w:r/>
          </w:p>
          <w:p>
            <w:pPr>
              <w:jc w:val="center"/>
              <w:spacing w:line="400" w:lineRule="exact"/>
              <w:rPr>
                <w:rFonts w:ascii="宋体" w:hAnsi="宋体" w:cs="宋体"/>
                <w:color w:val="000000"/>
                <w:sz w:val="24"/>
                <w:szCs w:val="24"/>
              </w:rPr>
            </w:pPr>
            <w:r>
              <w:rPr>
                <w:rFonts w:hint="eastAsia" w:ascii="宋体" w:hAnsi="宋体" w:cs="宋体"/>
                <w:color w:val="000000" w:themeColor="text1"/>
                <w:sz w:val="24"/>
                <w:szCs w:val="24"/>
                <w14:textFill>
                  <w14:solidFill>
                    <w14:schemeClr w14:val="tx1"/>
                  </w14:solidFill>
                </w14:textFill>
              </w:rPr>
              <w:t xml:space="preserve">（30分）</w:t>
            </w:r>
            <w:r/>
          </w:p>
        </w:tc>
        <w:tc>
          <w:tcPr>
            <w:tcBorders>
              <w:bottom w:val="single" w:color="auto" w:sz="4" w:space="0"/>
              <w:right w:val="single" w:color="auto" w:sz="4" w:space="0"/>
            </w:tcBorders>
            <w:tcW w:w="4162" w:type="pct"/>
            <w:vAlign w:val="center"/>
            <w:textDirection w:val="lrTb"/>
            <w:noWrap w:val="false"/>
          </w:tcPr>
          <w:p>
            <w:pPr>
              <w:spacing w:line="400" w:lineRule="exact"/>
              <w:rPr>
                <w:rFonts w:ascii="宋体" w:hAnsi="宋体" w:cs="宋体"/>
                <w:bCs/>
                <w:color w:val="000000"/>
                <w:sz w:val="24"/>
                <w:szCs w:val="24"/>
              </w:rPr>
            </w:pPr>
            <w:r>
              <w:rPr>
                <w:rFonts w:hint="eastAsia" w:ascii="宋体" w:hAnsi="宋体" w:cs="宋体"/>
                <w:bCs/>
                <w:color w:val="000000" w:themeColor="text1"/>
                <w:sz w:val="24"/>
                <w:szCs w:val="24"/>
                <w14:textFill>
                  <w14:solidFill>
                    <w14:schemeClr w14:val="tx1"/>
                  </w14:solidFill>
                </w14:textFill>
              </w:rPr>
              <w:t xml:space="preserve">价格分采用低价优先法计算，即满足招标文件要求且投标价格最低的投标报价为评标基准价，其价格分为满分。</w:t>
            </w:r>
            <w:r/>
          </w:p>
          <w:p>
            <w:pPr>
              <w:spacing w:line="40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投标人投标报价得分=（评标基准价/投标报价）×30。</w:t>
            </w:r>
            <w:r/>
          </w:p>
          <w:p>
            <w:pPr>
              <w:spacing w:line="40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货物全部由符合政策要求的小微企业、监狱企业、享受政府采购支持政策的残疾人福利性单位提供的（以投标人提供的《中小企业声明函》、监狱企业证明文件和《残疾人福利性单位声明函》等相关材料为准），给予10%的价格扣除，用扣除后的价格参加评审。该投标人的评审价格=《开标一览表》中的“总价”*（100%-10%）。</w:t>
            </w:r>
            <w:r/>
          </w:p>
          <w:p>
            <w:pPr>
              <w:spacing w:line="40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得分四舍五入保留小数点后2位。</w:t>
            </w:r>
            <w:r/>
          </w:p>
        </w:tc>
      </w:tr>
      <w:tr>
        <w:trPr>
          <w:jc w:val="center"/>
          <w:trHeight w:val="20"/>
        </w:trPr>
        <w:tc>
          <w:tcPr>
            <w:tcBorders>
              <w:left w:val="single" w:color="auto" w:sz="4" w:space="0"/>
            </w:tcBorders>
            <w:tcW w:w="837" w:type="pct"/>
            <w:vAlign w:val="center"/>
            <w:textDirection w:val="lrTb"/>
            <w:noWrap w:val="false"/>
          </w:tcPr>
          <w:p>
            <w:pPr>
              <w:jc w:val="center"/>
              <w:spacing w:line="400" w:lineRule="exact"/>
              <w:rPr>
                <w:rFonts w:ascii="宋体" w:hAnsi="宋体" w:cs="宋体"/>
                <w:bCs/>
                <w:color w:val="000000"/>
                <w:sz w:val="24"/>
                <w:szCs w:val="24"/>
              </w:rPr>
            </w:pPr>
            <w:r>
              <w:rPr>
                <w:rFonts w:hint="eastAsia" w:ascii="宋体" w:hAnsi="宋体" w:cs="宋体"/>
                <w:bCs/>
                <w:color w:val="000000"/>
                <w:sz w:val="24"/>
                <w:szCs w:val="24"/>
              </w:rPr>
              <w:t xml:space="preserve">业绩</w:t>
            </w:r>
            <w:r/>
          </w:p>
          <w:p>
            <w:pPr>
              <w:jc w:val="center"/>
              <w:spacing w:line="400" w:lineRule="exact"/>
              <w:rPr>
                <w:rFonts w:ascii="宋体" w:hAnsi="宋体" w:cs="宋体"/>
                <w:bCs/>
                <w:color w:val="000000"/>
                <w:sz w:val="24"/>
                <w:szCs w:val="24"/>
              </w:rPr>
            </w:pPr>
            <w:r>
              <w:rPr>
                <w:rFonts w:hint="eastAsia" w:ascii="宋体" w:hAnsi="宋体" w:cs="宋体"/>
                <w:bCs/>
                <w:color w:val="000000" w:themeColor="text1"/>
                <w:sz w:val="24"/>
                <w:szCs w:val="24"/>
                <w14:textFill>
                  <w14:solidFill>
                    <w14:schemeClr w14:val="tx1"/>
                  </w14:solidFill>
                </w14:textFill>
              </w:rPr>
              <w:t xml:space="preserve">（3分）</w:t>
            </w:r>
            <w:r/>
          </w:p>
        </w:tc>
        <w:tc>
          <w:tcPr>
            <w:tcBorders>
              <w:bottom w:val="single" w:color="auto" w:sz="4" w:space="0"/>
              <w:right w:val="single" w:color="auto" w:sz="4" w:space="0"/>
            </w:tcBorders>
            <w:tcW w:w="4162" w:type="pct"/>
            <w:vAlign w:val="center"/>
            <w:textDirection w:val="lrTb"/>
            <w:noWrap w:val="false"/>
          </w:tcPr>
          <w:p>
            <w:pPr>
              <w:spacing w:line="40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根据投标人提供2023年1月1日以来（以合同签订日期为准）与本项目类似项目业绩，每有一个得1分，本项最高得3分。</w:t>
            </w:r>
            <w:r/>
          </w:p>
          <w:p>
            <w:pPr>
              <w:spacing w:line="40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注：成功案例需提供合同材料扫描件并加盖投标人公章，未提供的不得分。</w:t>
            </w:r>
            <w:r/>
          </w:p>
        </w:tc>
      </w:tr>
      <w:tr>
        <w:trPr>
          <w:jc w:val="center"/>
          <w:trHeight w:val="20"/>
        </w:trPr>
        <w:tc>
          <w:tcPr>
            <w:tcBorders>
              <w:left w:val="single" w:color="auto" w:sz="4" w:space="0"/>
            </w:tcBorders>
            <w:tcW w:w="837" w:type="pct"/>
            <w:vAlign w:val="center"/>
            <w:textDirection w:val="lrTb"/>
            <w:noWrap w:val="false"/>
          </w:tcPr>
          <w:p>
            <w:pPr>
              <w:jc w:val="center"/>
              <w:spacing w:line="400" w:lineRule="exact"/>
              <w:rPr>
                <w:rFonts w:ascii="宋体" w:hAnsi="宋体" w:cs="宋体"/>
                <w:bCs/>
                <w:color w:val="000000" w:themeColor="text1"/>
                <w:sz w:val="24"/>
                <w:szCs w:val="24"/>
                <w14:textFill>
                  <w14:solidFill>
                    <w14:schemeClr w14:val="tx1"/>
                  </w14:solidFill>
                </w14:textFill>
              </w:rPr>
            </w:pPr>
            <w:r>
              <w:rPr>
                <w:sz w:val="24"/>
                <w:szCs w:val="24"/>
              </w:rPr>
              <w:t xml:space="preserve">企业综合实力</w:t>
            </w:r>
            <w:r>
              <w:rPr>
                <w:rFonts w:hint="eastAsia" w:ascii="宋体" w:hAnsi="宋体" w:cs="宋体"/>
                <w:bCs/>
                <w:color w:val="000000" w:themeColor="text1"/>
                <w:sz w:val="24"/>
                <w:szCs w:val="24"/>
                <w14:textFill>
                  <w14:solidFill>
                    <w14:schemeClr w14:val="tx1"/>
                  </w14:solidFill>
                </w14:textFill>
              </w:rPr>
              <w:t xml:space="preserve">（4分）</w:t>
            </w:r>
            <w:r/>
          </w:p>
        </w:tc>
        <w:tc>
          <w:tcPr>
            <w:tcBorders>
              <w:bottom w:val="single" w:color="auto" w:sz="4" w:space="0"/>
              <w:right w:val="single" w:color="auto" w:sz="4" w:space="0"/>
            </w:tcBorders>
            <w:tcW w:w="4162" w:type="pct"/>
            <w:vAlign w:val="center"/>
            <w:textDirection w:val="lrTb"/>
            <w:noWrap w:val="false"/>
          </w:tcPr>
          <w:p>
            <w:pPr>
              <w:spacing w:line="40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投标人具有有效期内的ISO9001质量管理体系认证证书，ISO27001信息安全管理体系认证证书、GB/T29490知识产权合规管理体系认证证书</w:t>
            </w:r>
            <w:bookmarkStart w:id="10" w:name="OLE_LINK113"/>
            <w:r>
              <w:rPr>
                <w:rFonts w:hint="eastAsia" w:ascii="宋体" w:hAnsi="宋体" w:cs="宋体"/>
                <w:bCs/>
                <w:color w:val="000000" w:themeColor="text1"/>
                <w:sz w:val="24"/>
                <w:szCs w:val="24"/>
                <w14:textFill>
                  <w14:solidFill>
                    <w14:schemeClr w14:val="tx1"/>
                  </w14:solidFill>
                </w14:textFill>
              </w:rPr>
              <w:t xml:space="preserve">（证书覆盖范围需包含自动虫情信息采集设备、田间安防视频监测终端设备、大数据中心平台）</w:t>
            </w:r>
            <w:bookmarkEnd w:id="10"/>
            <w:r>
              <w:rPr>
                <w:rFonts w:hint="eastAsia" w:ascii="宋体" w:hAnsi="宋体" w:cs="宋体"/>
                <w:bCs/>
                <w:color w:val="000000" w:themeColor="text1"/>
                <w:sz w:val="24"/>
                <w:szCs w:val="24"/>
                <w14:textFill>
                  <w14:solidFill>
                    <w14:schemeClr w14:val="tx1"/>
                  </w14:solidFill>
                </w14:textFill>
              </w:rPr>
              <w:t xml:space="preserve">，ISO2000信息技术服务管理体系认证证书（证书覆盖范围需包含智慧农业平台软件，大数据中心平台，物联网技术咨询服务）每提供一个证书得1分,本项最高得4分，需提供相应认证证书复印件加盖公章及全国认证认可信息公共服务平台查询截图加盖公章，未提供或提供不全不得分。</w:t>
            </w:r>
            <w:r/>
          </w:p>
          <w:p>
            <w:pPr>
              <w:spacing w:line="40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注：投标文件中提供证书扫描件并加盖电子签章，未提供不得分。</w:t>
            </w:r>
            <w:r/>
          </w:p>
        </w:tc>
      </w:tr>
      <w:tr>
        <w:trPr>
          <w:jc w:val="center"/>
          <w:trHeight w:val="20"/>
        </w:trPr>
        <w:tc>
          <w:tcPr>
            <w:tcBorders>
              <w:left w:val="single" w:color="auto" w:sz="4" w:space="0"/>
            </w:tcBorders>
            <w:tcW w:w="837" w:type="pct"/>
            <w:vAlign w:val="center"/>
            <w:textDirection w:val="lrTb"/>
            <w:noWrap w:val="false"/>
          </w:tcPr>
          <w:p>
            <w:pPr>
              <w:jc w:val="center"/>
              <w:spacing w:line="400" w:lineRule="exact"/>
              <w:rPr>
                <w:sz w:val="24"/>
                <w:szCs w:val="24"/>
              </w:rPr>
            </w:pPr>
            <w:r>
              <w:rPr>
                <w:rFonts w:hint="eastAsia"/>
                <w:sz w:val="24"/>
                <w:szCs w:val="24"/>
              </w:rPr>
              <w:t xml:space="preserve">本项目技术人员</w:t>
            </w:r>
            <w:r>
              <w:rPr>
                <w:rFonts w:hint="eastAsia" w:ascii="宋体" w:hAnsi="宋体" w:cs="宋体"/>
                <w:bCs/>
                <w:color w:val="000000" w:themeColor="text1"/>
                <w:sz w:val="24"/>
                <w:szCs w:val="24"/>
                <w14:textFill>
                  <w14:solidFill>
                    <w14:schemeClr w14:val="tx1"/>
                  </w14:solidFill>
                </w14:textFill>
              </w:rPr>
              <w:t xml:space="preserve">（5分）</w:t>
            </w:r>
            <w:r/>
          </w:p>
        </w:tc>
        <w:tc>
          <w:tcPr>
            <w:shd w:val="clear" w:color="auto" w:fill="auto"/>
            <w:tcBorders>
              <w:bottom w:val="single" w:color="auto" w:sz="4" w:space="0"/>
              <w:right w:val="single" w:color="auto" w:sz="4" w:space="0"/>
            </w:tcBorders>
            <w:tcW w:w="4162"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①投标人拟投入本项目的项目负责人具有以下证书：</w:t>
            </w:r>
            <w:r/>
          </w:p>
          <w:p>
            <w:pPr>
              <w:spacing w:line="360" w:lineRule="auto"/>
              <w:rPr>
                <w:rFonts w:ascii="宋体" w:hAnsi="宋体" w:cs="宋体"/>
                <w:sz w:val="24"/>
              </w:rPr>
            </w:pPr>
            <w:r>
              <w:rPr>
                <w:rFonts w:hint="eastAsia" w:ascii="宋体" w:hAnsi="宋体" w:cs="宋体"/>
                <w:sz w:val="24"/>
              </w:rPr>
              <w:t xml:space="preserve">（1）信息系统项目管理师（高级）证书</w:t>
            </w:r>
            <w:r/>
          </w:p>
          <w:p>
            <w:pPr>
              <w:spacing w:line="360" w:lineRule="auto"/>
              <w:rPr>
                <w:rFonts w:ascii="宋体" w:hAnsi="宋体" w:cs="宋体"/>
                <w:sz w:val="24"/>
              </w:rPr>
            </w:pPr>
            <w:r>
              <w:rPr>
                <w:rFonts w:hint="eastAsia" w:ascii="宋体" w:hAnsi="宋体" w:cs="宋体"/>
                <w:sz w:val="24"/>
                <w:lang w:bidi="ar"/>
              </w:rPr>
              <w:t xml:space="preserve">（2）网络工程师证书</w:t>
            </w:r>
            <w:r/>
          </w:p>
          <w:p>
            <w:pPr>
              <w:spacing w:line="360" w:lineRule="auto"/>
              <w:rPr>
                <w:rFonts w:ascii="宋体" w:hAnsi="宋体" w:cs="宋体"/>
                <w:sz w:val="24"/>
              </w:rPr>
            </w:pPr>
            <w:r>
              <w:rPr>
                <w:rFonts w:hint="eastAsia" w:ascii="宋体" w:hAnsi="宋体" w:cs="宋体"/>
                <w:sz w:val="24"/>
              </w:rPr>
              <w:t xml:space="preserve">每有一个证书得1.5分，最高得3分</w:t>
            </w:r>
            <w:r/>
          </w:p>
          <w:p>
            <w:pPr>
              <w:spacing w:line="360" w:lineRule="auto"/>
              <w:rPr>
                <w:rFonts w:ascii="宋体" w:hAnsi="宋体" w:cs="宋体"/>
                <w:sz w:val="24"/>
              </w:rPr>
            </w:pPr>
            <w:r>
              <w:rPr>
                <w:rFonts w:hint="eastAsia" w:ascii="宋体" w:hAnsi="宋体" w:cs="宋体"/>
                <w:sz w:val="24"/>
              </w:rPr>
              <w:t xml:space="preserve">②投标人拟投入本项目的技术团队具有以下证书：</w:t>
            </w:r>
            <w:r/>
          </w:p>
          <w:p>
            <w:pPr>
              <w:spacing w:line="360" w:lineRule="auto"/>
              <w:rPr>
                <w:rFonts w:ascii="宋体" w:hAnsi="宋体" w:cs="宋体"/>
                <w:sz w:val="24"/>
              </w:rPr>
            </w:pPr>
            <w:r>
              <w:rPr>
                <w:rFonts w:hint="eastAsia" w:ascii="宋体" w:hAnsi="宋体" w:cs="宋体"/>
                <w:sz w:val="24"/>
              </w:rPr>
              <w:t xml:space="preserve">（1）软件设计师</w:t>
            </w:r>
            <w:r/>
          </w:p>
          <w:p>
            <w:pPr>
              <w:spacing w:line="360" w:lineRule="auto"/>
              <w:rPr>
                <w:rFonts w:ascii="宋体" w:hAnsi="宋体" w:cs="宋体"/>
                <w:sz w:val="24"/>
                <w:lang w:bidi="ar"/>
              </w:rPr>
            </w:pPr>
            <w:r>
              <w:rPr>
                <w:rFonts w:hint="eastAsia" w:ascii="宋体" w:hAnsi="宋体" w:cs="宋体"/>
                <w:sz w:val="24"/>
                <w:lang w:bidi="ar"/>
              </w:rPr>
              <w:t xml:space="preserve">（2）具有特种作业操作证（电工作业-低压电工作业）</w:t>
            </w:r>
            <w:r/>
          </w:p>
          <w:p>
            <w:pPr>
              <w:spacing w:line="360" w:lineRule="auto"/>
              <w:rPr>
                <w:rFonts w:ascii="宋体" w:hAnsi="宋体" w:cs="宋体"/>
                <w:sz w:val="24"/>
                <w:lang w:bidi="ar"/>
              </w:rPr>
            </w:pPr>
            <w:r>
              <w:rPr>
                <w:rFonts w:hint="eastAsia" w:ascii="宋体" w:hAnsi="宋体" w:cs="宋体"/>
                <w:sz w:val="24"/>
                <w:lang w:bidi="ar"/>
              </w:rPr>
              <w:t xml:space="preserve">（3）人工智能算法工程师（高级）</w:t>
            </w:r>
            <w:r/>
          </w:p>
          <w:p>
            <w:pPr>
              <w:spacing w:line="360" w:lineRule="auto"/>
              <w:rPr>
                <w:rFonts w:ascii="宋体" w:hAnsi="宋体" w:cs="宋体"/>
                <w:sz w:val="24"/>
                <w:lang w:bidi="ar"/>
              </w:rPr>
            </w:pPr>
            <w:r>
              <w:rPr>
                <w:rFonts w:hint="eastAsia" w:ascii="宋体" w:hAnsi="宋体" w:cs="宋体"/>
                <w:sz w:val="24"/>
                <w:lang w:bidi="ar"/>
              </w:rPr>
              <w:t xml:space="preserve">（4）嵌入式linux应用开发(高级)</w:t>
            </w:r>
            <w:r/>
          </w:p>
          <w:p>
            <w:pPr>
              <w:spacing w:line="400" w:lineRule="exact"/>
              <w:rPr>
                <w:rFonts w:cs="宋体"/>
                <w:sz w:val="32"/>
                <w:szCs w:val="32"/>
                <w:lang w:bidi="ar"/>
              </w:rPr>
            </w:pPr>
            <w:r>
              <w:rPr>
                <w:rFonts w:hint="eastAsia" w:ascii="宋体" w:hAnsi="宋体" w:cs="宋体"/>
                <w:sz w:val="24"/>
              </w:rPr>
              <w:t xml:space="preserve">每有一个证书得0.5分，最高得2分</w:t>
            </w:r>
            <w:r/>
          </w:p>
        </w:tc>
      </w:tr>
      <w:tr>
        <w:trPr>
          <w:jc w:val="center"/>
          <w:trHeight w:val="20"/>
        </w:trPr>
        <w:tc>
          <w:tcPr>
            <w:tcBorders>
              <w:left w:val="single" w:color="auto" w:sz="4" w:space="0"/>
            </w:tcBorders>
            <w:tcW w:w="837" w:type="pct"/>
            <w:vAlign w:val="center"/>
            <w:textDirection w:val="lrTb"/>
            <w:noWrap w:val="false"/>
          </w:tcPr>
          <w:p>
            <w:pPr>
              <w:jc w:val="center"/>
              <w:spacing w:line="360" w:lineRule="auto"/>
              <w:rPr>
                <w:rFonts w:ascii="宋体" w:hAnsi="宋体" w:cs="宋体"/>
                <w:bCs/>
                <w:sz w:val="24"/>
                <w:szCs w:val="24"/>
              </w:rPr>
            </w:pPr>
            <w:r>
              <w:rPr>
                <w:sz w:val="24"/>
                <w:szCs w:val="24"/>
              </w:rPr>
              <w:t xml:space="preserve">技术参数评价</w:t>
            </w:r>
            <w:r>
              <w:rPr>
                <w:rFonts w:hint="eastAsia"/>
                <w:sz w:val="24"/>
                <w:szCs w:val="24"/>
              </w:rPr>
              <w:t xml:space="preserve">（40分）</w:t>
            </w:r>
            <w:r/>
          </w:p>
        </w:tc>
        <w:tc>
          <w:tcPr>
            <w:tcBorders>
              <w:top w:val="single" w:color="auto" w:sz="4" w:space="0"/>
              <w:right w:val="single" w:color="auto" w:sz="4" w:space="0"/>
            </w:tcBorders>
            <w:tcW w:w="4162" w:type="pct"/>
            <w:vAlign w:val="center"/>
            <w:textDirection w:val="lrTb"/>
            <w:noWrap w:val="false"/>
          </w:tcPr>
          <w:p>
            <w:pPr>
              <w:spacing w:line="360" w:lineRule="auto"/>
              <w:rPr>
                <w:sz w:val="24"/>
                <w:szCs w:val="24"/>
              </w:rPr>
            </w:pPr>
            <w:r>
              <w:rPr>
                <w:sz w:val="24"/>
                <w:szCs w:val="24"/>
              </w:rPr>
              <w:t xml:space="preserve">根据技术参数要求，投标人须逐条响应并完整填写《技术要求响应及偏离表》。其中标注“▲”的条款属于重要响应条款，其余为一般响应条款。本项满分</w:t>
            </w:r>
            <w:r>
              <w:rPr>
                <w:rFonts w:hint="eastAsia"/>
                <w:sz w:val="24"/>
                <w:szCs w:val="24"/>
              </w:rPr>
              <w:t xml:space="preserve">40</w:t>
            </w:r>
            <w:r>
              <w:rPr>
                <w:sz w:val="24"/>
                <w:szCs w:val="24"/>
              </w:rPr>
              <w:t xml:space="preserve">分，全部满足要求得满分。重要响应条款如出现不满足或负偏离，每项扣</w:t>
            </w:r>
            <w:r>
              <w:rPr>
                <w:rFonts w:hint="eastAsia"/>
                <w:sz w:val="24"/>
                <w:szCs w:val="24"/>
              </w:rPr>
              <w:t xml:space="preserve">2</w:t>
            </w:r>
            <w:r>
              <w:rPr>
                <w:sz w:val="24"/>
                <w:szCs w:val="24"/>
              </w:rPr>
              <w:t xml:space="preserve">分；一般响应条款如出现不满足或负偏离，每项扣0.</w:t>
            </w:r>
            <w:r>
              <w:rPr>
                <w:rFonts w:hint="eastAsia"/>
                <w:sz w:val="24"/>
                <w:szCs w:val="24"/>
              </w:rPr>
              <w:t xml:space="preserve">5</w:t>
            </w:r>
            <w:r>
              <w:rPr>
                <w:sz w:val="24"/>
                <w:szCs w:val="24"/>
              </w:rPr>
              <w:t xml:space="preserve">分。扣完为止。</w:t>
            </w:r>
            <w:r/>
          </w:p>
          <w:p>
            <w:pPr>
              <w:spacing w:line="360" w:lineRule="auto"/>
              <w:rPr>
                <w:sz w:val="24"/>
                <w:szCs w:val="24"/>
              </w:rPr>
            </w:pPr>
            <w:r>
              <w:rPr>
                <w:sz w:val="24"/>
                <w:szCs w:val="24"/>
              </w:rPr>
              <w:t xml:space="preserve">注：1、对于标注“▲”的重要技术参数</w:t>
            </w:r>
            <w:r>
              <w:rPr>
                <w:rFonts w:hint="eastAsia"/>
                <w:sz w:val="24"/>
                <w:szCs w:val="24"/>
              </w:rPr>
              <w:t xml:space="preserve">中需要提供检测报告的</w:t>
            </w:r>
            <w:r>
              <w:rPr>
                <w:sz w:val="24"/>
                <w:szCs w:val="24"/>
              </w:rPr>
              <w:t xml:space="preserve">，投标人须提供具备资质</w:t>
            </w:r>
            <w:r>
              <w:rPr>
                <w:rFonts w:hint="eastAsia"/>
                <w:sz w:val="24"/>
                <w:szCs w:val="24"/>
              </w:rPr>
              <w:t xml:space="preserve">的</w:t>
            </w:r>
            <w:r>
              <w:rPr>
                <w:sz w:val="24"/>
                <w:szCs w:val="24"/>
              </w:rPr>
              <w:t xml:space="preserve">权威机构出具的产品检测报告扫描件</w:t>
            </w:r>
            <w:r>
              <w:rPr>
                <w:rFonts w:hint="eastAsia"/>
                <w:sz w:val="24"/>
                <w:szCs w:val="24"/>
              </w:rPr>
              <w:t xml:space="preserve">，</w:t>
            </w:r>
            <w:r>
              <w:rPr>
                <w:sz w:val="24"/>
                <w:szCs w:val="24"/>
              </w:rPr>
              <w:t xml:space="preserve">且检测内容须与招标要求一致，</w:t>
            </w:r>
            <w:r>
              <w:rPr>
                <w:rFonts w:hint="eastAsia"/>
                <w:sz w:val="24"/>
                <w:szCs w:val="24"/>
              </w:rPr>
              <w:t xml:space="preserve">不提供</w:t>
            </w:r>
            <w:r>
              <w:rPr>
                <w:sz w:val="24"/>
                <w:szCs w:val="24"/>
              </w:rPr>
              <w:t xml:space="preserve">报告</w:t>
            </w:r>
            <w:r>
              <w:rPr>
                <w:rFonts w:hint="eastAsia"/>
                <w:sz w:val="24"/>
                <w:szCs w:val="24"/>
              </w:rPr>
              <w:t xml:space="preserve">按</w:t>
            </w:r>
            <w:r>
              <w:rPr>
                <w:sz w:val="24"/>
                <w:szCs w:val="24"/>
              </w:rPr>
              <w:t xml:space="preserve">要求扣分。</w:t>
            </w:r>
            <w:r>
              <w:rPr>
                <w:rFonts w:hint="eastAsia"/>
                <w:sz w:val="24"/>
                <w:szCs w:val="24"/>
              </w:rPr>
              <w:t xml:space="preserve">“▲”</w:t>
            </w:r>
            <w:r>
              <w:rPr>
                <w:sz w:val="24"/>
                <w:szCs w:val="24"/>
              </w:rPr>
              <w:t xml:space="preserve">需要提供证书的，</w:t>
            </w:r>
            <w:r>
              <w:rPr>
                <w:rFonts w:hint="eastAsia"/>
                <w:sz w:val="24"/>
                <w:szCs w:val="24"/>
              </w:rPr>
              <w:t xml:space="preserve">投标人须提供相关证书的原件复印件，不提供证书按要求扣分。</w:t>
            </w:r>
            <w:r/>
          </w:p>
        </w:tc>
      </w:tr>
      <w:tr>
        <w:trPr>
          <w:jc w:val="center"/>
          <w:trHeight w:val="20"/>
        </w:trPr>
        <w:tc>
          <w:tcPr>
            <w:tcBorders>
              <w:left w:val="single" w:color="auto" w:sz="4" w:space="0"/>
            </w:tcBorders>
            <w:tcW w:w="837" w:type="pct"/>
            <w:vAlign w:val="center"/>
            <w:textDirection w:val="lrTb"/>
            <w:noWrap w:val="false"/>
          </w:tcPr>
          <w:p>
            <w:pPr>
              <w:jc w:val="center"/>
              <w:spacing w:line="360" w:lineRule="auto"/>
              <w:rPr>
                <w:rFonts w:ascii="宋体" w:hAnsi="宋体" w:cs="宋体"/>
                <w:sz w:val="24"/>
                <w:szCs w:val="24"/>
              </w:rPr>
            </w:pPr>
            <w:r>
              <w:rPr>
                <w:sz w:val="24"/>
                <w:szCs w:val="24"/>
              </w:rPr>
              <w:t xml:space="preserve">建设方案</w:t>
            </w:r>
            <w:r>
              <w:rPr>
                <w:rFonts w:hint="eastAsia"/>
                <w:sz w:val="24"/>
                <w:szCs w:val="24"/>
              </w:rPr>
              <w:t xml:space="preserve">      （5分）</w:t>
            </w:r>
            <w:r/>
          </w:p>
        </w:tc>
        <w:tc>
          <w:tcPr>
            <w:tcBorders>
              <w:top w:val="single" w:color="auto" w:sz="4" w:space="0"/>
              <w:right w:val="single" w:color="auto" w:sz="4" w:space="0"/>
            </w:tcBorders>
            <w:tcW w:w="4162"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投标人须基于项目采购需求，提供对本项目的理解及总体建设方案，方案内容包括但不限于：①对采购需求中全部核心要点的准确理解；②能精准关联和解读采购所需的技术需求；③对项目建设目标阐述逻辑清晰且具有持续性；④总体实施架构设计合理，层级分工明确；⑤项目建设内容详实，方案专业性强，能有效响应项目需求。</w:t>
            </w:r>
            <w:r/>
          </w:p>
          <w:p>
            <w:pPr>
              <w:spacing w:line="360" w:lineRule="auto"/>
              <w:rPr>
                <w:rFonts w:ascii="宋体" w:hAnsi="宋体" w:cs="宋体"/>
                <w:sz w:val="24"/>
              </w:rPr>
            </w:pPr>
            <w:r>
              <w:rPr>
                <w:rFonts w:hint="eastAsia" w:ascii="宋体" w:hAnsi="宋体" w:cs="宋体"/>
                <w:sz w:val="24"/>
              </w:rPr>
              <w:t xml:space="preserve">方案内容描述详细全面得5分，每有一项内容缺失的扣1分；每有一项内容存在缺陷或不满足要求的扣0.5分，扣完为止。</w:t>
            </w:r>
            <w:r/>
          </w:p>
          <w:p>
            <w:pPr>
              <w:spacing w:line="360" w:lineRule="auto"/>
              <w:rPr>
                <w:rFonts w:ascii="宋体" w:hAnsi="宋体" w:cs="宋体"/>
                <w:sz w:val="24"/>
                <w:szCs w:val="24"/>
              </w:rPr>
            </w:pPr>
            <w:r>
              <w:rPr>
                <w:rFonts w:hint="eastAsia" w:ascii="宋体" w:hAnsi="宋体" w:cs="宋体"/>
                <w:sz w:val="24"/>
              </w:rPr>
              <w:t xml:space="preserve">（缺陷或不满足指：内容不全面、与实际需求不符、内容不清晰或交叉混乱、有规范性或常识性错误、存在无关的事项、存在不可能实现的夸大情形等任意一种情形）</w:t>
            </w:r>
            <w:r/>
          </w:p>
        </w:tc>
      </w:tr>
      <w:tr>
        <w:trPr>
          <w:jc w:val="center"/>
          <w:trHeight w:val="20"/>
        </w:trPr>
        <w:tc>
          <w:tcPr>
            <w:tcBorders>
              <w:left w:val="single" w:color="auto" w:sz="4" w:space="0"/>
            </w:tcBorders>
            <w:tcW w:w="837" w:type="pct"/>
            <w:vAlign w:val="center"/>
            <w:textDirection w:val="lrTb"/>
            <w:noWrap w:val="false"/>
          </w:tcPr>
          <w:p>
            <w:pPr>
              <w:jc w:val="center"/>
              <w:spacing w:line="360" w:lineRule="auto"/>
              <w:rPr>
                <w:rFonts w:ascii="宋体" w:hAnsi="宋体" w:cs="宋体"/>
                <w:sz w:val="24"/>
                <w:szCs w:val="24"/>
              </w:rPr>
            </w:pPr>
            <w:r>
              <w:rPr>
                <w:sz w:val="24"/>
                <w:szCs w:val="24"/>
              </w:rPr>
              <w:t xml:space="preserve">实施方案</w:t>
            </w:r>
            <w:r>
              <w:rPr>
                <w:rFonts w:hint="eastAsia"/>
                <w:sz w:val="24"/>
                <w:szCs w:val="24"/>
              </w:rPr>
              <w:t xml:space="preserve">      （5分）</w:t>
            </w:r>
            <w:r/>
          </w:p>
        </w:tc>
        <w:tc>
          <w:tcPr>
            <w:tcBorders>
              <w:top w:val="single" w:color="auto" w:sz="4" w:space="0"/>
              <w:right w:val="single" w:color="auto" w:sz="4" w:space="0"/>
            </w:tcBorders>
            <w:tcW w:w="4162"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根据投标人提供给的项目组织实施方案，包括但不限于：①项目进度管理依据合理；②进度计划安排明确、衔接流畅且具有风险管理意识；③项目质量目标清晰，④项目质量保证和管理体系完整、流程顺畅、质量可监督；⑤项目团队管理措施合理且能考量人员稳定性。</w:t>
            </w:r>
            <w:r/>
          </w:p>
          <w:p>
            <w:pPr>
              <w:spacing w:line="360" w:lineRule="auto"/>
              <w:rPr>
                <w:rFonts w:ascii="宋体" w:hAnsi="宋体" w:cs="宋体"/>
                <w:sz w:val="24"/>
              </w:rPr>
            </w:pPr>
            <w:r>
              <w:rPr>
                <w:rFonts w:hint="eastAsia" w:ascii="宋体" w:hAnsi="宋体" w:cs="宋体"/>
                <w:sz w:val="24"/>
              </w:rPr>
              <w:t xml:space="preserve">方案内容描述详细全面得5分，每有一项内容缺失的扣1分；每有一项内容存在缺陷或不满足要求的扣0.5分，扣完为止。</w:t>
            </w:r>
            <w:r/>
          </w:p>
          <w:p>
            <w:pPr>
              <w:spacing w:line="360" w:lineRule="auto"/>
              <w:rPr>
                <w:rFonts w:ascii="宋体" w:hAnsi="宋体" w:cs="宋体"/>
                <w:sz w:val="24"/>
                <w:szCs w:val="24"/>
              </w:rPr>
            </w:pPr>
            <w:r>
              <w:rPr>
                <w:rFonts w:hint="eastAsia" w:ascii="宋体" w:hAnsi="宋体" w:cs="宋体"/>
                <w:sz w:val="24"/>
              </w:rPr>
              <w:t xml:space="preserve">（缺陷或不满足指：内容不全面、与实际需求不符、内容不清晰或交叉混乱、有规范性或常识性错误、存在无关的事项、存在不可能实现的夸大情形等任意一种情形）</w:t>
            </w:r>
            <w:r/>
          </w:p>
        </w:tc>
      </w:tr>
      <w:tr>
        <w:trPr>
          <w:jc w:val="center"/>
          <w:trHeight w:val="20"/>
        </w:trPr>
        <w:tc>
          <w:tcPr>
            <w:tcBorders>
              <w:left w:val="single" w:color="auto" w:sz="4" w:space="0"/>
            </w:tcBorders>
            <w:tcW w:w="837" w:type="pct"/>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sz w:val="24"/>
                <w:szCs w:val="24"/>
              </w:rPr>
              <w:t xml:space="preserve">培训方案</w:t>
            </w:r>
            <w:r>
              <w:rPr>
                <w:rFonts w:hint="eastAsia"/>
                <w:sz w:val="24"/>
                <w:szCs w:val="24"/>
              </w:rPr>
              <w:t xml:space="preserve">      （4分）</w:t>
            </w:r>
            <w:r/>
          </w:p>
        </w:tc>
        <w:tc>
          <w:tcPr>
            <w:tcBorders>
              <w:top w:val="single" w:color="auto" w:sz="4" w:space="0"/>
              <w:right w:val="single" w:color="auto" w:sz="4" w:space="0"/>
            </w:tcBorders>
            <w:tcW w:w="4162"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根据各投标人的培训方案进行综合评审，包括：①培训总体计划与目标②培训人员安排③培训课程安排④培训质量保证等进行综合评价。方案内容描述详细全面得4分，每有一项内容缺失的扣1分；每有一项内容存在缺陷或不满足要求的扣0.5分，扣完为止。</w:t>
            </w:r>
            <w:r/>
          </w:p>
          <w:p>
            <w:pP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sz w:val="24"/>
              </w:rPr>
              <w:t xml:space="preserve">（缺陷或不满足指：内容不全面、与实际需求不符、内容不清晰或交叉混乱、有规范性或常识性错误、存在无关的事项、存在不可能实现的夸大情形等任意一种情形）</w:t>
            </w:r>
            <w:r/>
          </w:p>
        </w:tc>
      </w:tr>
      <w:tr>
        <w:trPr>
          <w:jc w:val="center"/>
          <w:trHeight w:val="20"/>
        </w:trPr>
        <w:tc>
          <w:tcPr>
            <w:tcBorders>
              <w:left w:val="single" w:color="auto" w:sz="4" w:space="0"/>
            </w:tcBorders>
            <w:tcW w:w="837" w:type="pct"/>
            <w:vAlign w:val="center"/>
            <w:textDirection w:val="lrTb"/>
            <w:noWrap w:val="false"/>
          </w:tcPr>
          <w:p>
            <w:pPr>
              <w:jc w:val="center"/>
              <w:spacing w:line="360" w:lineRule="auto"/>
              <w:rPr>
                <w:rFonts w:ascii="宋体" w:hAnsi="宋体" w:cs="宋体"/>
                <w:color w:val="000000"/>
                <w:sz w:val="24"/>
                <w:szCs w:val="24"/>
              </w:rPr>
            </w:pPr>
            <w:r>
              <w:rPr>
                <w:sz w:val="24"/>
                <w:szCs w:val="24"/>
              </w:rPr>
              <w:t xml:space="preserve">售后服务方案</w:t>
            </w:r>
            <w:r>
              <w:rPr>
                <w:rFonts w:hint="eastAsia"/>
                <w:sz w:val="24"/>
                <w:szCs w:val="24"/>
              </w:rPr>
              <w:t xml:space="preserve">（4分）</w:t>
            </w:r>
            <w:r/>
          </w:p>
        </w:tc>
        <w:tc>
          <w:tcPr>
            <w:tcW w:w="4162"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根据各投标人的售后服务方案进行综合评审，包括：①售后服务承诺②响应速度与人员配备③解决问题能力④紧急故障处理预案。方案内容描述详细全面得4分，每有一项内容缺失的扣1分；每有一项内容存在缺陷或不满足要求的扣0.5分，扣完为止。</w:t>
            </w:r>
            <w:r/>
          </w:p>
          <w:p>
            <w:pPr>
              <w:spacing w:line="360" w:lineRule="auto"/>
              <w:rPr>
                <w:rFonts w:ascii="宋体" w:hAnsi="宋体" w:cs="宋体"/>
                <w:bCs/>
                <w:sz w:val="24"/>
                <w:szCs w:val="24"/>
              </w:rPr>
            </w:pPr>
            <w:r>
              <w:rPr>
                <w:rFonts w:hint="eastAsia" w:ascii="宋体" w:hAnsi="宋体" w:cs="宋体"/>
                <w:sz w:val="24"/>
              </w:rPr>
              <w:t xml:space="preserve">（缺陷或不满足指：内容不全面、与实际需求不符、内容不清晰或交叉混乱、有规范性或常识性错误、存在无关的事项、存在不可能实现的夸大情形等任意一种情形）</w:t>
            </w:r>
            <w:r/>
          </w:p>
        </w:tc>
      </w:tr>
    </w:tbl>
    <w:p>
      <w:pPr>
        <w:pStyle w:val="778"/>
        <w:rPr>
          <w:rFonts w:hint="default"/>
          <w:lang w:val="en-US" w:eastAsia="zh-CN"/>
        </w:rPr>
      </w:pPr>
      <w:r>
        <w:rPr>
          <w:rFonts w:hint="default"/>
          <w:lang w:val="en-US" w:eastAsia="zh-CN"/>
        </w:rPr>
      </w:r>
      <w:r/>
    </w:p>
    <w:p>
      <w:pPr>
        <w:pStyle w:val="803"/>
        <w:ind w:left="0"/>
        <w:rPr>
          <w:rFonts w:hint="eastAsia" w:ascii="宋体" w:hAnsi="宋体" w:cs="宋体"/>
          <w:b/>
          <w:bCs/>
          <w:color w:val="000000" w:themeColor="text1"/>
          <w:sz w:val="24"/>
          <w:szCs w:val="24"/>
          <w:lang w:val="en-US" w:eastAsia="zh-CN"/>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000000" w:themeColor="text1"/>
          <w:sz w:val="24"/>
          <w:szCs w:val="24"/>
          <w:lang w:val="en-US" w:eastAsia="zh-CN"/>
          <w14:textFill>
            <w14:solidFill>
              <w14:schemeClr w14:val="tx1"/>
            </w14:solidFill>
          </w14:textFill>
        </w:rPr>
      </w:r>
      <w:r/>
    </w:p>
    <w:p>
      <w:pPr>
        <w:pStyle w:val="803"/>
        <w:ind w:left="0"/>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采购包2-4：</w:t>
      </w:r>
      <w:r/>
    </w:p>
    <w:tbl>
      <w:tblPr>
        <w:tblStyle w:val="739"/>
        <w:tblW w:w="5233"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742"/>
        <w:gridCol w:w="7171"/>
      </w:tblGrid>
      <w:tr>
        <w:trPr>
          <w:jc w:val="center"/>
          <w:trHeight w:val="490"/>
        </w:trPr>
        <w:tc>
          <w:tcPr>
            <w:tcBorders>
              <w:top w:val="single" w:color="auto" w:sz="4" w:space="0"/>
              <w:right w:val="single" w:color="auto" w:sz="4" w:space="0"/>
            </w:tcBorders>
            <w:tcW w:w="977" w:type="pct"/>
            <w:vAlign w:val="center"/>
            <w:textDirection w:val="lrTb"/>
            <w:noWrap w:val="false"/>
          </w:tcPr>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评审因素</w:t>
            </w:r>
            <w:r/>
          </w:p>
        </w:tc>
        <w:tc>
          <w:tcPr>
            <w:tcBorders>
              <w:top w:val="single" w:color="auto" w:sz="4" w:space="0"/>
              <w:left w:val="single" w:color="auto" w:sz="4" w:space="0"/>
            </w:tcBorders>
            <w:tcW w:w="4022" w:type="pct"/>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bCs/>
                <w:color w:val="000000" w:themeColor="text1"/>
                <w:sz w:val="24"/>
                <w:szCs w:val="24"/>
                <w14:textFill>
                  <w14:solidFill>
                    <w14:schemeClr w14:val="tx1"/>
                  </w14:solidFill>
                </w14:textFill>
              </w:rPr>
              <w:t xml:space="preserve">评审内容及分值</w:t>
            </w:r>
            <w:r/>
          </w:p>
        </w:tc>
      </w:tr>
      <w:tr>
        <w:trPr>
          <w:jc w:val="center"/>
        </w:trPr>
        <w:tc>
          <w:tcPr>
            <w:tcBorders>
              <w:left w:val="single" w:color="auto" w:sz="4" w:space="0"/>
            </w:tcBorders>
            <w:tcW w:w="977" w:type="pct"/>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themeColor="text1"/>
                <w:sz w:val="24"/>
                <w:szCs w:val="24"/>
                <w14:textFill>
                  <w14:solidFill>
                    <w14:schemeClr w14:val="tx1"/>
                  </w14:solidFill>
                </w14:textFill>
              </w:rPr>
              <w:t xml:space="preserve">价格</w:t>
            </w:r>
            <w:r/>
          </w:p>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themeColor="text1"/>
                <w:sz w:val="24"/>
                <w:szCs w:val="24"/>
                <w14:textFill>
                  <w14:solidFill>
                    <w14:schemeClr w14:val="tx1"/>
                  </w14:solidFill>
                </w14:textFill>
              </w:rPr>
              <w:t xml:space="preserve">（30分）</w:t>
            </w:r>
            <w:r/>
          </w:p>
        </w:tc>
        <w:tc>
          <w:tcPr>
            <w:tcBorders>
              <w:bottom w:val="single" w:color="auto" w:sz="4" w:space="0"/>
              <w:right w:val="single" w:color="auto" w:sz="4" w:space="0"/>
            </w:tcBorders>
            <w:tcW w:w="4022" w:type="pct"/>
            <w:vAlign w:val="center"/>
            <w:textDirection w:val="lrTb"/>
            <w:noWrap w:val="false"/>
          </w:tcPr>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themeColor="text1"/>
                <w:sz w:val="24"/>
                <w:szCs w:val="24"/>
                <w14:textFill>
                  <w14:solidFill>
                    <w14:schemeClr w14:val="tx1"/>
                  </w14:solidFill>
                </w14:textFill>
              </w:rPr>
              <w:t xml:space="preserve">价格分采用低价优先法计算，即满足招标文件要求且投标价格最低的投标报价为评标基准价，其价格分为满分。</w:t>
            </w:r>
            <w:r/>
          </w:p>
          <w:p>
            <w:pPr>
              <w:spacing w:line="400" w:lineRule="exact"/>
              <w:rPr>
                <w:rFonts w:hint="eastAsia" w:ascii="宋体" w:hAnsi="宋体" w:eastAsia="宋体" w:cs="宋体"/>
                <w:color w:val="000000"/>
                <w:sz w:val="24"/>
                <w:szCs w:val="24"/>
              </w:rPr>
            </w:pPr>
            <w:r>
              <w:rPr>
                <w:rFonts w:hint="eastAsia" w:ascii="宋体" w:hAnsi="宋体" w:eastAsia="宋体" w:cs="宋体"/>
                <w:bCs/>
                <w:color w:val="000000" w:themeColor="text1"/>
                <w:sz w:val="24"/>
                <w:szCs w:val="24"/>
                <w14:textFill>
                  <w14:solidFill>
                    <w14:schemeClr w14:val="tx1"/>
                  </w14:solidFill>
                </w14:textFill>
              </w:rPr>
              <w:t xml:space="preserve">投标人投标报价得分=（评标基准价/投标报价）×30，得分按四舍五入取至小数点后两位。</w:t>
            </w:r>
            <w:r/>
          </w:p>
        </w:tc>
      </w:tr>
      <w:tr>
        <w:trPr>
          <w:jc w:val="center"/>
        </w:trPr>
        <w:tc>
          <w:tcPr>
            <w:tcBorders>
              <w:left w:val="single" w:color="auto" w:sz="4" w:space="0"/>
            </w:tcBorders>
            <w:tcW w:w="977"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业绩</w:t>
            </w:r>
            <w:r/>
          </w:p>
          <w:p>
            <w:pPr>
              <w:jc w:val="center"/>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themeColor="text1"/>
                <w:sz w:val="24"/>
                <w:szCs w:val="24"/>
                <w14:textFill>
                  <w14:solidFill>
                    <w14:schemeClr w14:val="tx1"/>
                  </w14:solidFill>
                </w14:textFill>
              </w:rPr>
              <w:t xml:space="preserve">（4分）</w:t>
            </w:r>
            <w:r/>
          </w:p>
        </w:tc>
        <w:tc>
          <w:tcPr>
            <w:tcBorders>
              <w:bottom w:val="single" w:color="auto" w:sz="4" w:space="0"/>
              <w:right w:val="single" w:color="auto" w:sz="4" w:space="0"/>
            </w:tcBorders>
            <w:tcW w:w="4022" w:type="pct"/>
            <w:vAlign w:val="center"/>
            <w:textDirection w:val="lrTb"/>
            <w:noWrap w:val="false"/>
          </w:tcPr>
          <w:p>
            <w:pPr>
              <w:spacing w:line="400" w:lineRule="exac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提供</w:t>
            </w:r>
            <w:r>
              <w:rPr>
                <w:rFonts w:hint="eastAsia" w:ascii="宋体" w:hAnsi="宋体" w:eastAsia="宋体" w:cs="宋体"/>
                <w:bCs/>
                <w:color w:val="000000" w:themeColor="text1"/>
                <w:sz w:val="24"/>
                <w:szCs w:val="24"/>
                <w:lang w:eastAsia="zh-CN"/>
                <w14:textFill>
                  <w14:solidFill>
                    <w14:schemeClr w14:val="tx1"/>
                  </w14:solidFill>
                </w14:textFill>
              </w:rPr>
              <w:t xml:space="preserve">自</w:t>
            </w:r>
            <w:r>
              <w:rPr>
                <w:rFonts w:hint="eastAsia" w:ascii="宋体" w:hAnsi="宋体" w:eastAsia="宋体" w:cs="宋体"/>
                <w:bCs/>
                <w:color w:val="000000" w:themeColor="text1"/>
                <w:sz w:val="24"/>
                <w:szCs w:val="24"/>
                <w:lang w:val="en-US" w:eastAsia="zh-CN"/>
                <w14:textFill>
                  <w14:solidFill>
                    <w14:schemeClr w14:val="tx1"/>
                  </w14:solidFill>
                </w14:textFill>
              </w:rPr>
              <w:t xml:space="preserve">202</w:t>
            </w:r>
            <w:r>
              <w:rPr>
                <w:rFonts w:hint="eastAsia" w:ascii="宋体" w:hAnsi="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lang w:val="en-US" w:eastAsia="zh-CN"/>
                <w14:textFill>
                  <w14:solidFill>
                    <w14:schemeClr w14:val="tx1"/>
                  </w14:solidFill>
                </w14:textFill>
              </w:rPr>
              <w:t xml:space="preserve">年</w:t>
            </w:r>
            <w:r>
              <w:rPr>
                <w:rFonts w:hint="eastAsia" w:ascii="宋体" w:hAnsi="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lang w:val="en-US" w:eastAsia="zh-CN"/>
                <w14:textFill>
                  <w14:solidFill>
                    <w14:schemeClr w14:val="tx1"/>
                  </w14:solidFill>
                </w14:textFill>
              </w:rPr>
              <w:t xml:space="preserve">月1日至今与本项目</w:t>
            </w:r>
            <w:r>
              <w:rPr>
                <w:rFonts w:hint="eastAsia" w:ascii="宋体" w:hAnsi="宋体" w:eastAsia="宋体" w:cs="宋体"/>
                <w:bCs/>
                <w:color w:val="000000" w:themeColor="text1"/>
                <w:sz w:val="24"/>
                <w:szCs w:val="24"/>
                <w14:textFill>
                  <w14:solidFill>
                    <w14:schemeClr w14:val="tx1"/>
                  </w14:solidFill>
                </w14:textFill>
              </w:rPr>
              <w:t xml:space="preserve">类似业绩合同，</w:t>
            </w:r>
            <w:r>
              <w:rPr>
                <w:rFonts w:hint="eastAsia" w:ascii="宋体" w:hAnsi="宋体" w:eastAsia="宋体" w:cs="宋体"/>
                <w:bCs/>
                <w:color w:val="000000" w:themeColor="text1"/>
                <w:sz w:val="24"/>
                <w:szCs w:val="24"/>
                <w:lang w:eastAsia="zh-CN"/>
                <w14:textFill>
                  <w14:solidFill>
                    <w14:schemeClr w14:val="tx1"/>
                  </w14:solidFill>
                </w14:textFill>
              </w:rPr>
              <w:t xml:space="preserve">以合同签订时间为准，</w:t>
            </w:r>
            <w:r>
              <w:rPr>
                <w:rFonts w:hint="eastAsia" w:ascii="宋体" w:hAnsi="宋体" w:eastAsia="宋体" w:cs="宋体"/>
                <w:bCs/>
                <w:color w:val="000000" w:themeColor="text1"/>
                <w:sz w:val="24"/>
                <w:szCs w:val="24"/>
                <w14:textFill>
                  <w14:solidFill>
                    <w14:schemeClr w14:val="tx1"/>
                  </w14:solidFill>
                </w14:textFill>
              </w:rPr>
              <w:t xml:space="preserve">每提供一份得2分，本项最多得4分</w:t>
            </w:r>
            <w:r>
              <w:rPr>
                <w:rFonts w:hint="eastAsia" w:ascii="宋体" w:hAnsi="宋体" w:eastAsia="宋体" w:cs="宋体"/>
                <w:bCs/>
                <w:color w:val="000000" w:themeColor="text1"/>
                <w:sz w:val="24"/>
                <w:szCs w:val="24"/>
                <w:lang w:eastAsia="zh-CN"/>
                <w14:textFill>
                  <w14:solidFill>
                    <w14:schemeClr w14:val="tx1"/>
                  </w14:solidFill>
                </w14:textFill>
              </w:rPr>
              <w:t xml:space="preserve">。</w:t>
            </w:r>
            <w:r/>
          </w:p>
          <w:p>
            <w:pPr>
              <w:spacing w:line="400" w:lineRule="exact"/>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注：提供合同扫描件加盖电子签章，未提供不得分。</w:t>
            </w:r>
            <w:r/>
          </w:p>
        </w:tc>
      </w:tr>
      <w:tr>
        <w:trPr>
          <w:jc w:val="center"/>
        </w:trPr>
        <w:tc>
          <w:tcPr>
            <w:tcBorders>
              <w:left w:val="single" w:color="auto" w:sz="4" w:space="0"/>
            </w:tcBorders>
            <w:tcW w:w="977" w:type="pct"/>
            <w:vAlign w:val="center"/>
            <w:textDirection w:val="lrTb"/>
            <w:noWrap w:val="false"/>
          </w:tcPr>
          <w:p>
            <w:pPr>
              <w:jc w:val="center"/>
              <w:spacing w:line="40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企业资信</w:t>
            </w:r>
            <w:r/>
          </w:p>
          <w:p>
            <w:pPr>
              <w:jc w:val="center"/>
              <w:spacing w:line="400" w:lineRule="exact"/>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分）</w:t>
            </w:r>
            <w:r/>
          </w:p>
        </w:tc>
        <w:tc>
          <w:tcPr>
            <w:tcBorders>
              <w:bottom w:val="single" w:color="auto" w:sz="4" w:space="0"/>
              <w:right w:val="single" w:color="auto" w:sz="4" w:space="0"/>
            </w:tcBorders>
            <w:tcW w:w="4022" w:type="pct"/>
            <w:vAlign w:val="center"/>
            <w:textDirection w:val="lrTb"/>
            <w:noWrap w:val="false"/>
          </w:tcPr>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themeColor="text1"/>
                <w:sz w:val="24"/>
                <w:szCs w:val="24"/>
                <w14:textFill>
                  <w14:solidFill>
                    <w14:schemeClr w14:val="tx1"/>
                  </w14:solidFill>
                </w14:textFill>
              </w:rPr>
              <w:t xml:space="preserve">提供</w:t>
            </w:r>
            <w:r>
              <w:rPr>
                <w:rFonts w:hint="eastAsia" w:ascii="宋体" w:hAnsi="宋体" w:cs="宋体"/>
                <w:bCs/>
                <w:color w:val="000000" w:themeColor="text1"/>
                <w:sz w:val="24"/>
                <w:szCs w:val="24"/>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14:textFill>
                  <w14:solidFill>
                    <w14:schemeClr w14:val="tx1"/>
                  </w14:solidFill>
                </w14:textFill>
              </w:rPr>
              <w:t xml:space="preserve">质量管理体系认证证书，得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分；</w:t>
            </w:r>
            <w:r/>
          </w:p>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themeColor="text1"/>
                <w:sz w:val="24"/>
                <w:szCs w:val="24"/>
                <w14:textFill>
                  <w14:solidFill>
                    <w14:schemeClr w14:val="tx1"/>
                  </w14:solidFill>
                </w14:textFill>
              </w:rPr>
              <w:t xml:space="preserve">提供</w:t>
            </w:r>
            <w:r>
              <w:rPr>
                <w:rFonts w:hint="eastAsia" w:ascii="宋体" w:hAnsi="宋体" w:cs="宋体"/>
                <w:bCs/>
                <w:color w:val="000000" w:themeColor="text1"/>
                <w:sz w:val="24"/>
                <w:szCs w:val="24"/>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14:textFill>
                  <w14:solidFill>
                    <w14:schemeClr w14:val="tx1"/>
                  </w14:solidFill>
                </w14:textFill>
              </w:rPr>
              <w:t xml:space="preserve">环境管理体系认证证书，得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分；</w:t>
            </w:r>
            <w:r/>
          </w:p>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themeColor="text1"/>
                <w:sz w:val="24"/>
                <w:szCs w:val="24"/>
                <w14:textFill>
                  <w14:solidFill>
                    <w14:schemeClr w14:val="tx1"/>
                  </w14:solidFill>
                </w14:textFill>
              </w:rPr>
              <w:t xml:space="preserve">提供</w:t>
            </w:r>
            <w:r>
              <w:rPr>
                <w:rFonts w:hint="eastAsia" w:ascii="宋体" w:hAnsi="宋体" w:cs="宋体"/>
                <w:bCs/>
                <w:color w:val="000000" w:themeColor="text1"/>
                <w:sz w:val="24"/>
                <w:szCs w:val="24"/>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14:textFill>
                  <w14:solidFill>
                    <w14:schemeClr w14:val="tx1"/>
                  </w14:solidFill>
                </w14:textFill>
              </w:rPr>
              <w:t xml:space="preserve">职业健康安全管理体系认证证书</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分</w:t>
            </w:r>
            <w:r>
              <w:rPr>
                <w:rFonts w:hint="eastAsia" w:ascii="宋体" w:hAnsi="宋体" w:eastAsia="宋体" w:cs="宋体"/>
                <w:bCs/>
                <w:color w:val="000000" w:themeColor="text1"/>
                <w:sz w:val="24"/>
                <w:szCs w:val="24"/>
                <w:lang w:eastAsia="zh-CN"/>
                <w14:textFill>
                  <w14:solidFill>
                    <w14:schemeClr w14:val="tx1"/>
                  </w14:solidFill>
                </w14:textFill>
              </w:rPr>
              <w:t xml:space="preserve">；</w:t>
            </w:r>
            <w:r/>
          </w:p>
          <w:p>
            <w:pPr>
              <w:spacing w:line="400" w:lineRule="exact"/>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注：投标文件中提供证书扫描件并加盖电子签章，</w:t>
            </w:r>
            <w:r>
              <w:rPr>
                <w:rFonts w:hint="eastAsia" w:ascii="宋体" w:hAnsi="宋体" w:eastAsia="宋体" w:cs="宋体"/>
                <w:bCs/>
                <w:color w:val="000000" w:themeColor="text1"/>
                <w:sz w:val="24"/>
                <w:szCs w:val="24"/>
                <w:lang w:eastAsia="zh-CN"/>
                <w14:textFill>
                  <w14:solidFill>
                    <w14:schemeClr w14:val="tx1"/>
                  </w14:solidFill>
                </w14:textFill>
              </w:rPr>
              <w:t xml:space="preserve">未</w:t>
            </w:r>
            <w:r>
              <w:rPr>
                <w:rFonts w:hint="eastAsia" w:ascii="宋体" w:hAnsi="宋体" w:eastAsia="宋体" w:cs="宋体"/>
                <w:bCs/>
                <w:color w:val="000000" w:themeColor="text1"/>
                <w:sz w:val="24"/>
                <w:szCs w:val="24"/>
                <w14:textFill>
                  <w14:solidFill>
                    <w14:schemeClr w14:val="tx1"/>
                  </w14:solidFill>
                </w14:textFill>
              </w:rPr>
              <w:t xml:space="preserve">提供不得分。</w:t>
            </w:r>
            <w:r/>
          </w:p>
        </w:tc>
      </w:tr>
      <w:tr>
        <w:trPr>
          <w:jc w:val="center"/>
          <w:trHeight w:val="1160"/>
        </w:trPr>
        <w:tc>
          <w:tcPr>
            <w:tcBorders>
              <w:left w:val="single" w:color="auto" w:sz="4" w:space="0"/>
            </w:tcBorders>
            <w:tcW w:w="977" w:type="pct"/>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产品规格</w:t>
            </w:r>
            <w:r>
              <w:rPr>
                <w:rFonts w:hint="eastAsia" w:ascii="宋体" w:hAnsi="宋体" w:eastAsia="宋体" w:cs="宋体"/>
                <w:bCs/>
                <w:color w:val="auto"/>
                <w:sz w:val="24"/>
                <w:szCs w:val="24"/>
                <w:highlight w:val="none"/>
              </w:rPr>
              <w:t xml:space="preserve">参数</w:t>
            </w:r>
            <w:r>
              <w:rPr>
                <w:rFonts w:hint="eastAsia" w:ascii="宋体" w:hAnsi="宋体" w:eastAsia="宋体" w:cs="宋体"/>
                <w:bCs/>
                <w:color w:val="auto"/>
                <w:sz w:val="24"/>
                <w:szCs w:val="24"/>
                <w:highlight w:val="none"/>
                <w:lang w:eastAsia="zh-CN"/>
              </w:rPr>
              <w:t xml:space="preserve">响应</w:t>
            </w:r>
            <w:r/>
          </w:p>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分）</w:t>
            </w:r>
            <w:r/>
          </w:p>
        </w:tc>
        <w:tc>
          <w:tcPr>
            <w:tcBorders>
              <w:top w:val="single" w:color="auto" w:sz="4" w:space="0"/>
              <w:right w:val="single" w:color="auto" w:sz="4" w:space="0"/>
            </w:tcBorders>
            <w:tcW w:w="4022" w:type="pct"/>
            <w:vAlign w:val="center"/>
            <w:textDirection w:val="lrTb"/>
            <w:noWrap w:val="false"/>
          </w:tcPr>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依据投标文件中偏离表、技术规格说明对招标文件《第六章 采购需求》“技术参数”满足程度进行评价。</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全部满足要求得</w:t>
            </w:r>
            <w:r>
              <w:rPr>
                <w:rFonts w:hint="eastAsia" w:ascii="宋体" w:hAnsi="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lang w:eastAsia="zh-CN"/>
              </w:rPr>
              <w:t xml:space="preserve">分，不满足或负偏离每项扣1分，扣完为止；未按招标文件提供证明材料的视为不满足，按扣分处理。</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本项最高得</w:t>
            </w:r>
            <w:r>
              <w:rPr>
                <w:rFonts w:hint="eastAsia" w:ascii="宋体" w:hAnsi="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分，最低得0分。</w:t>
            </w:r>
            <w:r/>
          </w:p>
        </w:tc>
      </w:tr>
      <w:tr>
        <w:trPr>
          <w:jc w:val="center"/>
          <w:trHeight w:val="847"/>
        </w:trPr>
        <w:tc>
          <w:tcPr>
            <w:tcBorders>
              <w:left w:val="single" w:color="auto" w:sz="4" w:space="0"/>
            </w:tcBorders>
            <w:tcW w:w="977" w:type="pct"/>
            <w:vAlign w:val="center"/>
            <w:textDirection w:val="lrTb"/>
            <w:noWrap w:val="false"/>
          </w:tcPr>
          <w:p>
            <w:pPr>
              <w:jc w:val="center"/>
              <w:spacing w:line="4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项目实施方案</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1</w:t>
            </w:r>
            <w:r>
              <w:rPr>
                <w:rFonts w:hint="eastAsia" w:ascii="宋体" w:hAnsi="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rPr>
              <w:t xml:space="preserve">分）</w:t>
            </w:r>
            <w:r/>
          </w:p>
        </w:tc>
        <w:tc>
          <w:tcPr>
            <w:tcBorders>
              <w:top w:val="single" w:color="auto" w:sz="4" w:space="0"/>
              <w:right w:val="single" w:color="auto" w:sz="4" w:space="0"/>
            </w:tcBorders>
            <w:tcW w:w="4022" w:type="pct"/>
            <w:vAlign w:val="center"/>
            <w:textDirection w:val="lrTb"/>
            <w:noWrap w:val="false"/>
          </w:tcPr>
          <w:p>
            <w:pPr>
              <w:spacing w:line="400" w:lineRule="exac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根据投标人提供的项目实施方案包括但不限于实施过程中的生产进度计划、供货方案、应急保障方案、以及运输方案等进行评价：</w:t>
            </w:r>
            <w:r/>
          </w:p>
          <w:p>
            <w:pPr>
              <w:spacing w:line="400" w:lineRule="exac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全面性（5分）：全面具体详实、明确合理得5分；较全面合理得3分；基本具备的得1分；</w:t>
            </w:r>
            <w:r/>
          </w:p>
          <w:p>
            <w:pPr>
              <w:spacing w:line="400" w:lineRule="exac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可行性（</w:t>
            </w:r>
            <w:r>
              <w:rPr>
                <w:rFonts w:hint="eastAsia" w:ascii="宋体" w:hAnsi="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lang w:val="en-US" w:eastAsia="zh-CN"/>
                <w14:textFill>
                  <w14:solidFill>
                    <w14:schemeClr w14:val="tx1"/>
                  </w14:solidFill>
                </w14:textFill>
              </w:rPr>
              <w:t xml:space="preserve">分）：切实可行得</w:t>
            </w:r>
            <w:r>
              <w:rPr>
                <w:rFonts w:hint="eastAsia" w:ascii="宋体" w:hAnsi="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lang w:val="en-US" w:eastAsia="zh-CN"/>
                <w14:textFill>
                  <w14:solidFill>
                    <w14:schemeClr w14:val="tx1"/>
                  </w14:solidFill>
                </w14:textFill>
              </w:rPr>
              <w:t xml:space="preserve">分；较切实可行得</w:t>
            </w:r>
            <w:r>
              <w:rPr>
                <w:rFonts w:hint="eastAsia" w:ascii="宋体" w:hAnsi="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lang w:val="en-US" w:eastAsia="zh-CN"/>
                <w14:textFill>
                  <w14:solidFill>
                    <w14:schemeClr w14:val="tx1"/>
                  </w14:solidFill>
                </w14:textFill>
              </w:rPr>
              <w:t xml:space="preserve">分；可行性欠缺得1分；</w:t>
            </w:r>
            <w:r/>
          </w:p>
          <w:p>
            <w:pPr>
              <w:spacing w:line="400" w:lineRule="exac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针对性（</w:t>
            </w:r>
            <w:r>
              <w:rPr>
                <w:rFonts w:hint="eastAsia" w:ascii="宋体" w:hAnsi="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lang w:val="en-US" w:eastAsia="zh-CN"/>
                <w14:textFill>
                  <w14:solidFill>
                    <w14:schemeClr w14:val="tx1"/>
                  </w14:solidFill>
                </w14:textFill>
              </w:rPr>
              <w:t xml:space="preserve">分）：针对性强得</w:t>
            </w:r>
            <w:r>
              <w:rPr>
                <w:rFonts w:hint="eastAsia" w:ascii="宋体" w:hAnsi="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lang w:val="en-US" w:eastAsia="zh-CN"/>
                <w14:textFill>
                  <w14:solidFill>
                    <w14:schemeClr w14:val="tx1"/>
                  </w14:solidFill>
                </w14:textFill>
              </w:rPr>
              <w:t xml:space="preserve">分；针对性较强得</w:t>
            </w:r>
            <w:r>
              <w:rPr>
                <w:rFonts w:hint="eastAsia" w:ascii="宋体" w:hAnsi="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lang w:val="en-US" w:eastAsia="zh-CN"/>
                <w14:textFill>
                  <w14:solidFill>
                    <w14:schemeClr w14:val="tx1"/>
                  </w14:solidFill>
                </w14:textFill>
              </w:rPr>
              <w:t xml:space="preserve">分；针对性差得</w:t>
            </w:r>
            <w:r>
              <w:rPr>
                <w:rFonts w:hint="eastAsia" w:ascii="宋体" w:hAnsi="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lang w:val="en-US" w:eastAsia="zh-CN"/>
                <w14:textFill>
                  <w14:solidFill>
                    <w14:schemeClr w14:val="tx1"/>
                  </w14:solidFill>
                </w14:textFill>
              </w:rPr>
              <w:t xml:space="preserve">分；</w:t>
            </w:r>
            <w:r/>
          </w:p>
          <w:p>
            <w:pPr>
              <w:spacing w:line="400" w:lineRule="exact"/>
              <w:rPr>
                <w:rFonts w:hint="eastAsia" w:ascii="宋体" w:hAnsi="宋体" w:eastAsia="宋体" w:cs="宋体"/>
                <w:b w:val="0"/>
                <w:bCs w:val="0"/>
                <w:color w:val="auto"/>
                <w:sz w:val="24"/>
                <w:szCs w:val="24"/>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未提供的得0分。本项最高得10分，最低得0分。</w:t>
            </w:r>
            <w:r/>
          </w:p>
        </w:tc>
      </w:tr>
      <w:tr>
        <w:trPr>
          <w:jc w:val="center"/>
          <w:trHeight w:val="757"/>
        </w:trPr>
        <w:tc>
          <w:tcPr>
            <w:tcBorders>
              <w:left w:val="single" w:color="auto" w:sz="4" w:space="0"/>
            </w:tcBorders>
            <w:tcW w:w="977" w:type="pct"/>
            <w:vAlign w:val="center"/>
            <w:textDirection w:val="lrTb"/>
            <w:noWrap w:val="false"/>
          </w:tcPr>
          <w:p>
            <w:pPr>
              <w:jc w:val="center"/>
              <w:spacing w:line="40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质量保障措施（1</w:t>
            </w:r>
            <w:r>
              <w:rPr>
                <w:rFonts w:hint="eastAsia" w:ascii="宋体" w:hAnsi="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lang w:val="en-US" w:eastAsia="zh-CN"/>
              </w:rPr>
              <w:t xml:space="preserve">分）</w:t>
            </w:r>
            <w:r/>
          </w:p>
        </w:tc>
        <w:tc>
          <w:tcPr>
            <w:tcBorders>
              <w:top w:val="single" w:color="auto" w:sz="4" w:space="0"/>
              <w:right w:val="single" w:color="auto" w:sz="4" w:space="0"/>
            </w:tcBorders>
            <w:tcW w:w="4022" w:type="pct"/>
            <w:vAlign w:val="center"/>
            <w:textDirection w:val="lrTb"/>
            <w:noWrap w:val="false"/>
          </w:tcPr>
          <w:p>
            <w:pPr>
              <w:jc w:val="left"/>
              <w:spacing w:line="40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根据投标人提供的质量保证措施包含但不限于生产过程的控制、质量的检测、质量保障制度等相关内容进行评价：</w:t>
            </w:r>
            <w:r/>
          </w:p>
          <w:p>
            <w:pPr>
              <w:jc w:val="left"/>
              <w:spacing w:line="40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全面性（5分）：全面具体详实、明确合理得5分；较全面合理得3分；基本具备的得1分；</w:t>
            </w:r>
            <w:r/>
          </w:p>
          <w:p>
            <w:pPr>
              <w:jc w:val="left"/>
              <w:spacing w:line="40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可行性（</w:t>
            </w:r>
            <w:r>
              <w:rPr>
                <w:rFonts w:hint="eastAsia" w:ascii="宋体" w:hAnsi="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lang w:val="en-US" w:eastAsia="zh-CN"/>
              </w:rPr>
              <w:t xml:space="preserve">分）：切实可行得</w:t>
            </w:r>
            <w:r>
              <w:rPr>
                <w:rFonts w:hint="eastAsia" w:ascii="宋体" w:hAnsi="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lang w:val="en-US" w:eastAsia="zh-CN"/>
              </w:rPr>
              <w:t xml:space="preserve">分；较切实可行得</w:t>
            </w: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分；可行性欠缺得</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分；</w:t>
            </w:r>
            <w:r/>
          </w:p>
          <w:p>
            <w:pPr>
              <w:jc w:val="left"/>
              <w:spacing w:line="40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针对性（</w:t>
            </w:r>
            <w:r>
              <w:rPr>
                <w:rFonts w:hint="eastAsia" w:ascii="宋体" w:hAnsi="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lang w:val="en-US" w:eastAsia="zh-CN"/>
              </w:rPr>
              <w:t xml:space="preserve">分）：针对性强得</w:t>
            </w:r>
            <w:r>
              <w:rPr>
                <w:rFonts w:hint="eastAsia" w:ascii="宋体" w:hAnsi="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lang w:val="en-US" w:eastAsia="zh-CN"/>
              </w:rPr>
              <w:t xml:space="preserve">分；针对性较强得</w:t>
            </w: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分；针对性差得</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分；</w:t>
            </w:r>
            <w:r/>
          </w:p>
          <w:p>
            <w:pPr>
              <w:jc w:val="left"/>
              <w:spacing w:line="40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未提供的得0分。本项最高得10分，最低得0分。</w:t>
            </w:r>
            <w:r/>
          </w:p>
        </w:tc>
      </w:tr>
      <w:tr>
        <w:trPr>
          <w:jc w:val="center"/>
          <w:trHeight w:val="677"/>
        </w:trPr>
        <w:tc>
          <w:tcPr>
            <w:tcBorders>
              <w:left w:val="single" w:color="auto" w:sz="4" w:space="0"/>
            </w:tcBorders>
            <w:tcW w:w="1742" w:type="dxa"/>
            <w:vAlign w:val="center"/>
            <w:vMerge w:val="restart"/>
            <w:textDirection w:val="lrTb"/>
            <w:noWrap w:val="false"/>
          </w:tcPr>
          <w:p>
            <w:pPr>
              <w:numPr>
                <w:ilvl w:val="255"/>
                <w:numId w:val="0"/>
              </w:numPr>
              <w:ind w:left="0" w:firstLine="0"/>
              <w:jc w:val="center"/>
              <w:spacing w:line="240" w:lineRule="auto"/>
              <w:rPr>
                <w:rFonts w:hint="eastAsia" w:ascii="宋体" w:hAnsi="宋体" w:eastAsia="宋体" w:cs="宋体"/>
                <w:color w:val="000000"/>
                <w:sz w:val="24"/>
                <w:szCs w:val="24"/>
              </w:rPr>
            </w:pPr>
            <w:r>
              <w:rPr>
                <w:rFonts w:hint="eastAsia" w:asciiTheme="minorEastAsia" w:hAnsiTheme="minorEastAsia" w:eastAsiaTheme="minorEastAsia" w:cstheme="minorEastAsia"/>
                <w:sz w:val="24"/>
                <w:szCs w:val="24"/>
              </w:rPr>
              <w:t xml:space="preserve">售后服务方案（1</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w:t>
            </w:r>
            <w:r/>
          </w:p>
        </w:tc>
        <w:tc>
          <w:tcPr>
            <w:tcW w:w="7171" w:type="dxa"/>
            <w:vAlign w:val="center"/>
            <w:textDirection w:val="lrTb"/>
            <w:noWrap w:val="false"/>
          </w:tcPr>
          <w:p>
            <w:pPr>
              <w:spacing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1、质保期内售后服务方案（包含但不限于服务方式、响应时间、故障处理</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lang w:val="en-US" w:eastAsia="zh-CN"/>
              </w:rPr>
              <w:t xml:space="preserve">退换货</w:t>
            </w:r>
            <w:r>
              <w:rPr>
                <w:rFonts w:hint="eastAsia" w:asciiTheme="minorEastAsia" w:hAnsiTheme="minorEastAsia" w:eastAsiaTheme="minorEastAsia" w:cstheme="minorEastAsia"/>
                <w:color w:val="000000"/>
                <w:sz w:val="24"/>
                <w:szCs w:val="24"/>
              </w:rPr>
              <w:t xml:space="preserve">等）（</w:t>
            </w:r>
            <w:r>
              <w:rPr>
                <w:rFonts w:hint="eastAsia" w:asciiTheme="minorEastAsia" w:hAnsiTheme="minorEastAsia" w:eastAsiaTheme="minorEastAsia" w:cstheme="minorEastAsia"/>
                <w:color w:val="000000"/>
                <w:sz w:val="24"/>
                <w:szCs w:val="24"/>
                <w:lang w:val="en-US" w:eastAsia="zh-CN"/>
              </w:rPr>
              <w:t xml:space="preserve">6</w:t>
            </w:r>
            <w:r>
              <w:rPr>
                <w:rFonts w:hint="eastAsia" w:asciiTheme="minorEastAsia" w:hAnsiTheme="minorEastAsia" w:eastAsiaTheme="minorEastAsia" w:cstheme="minorEastAsia"/>
                <w:color w:val="000000"/>
                <w:sz w:val="24"/>
                <w:szCs w:val="24"/>
              </w:rPr>
              <w:t xml:space="preserve">分）：</w:t>
            </w:r>
            <w:r/>
          </w:p>
          <w:p>
            <w:pPr>
              <w:spacing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对内容的全面性、针对性进行评价。</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全面性（</w:t>
            </w:r>
            <w:r>
              <w:rPr>
                <w:rFonts w:hint="eastAsia" w:asciiTheme="minorEastAsia" w:hAnsiTheme="minorEastAsia" w:eastAsia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000000"/>
                <w:sz w:val="24"/>
                <w:szCs w:val="24"/>
              </w:rPr>
              <w:t xml:space="preserve">分）：全面具体详实得</w:t>
            </w:r>
            <w:r>
              <w:rPr>
                <w:rFonts w:hint="eastAsia" w:asciiTheme="minorEastAsia" w:hAnsiTheme="minorEastAsia" w:eastAsia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000000"/>
                <w:sz w:val="24"/>
                <w:szCs w:val="24"/>
              </w:rPr>
              <w:t xml:space="preserve">分；较全面得</w:t>
            </w:r>
            <w:r>
              <w:rPr>
                <w:rFonts w:hint="eastAsia" w:asciiTheme="minorEastAsia" w:hAnsiTheme="minorEastAsia" w:eastAsia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rPr>
              <w:t xml:space="preserve">分；</w:t>
            </w:r>
            <w:r>
              <w:rPr>
                <w:rFonts w:hint="eastAsia" w:asciiTheme="minorEastAsia" w:hAnsiTheme="minorEastAsia" w:eastAsiaTheme="minorEastAsia" w:cstheme="minorEastAsia"/>
                <w:sz w:val="24"/>
                <w:szCs w:val="24"/>
              </w:rPr>
              <w:t xml:space="preserve">不太全面得1分。</w:t>
            </w:r>
            <w:r/>
          </w:p>
          <w:p>
            <w:pPr>
              <w:spacing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针对性(3分)：针对性强得3分；针对性一般的得</w:t>
            </w:r>
            <w:r>
              <w:rPr>
                <w:rFonts w:hint="eastAsia" w:asciiTheme="minorEastAsia" w:hAnsiTheme="minorEastAsia" w:eastAsia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rPr>
              <w:t xml:space="preserve">分；针对性不强得</w:t>
            </w:r>
            <w:r>
              <w:rPr>
                <w:rFonts w:hint="eastAsia" w:asciiTheme="minorEastAsia" w:hAnsiTheme="minorEastAsia" w:eastAsiaTheme="minorEastAsia" w:cstheme="minorEastAsia"/>
                <w:color w:val="000000"/>
                <w:sz w:val="24"/>
                <w:szCs w:val="24"/>
                <w:lang w:val="en-US" w:eastAsia="zh-CN"/>
              </w:rPr>
              <w:t xml:space="preserve">1</w:t>
            </w:r>
            <w:r>
              <w:rPr>
                <w:rFonts w:hint="eastAsia" w:asciiTheme="minorEastAsia" w:hAnsiTheme="minorEastAsia" w:eastAsiaTheme="minorEastAsia" w:cstheme="minorEastAsia"/>
                <w:color w:val="000000"/>
                <w:sz w:val="24"/>
                <w:szCs w:val="24"/>
              </w:rPr>
              <w:t xml:space="preserve">分。</w:t>
            </w:r>
            <w:r/>
          </w:p>
          <w:p>
            <w:pPr>
              <w:spacing w:line="240" w:lineRule="auto"/>
              <w:rPr>
                <w:rFonts w:hint="default" w:eastAsia="宋体"/>
                <w:sz w:val="24"/>
                <w:szCs w:val="24"/>
                <w:lang w:val="en-US" w:eastAsia="zh-CN"/>
              </w:rPr>
            </w:pPr>
            <w:r>
              <w:rPr>
                <w:rFonts w:hint="eastAsia" w:asciiTheme="minorEastAsia" w:hAnsiTheme="minorEastAsia" w:eastAsiaTheme="minorEastAsia" w:cstheme="minorEastAsia"/>
                <w:color w:val="000000"/>
                <w:sz w:val="24"/>
                <w:szCs w:val="24"/>
              </w:rPr>
              <w:t xml:space="preserve">未提供的不得分。最高得</w:t>
            </w:r>
            <w:r>
              <w:rPr>
                <w:rFonts w:hint="eastAsia" w:asciiTheme="minorEastAsia" w:hAnsiTheme="minorEastAsia" w:eastAsiaTheme="minorEastAsia" w:cstheme="minorEastAsia"/>
                <w:color w:val="000000"/>
                <w:sz w:val="24"/>
                <w:szCs w:val="24"/>
                <w:lang w:val="en-US" w:eastAsia="zh-CN"/>
              </w:rPr>
              <w:t xml:space="preserve">6</w:t>
            </w:r>
            <w:r>
              <w:rPr>
                <w:rFonts w:hint="eastAsia" w:asciiTheme="minorEastAsia" w:hAnsiTheme="minorEastAsia" w:eastAsiaTheme="minorEastAsia" w:cstheme="minorEastAsia"/>
                <w:color w:val="000000"/>
                <w:sz w:val="24"/>
                <w:szCs w:val="24"/>
              </w:rPr>
              <w:t xml:space="preserve">分，最低不得分。</w:t>
            </w:r>
            <w:r/>
          </w:p>
        </w:tc>
      </w:tr>
      <w:tr>
        <w:trPr>
          <w:jc w:val="center"/>
          <w:trHeight w:val="1676"/>
        </w:trPr>
        <w:tc>
          <w:tcPr>
            <w:tcBorders>
              <w:left w:val="single" w:color="auto" w:sz="4" w:space="0"/>
            </w:tcBorders>
            <w:tcW w:w="1742" w:type="dxa"/>
            <w:vAlign w:val="center"/>
            <w:vMerge w:val="continue"/>
            <w:textDirection w:val="lrTb"/>
            <w:noWrap w:val="false"/>
          </w:tcPr>
          <w:p>
            <w:pPr>
              <w:numPr>
                <w:ilvl w:val="255"/>
                <w:numId w:val="0"/>
              </w:numPr>
              <w:ind w:left="0" w:firstLine="0"/>
              <w:jc w:val="center"/>
              <w:spacing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tcW w:w="7171"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2、质保期后售后服务方案（包含但不限于服务方式、响应时间、故障处理、质保期满后配件供应等）（3分）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针对性强、符合实际切实可行的得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分；针对性一般、较可行的得2分；欠缺针对性和可行性的得1分。</w:t>
            </w:r>
            <w:r/>
          </w:p>
          <w:p>
            <w:pPr>
              <w:spacing w:line="240" w:lineRule="auto"/>
              <w:rPr>
                <w:rFonts w:hint="eastAsia" w:ascii="宋体" w:hAnsi="宋体" w:eastAsia="宋体" w:cs="宋体"/>
                <w:color w:val="auto"/>
                <w:sz w:val="24"/>
                <w:szCs w:val="24"/>
                <w:lang w:eastAsia="zh-CN"/>
              </w:rPr>
            </w:pPr>
            <w:r>
              <w:rPr>
                <w:rFonts w:hint="eastAsia" w:asciiTheme="minorEastAsia" w:hAnsiTheme="minorEastAsia" w:eastAsiaTheme="minorEastAsia" w:cstheme="minorEastAsia"/>
                <w:sz w:val="24"/>
                <w:szCs w:val="24"/>
              </w:rPr>
              <w:t xml:space="preserve">未提供的不得分，最高得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分，最低不得分。</w:t>
            </w:r>
            <w:r/>
          </w:p>
        </w:tc>
      </w:tr>
      <w:tr>
        <w:trPr>
          <w:jc w:val="center"/>
          <w:trHeight w:val="2017"/>
        </w:trPr>
        <w:tc>
          <w:tcPr>
            <w:tcBorders>
              <w:left w:val="single" w:color="auto" w:sz="4" w:space="0"/>
            </w:tcBorders>
            <w:tcW w:w="1742" w:type="dxa"/>
            <w:vAlign w:val="center"/>
            <w:vMerge w:val="continue"/>
            <w:textDirection w:val="lrTb"/>
            <w:noWrap w:val="false"/>
          </w:tcPr>
          <w:p>
            <w:pPr>
              <w:numPr>
                <w:ilvl w:val="255"/>
                <w:numId w:val="0"/>
              </w:numPr>
              <w:ind w:left="0" w:firstLine="0"/>
              <w:jc w:val="center"/>
              <w:spacing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tcW w:w="7171"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3、培训方案（4分）：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对培训内容及培训方案，内容包含但不限于：培训计划、培训内容、培训方式等方面进行评价。</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针对性强、符合实际切实可行的得4分；针对性一般、较可行的得2分；欠缺针对性和可行性的得1分。</w:t>
            </w:r>
            <w:r/>
          </w:p>
          <w:p>
            <w:pPr>
              <w:spacing w:line="240" w:lineRule="auto"/>
              <w:rPr>
                <w:rFonts w:hint="eastAsia" w:ascii="宋体" w:hAnsi="宋体" w:eastAsia="宋体" w:cs="宋体"/>
                <w:color w:val="auto"/>
                <w:sz w:val="24"/>
                <w:szCs w:val="24"/>
                <w:lang w:eastAsia="zh-CN"/>
              </w:rPr>
            </w:pPr>
            <w:r>
              <w:rPr>
                <w:rFonts w:hint="eastAsia" w:asciiTheme="minorEastAsia" w:hAnsiTheme="minorEastAsia" w:eastAsiaTheme="minorEastAsia" w:cstheme="minorEastAsia"/>
                <w:sz w:val="24"/>
                <w:szCs w:val="24"/>
              </w:rPr>
              <w:t xml:space="preserve">未提供的不得分，最高得4分，最低不得分。</w:t>
            </w:r>
            <w:r/>
          </w:p>
        </w:tc>
      </w:tr>
    </w:tbl>
    <w:p>
      <w:pPr>
        <w:pStyle w:val="778"/>
        <w:rPr>
          <w:rFonts w:hint="default"/>
          <w:sz w:val="24"/>
          <w:szCs w:val="24"/>
          <w:lang w:val="en-US" w:eastAsia="zh-CN"/>
        </w:rPr>
      </w:pPr>
      <w:r>
        <w:rPr>
          <w:rFonts w:hint="default"/>
          <w:sz w:val="24"/>
          <w:szCs w:val="24"/>
          <w:lang w:val="en-US" w:eastAsia="zh-CN"/>
        </w:rPr>
      </w:r>
      <w:r/>
    </w:p>
    <w:p>
      <w:pPr>
        <w:pStyle w:val="778"/>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600"/>
        <w:spacing w:line="51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24"/>
          <w:szCs w:val="24"/>
        </w:rPr>
        <w:t xml:space="preserve">本章说明：本项目采用综合评分法</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结果保留2位小数</w:t>
      </w:r>
      <w:r/>
    </w:p>
    <w:p>
      <w:pPr>
        <w:keepLines/>
        <w:keepNext/>
        <w:rPr>
          <w:rFonts w:hint="eastAsia" w:ascii="宋体" w:hAnsi="宋体" w:eastAsia="宋体" w:cs="宋体"/>
          <w:b/>
          <w:bCs/>
          <w:color w:val="000000" w:themeColor="text1"/>
          <w:sz w:val="28"/>
          <w:szCs w:val="28"/>
          <w14:textFill>
            <w14:solidFill>
              <w14:schemeClr w14:val="tx1"/>
            </w14:solidFill>
          </w14:textFill>
        </w:rPr>
      </w:pPr>
      <w:r/>
      <w:bookmarkStart w:id="11" w:name="_Toc15691"/>
      <w:r/>
      <w:bookmarkStart w:id="12" w:name="_Toc523404700"/>
      <w:r/>
      <w:bookmarkStart w:id="13" w:name="_Toc522790135"/>
      <w:r/>
      <w:r/>
    </w:p>
    <w:p>
      <w:pPr>
        <w:pStyle w:val="729"/>
        <w:jc w:val="center"/>
        <w:spacing w:before="0" w:after="0"/>
        <w:rPr>
          <w:rFonts w:hint="eastAsia" w:ascii="宋体" w:hAnsi="宋体" w:eastAsia="宋体" w:cs="宋体"/>
          <w:color w:val="000000" w:themeColor="text1"/>
          <w:sz w:val="22"/>
          <w:szCs w:val="36"/>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第五章  拟签订的合同文本</w:t>
      </w:r>
      <w:bookmarkEnd w:id="11"/>
      <w:r/>
      <w:r/>
    </w:p>
    <w:p>
      <w:pPr>
        <w:jc w:val="center"/>
        <w:rPr>
          <w:rFonts w:hint="eastAsia" w:ascii="宋体" w:hAnsi="宋体" w:eastAsia="宋体" w:cs="宋体"/>
          <w:b/>
          <w:color w:val="000000" w:themeColor="text1"/>
          <w:sz w:val="56"/>
          <w:szCs w:val="56"/>
          <w14:textFill>
            <w14:solidFill>
              <w14:schemeClr w14:val="tx1"/>
            </w14:solidFill>
          </w14:textFill>
        </w:rPr>
      </w:pPr>
      <w:r>
        <w:rPr>
          <w:rStyle w:val="1059"/>
          <w:rFonts w:hint="eastAsia" w:ascii="宋体" w:hAnsi="宋体" w:eastAsia="宋体" w:cs="宋体"/>
          <w:b/>
          <w:bCs/>
          <w:sz w:val="32"/>
          <w:szCs w:val="32"/>
        </w:rPr>
        <w:t xml:space="preserve">（以实际签订合同为准）</w:t>
      </w:r>
      <w:r/>
    </w:p>
    <w:p>
      <w:pPr>
        <w:pStyle w:val="1094"/>
        <w:ind w:firstLine="442"/>
        <w:jc w:val="center"/>
        <w:rPr>
          <w:rStyle w:val="1059"/>
          <w:rFonts w:hint="eastAsia" w:ascii="宋体" w:hAnsi="宋体" w:eastAsia="宋体" w:cs="宋体"/>
          <w:b/>
          <w:sz w:val="44"/>
          <w:szCs w:val="44"/>
        </w:rPr>
      </w:pPr>
      <w:r>
        <w:rPr>
          <w:rFonts w:hint="eastAsia" w:ascii="宋体" w:hAnsi="宋体" w:eastAsia="宋体" w:cs="宋体"/>
          <w:b/>
          <w:sz w:val="44"/>
          <w:szCs w:val="44"/>
        </w:rPr>
      </w:r>
      <w:r/>
    </w:p>
    <w:p>
      <w:pPr>
        <w:ind w:right="0" w:firstLine="560"/>
        <w:jc w:val="both"/>
        <w:spacing w:before="210" w:after="120"/>
        <w:rPr>
          <w:rFonts w:hint="eastAsia" w:eastAsia="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项目名称：</w:t>
      </w:r>
      <w:r>
        <w:rPr>
          <w:rFonts w:hint="eastAsia" w:ascii="宋体" w:hAnsi="宋体" w:cs="宋体"/>
          <w:color w:val="000000" w:themeColor="text1"/>
          <w:sz w:val="24"/>
          <w:szCs w:val="21"/>
          <w:lang w:eastAsia="zh-CN"/>
          <w14:textFill>
            <w14:solidFill>
              <w14:schemeClr w14:val="tx1"/>
            </w14:solidFill>
          </w14:textFill>
        </w:rPr>
        <w:t xml:space="preserve">贾汪区区域性农业综合服务中心建设 </w:t>
      </w:r>
      <w:r/>
    </w:p>
    <w:p>
      <w:pPr>
        <w:ind w:left="0" w:right="0" w:firstLine="560"/>
        <w:jc w:val="both"/>
        <w:spacing w:before="210" w:after="120"/>
        <w:rPr>
          <w:rFonts w:hint="default" w:ascii="宋体" w:hAnsi="宋体" w:cs="宋体"/>
          <w:sz w:val="28"/>
          <w:szCs w:val="28"/>
          <w:u w:val="single"/>
          <w:lang w:val="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项目编号：</w:t>
      </w:r>
      <w:r>
        <w:rPr>
          <w:rFonts w:hint="eastAsia" w:ascii="宋体" w:hAnsi="宋体" w:cs="宋体"/>
          <w:color w:val="000000" w:themeColor="text1"/>
          <w:sz w:val="24"/>
          <w:szCs w:val="21"/>
          <w:lang w:eastAsia="zh-CN"/>
          <w14:textFill>
            <w14:solidFill>
              <w14:schemeClr w14:val="tx1"/>
            </w14:solidFill>
          </w14:textFill>
        </w:rPr>
        <w:t xml:space="preserve">JSZC-320305-XZGX-G2026-0011</w:t>
      </w:r>
      <w:r>
        <w:rPr>
          <w:rFonts w:ascii="宋体" w:hAnsi="宋体" w:eastAsia="宋体" w:cs="宋体"/>
          <w:color w:val="000000" w:themeColor="text1"/>
          <w:sz w:val="24"/>
          <w:szCs w:val="21"/>
          <w14:textFill>
            <w14:solidFill>
              <w14:schemeClr w14:val="tx1"/>
            </w14:solidFill>
          </w14:textFill>
        </w:rPr>
        <w:t xml:space="preserve"> </w:t>
      </w:r>
      <w:r>
        <w:rPr>
          <w:rFonts w:hint="eastAsia" w:ascii="宋体" w:hAnsi="宋体" w:eastAsia="宋体" w:cs="宋体"/>
          <w:color w:val="000000" w:themeColor="text1"/>
          <w:sz w:val="24"/>
          <w:szCs w:val="21"/>
          <w:lang w:val="en-US" w:eastAsia="zh-CN" w:bidi="ar-SA"/>
          <w14:textFill>
            <w14:solidFill>
              <w14:schemeClr w14:val="tx1"/>
            </w14:solidFill>
          </w14:textFill>
        </w:rPr>
        <w:t xml:space="preserve"> </w:t>
      </w:r>
      <w:r>
        <w:rPr>
          <w:rFonts w:hint="eastAsia" w:ascii="宋体" w:hAnsi="宋体" w:cs="宋体"/>
          <w:sz w:val="28"/>
          <w:szCs w:val="28"/>
          <w:highlight w:val="none"/>
          <w:u w:val="single"/>
          <w:lang w:val="en-US" w:eastAsia="zh-CN"/>
        </w:rPr>
        <w:t xml:space="preserve">   </w:t>
      </w:r>
      <w:r/>
    </w:p>
    <w:p>
      <w:pPr>
        <w:ind w:left="0" w:right="0" w:firstLine="0"/>
        <w:jc w:val="center"/>
        <w:spacing w:before="210" w:after="120" w:line="240" w:lineRule="auto"/>
        <w:rPr>
          <w:rFonts w:ascii="宋体" w:hAnsi="宋体" w:eastAsia="宋体" w:cs="宋体"/>
          <w:color w:val="000000" w:themeColor="text1"/>
          <w:sz w:val="52"/>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政</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府</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采</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购</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合</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同</w:t>
      </w:r>
      <w:r/>
    </w:p>
    <w:p>
      <w:pPr>
        <w:ind w:left="0" w:right="0" w:firstLine="562"/>
        <w:spacing w:before="210" w:after="12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采购人：</w:t>
      </w:r>
      <w:r/>
    </w:p>
    <w:p>
      <w:pPr>
        <w:ind w:left="0" w:right="0" w:firstLine="562"/>
        <w:spacing w:before="210" w:after="12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lang w:val="en-US" w:eastAsia="zh-CN"/>
          <w14:textFill>
            <w14:solidFill>
              <w14:schemeClr w14:val="tx1"/>
            </w14:solidFill>
          </w14:textFill>
        </w:rPr>
        <w:t xml:space="preserve">成交供应商</w:t>
      </w:r>
      <w:r>
        <w:rPr>
          <w:rFonts w:ascii="宋体" w:hAnsi="宋体" w:eastAsia="宋体" w:cs="宋体"/>
          <w:b/>
          <w:color w:val="000000" w:themeColor="text1"/>
          <w:sz w:val="24"/>
          <w:szCs w:val="24"/>
          <w14:textFill>
            <w14:solidFill>
              <w14:schemeClr w14:val="tx1"/>
            </w14:solidFill>
          </w14:textFill>
        </w:rPr>
        <w:t xml:space="preserve">：</w:t>
      </w:r>
      <w:r/>
    </w:p>
    <w:p>
      <w:pPr>
        <w:ind w:left="0" w:right="0" w:firstLine="562"/>
        <w:spacing w:before="210" w:after="12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合同签订日期：年</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ascii="宋体" w:hAnsi="宋体" w:eastAsia="宋体" w:cs="宋体"/>
          <w:b/>
          <w:color w:val="000000" w:themeColor="text1"/>
          <w:sz w:val="24"/>
          <w:szCs w:val="24"/>
          <w14:textFill>
            <w14:solidFill>
              <w14:schemeClr w14:val="tx1"/>
            </w14:solidFill>
          </w14:textFill>
        </w:rPr>
        <w:t xml:space="preserve">月</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ascii="宋体" w:hAnsi="宋体" w:eastAsia="宋体" w:cs="宋体"/>
          <w:b/>
          <w:color w:val="000000" w:themeColor="text1"/>
          <w:sz w:val="24"/>
          <w:szCs w:val="24"/>
          <w14:textFill>
            <w14:solidFill>
              <w14:schemeClr w14:val="tx1"/>
            </w14:solidFill>
          </w14:textFill>
        </w:rPr>
        <w:t xml:space="preserve">日</w:t>
      </w:r>
      <w:r/>
    </w:p>
    <w:p>
      <w:pPr>
        <w:ind w:left="0" w:right="0" w:firstLine="562"/>
        <w:jc w:val="both"/>
        <w:spacing w:before="0" w:after="0" w:line="360"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left="0" w:right="0" w:firstLine="562"/>
        <w:jc w:val="both"/>
        <w:spacing w:before="0" w:after="0" w:line="360"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spacing w:before="210" w:after="120"/>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560"/>
        <w:jc w:val="center"/>
        <w:spacing w:before="0" w:after="0" w:line="519" w:lineRule="atLeast"/>
        <w:rPr>
          <w:rFonts w:ascii="宋体" w:hAnsi="宋体" w:eastAsia="宋体" w:cs="宋体"/>
          <w:b/>
          <w:bCs/>
          <w:color w:val="000000" w:themeColor="text1"/>
          <w:sz w:val="28"/>
          <w:szCs w:val="22"/>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bCs/>
          <w:color w:val="000000" w:themeColor="text1"/>
          <w:sz w:val="28"/>
          <w:szCs w:val="22"/>
          <w14:textFill>
            <w14:solidFill>
              <w14:schemeClr w14:val="tx1"/>
            </w14:solidFill>
          </w14:textFill>
        </w:rPr>
      </w:r>
      <w:r/>
    </w:p>
    <w:p>
      <w:pPr>
        <w:ind w:left="0" w:right="0" w:firstLine="560"/>
        <w:jc w:val="center"/>
        <w:spacing w:before="0" w:after="0" w:line="519" w:lineRule="atLeast"/>
        <w:rPr>
          <w:b/>
          <w:bCs/>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8"/>
          <w:szCs w:val="22"/>
          <w14:textFill>
            <w14:solidFill>
              <w14:schemeClr w14:val="tx1"/>
            </w14:solidFill>
          </w14:textFill>
        </w:rPr>
        <w:t xml:space="preserve">目</w:t>
      </w:r>
      <w:r>
        <w:rPr>
          <w:rFonts w:hint="eastAsia" w:ascii="宋体" w:hAnsi="宋体" w:eastAsia="宋体" w:cs="宋体"/>
          <w:b/>
          <w:bCs/>
          <w:color w:val="000000" w:themeColor="text1"/>
          <w:sz w:val="28"/>
          <w:szCs w:val="22"/>
          <w:lang w:val="en-US" w:eastAsia="zh-CN"/>
          <w14:textFill>
            <w14:solidFill>
              <w14:schemeClr w14:val="tx1"/>
            </w14:solidFill>
          </w14:textFill>
        </w:rPr>
        <w:t xml:space="preserve"> </w:t>
      </w:r>
      <w:r>
        <w:rPr>
          <w:rFonts w:ascii="宋体" w:hAnsi="宋体" w:eastAsia="宋体" w:cs="宋体"/>
          <w:b/>
          <w:bCs/>
          <w:color w:val="000000" w:themeColor="text1"/>
          <w:sz w:val="28"/>
          <w:szCs w:val="22"/>
          <w14:textFill>
            <w14:solidFill>
              <w14:schemeClr w14:val="tx1"/>
            </w14:solidFill>
          </w14:textFill>
        </w:rPr>
        <w:t xml:space="preserve">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定义</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合同范围</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第四条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支付</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第五条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交货</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第六条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包装和标记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第七条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第八条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安装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验收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第十一条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索赔</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不可抗力</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合同的终止</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争议的解决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第十五条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适用法律</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第十六条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权利保证</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第十七条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保密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合同生效及其他</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rPr>
          <w:rFonts w:ascii="宋体" w:hAnsi="宋体" w:eastAsia="宋体" w:cs="宋体"/>
          <w:b/>
          <w:color w:val="000000" w:themeColor="text1"/>
          <w:sz w:val="24"/>
          <w:szCs w:val="21"/>
          <w14:textFill>
            <w14:solidFill>
              <w14:schemeClr w14:val="tx1"/>
            </w14:solidFill>
          </w14:textFill>
        </w:rPr>
      </w:pPr>
      <w:r>
        <w:rPr>
          <w:rFonts w:ascii="宋体" w:hAnsi="宋体" w:eastAsia="宋体" w:cs="宋体"/>
          <w:b/>
          <w:color w:val="000000" w:themeColor="text1"/>
          <w:sz w:val="24"/>
          <w:szCs w:val="21"/>
          <w14:textFill>
            <w14:solidFill>
              <w14:schemeClr w14:val="tx1"/>
            </w14:solidFill>
          </w14:textFill>
        </w:rPr>
        <w:br w:type="page" w:clear="all"/>
      </w:r>
      <w:r/>
    </w:p>
    <w:p>
      <w:pPr>
        <w:ind w:left="0" w:right="0" w:firstLine="0"/>
        <w:jc w:val="center"/>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合同通用条款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定义</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除本合同上下文中另有规定外，下列各词语定义如下：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1.1“买方”见《合同专用条款》。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1.2“卖方”见《合同专用条款》。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1.3“工作现场”见《合同专用条款》。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1.4“合同标的”见合同附件4。</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1.5“技术资料”是指与合同标的的安装、试运行、验收、操作以及维修有关的技术指标、规格、图纸和文件。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1.6“技术培训”是指在合同标的的安装、试运行、验收、操作、维修以及其他方面卖方给予买方的培训。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1.7“安装”是指有关合同标的、备件和材料的安装工作。</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1.8“试运行”是指为验明合同标的的技术性能，在安装完毕后对合同标的进行的测试。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1.10“合同货币”见《合同专用条款》。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1.11“合同价格”见合同附件4。</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1.12“合同生效日”见《合同协议书》（合同附件1）第5 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1.13“日”是指日历天数。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1.14“月”是指日历月数。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 合同范围</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2.1买方同意从卖方购买、卖方同意向买方出售和提供的合同标的以及相关售后服务、技术培训和技术资料。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 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3.1 合同总价见《合同专用条款》。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3.2 合同总价是固定价格。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第四条 支付</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4.2卖方有义务根据合同的规定向买方支付违约金和/或赔偿金时，买方有权从任何一笔应付款或卖方的履约保证金中予以扣除。</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第五条 交货</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5.1交货期限、批次和交货条件见《合同专用条款》。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5.2交货地点见《合同专用条款》。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5.3在《合同专用条款》规定的期限内，卖方应将合同号、合同标的的名称、数量、金额、包装件数以及交货的时间以书面方式通知买方。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5.4卖方应按下列规定交付合同标的：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5.4.1卖方负责将合同标的送至《合同专用条款》规定的交货地点。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5.4.2买方出具的收据日期是合同标的的实际交货日期。</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5.5如果卖方未能按照合同规定的交货期限交货，卖方应按《合同专用条款》的规定支付违约金或提供其他救济。</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第六条 包装与标记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6.1除非合同中另有规定，合同标的应保持产品制造企业原包装完好。</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6.2在合同标的的每件包装中都应附有下列单据：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装箱明细单；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质量合格证；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第七条 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7.1 技术资料交付的期限和方式见《合同专用条款》。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第八条 安装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8.1 合同标的的安装期限见《合同专用条款》。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 验收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9.1合同标的的试运行、验收见《合同专用条款》。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9.2如果合同附件2 所规定的所有技术性能在验收中都已经达到，双方应在验收合格后5 日内签署验收书。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9.3买方派出1-3名技术人员参加项目实施，卖方应积极配合甲方派出的1-3名技术人员监督管理。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第十条 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10.1售后服务和技术培训见合同附件3。</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第十一条 索赔</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卖方替换不符合合同规定的合同标的。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按质量低劣的程度、买方受损害的程度及损失的数额对合同标的进行降价。</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拒收合同标的。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D. 赔偿由卖方违约引起的其他损失。</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 不可抗力</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 合同的终止</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13.1如果卖方有下述违约行为之一或《合同专用条款》中规定的其他违约行为，在不妨碍买方采取其它救济手段的情况下，买方可以向卖方发出书面违约通知，全部或部分地终止合同。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卖方在合同规定的交货期限后未能按《合同专用条款》中规定的最终期限交付合同标的和/或技术资料；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合同标的未能达到合同附件2 规定的技术性能；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卖方未能履行合同项下任何其它义务，并且在收到买方违约通知后未能按《合同专用条款》中规定的期限对其违约行为作出补救。</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13.2如果一方破产或发生资不抵债的情况,合同另一方有权在任何时候发出书面通知终止合同。此种情况下合同的终止不妨碍或影响行使任何可能的其它救济手段。</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13.3如果买方认定卖方在投标或执行合同中有腐败或欺诈行为,买方有权在任何时候发出书面通知终止合同。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A.“腐败行为”系指在招标、采购和合同执行等过程中，为谋求利益、影响相关人员而提供、给予、接受或索取任何有价物的行为。</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B.“欺诈行为”系指为了影响招标、采购和合同执行等过程而隐瞒事实，从而给买方造成损害的行为，其中包括投标人之间的串通行为。</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13.4在买方全部或部分终止合同的情况下，卖方应按《合同专用条款》的规定对买方给予补偿。</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 争议的解决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第十五条 适用法律</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15.1 本合同的执行和争议的解决适用中华人民共和国的法律并按中华人民共和国的法律进行解释。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第十六条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权利保证</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第十七条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保密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17.2上述秘密，卖方只能用于本合同，而且只能由卖方相应的人员使用；没有必要接触的卖方人员，不得接触。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17.3卖方应当采取适当有效的方式保护所获取的上述秘密。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 合同生效及其他</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 本合同在合同协议书（合同附件1）规定的条件全部满足后生效。</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18.3 合同双方各自承担与本合同有关的应负税费。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18.5对本合同的任何补充、增添或修改以书面方式进行。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18.6没有另一方的事先书面同意，合同任何一方不得将合同项下的任何权利和义务转让给第三方。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18.8合同条款中的标题和边注仅供参考使用，不应视为合同的一部分，也不影响本文的解释。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18.9合同构成买方和卖方之间就合同主要内容方面的完整协议，并且取代合同签订前所有关于这方面的通讯、协商、协议(不论是书面的，还是口头的)。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right="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合同专用条款</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 定义</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 “买方”为</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 “卖方”为</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 “工作现场”为</w:t>
      </w:r>
      <w:r>
        <w:rPr>
          <w:rFonts w:ascii="宋体" w:hAnsi="宋体" w:eastAsia="宋体" w:cs="宋体"/>
          <w:color w:val="000000" w:themeColor="text1"/>
          <w:sz w:val="24"/>
          <w:szCs w:val="21"/>
          <w:u w:val="single"/>
          <w14:textFill>
            <w14:solidFill>
              <w14:schemeClr w14:val="tx1"/>
            </w14:solidFill>
          </w14:textFill>
        </w:rPr>
        <w:t xml:space="preserve">买方指定地点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1.10 “合同货币”即</w:t>
      </w:r>
      <w:r>
        <w:rPr>
          <w:rFonts w:ascii="宋体" w:hAnsi="宋体" w:eastAsia="宋体" w:cs="宋体"/>
          <w:color w:val="000000" w:themeColor="text1"/>
          <w:sz w:val="24"/>
          <w:szCs w:val="21"/>
          <w:u w:val="single"/>
          <w14:textFill>
            <w14:solidFill>
              <w14:schemeClr w14:val="tx1"/>
            </w14:solidFill>
          </w14:textFill>
        </w:rPr>
        <w:t xml:space="preserve">人民币</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 合同范围</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2.1买方同意从卖方购买、卖方同意向买方出售的合同标的是</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。详见合同附件。</w:t>
      </w:r>
      <w:r/>
    </w:p>
    <w:p>
      <w:pPr>
        <w:ind w:left="0" w:right="0" w:firstLine="560"/>
        <w:jc w:val="both"/>
        <w:spacing w:before="0" w:after="0" w:line="48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 价格</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3.1合同总价为￥</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大写：</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人民币。</w:t>
      </w:r>
      <w:r/>
    </w:p>
    <w:p>
      <w:pPr>
        <w:numPr>
          <w:ilvl w:val="0"/>
          <w:numId w:val="2"/>
        </w:numPr>
        <w:ind w:left="0" w:right="0" w:firstLine="560"/>
        <w:jc w:val="both"/>
        <w:spacing w:before="0" w:after="0"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支付</w:t>
      </w:r>
      <w:r/>
    </w:p>
    <w:p>
      <w:pPr>
        <w:ind w:left="0" w:right="0" w:firstLine="560"/>
        <w:jc w:val="both"/>
        <w:spacing w:before="0" w:after="0" w:line="360" w:lineRule="auto"/>
        <w:rPr>
          <w:rFonts w:hint="eastAsia"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卖方需提交的支付文件包括：</w:t>
      </w:r>
      <w:r/>
    </w:p>
    <w:p>
      <w:pPr>
        <w:ind w:left="0" w:right="0" w:firstLine="560"/>
        <w:jc w:val="both"/>
        <w:spacing w:before="0" w:after="0" w:line="360" w:lineRule="auto"/>
        <w:rPr>
          <w:rFonts w:hint="eastAsia"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卖方出具的全额正式发票；</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本合同总金额为人民币大写金额：</w:t>
      </w:r>
      <w:r>
        <w:rPr>
          <w:rFonts w:ascii="宋体" w:hAnsi="宋体" w:eastAsia="宋体" w:cs="宋体"/>
          <w:color w:val="000000" w:themeColor="text1"/>
          <w:sz w:val="24"/>
          <w:szCs w:val="21"/>
          <w:u w:val="single"/>
          <w14:textFill>
            <w14:solidFill>
              <w14:schemeClr w14:val="tx1"/>
            </w14:solidFill>
          </w14:textFill>
        </w:rPr>
        <w:t xml:space="preserve">  </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元</w:t>
      </w:r>
      <w:r>
        <w:rPr>
          <w:rFonts w:ascii="宋体" w:hAnsi="宋体" w:eastAsia="宋体" w:cs="宋体"/>
          <w:color w:val="000000" w:themeColor="text1"/>
          <w:sz w:val="24"/>
          <w:szCs w:val="21"/>
          <w:u w:val="single"/>
          <w14:textFill>
            <w14:solidFill>
              <w14:schemeClr w14:val="tx1"/>
            </w14:solidFill>
          </w14:textFill>
        </w:rPr>
        <w:t xml:space="preserve">（小写金额：</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u w:val="single"/>
          <w14:textFill>
            <w14:solidFill>
              <w14:schemeClr w14:val="tx1"/>
            </w14:solidFill>
          </w14:textFill>
        </w:rPr>
        <w:t xml:space="preserve"> 元）</w:t>
      </w:r>
      <w:r>
        <w:rPr>
          <w:rFonts w:ascii="宋体" w:hAnsi="宋体" w:eastAsia="宋体" w:cs="宋体"/>
          <w:color w:val="000000" w:themeColor="text1"/>
          <w:sz w:val="24"/>
          <w:szCs w:val="21"/>
          <w14:textFill>
            <w14:solidFill>
              <w14:schemeClr w14:val="tx1"/>
            </w14:solidFill>
          </w14:textFill>
        </w:rPr>
        <w:t xml:space="preserve">，经双方协商一致，选择以下第 </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种付款方式：</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付款方式一：提交预付款保函的</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合同价款的</w:t>
      </w:r>
      <w:r>
        <w:rPr>
          <w:rFonts w:ascii="宋体" w:hAnsi="宋体" w:eastAsia="宋体" w:cs="宋体"/>
          <w:color w:val="000000" w:themeColor="text1"/>
          <w:sz w:val="24"/>
          <w:szCs w:val="21"/>
          <w:u w:val="single"/>
          <w14:textFill>
            <w14:solidFill>
              <w14:schemeClr w14:val="tx1"/>
            </w14:solidFill>
          </w14:textFill>
        </w:rPr>
        <w:t xml:space="preserve">百分之五十(50%)</w:t>
      </w:r>
      <w:r>
        <w:rPr>
          <w:rFonts w:ascii="宋体" w:hAnsi="宋体" w:eastAsia="宋体" w:cs="宋体"/>
          <w:color w:val="000000" w:themeColor="text1"/>
          <w:sz w:val="24"/>
          <w:szCs w:val="21"/>
          <w14:textFill>
            <w14:solidFill>
              <w14:schemeClr w14:val="tx1"/>
            </w14:solidFill>
          </w14:textFill>
        </w:rPr>
        <w:t xml:space="preserve">即￥</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，大写：</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人民币元整，在双方签订合同后15个工作日内，乙方向甲方出具等额预付款保函后，办理政府采购资金结算手续支付给乙方。</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合同价款的</w:t>
      </w:r>
      <w:r>
        <w:rPr>
          <w:rFonts w:ascii="宋体" w:hAnsi="宋体" w:eastAsia="宋体" w:cs="宋体"/>
          <w:color w:val="000000" w:themeColor="text1"/>
          <w:sz w:val="24"/>
          <w:szCs w:val="21"/>
          <w:u w:val="single"/>
          <w14:textFill>
            <w14:solidFill>
              <w14:schemeClr w14:val="tx1"/>
            </w14:solidFill>
          </w14:textFill>
        </w:rPr>
        <w:t xml:space="preserve">百分之五十(50%)</w:t>
      </w:r>
      <w:r>
        <w:rPr>
          <w:rFonts w:ascii="宋体" w:hAnsi="宋体" w:eastAsia="宋体" w:cs="宋体"/>
          <w:color w:val="000000" w:themeColor="text1"/>
          <w:sz w:val="24"/>
          <w:szCs w:val="21"/>
          <w14:textFill>
            <w14:solidFill>
              <w14:schemeClr w14:val="tx1"/>
            </w14:solidFill>
          </w14:textFill>
        </w:rPr>
        <w:t xml:space="preserve">即￥</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，大写：</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人民币元整，合同标的全部交付并安装完毕验收后15个工作日内，由买方办理政府采购资金结算手续，经审核后支付给卖方。</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卖方需提交的支付文件包括：</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卖方出具的全额正式发票；</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highlight w:val="none"/>
          <w14:textFill>
            <w14:solidFill>
              <w14:schemeClr w14:val="tx1"/>
            </w14:solidFill>
          </w14:textFill>
        </w:rPr>
        <w:t xml:space="preserve">付款方式二：不提交预付款保函的</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合同价款的</w:t>
      </w:r>
      <w:r>
        <w:rPr>
          <w:rFonts w:ascii="宋体" w:hAnsi="宋体" w:eastAsia="宋体" w:cs="宋体"/>
          <w:color w:val="000000" w:themeColor="text1"/>
          <w:sz w:val="24"/>
          <w:szCs w:val="21"/>
          <w:highlight w:val="none"/>
          <w:u w:val="single"/>
          <w14:textFill>
            <w14:solidFill>
              <w14:schemeClr w14:val="tx1"/>
            </w14:solidFill>
          </w14:textFill>
        </w:rPr>
        <w:t xml:space="preserve">百分之三十(30%)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人民币元整，在双方签订合同后15个工作日内，由买方办理政府采购资金结算手续支付给乙方。</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合同价款的</w:t>
      </w:r>
      <w:r>
        <w:rPr>
          <w:rFonts w:ascii="宋体" w:hAnsi="宋体" w:eastAsia="宋体" w:cs="宋体"/>
          <w:color w:val="000000" w:themeColor="text1"/>
          <w:sz w:val="24"/>
          <w:szCs w:val="21"/>
          <w:highlight w:val="none"/>
          <w:u w:val="single"/>
          <w14:textFill>
            <w14:solidFill>
              <w14:schemeClr w14:val="tx1"/>
            </w14:solidFill>
          </w14:textFill>
        </w:rPr>
        <w:t xml:space="preserve">百分之七十(70%)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人民币元整，合同标的全部交付并安装完毕验收后15个工作日内，由买方办理政府采购资金结算手续，经审核后支付给卖方。</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卖方需提交的支付文件包括：</w:t>
      </w:r>
      <w:r/>
    </w:p>
    <w:p>
      <w:pPr>
        <w:ind w:right="0" w:firstLine="480"/>
        <w:jc w:val="both"/>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卖方出具的全额正式发票。</w:t>
      </w:r>
      <w:r/>
    </w:p>
    <w:p>
      <w:pPr>
        <w:ind w:left="0" w:right="0" w:firstLine="630"/>
        <w:jc w:val="both"/>
        <w:spacing w:before="0" w:after="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1"/>
          <w:szCs w:val="21"/>
          <w14:textFill>
            <w14:solidFill>
              <w14:schemeClr w14:val="tx1"/>
            </w14:solidFill>
          </w14:textFill>
        </w:rPr>
      </w:r>
      <w:r/>
    </w:p>
    <w:p>
      <w:pPr>
        <w:ind w:right="0" w:firstLine="480"/>
        <w:jc w:val="both"/>
        <w:spacing w:before="0" w:after="0" w:line="276" w:lineRule="auto"/>
        <w:rPr>
          <w:rFonts w:ascii="宋体" w:hAnsi="宋体" w:eastAsia="宋体" w:cs="宋体"/>
          <w:color w:val="000000" w:themeColor="text1"/>
          <w:sz w:val="24"/>
          <w:szCs w:val="24"/>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14:textFill>
            <w14:solidFill>
              <w14:schemeClr w14:val="tx1"/>
            </w14:solidFill>
          </w14:textFill>
        </w:rPr>
        <w:t xml:space="preserve">在签订合同时，如乙方明确表示无需预付款的，甲方可在合同标的全部交付完毕验收后15个工作日内</w:t>
      </w:r>
      <w:r>
        <w:rPr>
          <w:rFonts w:ascii="宋体" w:hAnsi="宋体" w:eastAsia="宋体" w:cs="宋体"/>
          <w:color w:val="000000" w:themeColor="text1"/>
          <w:sz w:val="24"/>
          <w:szCs w:val="24"/>
          <w:lang w:val="en-US" w:eastAsia="zh-CN"/>
          <w14:textFill>
            <w14:solidFill>
              <w14:schemeClr w14:val="tx1"/>
            </w14:solidFill>
          </w14:textFill>
        </w:rPr>
        <w:t xml:space="preserve">，一次性支付全部合同价款</w:t>
      </w:r>
      <w:r>
        <w:rPr>
          <w:rFonts w:ascii="宋体" w:hAnsi="宋体" w:eastAsia="宋体" w:cs="宋体"/>
          <w:color w:val="000000" w:themeColor="text1"/>
          <w:sz w:val="24"/>
          <w:szCs w:val="24"/>
          <w14:textFill>
            <w14:solidFill>
              <w14:schemeClr w14:val="tx1"/>
            </w14:solidFill>
          </w14:textFill>
        </w:rPr>
        <w:t xml:space="preserve">。</w:t>
      </w:r>
      <w:r>
        <w:t xml:space="preserve">（此条符合苏财购（2020）52号文件要求）</w:t>
      </w:r>
      <w:r/>
    </w:p>
    <w:p>
      <w:pPr>
        <w:ind w:left="0" w:right="0" w:firstLine="480"/>
        <w:spacing w:before="240" w:after="24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4.2上述费用买方支付至卖方指定账户内。除卖方另行指定外，该指定账户信息为：</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户名： </w:t>
      </w:r>
      <w:r/>
    </w:p>
    <w:p>
      <w:pPr>
        <w:ind w:left="0" w:right="0" w:firstLine="480"/>
        <w:spacing w:before="240" w:after="24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账号：</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开户行： </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第五条 交货</w:t>
      </w:r>
      <w:r/>
    </w:p>
    <w:p>
      <w:pPr>
        <w:ind w:left="0" w:right="0" w:firstLine="560"/>
        <w:jc w:val="both"/>
        <w:spacing w:before="0" w:after="0" w:line="499" w:lineRule="atLeast"/>
        <w:rPr>
          <w:rFonts w:ascii="宋体" w:hAnsi="宋体" w:eastAsia="宋体" w:cs="宋体"/>
          <w:b w:val="0"/>
          <w:bCs w:val="0"/>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5.1卖方应于合同签订之日起    日内将</w:t>
      </w:r>
      <w:r>
        <w:rPr>
          <w:rFonts w:hint="eastAsia" w:ascii="宋体" w:hAnsi="宋体" w:eastAsia="宋体" w:cs="宋体"/>
          <w:color w:val="000000" w:themeColor="text1"/>
          <w:sz w:val="24"/>
          <w:szCs w:val="21"/>
          <w:lang w:val="en-US" w:eastAsia="zh-CN"/>
          <w14:textFill>
            <w14:solidFill>
              <w14:schemeClr w14:val="tx1"/>
            </w14:solidFill>
          </w14:textFill>
        </w:rPr>
        <w:t xml:space="preserve">所有采购</w:t>
      </w:r>
      <w:r>
        <w:rPr>
          <w:rFonts w:ascii="宋体" w:hAnsi="宋体" w:eastAsia="宋体" w:cs="宋体"/>
          <w:color w:val="000000" w:themeColor="text1"/>
          <w:sz w:val="24"/>
          <w:szCs w:val="21"/>
          <w14:textFill>
            <w14:solidFill>
              <w14:schemeClr w14:val="tx1"/>
            </w14:solidFill>
          </w14:textFill>
        </w:rPr>
        <w:t xml:space="preserve">货物无损交付</w:t>
      </w:r>
      <w:r>
        <w:rPr>
          <w:rFonts w:ascii="宋体" w:hAnsi="宋体" w:eastAsia="宋体" w:cs="宋体"/>
          <w:b w:val="0"/>
          <w:bCs w:val="0"/>
          <w:color w:val="000000" w:themeColor="text1"/>
          <w:sz w:val="24"/>
          <w:szCs w:val="21"/>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5.2 交货地点为</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u w:val="single"/>
          <w14:textFill>
            <w14:solidFill>
              <w14:schemeClr w14:val="tx1"/>
            </w14:solidFill>
          </w14:textFill>
        </w:rPr>
        <w:t xml:space="preserve">买方指定地点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5.3卖方应在不迟于每批合同标的备妥待运前</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日通知买方。</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5.5如果卖方未能按照合同规定的交货期限交货，卖方应按每天迟交合同标的金额的百分之</w:t>
      </w:r>
      <w:r>
        <w:rPr>
          <w:rFonts w:ascii="宋体" w:hAnsi="宋体" w:eastAsia="宋体" w:cs="宋体"/>
          <w:color w:val="000000" w:themeColor="text1"/>
          <w:sz w:val="24"/>
          <w:szCs w:val="21"/>
          <w:u w:val="single"/>
          <w14:textFill>
            <w14:solidFill>
              <w14:schemeClr w14:val="tx1"/>
            </w14:solidFill>
          </w14:textFill>
        </w:rPr>
        <w:t xml:space="preserve">一</w:t>
      </w:r>
      <w:r>
        <w:rPr>
          <w:rFonts w:ascii="宋体" w:hAnsi="宋体" w:eastAsia="宋体" w:cs="宋体"/>
          <w:color w:val="000000" w:themeColor="text1"/>
          <w:sz w:val="24"/>
          <w:szCs w:val="21"/>
          <w14:textFill>
            <w14:solidFill>
              <w14:schemeClr w14:val="tx1"/>
            </w14:solidFill>
          </w14:textFill>
        </w:rPr>
        <w:t xml:space="preserve">(</w:t>
      </w:r>
      <w:r>
        <w:rPr>
          <w:rFonts w:ascii="宋体" w:hAnsi="宋体" w:eastAsia="宋体" w:cs="宋体"/>
          <w:color w:val="000000" w:themeColor="text1"/>
          <w:sz w:val="24"/>
          <w:szCs w:val="21"/>
          <w:u w:val="single"/>
          <w14:textFill>
            <w14:solidFill>
              <w14:schemeClr w14:val="tx1"/>
            </w14:solidFill>
          </w14:textFill>
        </w:rPr>
        <w:t xml:space="preserve">1</w:t>
      </w:r>
      <w:r>
        <w:rPr>
          <w:rFonts w:ascii="宋体" w:hAnsi="宋体" w:eastAsia="宋体" w:cs="宋体"/>
          <w:color w:val="000000" w:themeColor="text1"/>
          <w:sz w:val="24"/>
          <w:szCs w:val="21"/>
          <w14:textFill>
            <w14:solidFill>
              <w14:schemeClr w14:val="tx1"/>
            </w14:solidFill>
          </w14:textFill>
        </w:rPr>
        <w:t xml:space="preserve">%)的比率支付违约金。违约金的总金额不超过合同总价的百分之</w:t>
      </w:r>
      <w:r>
        <w:rPr>
          <w:rFonts w:ascii="宋体" w:hAnsi="宋体" w:eastAsia="宋体" w:cs="宋体"/>
          <w:color w:val="000000" w:themeColor="text1"/>
          <w:sz w:val="24"/>
          <w:szCs w:val="21"/>
          <w:u w:val="single"/>
          <w14:textFill>
            <w14:solidFill>
              <w14:schemeClr w14:val="tx1"/>
            </w14:solidFill>
          </w14:textFill>
        </w:rPr>
        <w:t xml:space="preserve">十</w:t>
      </w:r>
      <w:r>
        <w:rPr>
          <w:rFonts w:ascii="宋体" w:hAnsi="宋体" w:eastAsia="宋体" w:cs="宋体"/>
          <w:color w:val="000000" w:themeColor="text1"/>
          <w:sz w:val="24"/>
          <w:szCs w:val="21"/>
          <w14:textFill>
            <w14:solidFill>
              <w14:schemeClr w14:val="tx1"/>
            </w14:solidFill>
          </w14:textFill>
        </w:rPr>
        <w:t xml:space="preserve">(</w:t>
      </w:r>
      <w:r>
        <w:rPr>
          <w:rFonts w:ascii="宋体" w:hAnsi="宋体" w:eastAsia="宋体" w:cs="宋体"/>
          <w:color w:val="000000" w:themeColor="text1"/>
          <w:sz w:val="24"/>
          <w:szCs w:val="21"/>
          <w:u w:val="single"/>
          <w14:textFill>
            <w14:solidFill>
              <w14:schemeClr w14:val="tx1"/>
            </w14:solidFill>
          </w14:textFill>
        </w:rPr>
        <w:t xml:space="preserve">10</w:t>
      </w:r>
      <w:r>
        <w:rPr>
          <w:rFonts w:ascii="宋体" w:hAnsi="宋体" w:eastAsia="宋体" w:cs="宋体"/>
          <w:color w:val="000000" w:themeColor="text1"/>
          <w:sz w:val="24"/>
          <w:szCs w:val="21"/>
          <w14:textFill>
            <w14:solidFill>
              <w14:schemeClr w14:val="tx1"/>
            </w14:solidFill>
          </w14:textFill>
        </w:rPr>
        <w:t xml:space="preserve">%)，违约金的支付不能免除卖方继续交付相关合同标的的义务。</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如果卖方在合同规定的交货期限后</w:t>
      </w:r>
      <w:r>
        <w:rPr>
          <w:rFonts w:ascii="宋体" w:hAnsi="宋体" w:eastAsia="宋体" w:cs="宋体"/>
          <w:color w:val="000000" w:themeColor="text1"/>
          <w:sz w:val="24"/>
          <w:szCs w:val="21"/>
          <w:u w:val="single"/>
          <w14:textFill>
            <w14:solidFill>
              <w14:schemeClr w14:val="tx1"/>
            </w14:solidFill>
          </w14:textFill>
        </w:rPr>
        <w:t xml:space="preserve">十</w:t>
      </w:r>
      <w:r>
        <w:rPr>
          <w:rFonts w:ascii="宋体" w:hAnsi="宋体" w:eastAsia="宋体" w:cs="宋体"/>
          <w:color w:val="000000" w:themeColor="text1"/>
          <w:sz w:val="24"/>
          <w:szCs w:val="21"/>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ind w:left="0" w:right="0" w:firstLine="560"/>
        <w:jc w:val="both"/>
        <w:spacing w:before="0" w:after="0" w:line="49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第六条 </w:t>
      </w:r>
      <w:r>
        <w:rPr>
          <w:rFonts w:ascii="宋体" w:hAnsi="宋体" w:eastAsia="宋体" w:cs="宋体"/>
          <w:color w:val="000000" w:themeColor="text1"/>
          <w:sz w:val="24"/>
          <w:szCs w:val="21"/>
          <w14:textFill>
            <w14:solidFill>
              <w14:schemeClr w14:val="tx1"/>
            </w14:solidFill>
          </w14:textFill>
        </w:rPr>
        <w:t xml:space="preserve">包装与标记</w:t>
      </w:r>
      <w:r/>
    </w:p>
    <w:p>
      <w:pPr>
        <w:ind w:left="0" w:right="0" w:firstLine="560"/>
        <w:jc w:val="both"/>
        <w:spacing w:before="0" w:after="0" w:line="49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1"/>
          <w:lang w:val="en-US" w:eastAsia="en-US"/>
          <w14:textFill>
            <w14:solidFill>
              <w14:schemeClr w14:val="tx1"/>
            </w14:solidFill>
          </w14:textFill>
        </w:rPr>
        <w:t xml:space="preserve">应保证</w:t>
      </w:r>
      <w:r>
        <w:rPr>
          <w:rFonts w:hint="eastAsia" w:ascii="宋体" w:hAnsi="宋体" w:eastAsia="宋体" w:cs="宋体"/>
          <w:color w:val="000000" w:themeColor="text1"/>
          <w:sz w:val="24"/>
          <w:szCs w:val="21"/>
          <w:lang w:val="en-US" w:eastAsia="zh-CN"/>
          <w14:textFill>
            <w14:solidFill>
              <w14:schemeClr w14:val="tx1"/>
            </w14:solidFill>
          </w14:textFill>
        </w:rPr>
        <w:t xml:space="preserve">所投</w:t>
      </w:r>
      <w:r>
        <w:rPr>
          <w:rFonts w:hint="eastAsia" w:ascii="宋体" w:hAnsi="宋体" w:eastAsia="宋体" w:cs="宋体"/>
          <w:color w:val="000000" w:themeColor="text1"/>
          <w:sz w:val="24"/>
          <w:szCs w:val="21"/>
          <w:lang w:val="en-US" w:eastAsia="en-US"/>
          <w14:textFill>
            <w14:solidFill>
              <w14:schemeClr w14:val="tx1"/>
            </w14:solidFill>
          </w14:textFill>
        </w:rPr>
        <w:t xml:space="preserve">货物是全新、未使用过的原装合格正品，并完全</w:t>
      </w:r>
      <w:r>
        <w:rPr>
          <w:rFonts w:hint="eastAsia" w:ascii="宋体" w:hAnsi="宋体" w:eastAsia="宋体" w:cs="宋体"/>
          <w:color w:val="000000" w:themeColor="text1"/>
          <w:sz w:val="24"/>
          <w:szCs w:val="21"/>
          <w:lang w:val="en-US" w:eastAsia="zh-CN"/>
          <w14:textFill>
            <w14:solidFill>
              <w14:schemeClr w14:val="tx1"/>
            </w14:solidFill>
          </w14:textFill>
        </w:rPr>
        <w:t xml:space="preserve">响应招标</w:t>
      </w:r>
      <w:r>
        <w:rPr>
          <w:rFonts w:hint="eastAsia" w:ascii="宋体" w:hAnsi="宋体" w:eastAsia="宋体" w:cs="宋体"/>
          <w:color w:val="000000" w:themeColor="text1"/>
          <w:sz w:val="24"/>
          <w:szCs w:val="21"/>
          <w:lang w:val="en-US" w:eastAsia="en-US"/>
          <w14:textFill>
            <w14:solidFill>
              <w14:schemeClr w14:val="tx1"/>
            </w14:solidFill>
          </w14:textFill>
        </w:rPr>
        <w:t xml:space="preserve">文件及</w:t>
      </w:r>
      <w:r>
        <w:rPr>
          <w:rFonts w:hint="eastAsia" w:asciiTheme="minorHAnsi" w:hAnsiTheme="minorHAnsi" w:eastAsiaTheme="minorHAnsi" w:cstheme="minorBidi"/>
          <w:color w:val="000000" w:themeColor="text1"/>
          <w:sz w:val="24"/>
          <w:szCs w:val="21"/>
          <w:lang w:val="en-US" w:eastAsia="en-US" w:bidi="ar-SA"/>
          <w14:textFill>
            <w14:solidFill>
              <w14:schemeClr w14:val="tx1"/>
            </w14:solidFill>
          </w14:textFill>
        </w:rPr>
        <w:t xml:space="preserve">本合同规定的质量、规格和性能的要求。</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第七条 技术资料</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7.1 技术资料随合同标的同时交付给买方。未提交技术资料的，视为卖方未完全履行合同。</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第八条 安装</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8.1</w:t>
      </w:r>
      <w:r>
        <w:rPr>
          <w:rFonts w:ascii="宋体" w:hAnsi="宋体" w:eastAsia="宋体" w:cs="宋体"/>
          <w:b w:val="0"/>
          <w:bCs w:val="0"/>
          <w:color w:val="000000" w:themeColor="text1"/>
          <w:sz w:val="24"/>
          <w:szCs w:val="21"/>
          <w14:textFill>
            <w14:solidFill>
              <w14:schemeClr w14:val="tx1"/>
            </w14:solidFill>
          </w14:textFill>
        </w:rPr>
        <w:t xml:space="preserve">卖方应于合同生效日后10日内将合同标的</w:t>
      </w:r>
      <w:r>
        <w:rPr>
          <w:rFonts w:hint="eastAsia" w:ascii="宋体" w:hAnsi="宋体" w:eastAsia="宋体" w:cs="宋体"/>
          <w:b w:val="0"/>
          <w:bCs w:val="0"/>
          <w:color w:val="000000" w:themeColor="text1"/>
          <w:sz w:val="24"/>
          <w:szCs w:val="21"/>
          <w:lang w:val="en-US" w:eastAsia="zh-CN"/>
          <w14:textFill>
            <w14:solidFill>
              <w14:schemeClr w14:val="tx1"/>
            </w14:solidFill>
          </w14:textFill>
        </w:rPr>
        <w:t xml:space="preserve">物资</w:t>
      </w:r>
      <w:r>
        <w:rPr>
          <w:rFonts w:ascii="宋体" w:hAnsi="宋体" w:eastAsia="宋体" w:cs="宋体"/>
          <w:b w:val="0"/>
          <w:bCs w:val="0"/>
          <w:color w:val="000000" w:themeColor="text1"/>
          <w:sz w:val="24"/>
          <w:szCs w:val="21"/>
          <w14:textFill>
            <w14:solidFill>
              <w14:schemeClr w14:val="tx1"/>
            </w14:solidFill>
          </w14:textFill>
        </w:rPr>
        <w:t xml:space="preserve">全部交付完毕。</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本采购合同采购方式为卖方包工形式，质量需与样品一致，所有工作均应由卖方亲自完成，不得转让履行主体。</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 验收</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9.1合同标的的试运行、验收应在卖方的协助下进行。合同标的全部交付并安装完毕后，卖方可向买方书面提出试运行、验收要求，买方在接到书面要求后</w:t>
      </w:r>
      <w:r>
        <w:rPr>
          <w:rFonts w:ascii="宋体" w:hAnsi="宋体" w:eastAsia="宋体" w:cs="宋体"/>
          <w:color w:val="000000" w:themeColor="text1"/>
          <w:sz w:val="24"/>
          <w:szCs w:val="21"/>
          <w:u w:val="single"/>
          <w14:textFill>
            <w14:solidFill>
              <w14:schemeClr w14:val="tx1"/>
            </w14:solidFill>
          </w14:textFill>
        </w:rPr>
        <w:t xml:space="preserve"> </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日进行试运行、验收。如果试运行和/或验收因卖方原因发生迟延和/ 或在其它情况下发生额外费用，买方有权就因迟延发生的损害和损失和/或任何额外费用请求赔偿。</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第十一条 索赔</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11.1买方有权选择本条款规定的任意或全部救济方式。</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11.2卖方应在收到买方索赔要求后14日内作出书面回复，否则该索赔要求将被视为已被卖方接受。卖方应在买方发出索赔要求后14日内，按照买方选择的救济方法解决索赔事宜。</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 不可抗力</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12.3如果不可抗力事件的影响持续超过20日，合同任何一方均有权发出书面通知终止合同。</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 合同的终止</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13.1如果卖方有下述违约行为，买方可以全部或部分地终止合同：</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卖方在合同规定的交货期限后</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日内仍未能交付合同标的和/或技术资料；或者卖方未能履行合同项下任何其它义务，并且在收到买方违约通知后</w:t>
      </w:r>
      <w:r>
        <w:rPr>
          <w:rFonts w:ascii="宋体" w:hAnsi="宋体" w:eastAsia="宋体" w:cs="宋体"/>
          <w:color w:val="000000" w:themeColor="text1"/>
          <w:sz w:val="24"/>
          <w:szCs w:val="21"/>
          <w:u w:val="single"/>
          <w14:textFill>
            <w14:solidFill>
              <w14:schemeClr w14:val="tx1"/>
            </w14:solidFill>
          </w14:textFill>
        </w:rPr>
        <w:t xml:space="preserve"> 5 </w:t>
      </w:r>
      <w:r>
        <w:rPr>
          <w:rFonts w:ascii="宋体" w:hAnsi="宋体" w:eastAsia="宋体" w:cs="宋体"/>
          <w:color w:val="000000" w:themeColor="text1"/>
          <w:sz w:val="24"/>
          <w:szCs w:val="21"/>
          <w14:textFill>
            <w14:solidFill>
              <w14:schemeClr w14:val="tx1"/>
            </w14:solidFill>
          </w14:textFill>
        </w:rPr>
        <w:t xml:space="preserve">日内仍未能对其违约行为作出补救。</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13.4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 争议的解决</w:t>
      </w:r>
      <w:r/>
    </w:p>
    <w:p>
      <w:pPr>
        <w:ind w:left="0" w:right="0" w:firstLine="560"/>
        <w:jc w:val="both"/>
        <w:spacing w:before="0" w:after="0" w:line="49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14.1如果不能协商一致，合同任何一方有权向</w:t>
      </w:r>
      <w:r>
        <w:rPr>
          <w:rFonts w:ascii="宋体" w:hAnsi="宋体" w:eastAsia="宋体" w:cs="宋体"/>
          <w:color w:val="000000" w:themeColor="text1"/>
          <w:sz w:val="24"/>
          <w:szCs w:val="21"/>
          <w:u w:val="single"/>
          <w14:textFill>
            <w14:solidFill>
              <w14:schemeClr w14:val="tx1"/>
            </w14:solidFill>
          </w14:textFill>
        </w:rPr>
        <w:t xml:space="preserve">买方所在地</w:t>
      </w:r>
      <w:r>
        <w:rPr>
          <w:rFonts w:ascii="宋体" w:hAnsi="宋体" w:eastAsia="宋体" w:cs="宋体"/>
          <w:color w:val="000000" w:themeColor="text1"/>
          <w:sz w:val="24"/>
          <w:szCs w:val="21"/>
          <w14:textFill>
            <w14:solidFill>
              <w14:schemeClr w14:val="tx1"/>
            </w14:solidFill>
          </w14:textFill>
        </w:rPr>
        <w:t xml:space="preserve">人民法院提起诉讼或提交</w:t>
      </w:r>
      <w:r>
        <w:rPr>
          <w:rFonts w:ascii="宋体" w:hAnsi="宋体" w:eastAsia="宋体" w:cs="宋体"/>
          <w:color w:val="000000" w:themeColor="text1"/>
          <w:sz w:val="24"/>
          <w:szCs w:val="21"/>
          <w:u w:val="single"/>
          <w14:textFill>
            <w14:solidFill>
              <w14:schemeClr w14:val="tx1"/>
            </w14:solidFill>
          </w14:textFill>
        </w:rPr>
        <w:t xml:space="preserve">徐州仲裁委员会</w:t>
      </w:r>
      <w:r>
        <w:rPr>
          <w:rFonts w:ascii="宋体" w:hAnsi="宋体" w:eastAsia="宋体" w:cs="宋体"/>
          <w:color w:val="000000" w:themeColor="text1"/>
          <w:sz w:val="24"/>
          <w:szCs w:val="21"/>
          <w14:textFill>
            <w14:solidFill>
              <w14:schemeClr w14:val="tx1"/>
            </w14:solidFill>
          </w14:textFill>
        </w:rPr>
        <w:t xml:space="preserve">仲裁。 </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 合同生效及其他</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18.10按照《财政部关于做好政府采购信息公开工作的通知》（财库〔2015〕135号），买方依据《保守国家秘密法》等法律制度规定确定本合同</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部分涉及国家秘密，该涉及国家秘密部分不公告；买方依据《反不正当竞争法》等法律制度的规定与卖方约定本合同</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部分涉及商业秘密，该涉及商业秘密部分不公告。</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18.11 合同双方的通讯地址（双方的通讯地址为法定送达地址，有关送达方式和地址在发生变更后应当及时书面通知对方，否则依法邮寄到约定地址均视为已经送达；任何一方拒收均视为已经送达）： </w:t>
      </w:r>
      <w:r/>
    </w:p>
    <w:p>
      <w:pPr>
        <w:ind w:left="0" w:right="0" w:firstLine="560"/>
        <w:jc w:val="both"/>
        <w:spacing w:before="0" w:after="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360" w:lineRule="auto"/>
        <w:rPr>
          <w:rFonts w:hint="default"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eastAsia="zh-CN"/>
          <w14:textFill>
            <w14:solidFill>
              <w14:schemeClr w14:val="tx1"/>
            </w14:solidFill>
          </w14:textFill>
        </w:rPr>
        <w:t xml:space="preserve">（</w:t>
      </w:r>
      <w:r>
        <w:rPr>
          <w:rFonts w:hint="eastAsia" w:ascii="宋体" w:hAnsi="宋体" w:eastAsia="宋体" w:cs="宋体"/>
          <w:color w:val="000000" w:themeColor="text1"/>
          <w:sz w:val="24"/>
          <w:szCs w:val="21"/>
          <w:lang w:val="en-US" w:eastAsia="zh-CN"/>
          <w14:textFill>
            <w14:solidFill>
              <w14:schemeClr w14:val="tx1"/>
            </w14:solidFill>
          </w14:textFill>
        </w:rPr>
        <w:t xml:space="preserve">以下无正文）</w:t>
      </w:r>
      <w:r/>
    </w:p>
    <w:p>
      <w:pPr>
        <w:ind w:left="0" w:right="0" w:firstLine="560"/>
        <w:jc w:val="both"/>
        <w:spacing w:before="0" w:after="0"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买方:</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卖方:</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地址: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地址:</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邮编: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邮编: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电话: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电话:</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传真: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传真:</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rFonts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合同附件</w:t>
      </w:r>
      <w:r/>
    </w:p>
    <w:p>
      <w:pPr>
        <w:ind w:left="0" w:right="0" w:firstLine="56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 </w:t>
      </w:r>
      <w:r/>
    </w:p>
    <w:p>
      <w:pPr>
        <w:ind w:right="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目</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合同附件1：合同协议书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合同附件2：技术规格和技术性能</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(要求见招标文件第六章《采购需求》；合同见卖方投标文件。)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合同附件3：售后服务和技术培训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(要求见招标文件第六章《采购需求》；合同见卖方投标文件。)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合同附件4：供货范围和价格清单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(要求见招标文件第七章《投标文件相关格式》中《开标一览表》和《分项价格表》；合同见卖方投标文件。)</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rPr>
          <w:rFonts w:ascii="Times New Roman" w:hAnsi="Times New Roman" w:eastAsia="Times New Roman" w:cs="Times New Roman"/>
          <w:color w:val="000000" w:themeColor="text1"/>
          <w:sz w:val="21"/>
          <w:szCs w:val="21"/>
          <w14:textFill>
            <w14:solidFill>
              <w14:schemeClr w14:val="tx1"/>
            </w14:solidFill>
          </w14:textFill>
        </w:rPr>
      </w:pPr>
      <w:r>
        <w:rPr>
          <w:rFonts w:ascii="Times New Roman" w:hAnsi="Times New Roman" w:eastAsia="Times New Roman" w:cs="Times New Roman"/>
          <w:color w:val="000000" w:themeColor="text1"/>
          <w:sz w:val="21"/>
          <w:szCs w:val="21"/>
          <w14:textFill>
            <w14:solidFill>
              <w14:schemeClr w14:val="tx1"/>
            </w14:solidFill>
          </w14:textFill>
        </w:rPr>
        <w:br w:type="page" w:clear="all"/>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合同附件1：</w:t>
      </w:r>
      <w:r/>
    </w:p>
    <w:p>
      <w:pPr>
        <w:ind w:left="0" w:right="0" w:firstLine="4498"/>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合同编号:____________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签字日期:____________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签字地点:____________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（买方名称）（以下简称“买方”）已接受</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（卖方名称）（以下简称“卖方”）对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（项目名称）（项目编号：</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）的投标。买方和卖方共同达成如下协议。</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1.本合同协议书中的词语和术语的含义与合同条款中定义的相同。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2.以下文件应构成买方和卖方之间达成的合同，若各文件之间存在含糊不清或互相冲突之处，优先顺序应按下列文件顺序解释。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 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 中标通知书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 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 合同通用条款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 除合同附件1外的合同附件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 其他文件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3.考虑到买方将按照本合同向卖方支付合同价款，卖方在此保证全部按照合同的规定向买方提供合同标的、技术资料、售后服务及技术培训。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4.考虑到卖方将按合同规定提供合同标的、技术资料、售后服务及技术培训，买方在此保证按照合同规定的时间和方式向卖方支付合同价款。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5.本合同在下列条件全部满足后生效，生效日期以下列条件全部满足的最晚日期为准：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 双方加盖公章或合同专用章；</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 合同一式</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份，具有同等法律效力，买方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份，卖方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份，政府采购管理部门一份备案。</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7.本合同其他未尽事宜及与采购文件有矛盾之处，以采购文件[项目编号：</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]为准。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买方和卖方由其正式授权代表于上述所写日期和地点签订本合同。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买方（签章）：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法定代表人或授权代表(签名)： </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卖方（签章）：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法定代表人或授权代表(签名)：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开户银行：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银行帐号：</w:t>
      </w:r>
      <w:r/>
    </w:p>
    <w:p>
      <w:pPr>
        <w:pStyle w:val="995"/>
        <w:jc w:val="both"/>
        <w:rPr>
          <w:rFonts w:hint="eastAsia" w:ascii="宋体" w:hAnsi="宋体" w:eastAsia="宋体" w:cs="宋体"/>
          <w:color w:val="000000" w:themeColor="text1"/>
          <w:sz w:val="28"/>
          <w:szCs w:val="40"/>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color w:val="000000" w:themeColor="text1"/>
          <w:sz w:val="28"/>
          <w:szCs w:val="40"/>
          <w14:textFill>
            <w14:solidFill>
              <w14:schemeClr w14:val="tx1"/>
            </w14:solidFill>
          </w14:textFill>
        </w:rPr>
      </w:r>
      <w:r/>
    </w:p>
    <w:p>
      <w:pPr>
        <w:pStyle w:val="995"/>
        <w:keepLines/>
        <w:keepNext/>
        <w:pageBreakBefore w:val="0"/>
        <w:spacing w:line="360" w:lineRule="auto"/>
        <w:widowControl w:val="off"/>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t xml:space="preserve">第六章  采购需求</w:t>
      </w:r>
      <w:bookmarkEnd w:id="12"/>
      <w:r/>
      <w:bookmarkEnd w:id="13"/>
      <w:r/>
      <w:r/>
    </w:p>
    <w:p>
      <w:pPr>
        <w:pStyle w:val="778"/>
        <w:keepLines w:val="0"/>
        <w:keepNext w:val="0"/>
        <w:pageBreakBefore w:val="0"/>
        <w:spacing w:line="360" w:lineRule="auto"/>
        <w:rPr>
          <w:rFonts w:hint="eastAsia" w:ascii="宋体" w:hAnsi="宋体" w:eastAsia="宋体" w:cs="宋体"/>
          <w:b/>
          <w:bCs/>
          <w:color w:val="auto"/>
          <w:sz w:val="24"/>
          <w:szCs w:val="24"/>
        </w:rPr>
      </w:pPr>
      <w:r/>
      <w:bookmarkStart w:id="14" w:name="_Toc523404701"/>
      <w:r/>
      <w:bookmarkStart w:id="15" w:name="_Toc522790136"/>
      <w:r>
        <w:rPr>
          <w:rFonts w:hint="eastAsia" w:ascii="宋体" w:hAnsi="宋体" w:eastAsia="宋体" w:cs="宋体"/>
          <w:b/>
          <w:bCs/>
          <w:color w:val="auto"/>
          <w:sz w:val="24"/>
          <w:szCs w:val="24"/>
        </w:rPr>
        <w:t xml:space="preserve">一、项目说明</w:t>
      </w:r>
      <w:r/>
    </w:p>
    <w:p>
      <w:pPr>
        <w:ind w:firstLine="828"/>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项目内容：</w:t>
      </w:r>
      <w:r>
        <w:rPr>
          <w:rFonts w:hint="eastAsia" w:ascii="宋体" w:hAnsi="宋体" w:eastAsia="宋体" w:cs="宋体"/>
          <w:color w:val="auto"/>
          <w:sz w:val="24"/>
          <w:szCs w:val="24"/>
          <w:lang w:eastAsia="zh-CN"/>
        </w:rPr>
        <w:t xml:space="preserve">徐州市贾汪区农业农村局</w:t>
      </w:r>
      <w:r>
        <w:rPr>
          <w:rFonts w:hint="eastAsia" w:ascii="宋体" w:hAnsi="宋体" w:eastAsia="宋体" w:cs="宋体"/>
          <w:color w:val="auto"/>
          <w:sz w:val="24"/>
          <w:szCs w:val="24"/>
        </w:rPr>
        <w:t xml:space="preserve">贾汪区区域性农业综合服务中心建设，采购预算</w:t>
      </w:r>
      <w:r>
        <w:rPr>
          <w:rFonts w:hint="eastAsia" w:ascii="宋体" w:hAnsi="宋体" w:cs="宋体"/>
          <w:color w:val="auto"/>
          <w:sz w:val="24"/>
          <w:szCs w:val="24"/>
          <w:lang w:eastAsia="zh-CN"/>
        </w:rPr>
        <w:t xml:space="preserve">为143.3765</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rPr>
        <w:t xml:space="preserve">。</w:t>
      </w:r>
      <w:r/>
    </w:p>
    <w:p>
      <w:pPr>
        <w:pStyle w:val="778"/>
        <w:ind w:firstLine="480"/>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合同履行期限：合同签订生效后</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日内交货</w:t>
      </w:r>
      <w:r>
        <w:rPr>
          <w:rFonts w:hint="eastAsia" w:ascii="宋体" w:hAnsi="宋体" w:cs="宋体"/>
          <w:color w:val="auto"/>
          <w:sz w:val="24"/>
          <w:szCs w:val="24"/>
          <w:highlight w:val="none"/>
          <w:lang w:eastAsia="zh-CN"/>
        </w:rPr>
        <w:t xml:space="preserve">。</w:t>
      </w:r>
      <w:r/>
    </w:p>
    <w:p>
      <w:pPr>
        <w:pStyle w:val="778"/>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二、采购项目预算金额</w:t>
      </w:r>
      <w:r/>
    </w:p>
    <w:p>
      <w:pPr>
        <w:pStyle w:val="778"/>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本项目不接受超过</w:t>
      </w:r>
      <w:r>
        <w:rPr>
          <w:rFonts w:hint="eastAsia" w:ascii="宋体" w:hAnsi="宋体" w:eastAsia="宋体" w:cs="宋体"/>
          <w:b/>
          <w:bCs/>
          <w:color w:val="auto"/>
          <w:sz w:val="24"/>
          <w:szCs w:val="24"/>
          <w:highlight w:val="none"/>
        </w:rPr>
        <w:t xml:space="preserve">143.3765</w:t>
      </w:r>
      <w:r>
        <w:rPr>
          <w:rFonts w:hint="eastAsia" w:ascii="宋体" w:hAnsi="宋体" w:cs="宋体"/>
          <w:b/>
          <w:bCs/>
          <w:color w:val="auto"/>
          <w:sz w:val="24"/>
          <w:szCs w:val="24"/>
          <w:highlight w:val="none"/>
          <w:lang w:val="en-US" w:eastAsia="zh-CN"/>
        </w:rPr>
        <w:t xml:space="preserve">万元</w:t>
      </w:r>
      <w:r>
        <w:rPr>
          <w:rFonts w:hint="eastAsia" w:ascii="宋体" w:hAnsi="宋体" w:eastAsia="宋体" w:cs="宋体"/>
          <w:b/>
          <w:bCs w:val="0"/>
          <w:color w:val="auto"/>
          <w:sz w:val="24"/>
          <w:szCs w:val="24"/>
          <w:highlight w:val="none"/>
          <w:lang w:val="en-US" w:eastAsia="zh-CN"/>
        </w:rPr>
        <w:t xml:space="preserve">（采购包</w:t>
      </w:r>
      <w:r>
        <w:rPr>
          <w:rFonts w:hint="eastAsia" w:ascii="宋体" w:hAnsi="宋体" w:cs="宋体"/>
          <w:b/>
          <w:bCs w:val="0"/>
          <w:color w:val="auto"/>
          <w:sz w:val="24"/>
          <w:szCs w:val="24"/>
          <w:highlight w:val="none"/>
          <w:lang w:val="en-US" w:eastAsia="zh-CN"/>
        </w:rPr>
        <w:t xml:space="preserve">一85.432万元、采购包二22.2293万元、采购包三19.6052万元、采购包四16.11万元</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人民币（采购项目预算金额）的投标报价；（报价包括产品价、税金、运费、安装调试、检验、运输保险、验收等全部费用。用户不再支付报价以外的任何费用。）</w:t>
      </w:r>
      <w:r/>
    </w:p>
    <w:p>
      <w:pPr>
        <w:pStyle w:val="778"/>
        <w:ind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兼投</w:t>
      </w:r>
      <w:r>
        <w:rPr>
          <w:rFonts w:hint="eastAsia" w:ascii="宋体" w:hAnsi="宋体" w:cs="宋体"/>
          <w:color w:val="auto"/>
          <w:sz w:val="24"/>
          <w:szCs w:val="24"/>
          <w:highlight w:val="none"/>
          <w:lang w:eastAsia="zh-CN"/>
        </w:rPr>
        <w:t xml:space="preserve">不兼中，定标顺序为采购包</w:t>
      </w:r>
      <w:r>
        <w:rPr>
          <w:rFonts w:hint="eastAsia" w:ascii="宋体" w:hAnsi="宋体" w:cs="宋体"/>
          <w:color w:val="auto"/>
          <w:sz w:val="24"/>
          <w:szCs w:val="24"/>
          <w:highlight w:val="none"/>
          <w:lang w:val="en-US" w:eastAsia="zh-CN"/>
        </w:rPr>
        <w:t xml:space="preserve">1-4。</w:t>
      </w:r>
      <w:r/>
    </w:p>
    <w:p>
      <w:pPr>
        <w:pStyle w:val="778"/>
        <w:numPr>
          <w:ilvl w:val="0"/>
          <w:numId w:val="0"/>
        </w:num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bidi="ar-SA"/>
        </w:rPr>
        <w:t xml:space="preserve">三、</w:t>
      </w:r>
      <w:r>
        <w:rPr>
          <w:rFonts w:hint="eastAsia" w:ascii="宋体" w:hAnsi="宋体" w:cs="宋体"/>
          <w:b/>
          <w:bCs/>
          <w:color w:val="auto"/>
          <w:sz w:val="24"/>
          <w:szCs w:val="24"/>
          <w:lang w:eastAsia="zh-CN"/>
        </w:rPr>
        <w:t xml:space="preserve">采购清单</w:t>
      </w:r>
      <w:r>
        <w:rPr>
          <w:rFonts w:hint="eastAsia" w:ascii="宋体" w:hAnsi="宋体" w:eastAsia="宋体" w:cs="宋体"/>
          <w:b/>
          <w:bCs/>
          <w:color w:val="auto"/>
          <w:sz w:val="24"/>
          <w:szCs w:val="24"/>
        </w:rPr>
        <w:t xml:space="preserve">及售后服务要求</w:t>
      </w:r>
      <w:r/>
    </w:p>
    <w:p>
      <w:pPr>
        <w:pStyle w:val="741"/>
        <w:ind w:left="0" w:firstLine="0"/>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bCs/>
          <w:color w:val="auto"/>
          <w:sz w:val="24"/>
          <w:szCs w:val="24"/>
          <w:highlight w:val="none"/>
          <w:lang w:eastAsia="zh-CN"/>
        </w:rPr>
        <w:t xml:space="preserve">采购包</w:t>
      </w:r>
      <w:r>
        <w:rPr>
          <w:rFonts w:hint="eastAsia" w:ascii="宋体" w:hAnsi="宋体" w:eastAsia="宋体" w:cs="宋体"/>
          <w:b/>
          <w:bCs/>
          <w:color w:val="auto"/>
          <w:sz w:val="24"/>
          <w:szCs w:val="24"/>
          <w:highlight w:val="none"/>
          <w:lang w:val="en-US" w:eastAsia="zh-CN"/>
        </w:rPr>
        <w:t xml:space="preserve">1：监控、监测设备</w:t>
      </w:r>
      <w:r/>
    </w:p>
    <w:tbl>
      <w:tblPr>
        <w:tblStyle w:val="739"/>
        <w:tblpPr w:horzAnchor="page" w:tblpX="645" w:vertAnchor="text" w:tblpY="611" w:leftFromText="180" w:topFromText="0" w:rightFromText="180" w:bottomFromText="0"/>
        <w:tblW w:w="10776" w:type="dxa"/>
        <w:tblInd w:w="0" w:type="dxa"/>
        <w:tblLayout w:type="fixed"/>
        <w:tblCellMar>
          <w:left w:w="108" w:type="dxa"/>
          <w:top w:w="0" w:type="dxa"/>
          <w:right w:w="108" w:type="dxa"/>
          <w:bottom w:w="0" w:type="dxa"/>
        </w:tblCellMar>
        <w:tblLook w:val="04A0" w:firstRow="1" w:lastRow="0" w:firstColumn="1" w:lastColumn="0" w:noHBand="0" w:noVBand="1"/>
      </w:tblPr>
      <w:tblGrid>
        <w:gridCol w:w="702"/>
        <w:gridCol w:w="2445"/>
        <w:gridCol w:w="5010"/>
        <w:gridCol w:w="1277"/>
        <w:gridCol w:w="1342"/>
      </w:tblGrid>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lang w:bidi="ar"/>
              </w:rPr>
              <w:t xml:space="preserve">建设模块</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lang w:bidi="ar"/>
              </w:rPr>
              <w:t xml:space="preserve">设备参数</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lang w:bidi="ar"/>
              </w:rPr>
              <w:t xml:space="preserve">数量</w:t>
            </w:r>
            <w:r/>
          </w:p>
        </w:tc>
      </w:tr>
      <w:tr>
        <w:trPr>
          <w:trHeight w:val="993"/>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400万红外高清球机</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400万像素红外网络高清球机，焦距 4.7- 110mm，23倍光学,红外100米,支持智能侦测、智能录像、智能编码等智能功能，支持H.265编码</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太阳能供电系统</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太阳板：18V60W单晶硅</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锂电池：12V/30Ah锂电池</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控制器：太阳能控制器（集成）</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球机立杆</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5米立杆，直径114镀锌钢管</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水泥预制</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水泥预制（含水泥、砂石、地笼等）</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存储卡</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256G视频存储卡</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视频流量卡</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3年视频流量卡,30G/月</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1600万全景高清智能球机</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1、自带镜头，另配4个图像采集模块，可输出1路主视频图像和4路辅视频图像。</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2、水平视场角不小于180°，垂直视场角不小于100°</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3、云台定位准确度小于等于0.5°</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4、最大亮度鉴别等级应大于等于10级</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5、当使用环境实际色温在2800K~10000K范围内变化时，应能自动调整白平衡，使输出图像准确重现出观察场景的实际色彩</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6、自动巡航：可按照所设定的预置位完成巡航路径，预置位停留时间可设置</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7、断电记忆：球机在某一位置停留时间超过设定值后记忆该位置，断电重启后可在产品说明书中规定的时间内恢复到所记忆的最后一个位置</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8、彩色：0.0003lux；黑白：0.0001lux</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9、动态范围不小于120dB。</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10、支持三码流输出，主码流球机摄像机通道支持输出2560×11.1440@25fps图像、全景通道支持输出5520×2400@25fps图像；第三码流球机摄像机通道支持输出1920×1080@25fps图像、全景通道支持输出4096×1800@25fps图像。</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11、产品支持人员密度功能，支持通过IE浏览器对辅助视频的全景画面设备不少于6个检测框，检测区域人数可通过OSD叠加的形式显示，并且可设置3个等级的人数，当检测框中的人数在3个等级之间变化时可触发报警。支持热度图叠加显示</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12、电源具有较强适应性，电源电压在DC36V±47%范围内变化时，摄像机可以正常工作</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13、当通过IE浏览器手动点击或框选预览画面中的人脸时，设备能通过PTZ转动将人脸置于画面中心，并对人脸进行抓拍。</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14、WEB服务：内部宜支持嵌入式WEB服务功能，能通过网页浏览器（如IE）访问网络球机</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15、静电放电干扰度应符合GB/T17626.2-2006中试验等级3的规定。试验期间，被测样品不应损坏、故障或发生状态改变，试验后设备应正常工作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16、抓拍图片分辨力：主视频图像：最大为2560×1440；辅视频图像：最大为5520×2400</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17、快速聚集功能：样机分辨率设置为2592×1944，帧率设置为25fps，码率为2Mbps，样机可跟踪行人或机动车等移动目标并录像，单帧回放录像文件，每1帧画面均应清晰可见</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18、在网络直连环境下，网络球机在厂家声明的码率，编码方式和标称的最大帧率设置时，稳定工作5min后的延时应小于400ms</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19、元数据：设备宜具有元数据输出功能。元数据宜与视频流采用同一通道输出。且能在显示端独立于视频进行语义显示。元数据应包含时间、球机编号、球机型号、视频编码格式、音频编码格式、视频帧率、图像尺寸、视音频码率等信息</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20、当发生移动侦测、视频遮挡、视频丢失、IP地址冲突、存储器满、SD卡拔出、非法访问及网络断开的故障时，样机可发出报警提示</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21、本机存储：宜具有本机存储功能。具有本机存储功能的球机存储本机最高分辨率的实时视频图像时间应大于3h</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全景立杆</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含15米监控热镀锌立杆、全景立杆基础、吊车租赁等</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rvv2*1.0国标铜芯</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200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超五类网线</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200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穿线管</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20PE管</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200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监控电箱及电源</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300*400监控电箱，2P16A空开</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8路2盘位poe网线供电NVR H.265编码</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提供一个千兆SC光纤接口和一个千兆RJ45端口</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光纤传输，损耗小，距离远，最大传输距离3千米</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采用波分复用技术，单模单纤传输</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RJ45端口支持端口自动翻转功能（Auto MDI/MDIX），无需人工进行电缆选择</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动态LED指示灯，提供简单的工作状态及故障排除提示</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外置电源，桌面精巧型钢壳结构设计</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5口交换机</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4芯单模</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200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虫情性诱设备</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1、设备符合《GB/T24689.1-2009植物保护机械 虫情测报灯》国家标准。</w:t>
            </w:r>
            <w:r/>
          </w:p>
          <w:p>
            <w:pPr>
              <w:rPr>
                <w:rFonts w:hint="eastAsia" w:ascii="宋体" w:hAnsi="宋体" w:cs="宋体"/>
                <w:color w:val="000000"/>
                <w:sz w:val="24"/>
                <w:szCs w:val="24"/>
              </w:rPr>
            </w:pPr>
            <w:r>
              <w:rPr>
                <w:rFonts w:hint="eastAsia" w:ascii="宋体" w:hAnsi="宋体" w:cs="宋体"/>
                <w:color w:val="000000"/>
                <w:sz w:val="24"/>
                <w:szCs w:val="24"/>
              </w:rPr>
              <w:t xml:space="preserve">2、设备运行功率≤1W，待机功率≤0.5W。</w:t>
            </w:r>
            <w:r/>
          </w:p>
          <w:p>
            <w:pPr>
              <w:rPr>
                <w:rFonts w:hint="eastAsia" w:ascii="宋体" w:hAnsi="宋体" w:cs="宋体"/>
                <w:color w:val="000000"/>
                <w:sz w:val="24"/>
                <w:szCs w:val="24"/>
              </w:rPr>
            </w:pPr>
            <w:r>
              <w:rPr>
                <w:rFonts w:hint="eastAsia" w:ascii="宋体" w:hAnsi="宋体" w:cs="宋体"/>
                <w:color w:val="000000"/>
                <w:sz w:val="24"/>
                <w:szCs w:val="24"/>
              </w:rPr>
              <w:t xml:space="preserve">3、设备应能识别包括但不限于稻纵卷叶螟、玉米螟、二化螟、大螟、粘虫、棉铃虫、斜纹夜蛾、甜菜夜蛾、草地贪夜蛾等主要害虫。设备实时监测数据可对接到电脑端数据分析平台。</w:t>
            </w:r>
            <w:r/>
          </w:p>
          <w:p>
            <w:pPr>
              <w:rPr>
                <w:rFonts w:hint="eastAsia" w:ascii="宋体" w:hAnsi="宋体" w:cs="宋体"/>
                <w:color w:val="000000"/>
                <w:sz w:val="24"/>
                <w:szCs w:val="24"/>
              </w:rPr>
            </w:pPr>
            <w:r>
              <w:rPr>
                <w:rFonts w:hint="eastAsia" w:ascii="宋体" w:hAnsi="宋体" w:cs="宋体"/>
                <w:color w:val="000000"/>
                <w:sz w:val="24"/>
                <w:szCs w:val="24"/>
              </w:rPr>
              <w:t xml:space="preserve">4、APP可查看时间段、每月、单日、每小时诱虫量数据。</w:t>
            </w:r>
            <w:r/>
          </w:p>
          <w:p>
            <w:pPr>
              <w:rPr>
                <w:rFonts w:hint="eastAsia" w:ascii="宋体" w:hAnsi="宋体" w:cs="宋体"/>
                <w:color w:val="000000"/>
                <w:sz w:val="24"/>
                <w:szCs w:val="24"/>
              </w:rPr>
            </w:pPr>
            <w:r>
              <w:rPr>
                <w:rFonts w:hint="eastAsia" w:ascii="宋体" w:hAnsi="宋体" w:cs="宋体"/>
                <w:color w:val="000000"/>
                <w:sz w:val="24"/>
                <w:szCs w:val="24"/>
              </w:rPr>
              <w:t xml:space="preserve">5、电脑端数据分析平台具有，设备统计预览、设备分布、害虫预警设置、害虫监测、害虫趋势分析、多年同比分析等功能；能按害虫类别，地理区域筛选统计累计总数、平均数的趋势图。</w:t>
            </w:r>
            <w:r/>
          </w:p>
          <w:p>
            <w:pPr>
              <w:rPr>
                <w:rFonts w:hint="eastAsia" w:ascii="宋体" w:hAnsi="宋体" w:cs="宋体"/>
                <w:color w:val="000000"/>
                <w:sz w:val="24"/>
                <w:szCs w:val="24"/>
              </w:rPr>
            </w:pPr>
            <w:r>
              <w:rPr>
                <w:rFonts w:hint="eastAsia" w:ascii="宋体" w:hAnsi="宋体" w:cs="宋体"/>
                <w:color w:val="000000"/>
                <w:sz w:val="24"/>
                <w:szCs w:val="24"/>
              </w:rPr>
              <w:t xml:space="preserve">5.1、数据查询与分析：可查看、分析和统计各时间段的诱虫量；支持按地区、害虫类别筛选、统计累计总数、平均数趋势图及占比图；基于地理信息的害虫发生预警地图，实时展示各地区害虫发生程度，支持颜色分级标识；支持手动导出下载EXCEL数据表格和PNG格式趋势图。</w:t>
            </w:r>
            <w:r/>
          </w:p>
          <w:p>
            <w:pPr>
              <w:rPr>
                <w:rFonts w:hint="eastAsia" w:ascii="宋体" w:hAnsi="宋体" w:cs="宋体"/>
                <w:color w:val="000000"/>
                <w:sz w:val="24"/>
                <w:szCs w:val="24"/>
              </w:rPr>
            </w:pPr>
            <w:r>
              <w:rPr>
                <w:rFonts w:hint="eastAsia" w:ascii="宋体" w:hAnsi="宋体" w:cs="宋体"/>
                <w:color w:val="000000"/>
                <w:sz w:val="24"/>
                <w:szCs w:val="24"/>
              </w:rPr>
              <w:t xml:space="preserve">5.2、基于2种不同生物区系类型害虫性信息素诱芯与花香诱芯的诱捕数量差异，构建专业分析数学模型和逻辑算法，动态展示迁飞性害虫的虫源地和实时迁飞状态，包含迁入代，部分迁入代，本地繁殖代，部分迁出代和迁出代。</w:t>
            </w:r>
            <w:r/>
          </w:p>
          <w:p>
            <w:pPr>
              <w:rPr>
                <w:rFonts w:hint="eastAsia" w:ascii="宋体" w:hAnsi="宋体" w:cs="宋体"/>
                <w:color w:val="000000"/>
                <w:sz w:val="24"/>
                <w:szCs w:val="24"/>
              </w:rPr>
            </w:pPr>
            <w:r>
              <w:rPr>
                <w:rFonts w:hint="eastAsia" w:ascii="宋体" w:hAnsi="宋体" w:cs="宋体"/>
                <w:color w:val="000000"/>
                <w:sz w:val="24"/>
                <w:szCs w:val="24"/>
              </w:rPr>
              <w:t xml:space="preserve">5.3、卵、幼虫低龄期的短期预测：在全省、全市或自定义区域，依据未来15天气象数据的平均值和昆虫发育之间的关系，建立数学模型，预测下一代卵、幼虫各龄期的发生动态，并生成趋势图。</w:t>
            </w:r>
            <w:r/>
          </w:p>
          <w:p>
            <w:pPr>
              <w:rPr>
                <w:rFonts w:hint="eastAsia" w:ascii="宋体" w:hAnsi="宋体" w:cs="宋体"/>
                <w:color w:val="000000"/>
                <w:sz w:val="24"/>
                <w:szCs w:val="24"/>
              </w:rPr>
            </w:pPr>
            <w:r>
              <w:rPr>
                <w:rFonts w:hint="eastAsia" w:ascii="宋体" w:hAnsi="宋体" w:cs="宋体"/>
                <w:color w:val="000000"/>
                <w:sz w:val="24"/>
                <w:szCs w:val="24"/>
              </w:rPr>
              <w:t xml:space="preserve">5.4、田间成虫量的预测：基于该设备诱捕的雄成虫数量数据以及性比，基于数学算法模型，自动推算、预测田间实际的成虫总数量及相应的雌成虫数量。</w:t>
            </w:r>
            <w:r/>
          </w:p>
          <w:p>
            <w:pPr>
              <w:rPr>
                <w:rFonts w:hint="eastAsia" w:ascii="宋体" w:hAnsi="宋体" w:cs="宋体"/>
                <w:color w:val="000000"/>
                <w:sz w:val="24"/>
                <w:szCs w:val="24"/>
              </w:rPr>
            </w:pPr>
            <w:r>
              <w:rPr>
                <w:rFonts w:hint="eastAsia" w:ascii="宋体" w:hAnsi="宋体" w:cs="宋体"/>
                <w:color w:val="000000"/>
                <w:sz w:val="24"/>
                <w:szCs w:val="24"/>
              </w:rPr>
              <w:t xml:space="preserve">5.5、灯诱数据换算：基于数学算法模型，提供性诱数据与传统测报灯的灯下诱虫量换算功能。</w:t>
            </w:r>
            <w:r/>
          </w:p>
          <w:p>
            <w:pPr>
              <w:rPr>
                <w:rFonts w:hint="eastAsia" w:ascii="宋体" w:hAnsi="宋体" w:cs="宋体"/>
                <w:color w:val="000000"/>
                <w:sz w:val="24"/>
                <w:szCs w:val="24"/>
              </w:rPr>
            </w:pPr>
            <w:r>
              <w:rPr>
                <w:rFonts w:hint="eastAsia" w:ascii="宋体" w:hAnsi="宋体" w:cs="宋体"/>
                <w:color w:val="000000"/>
                <w:sz w:val="24"/>
                <w:szCs w:val="24"/>
              </w:rPr>
              <w:t xml:space="preserve">5.6、成虫发生量的中、长期预测：基于3年以上历史虫情数据、温度数据和当前虫量数据进行大数据分析，构建数学算法模型，预测未来2个月成虫发生趋势。预测模型具备自我学习功能，能够随着数据量的增大自主训练更新。</w:t>
            </w:r>
            <w:r/>
          </w:p>
          <w:p>
            <w:pPr>
              <w:rPr>
                <w:rFonts w:hint="eastAsia" w:ascii="宋体" w:hAnsi="宋体" w:cs="宋体"/>
                <w:color w:val="000000"/>
                <w:sz w:val="24"/>
                <w:szCs w:val="24"/>
              </w:rPr>
            </w:pPr>
            <w:r>
              <w:rPr>
                <w:rFonts w:hint="eastAsia" w:ascii="宋体" w:hAnsi="宋体" w:cs="宋体"/>
                <w:color w:val="000000"/>
                <w:sz w:val="24"/>
                <w:szCs w:val="24"/>
              </w:rPr>
              <w:t xml:space="preserve">5.7、多维数据对比：支持不同诱捕器、不同区域、自定义分组及历史同期数据的对比分析。</w:t>
            </w:r>
            <w:r/>
          </w:p>
          <w:p>
            <w:pPr>
              <w:rPr>
                <w:rFonts w:hint="eastAsia" w:ascii="宋体" w:hAnsi="宋体" w:cs="宋体"/>
                <w:color w:val="000000"/>
                <w:sz w:val="24"/>
                <w:szCs w:val="24"/>
              </w:rPr>
            </w:pPr>
            <w:r>
              <w:rPr>
                <w:rFonts w:hint="eastAsia" w:ascii="宋体" w:hAnsi="宋体" w:cs="宋体"/>
                <w:color w:val="000000"/>
                <w:sz w:val="24"/>
                <w:szCs w:val="24"/>
              </w:rPr>
              <w:t xml:space="preserve">6、害虫诱捕装置：诱捕器为PC材质，结构为反向三漏斗飞蛾类诱捕器。增加反向三漏斗蛾子防逃逸结构。</w:t>
            </w:r>
            <w:r/>
          </w:p>
          <w:p>
            <w:pPr>
              <w:rPr>
                <w:rFonts w:hint="eastAsia" w:ascii="宋体" w:hAnsi="宋体" w:cs="宋体"/>
                <w:color w:val="000000"/>
                <w:sz w:val="24"/>
                <w:szCs w:val="24"/>
              </w:rPr>
            </w:pPr>
            <w:r>
              <w:rPr>
                <w:rFonts w:hint="eastAsia" w:ascii="宋体" w:hAnsi="宋体" w:cs="宋体"/>
                <w:color w:val="000000"/>
                <w:sz w:val="24"/>
                <w:szCs w:val="24"/>
              </w:rPr>
              <w:t xml:space="preserve">7、设备可通过手机APP查看实时数据、历史数据。</w:t>
            </w:r>
            <w:r/>
          </w:p>
          <w:p>
            <w:pPr>
              <w:rPr>
                <w:rFonts w:hint="eastAsia" w:ascii="宋体" w:hAnsi="宋体" w:cs="宋体"/>
                <w:color w:val="000000"/>
                <w:sz w:val="24"/>
                <w:szCs w:val="24"/>
              </w:rPr>
            </w:pPr>
            <w:r>
              <w:rPr>
                <w:rFonts w:hint="eastAsia" w:ascii="宋体" w:hAnsi="宋体" w:cs="宋体"/>
                <w:color w:val="000000"/>
                <w:sz w:val="24"/>
                <w:szCs w:val="24"/>
              </w:rPr>
              <w:t xml:space="preserve">7.1手机APP支持Harmony鸿蒙、iOS苹果和Android安卓系统</w:t>
            </w:r>
            <w:r/>
          </w:p>
          <w:p>
            <w:pPr>
              <w:rPr>
                <w:rFonts w:hint="eastAsia" w:ascii="宋体" w:hAnsi="宋体" w:cs="宋体"/>
                <w:color w:val="000000"/>
                <w:sz w:val="24"/>
                <w:szCs w:val="24"/>
              </w:rPr>
            </w:pPr>
            <w:r>
              <w:rPr>
                <w:rFonts w:hint="eastAsia" w:ascii="宋体" w:hAnsi="宋体" w:cs="宋体"/>
                <w:color w:val="000000"/>
                <w:sz w:val="24"/>
                <w:szCs w:val="24"/>
              </w:rPr>
              <w:t xml:space="preserve">7.2手机APP具有卵、幼虫各龄期的短期预测：依据未来15天气象数据的平均值和昆虫发育之间的关系，建立数学模型，预测下一代卵和幼虫各龄期的发生动态，并指导释放天敌和施药。</w:t>
            </w:r>
            <w:r/>
          </w:p>
          <w:p>
            <w:pPr>
              <w:rPr>
                <w:rFonts w:hint="eastAsia" w:ascii="宋体" w:hAnsi="宋体" w:cs="宋体"/>
                <w:color w:val="000000"/>
                <w:sz w:val="24"/>
                <w:szCs w:val="24"/>
              </w:rPr>
            </w:pPr>
            <w:r>
              <w:rPr>
                <w:rFonts w:hint="eastAsia" w:ascii="宋体" w:hAnsi="宋体" w:cs="宋体"/>
                <w:color w:val="000000"/>
                <w:sz w:val="24"/>
                <w:szCs w:val="24"/>
              </w:rPr>
              <w:t xml:space="preserve">7.3手机APP田间成虫量的预测：基于该设备诱捕的雄成虫数量数据以及性比，自动推算、预测田间实际的成虫总数量及相应的雌成虫数量。</w:t>
            </w:r>
            <w:r/>
          </w:p>
          <w:p>
            <w:pPr>
              <w:rPr>
                <w:rFonts w:hint="eastAsia" w:ascii="宋体" w:hAnsi="宋体" w:cs="宋体"/>
                <w:color w:val="000000"/>
                <w:sz w:val="24"/>
                <w:szCs w:val="24"/>
              </w:rPr>
            </w:pPr>
            <w:r>
              <w:rPr>
                <w:rFonts w:hint="eastAsia" w:ascii="宋体" w:hAnsi="宋体" w:cs="宋体"/>
                <w:color w:val="000000"/>
                <w:sz w:val="24"/>
                <w:szCs w:val="24"/>
              </w:rPr>
              <w:t xml:space="preserve">7.4手机APP具有灯诱数据换算：基于数学算法模型，提供性诱与传统测报灯（灯下诱虫量）的换算功能。</w:t>
            </w:r>
            <w:r/>
          </w:p>
          <w:p>
            <w:pPr>
              <w:rPr>
                <w:rFonts w:hint="eastAsia" w:ascii="宋体" w:hAnsi="宋体" w:cs="宋体"/>
                <w:color w:val="000000"/>
                <w:sz w:val="24"/>
                <w:szCs w:val="24"/>
              </w:rPr>
            </w:pPr>
            <w:r>
              <w:rPr>
                <w:rFonts w:hint="eastAsia" w:ascii="宋体" w:hAnsi="宋体" w:cs="宋体"/>
                <w:color w:val="000000"/>
                <w:sz w:val="24"/>
                <w:szCs w:val="24"/>
              </w:rPr>
              <w:t xml:space="preserve">7.5、手机APP具有成虫发生量的中、长期预测：基于历史虫情数据、温度数据和当前虫量数据，构建数学算法模型，预测未来2个月成虫发生趋势。</w:t>
            </w:r>
            <w:r/>
          </w:p>
          <w:p>
            <w:pPr>
              <w:rPr>
                <w:rFonts w:hint="eastAsia" w:ascii="宋体" w:hAnsi="宋体" w:cs="宋体"/>
                <w:color w:val="000000"/>
                <w:sz w:val="24"/>
                <w:szCs w:val="24"/>
              </w:rPr>
            </w:pPr>
            <w:r>
              <w:rPr>
                <w:rFonts w:hint="eastAsia" w:ascii="宋体" w:hAnsi="宋体" w:cs="宋体"/>
                <w:color w:val="000000"/>
                <w:sz w:val="24"/>
                <w:szCs w:val="24"/>
              </w:rPr>
              <w:t xml:space="preserve">8、设备可查看预测未来2个月次代诱虫量，及发生动态，包括卵期、一二低龄龄幼虫期。</w:t>
            </w:r>
            <w:r/>
          </w:p>
          <w:p>
            <w:pPr>
              <w:rPr>
                <w:rFonts w:hint="eastAsia" w:ascii="宋体" w:hAnsi="宋体" w:cs="宋体"/>
                <w:color w:val="000000"/>
                <w:sz w:val="24"/>
                <w:szCs w:val="24"/>
              </w:rPr>
            </w:pPr>
            <w:r>
              <w:rPr>
                <w:rFonts w:hint="eastAsia" w:ascii="宋体" w:hAnsi="宋体" w:cs="宋体"/>
                <w:color w:val="000000"/>
                <w:sz w:val="24"/>
                <w:szCs w:val="24"/>
              </w:rPr>
              <w:t xml:space="preserve">9、设备具有定位及导航、诱芯到期提醒等功能。</w:t>
            </w:r>
            <w:r/>
          </w:p>
          <w:p>
            <w:pPr>
              <w:rPr>
                <w:rFonts w:hint="eastAsia" w:ascii="宋体" w:hAnsi="宋体" w:cs="宋体"/>
                <w:color w:val="000000"/>
                <w:sz w:val="24"/>
                <w:szCs w:val="24"/>
              </w:rPr>
            </w:pPr>
            <w:r>
              <w:rPr>
                <w:rFonts w:hint="eastAsia" w:ascii="宋体" w:hAnsi="宋体" w:cs="宋体"/>
                <w:color w:val="000000"/>
                <w:sz w:val="24"/>
                <w:szCs w:val="24"/>
              </w:rPr>
              <w:t xml:space="preserve">10、双计数系统：上下集虫器各带一个三层4对红外计数装置，自动计数进入集虫器的昆虫，计算总数后上传到服务器数据库。</w:t>
            </w:r>
            <w:r/>
          </w:p>
          <w:p>
            <w:pPr>
              <w:rPr>
                <w:rFonts w:hint="eastAsia" w:ascii="宋体" w:hAnsi="宋体" w:cs="宋体"/>
                <w:color w:val="000000"/>
                <w:sz w:val="24"/>
                <w:szCs w:val="24"/>
              </w:rPr>
            </w:pPr>
            <w:r>
              <w:rPr>
                <w:rFonts w:hint="eastAsia" w:ascii="宋体" w:hAnsi="宋体" w:cs="宋体"/>
                <w:color w:val="000000"/>
                <w:sz w:val="24"/>
                <w:szCs w:val="24"/>
              </w:rPr>
              <w:t xml:space="preserve">11、自动计数功能：害虫经过红外感应器时，自动计数+1，间隔时间＜1S。</w:t>
            </w:r>
            <w:r/>
          </w:p>
          <w:p>
            <w:pPr>
              <w:rPr>
                <w:rFonts w:hint="eastAsia" w:ascii="宋体" w:hAnsi="宋体" w:cs="宋体"/>
                <w:color w:val="000000"/>
                <w:sz w:val="24"/>
                <w:szCs w:val="24"/>
              </w:rPr>
            </w:pPr>
            <w:r>
              <w:rPr>
                <w:rFonts w:hint="eastAsia" w:ascii="宋体" w:hAnsi="宋体" w:cs="宋体"/>
                <w:color w:val="000000"/>
                <w:sz w:val="24"/>
                <w:szCs w:val="24"/>
              </w:rPr>
              <w:t xml:space="preserve">12、终端储存发送功能：实时记录和存储诱捕器监测数据，储存时间≥12月。定时定向发送监测数据，同时具有自检、纠错功能。</w:t>
            </w:r>
            <w:r/>
          </w:p>
          <w:p>
            <w:pPr>
              <w:rPr>
                <w:rFonts w:hint="eastAsia" w:ascii="宋体" w:hAnsi="宋体" w:cs="宋体"/>
                <w:color w:val="000000"/>
                <w:sz w:val="24"/>
                <w:szCs w:val="24"/>
              </w:rPr>
            </w:pPr>
            <w:r>
              <w:rPr>
                <w:rFonts w:hint="eastAsia" w:ascii="宋体" w:hAnsi="宋体" w:cs="宋体"/>
                <w:color w:val="000000"/>
                <w:sz w:val="24"/>
                <w:szCs w:val="24"/>
              </w:rPr>
              <w:t xml:space="preserve">13、网关数据接收功能：1小时/次接收终端数据，并通过无线网络发送到服务器。</w:t>
            </w:r>
            <w:r/>
          </w:p>
          <w:p>
            <w:pPr>
              <w:rPr>
                <w:rFonts w:hint="eastAsia" w:ascii="宋体" w:hAnsi="宋体" w:cs="宋体"/>
                <w:color w:val="000000"/>
                <w:sz w:val="24"/>
                <w:szCs w:val="24"/>
              </w:rPr>
            </w:pPr>
            <w:r>
              <w:rPr>
                <w:rFonts w:hint="eastAsia" w:ascii="宋体" w:hAnsi="宋体" w:cs="宋体"/>
                <w:color w:val="000000"/>
                <w:sz w:val="24"/>
                <w:szCs w:val="24"/>
              </w:rPr>
              <w:t xml:space="preserve">14、网关和终端配置：一个网关可以配置多个终端。</w:t>
            </w:r>
            <w:r/>
          </w:p>
          <w:p>
            <w:pPr>
              <w:rPr>
                <w:rFonts w:hint="eastAsia" w:ascii="宋体" w:hAnsi="宋体" w:cs="宋体"/>
                <w:color w:val="000000"/>
                <w:sz w:val="24"/>
                <w:szCs w:val="24"/>
              </w:rPr>
            </w:pPr>
            <w:r>
              <w:rPr>
                <w:rFonts w:hint="eastAsia" w:ascii="宋体" w:hAnsi="宋体" w:cs="宋体"/>
                <w:color w:val="000000"/>
                <w:sz w:val="24"/>
                <w:szCs w:val="24"/>
              </w:rPr>
              <w:t xml:space="preserve">15、设备采用太阳能板供电，单晶硅材质；功率：≥55W，可在-40°C-80°C气温下工作。蓄电池为锂电池，规格：12V,≥60Ah。</w:t>
            </w:r>
            <w:r/>
          </w:p>
          <w:p>
            <w:pPr>
              <w:rPr>
                <w:rFonts w:hint="eastAsia" w:ascii="宋体" w:hAnsi="宋体" w:cs="宋体"/>
                <w:color w:val="000000"/>
                <w:sz w:val="24"/>
                <w:szCs w:val="24"/>
              </w:rPr>
            </w:pPr>
            <w:r>
              <w:rPr>
                <w:rFonts w:hint="eastAsia" w:ascii="宋体" w:hAnsi="宋体" w:cs="宋体"/>
                <w:color w:val="000000"/>
                <w:sz w:val="24"/>
                <w:szCs w:val="24"/>
              </w:rPr>
              <w:t xml:space="preserve">16、设备立杆材质为喷塑铝管，整体高度不低于300CM，配防电机箱，材质 304不锈钢材质，外标防电标识，具有防尘、防水功能。</w:t>
            </w:r>
            <w:r/>
          </w:p>
          <w:p>
            <w:pPr>
              <w:rPr>
                <w:rFonts w:hint="eastAsia" w:ascii="宋体" w:hAnsi="宋体" w:cs="宋体"/>
                <w:color w:val="000000"/>
                <w:sz w:val="24"/>
                <w:szCs w:val="24"/>
              </w:rPr>
            </w:pPr>
            <w:r>
              <w:rPr>
                <w:rFonts w:hint="eastAsia" w:ascii="宋体" w:hAnsi="宋体" w:cs="宋体"/>
                <w:color w:val="000000"/>
                <w:sz w:val="24"/>
                <w:szCs w:val="24"/>
              </w:rPr>
              <w:t xml:space="preserve">▲17、APP/云端数据同步延迟从设备完成一次计数到在手机APP或网页端数据显示更新，平均延迟时间应小于60秒。</w:t>
            </w:r>
            <w:r/>
          </w:p>
          <w:p>
            <w:pPr>
              <w:rPr>
                <w:rFonts w:hint="eastAsia" w:ascii="宋体" w:hAnsi="宋体" w:cs="宋体"/>
                <w:color w:val="000000"/>
                <w:sz w:val="24"/>
                <w:szCs w:val="24"/>
              </w:rPr>
            </w:pPr>
            <w:r>
              <w:rPr>
                <w:rFonts w:hint="eastAsia" w:ascii="宋体" w:hAnsi="宋体" w:cs="宋体"/>
                <w:color w:val="000000"/>
                <w:sz w:val="24"/>
                <w:szCs w:val="24"/>
              </w:rPr>
              <w:t xml:space="preserve">▲18、预警信息推送可靠性当害虫数量达到预设阈值时，系统应在5分钟内通过APP推送、短信（可选）等方式向管理员发送预警信息，成功率≥99%。</w:t>
            </w:r>
            <w:r/>
          </w:p>
          <w:p>
            <w:pPr>
              <w:rPr>
                <w:rFonts w:hint="eastAsia" w:ascii="宋体" w:hAnsi="宋体" w:cs="宋体"/>
                <w:color w:val="000000"/>
                <w:sz w:val="24"/>
                <w:szCs w:val="24"/>
              </w:rPr>
            </w:pPr>
            <w:r>
              <w:rPr>
                <w:rFonts w:hint="eastAsia" w:ascii="宋体" w:hAnsi="宋体" w:cs="宋体"/>
                <w:color w:val="000000"/>
                <w:sz w:val="24"/>
                <w:szCs w:val="24"/>
              </w:rPr>
              <w:t xml:space="preserve">▲19、历史数据查询与导出支持按“时间段”筛选历史数据，并能以Excel格式完整导出所有记录。</w:t>
            </w:r>
            <w:r/>
          </w:p>
          <w:p>
            <w:pPr>
              <w:rPr>
                <w:rFonts w:hint="eastAsia" w:ascii="宋体" w:hAnsi="宋体" w:cs="宋体"/>
                <w:color w:val="000000"/>
                <w:sz w:val="24"/>
                <w:szCs w:val="24"/>
              </w:rPr>
            </w:pPr>
            <w:r>
              <w:rPr>
                <w:rFonts w:hint="eastAsia" w:ascii="宋体" w:hAnsi="宋体" w:cs="宋体"/>
                <w:color w:val="000000"/>
                <w:sz w:val="24"/>
                <w:szCs w:val="24"/>
              </w:rPr>
              <w:t xml:space="preserve">▲20、用户权限管理软件平台应具备多级用户权限管理功能，不同角色对设备的查看和操作权限应清晰隔离。</w:t>
            </w:r>
            <w:r/>
          </w:p>
          <w:p>
            <w:pPr>
              <w:rPr>
                <w:rFonts w:hint="eastAsia" w:ascii="宋体" w:hAnsi="宋体" w:cs="宋体"/>
                <w:color w:val="000000"/>
                <w:sz w:val="24"/>
                <w:szCs w:val="24"/>
              </w:rPr>
            </w:pPr>
            <w:r>
              <w:rPr>
                <w:rFonts w:hint="eastAsia" w:ascii="宋体" w:hAnsi="宋体" w:cs="宋体"/>
                <w:color w:val="000000"/>
                <w:sz w:val="24"/>
                <w:szCs w:val="24"/>
              </w:rPr>
              <w:t xml:space="preserve">▲21、软件平台兼容性设备生成的数据包格式应与主流物联网平台的MQTT协议兼容，确保数据能被成功接收和解析。</w:t>
            </w:r>
            <w:r/>
          </w:p>
          <w:p>
            <w:pPr>
              <w:rPr>
                <w:rFonts w:ascii="宋体" w:hAnsi="宋体" w:cs="宋体"/>
                <w:color w:val="000000"/>
                <w:sz w:val="24"/>
                <w:szCs w:val="24"/>
              </w:rPr>
            </w:pPr>
            <w:r>
              <w:rPr>
                <w:rFonts w:hint="eastAsia" w:ascii="宋体" w:hAnsi="宋体" w:cs="宋体"/>
                <w:color w:val="000000"/>
                <w:sz w:val="24"/>
                <w:szCs w:val="24"/>
              </w:rPr>
              <w:t xml:space="preserve">（▲提供本项目公示日期之前具有检测资质的机构出具的带CNAS标识的检测报告）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水泥预制</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水泥预制（含水泥、砂石、地笼等）</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物联网虫情测报灯</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1、符合国家标准，能自动拍照、上传害虫图片，可自动清理死虫体，支持电脑客户端、网页版、移动端版数据共享，同时能够实现自动分析相关数据，历史数据可实时在线免费存储、查阅、下载表格及图片，可进行数据的横向比较和纵向分析；</w:t>
            </w:r>
            <w:r/>
          </w:p>
          <w:p>
            <w:pPr>
              <w:rPr>
                <w:rFonts w:hint="eastAsia" w:ascii="宋体" w:hAnsi="宋体" w:cs="宋体"/>
                <w:color w:val="000000"/>
                <w:sz w:val="24"/>
                <w:szCs w:val="24"/>
              </w:rPr>
            </w:pPr>
            <w:r>
              <w:rPr>
                <w:rFonts w:hint="eastAsia" w:ascii="宋体" w:hAnsi="宋体" w:cs="宋体"/>
                <w:color w:val="000000"/>
                <w:sz w:val="24"/>
                <w:szCs w:val="24"/>
              </w:rPr>
              <w:t xml:space="preserve">2、设备整体结构坚固耐腐蚀，防撞击，捕捉口外围设有滤网，防止非目标体大虫子进入机器内部，影响小虫子自动识别，设备具备防雨功能，保证在雨天也能正常工作；</w:t>
            </w:r>
            <w:r/>
          </w:p>
          <w:p>
            <w:pPr>
              <w:rPr>
                <w:rFonts w:hint="eastAsia" w:ascii="宋体" w:hAnsi="宋体" w:cs="宋体"/>
                <w:color w:val="000000"/>
                <w:sz w:val="24"/>
                <w:szCs w:val="24"/>
              </w:rPr>
            </w:pPr>
            <w:r>
              <w:rPr>
                <w:rFonts w:hint="eastAsia" w:ascii="宋体" w:hAnsi="宋体" w:cs="宋体"/>
                <w:color w:val="000000"/>
                <w:sz w:val="24"/>
                <w:szCs w:val="24"/>
              </w:rPr>
              <w:t xml:space="preserve">3、虫体处理：远红外虫体处理，仓温度85±5℃，同时设备具有散虫平铺结构，能准确的将虫体运输到拍照区域内，保证虫体不堆叠，可以引诱并识别常规大田害虫不限于草地贪夜蛾、斜纹夜蛾、甜菜夜蛾、玉米螟、蝼蛄、金龟子、大螟、二化螟、白背飞虱、褐飞虱等,识别率≥85%；</w:t>
            </w:r>
            <w:r/>
          </w:p>
          <w:p>
            <w:pPr>
              <w:rPr>
                <w:rFonts w:hint="eastAsia" w:ascii="宋体" w:hAnsi="宋体" w:cs="宋体"/>
                <w:color w:val="000000"/>
                <w:sz w:val="24"/>
                <w:szCs w:val="24"/>
              </w:rPr>
            </w:pPr>
            <w:r>
              <w:rPr>
                <w:rFonts w:hint="eastAsia" w:ascii="宋体" w:hAnsi="宋体" w:cs="宋体"/>
                <w:color w:val="000000"/>
                <w:sz w:val="24"/>
                <w:szCs w:val="24"/>
              </w:rPr>
              <w:t xml:space="preserve">4、可实现自动雨控及排水，能将雨水、虫分离；具防雷击功能；</w:t>
            </w:r>
            <w:r/>
          </w:p>
          <w:p>
            <w:pPr>
              <w:rPr>
                <w:rFonts w:hint="eastAsia" w:ascii="宋体" w:hAnsi="宋体" w:cs="宋体"/>
                <w:color w:val="000000"/>
                <w:sz w:val="24"/>
                <w:szCs w:val="24"/>
              </w:rPr>
            </w:pPr>
            <w:r>
              <w:rPr>
                <w:rFonts w:hint="eastAsia" w:ascii="宋体" w:hAnsi="宋体" w:cs="宋体"/>
                <w:color w:val="000000"/>
                <w:sz w:val="24"/>
                <w:szCs w:val="24"/>
              </w:rPr>
              <w:t xml:space="preserve">5、虫情图像拍照要求：内置高清工业摄像机≥2000万像素，可通过照片自动识别虫子数量来自动调节拍照时间间隔，系统感应到虫子数量较多后，设备会自动调节拍照间隔时间；</w:t>
            </w:r>
            <w:r/>
          </w:p>
          <w:p>
            <w:pPr>
              <w:rPr>
                <w:rFonts w:hint="eastAsia" w:ascii="宋体" w:hAnsi="宋体" w:cs="宋体"/>
                <w:color w:val="000000"/>
                <w:sz w:val="24"/>
                <w:szCs w:val="24"/>
              </w:rPr>
            </w:pPr>
            <w:r>
              <w:rPr>
                <w:rFonts w:hint="eastAsia" w:ascii="宋体" w:hAnsi="宋体" w:cs="宋体"/>
                <w:color w:val="000000"/>
                <w:sz w:val="24"/>
                <w:szCs w:val="24"/>
              </w:rPr>
              <w:t xml:space="preserve">6、控制功能：可通过触摸屏现场控制及软件端远程手动监测控制设备，诱虫灯开启、手动拍照、光控时控切换、拍照间隔时间、有线、无线网络切换功能、流量限流、GPS/北斗定位等功能；</w:t>
            </w:r>
            <w:r/>
          </w:p>
          <w:p>
            <w:pPr>
              <w:rPr>
                <w:rFonts w:hint="eastAsia" w:ascii="宋体" w:hAnsi="宋体" w:cs="宋体"/>
                <w:color w:val="000000"/>
                <w:sz w:val="24"/>
                <w:szCs w:val="24"/>
              </w:rPr>
            </w:pPr>
            <w:r>
              <w:rPr>
                <w:rFonts w:hint="eastAsia" w:ascii="宋体" w:hAnsi="宋体" w:cs="宋体"/>
                <w:color w:val="000000"/>
                <w:sz w:val="24"/>
                <w:szCs w:val="24"/>
              </w:rPr>
              <w:t xml:space="preserve">7、设备工作环境：可在-40-70℃，湿度0-98％的环境中正常工作；</w:t>
            </w:r>
            <w:r/>
          </w:p>
          <w:p>
            <w:pPr>
              <w:rPr>
                <w:rFonts w:hint="eastAsia" w:ascii="宋体" w:hAnsi="宋体" w:cs="宋体"/>
                <w:color w:val="000000"/>
                <w:sz w:val="24"/>
                <w:szCs w:val="24"/>
              </w:rPr>
            </w:pPr>
            <w:r>
              <w:rPr>
                <w:rFonts w:hint="eastAsia" w:ascii="宋体" w:hAnsi="宋体" w:cs="宋体"/>
                <w:color w:val="000000"/>
                <w:sz w:val="24"/>
                <w:szCs w:val="24"/>
              </w:rPr>
              <w:t xml:space="preserve">8、供电方式：太阳能供电，电池容量：≥48AH/12V，太阳能板≥80W；</w:t>
            </w:r>
            <w:r/>
          </w:p>
          <w:p>
            <w:pPr>
              <w:rPr>
                <w:rFonts w:hint="eastAsia" w:ascii="宋体" w:hAnsi="宋体" w:cs="宋体"/>
                <w:color w:val="000000"/>
                <w:sz w:val="24"/>
                <w:szCs w:val="24"/>
              </w:rPr>
            </w:pPr>
            <w:r>
              <w:rPr>
                <w:rFonts w:hint="eastAsia" w:ascii="宋体" w:hAnsi="宋体" w:cs="宋体"/>
                <w:color w:val="000000"/>
                <w:sz w:val="24"/>
                <w:szCs w:val="24"/>
              </w:rPr>
              <w:t xml:space="preserve">9、病虫害知识库功能：可查询、新增、修改病虫害知识库图谱信息。</w:t>
            </w:r>
            <w:r/>
          </w:p>
          <w:p>
            <w:pPr>
              <w:rPr>
                <w:rFonts w:hint="eastAsia" w:ascii="宋体" w:hAnsi="宋体" w:cs="宋体"/>
                <w:color w:val="000000"/>
                <w:sz w:val="24"/>
                <w:szCs w:val="24"/>
              </w:rPr>
            </w:pPr>
            <w:r>
              <w:rPr>
                <w:rFonts w:hint="eastAsia" w:ascii="宋体" w:hAnsi="宋体" w:cs="宋体"/>
                <w:color w:val="000000"/>
                <w:sz w:val="24"/>
                <w:szCs w:val="24"/>
              </w:rPr>
              <w:t xml:space="preserve">▲10、AI模型识别准确率在独立测试集上，对稻纵卷叶螟、褐飞虱等130余种常见害虫的整体识别准确率≥95%；对一二类农作物病虫害名录中趋光性害虫的单一种类识别准确率 ≥96%。</w:t>
            </w:r>
            <w:r/>
          </w:p>
          <w:p>
            <w:pPr>
              <w:rPr>
                <w:rFonts w:hint="eastAsia" w:ascii="宋体" w:hAnsi="宋体" w:cs="宋体"/>
                <w:color w:val="000000"/>
                <w:sz w:val="24"/>
                <w:szCs w:val="24"/>
              </w:rPr>
            </w:pPr>
            <w:r>
              <w:rPr>
                <w:rFonts w:hint="eastAsia" w:ascii="宋体" w:hAnsi="宋体" w:cs="宋体"/>
                <w:color w:val="000000"/>
                <w:sz w:val="24"/>
                <w:szCs w:val="24"/>
              </w:rPr>
              <w:t xml:space="preserve">▲11、图像上传成功率与完整性设备拍摄的照片应能100%成功上传至服务器。在连续7天的测试中，无任何照片丢失或损坏的情况。</w:t>
            </w:r>
            <w:r/>
          </w:p>
          <w:p>
            <w:pPr>
              <w:rPr>
                <w:rFonts w:hint="eastAsia" w:ascii="宋体" w:hAnsi="宋体" w:cs="宋体"/>
                <w:color w:val="000000"/>
                <w:sz w:val="24"/>
                <w:szCs w:val="24"/>
              </w:rPr>
            </w:pPr>
            <w:r>
              <w:rPr>
                <w:rFonts w:hint="eastAsia" w:ascii="宋体" w:hAnsi="宋体" w:cs="宋体"/>
                <w:color w:val="000000"/>
                <w:sz w:val="24"/>
                <w:szCs w:val="24"/>
              </w:rPr>
              <w:t xml:space="preserve">▲12、系统运行稳定性设备及配套软件平台在无人干预的情况下，持续稳定运行30天，期间无非计划性重启、死机或服务中断。</w:t>
            </w:r>
            <w:r/>
          </w:p>
          <w:p>
            <w:pPr>
              <w:rPr>
                <w:rFonts w:ascii="宋体" w:hAnsi="宋体" w:cs="宋体"/>
                <w:color w:val="000000"/>
                <w:sz w:val="24"/>
                <w:szCs w:val="24"/>
              </w:rPr>
            </w:pPr>
            <w:r>
              <w:rPr>
                <w:rFonts w:hint="eastAsia" w:ascii="宋体" w:hAnsi="宋体" w:cs="宋体"/>
                <w:color w:val="000000"/>
                <w:sz w:val="24"/>
                <w:szCs w:val="24"/>
              </w:rPr>
              <w:t xml:space="preserve">（▲提供本项目公示日期之前具有检测资质的机构出具的带CNAS标识的检测报告）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水泥预制</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水泥预制（含水泥、砂石、地笼等）</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小虫体智能虫情测报灯</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1、专用于诱杀和测报稻飞虱，百叶过滤非靶标大虫子，避免出现由于体积较大的虫子掩盖稻飞虱，导致摄像头无法采集到造成测报不准的问题。采用光、电、数控技术，远程自动控制。有防雨百叶，下雨天可以正常工作，正常捕虫；</w:t>
            </w:r>
            <w:r/>
          </w:p>
          <w:p>
            <w:pPr>
              <w:rPr>
                <w:rFonts w:hint="eastAsia" w:ascii="宋体" w:hAnsi="宋体" w:cs="宋体"/>
                <w:color w:val="000000"/>
                <w:sz w:val="24"/>
                <w:szCs w:val="24"/>
              </w:rPr>
            </w:pPr>
            <w:r>
              <w:rPr>
                <w:rFonts w:hint="eastAsia" w:ascii="宋体" w:hAnsi="宋体" w:cs="宋体"/>
                <w:color w:val="000000"/>
                <w:sz w:val="24"/>
                <w:szCs w:val="24"/>
              </w:rPr>
              <w:t xml:space="preserve">▲2、诱捕与拍照技术集成于一体的虫情测报系统，通过定制波段光源诱捕靶标害虫，内置不低于4000W高清工业摄像机，对小虫体进行活体拍照，针对飞虱类、叶蝉类等小虫体害虫进行自动识别计数，通过A1 智能识别包含白背飞虱、褐飞虱属、灰飞虱、花超飞虱属、丽中带飞虱、黑边梅塔飞虱、锥飞虱亚科、长绿飞虱、黑尾叶蝉、粒脉蜡蝉科、电光叶蝉、小绿叶蝉、楝白小叶蝉、凹缘菱纹叶蝉、大青叶蝉、其他叶蝉、黑肩绿盲蝽、其他绿盲蝽、蚁形隐翅虫等20余种微小虫体，识别准确率≥94.2%； </w:t>
            </w:r>
            <w:r/>
          </w:p>
          <w:p>
            <w:pPr>
              <w:rPr>
                <w:rFonts w:hint="eastAsia" w:ascii="宋体" w:hAnsi="宋体" w:cs="宋体"/>
                <w:color w:val="000000"/>
                <w:sz w:val="24"/>
                <w:szCs w:val="24"/>
              </w:rPr>
            </w:pPr>
            <w:r>
              <w:rPr>
                <w:rFonts w:hint="eastAsia" w:ascii="宋体" w:hAnsi="宋体" w:cs="宋体"/>
                <w:color w:val="000000"/>
                <w:sz w:val="24"/>
                <w:szCs w:val="24"/>
              </w:rPr>
              <w:t xml:space="preserve">3、可远程设置工作模式，通过PC云端及手机APP端能远程自动拍照和手动拍照，工业彩色手触摸屏显示与操作，屏幕尺寸≥7寸，安卓系统智能控制。全中文液晶显示，可分时段设置和控制，自动拍照和手动拍照均可。</w:t>
            </w:r>
            <w:r/>
          </w:p>
          <w:p>
            <w:pPr>
              <w:rPr>
                <w:rFonts w:hint="eastAsia" w:ascii="宋体" w:hAnsi="宋体" w:cs="宋体"/>
                <w:color w:val="000000"/>
                <w:sz w:val="24"/>
                <w:szCs w:val="24"/>
              </w:rPr>
            </w:pPr>
            <w:r>
              <w:rPr>
                <w:rFonts w:hint="eastAsia" w:ascii="宋体" w:hAnsi="宋体" w:cs="宋体"/>
                <w:color w:val="000000"/>
                <w:sz w:val="24"/>
                <w:szCs w:val="24"/>
              </w:rPr>
              <w:t xml:space="preserve">4、设备进虫口采用特殊装置构造，设有大小虫体隔离装置，将大小虫体进行隔离，具有防止外物杂物、雨水侵入，防止内部昆虫逃逸的特点，对飞虱、叶蝉、绿盲蝽等小虫体进行活体拍照，虫体完整率≥95%。</w:t>
            </w:r>
            <w:r/>
          </w:p>
          <w:p>
            <w:pPr>
              <w:rPr>
                <w:rFonts w:hint="eastAsia" w:ascii="宋体" w:hAnsi="宋体" w:cs="宋体"/>
                <w:color w:val="000000"/>
                <w:sz w:val="24"/>
                <w:szCs w:val="24"/>
              </w:rPr>
            </w:pPr>
            <w:r>
              <w:rPr>
                <w:rFonts w:hint="eastAsia" w:ascii="宋体" w:hAnsi="宋体" w:cs="宋体"/>
                <w:color w:val="000000"/>
                <w:sz w:val="24"/>
                <w:szCs w:val="24"/>
              </w:rPr>
              <w:t xml:space="preserve">5、可实现在电脑端和手机端（安卓系统）远程监控平台对虫情自动采集系统的控制，包括但不限于指令发布执行、系统参数设置和采集信息的查询分析等。设备也可以远程手动控制诱虫灯开启、诱虫灯条开启、翻板旋转、风扇开启、相机拍照等功能； </w:t>
            </w:r>
            <w:r/>
          </w:p>
          <w:p>
            <w:pPr>
              <w:rPr>
                <w:rFonts w:hint="eastAsia" w:ascii="宋体" w:hAnsi="宋体" w:cs="宋体"/>
                <w:color w:val="000000"/>
                <w:sz w:val="24"/>
                <w:szCs w:val="24"/>
              </w:rPr>
            </w:pPr>
            <w:r>
              <w:rPr>
                <w:rFonts w:hint="eastAsia" w:ascii="宋体" w:hAnsi="宋体" w:cs="宋体"/>
                <w:color w:val="000000"/>
                <w:sz w:val="24"/>
                <w:szCs w:val="24"/>
              </w:rPr>
              <w:t xml:space="preserve">6、图像处理：可实现对拍摄画面的图像处理，包括但不限于画面分割、切换处理及保存等功能。图片保存质量应满足虫体人工手动计数的识别需求。</w:t>
            </w:r>
            <w:r/>
          </w:p>
          <w:p>
            <w:pPr>
              <w:rPr>
                <w:rFonts w:hint="eastAsia" w:ascii="宋体" w:hAnsi="宋体" w:cs="宋体"/>
                <w:color w:val="000000"/>
                <w:sz w:val="24"/>
                <w:szCs w:val="24"/>
              </w:rPr>
            </w:pPr>
            <w:r>
              <w:rPr>
                <w:rFonts w:hint="eastAsia" w:ascii="宋体" w:hAnsi="宋体" w:cs="宋体"/>
                <w:color w:val="000000"/>
                <w:sz w:val="24"/>
                <w:szCs w:val="24"/>
              </w:rPr>
              <w:t xml:space="preserve">7、内置了GPS定位功能，可在地图中查看设备站点等数据。在PC云端地图中查看设备站点等数据，设备被盗可追踪。</w:t>
            </w:r>
            <w:r/>
          </w:p>
          <w:p>
            <w:pPr>
              <w:rPr>
                <w:rFonts w:hint="eastAsia" w:ascii="宋体" w:hAnsi="宋体" w:cs="宋体"/>
                <w:color w:val="000000"/>
                <w:sz w:val="24"/>
                <w:szCs w:val="24"/>
              </w:rPr>
            </w:pPr>
            <w:r>
              <w:rPr>
                <w:rFonts w:hint="eastAsia" w:ascii="宋体" w:hAnsi="宋体" w:cs="宋体"/>
                <w:color w:val="000000"/>
                <w:sz w:val="24"/>
                <w:szCs w:val="24"/>
              </w:rPr>
              <w:t xml:space="preserve">8、光控控制：晚上自动开灯运行，白天自动关灯（待机），在夜间工作状态下，不受瞬间强光照射改变工作状态。时段控制：根据靶标害虫生活习性规律，设定工作时间段。雨控装置：可按外界天气变化自动控制设备工作；</w:t>
            </w:r>
            <w:r/>
          </w:p>
          <w:p>
            <w:pPr>
              <w:rPr>
                <w:rFonts w:hint="eastAsia" w:ascii="宋体" w:hAnsi="宋体" w:cs="宋体"/>
                <w:color w:val="000000"/>
                <w:sz w:val="24"/>
                <w:szCs w:val="24"/>
              </w:rPr>
            </w:pPr>
            <w:r>
              <w:rPr>
                <w:rFonts w:hint="eastAsia" w:ascii="宋体" w:hAnsi="宋体" w:cs="宋体"/>
                <w:color w:val="000000"/>
                <w:sz w:val="24"/>
                <w:szCs w:val="24"/>
              </w:rPr>
              <w:t xml:space="preserve">9、虫子收集储存技术：对拍完照的虫子，需要保留标本的留在储存袋内，人工定期去收集；对于不需要标本的，虫子直接排出机器外部；</w:t>
            </w:r>
            <w:r/>
          </w:p>
          <w:p>
            <w:pPr>
              <w:rPr>
                <w:rFonts w:hint="eastAsia" w:ascii="宋体" w:hAnsi="宋体" w:cs="宋体"/>
                <w:color w:val="000000"/>
                <w:sz w:val="24"/>
                <w:szCs w:val="24"/>
              </w:rPr>
            </w:pPr>
            <w:r>
              <w:rPr>
                <w:rFonts w:hint="eastAsia" w:ascii="宋体" w:hAnsi="宋体" w:cs="宋体"/>
                <w:color w:val="000000"/>
                <w:sz w:val="24"/>
                <w:szCs w:val="24"/>
              </w:rPr>
              <w:t xml:space="preserve">10、电源：太阳能供电，直流12v；灯管启动时间：开机后小于5秒；绝缘电阻：大于2.5MΩ；</w:t>
            </w:r>
            <w:r/>
          </w:p>
          <w:p>
            <w:pPr>
              <w:rPr>
                <w:rFonts w:hint="eastAsia" w:ascii="宋体" w:hAnsi="宋体" w:cs="宋体"/>
                <w:color w:val="000000"/>
                <w:sz w:val="24"/>
                <w:szCs w:val="24"/>
              </w:rPr>
            </w:pPr>
            <w:r>
              <w:rPr>
                <w:rFonts w:hint="eastAsia" w:ascii="宋体" w:hAnsi="宋体" w:cs="宋体"/>
                <w:color w:val="000000"/>
                <w:sz w:val="24"/>
                <w:szCs w:val="24"/>
              </w:rPr>
              <w:t xml:space="preserve">11、工作环境温度：0～70℃，工作环境湿度：≤95%。</w:t>
            </w:r>
            <w:r/>
          </w:p>
          <w:p>
            <w:pPr>
              <w:rPr>
                <w:rFonts w:hint="eastAsia" w:ascii="宋体" w:hAnsi="宋体" w:cs="宋体"/>
                <w:color w:val="000000"/>
                <w:sz w:val="24"/>
                <w:szCs w:val="24"/>
              </w:rPr>
            </w:pPr>
            <w:r>
              <w:rPr>
                <w:rFonts w:hint="eastAsia" w:ascii="宋体" w:hAnsi="宋体" w:cs="宋体"/>
                <w:color w:val="000000"/>
                <w:sz w:val="24"/>
                <w:szCs w:val="24"/>
              </w:rPr>
              <w:t xml:space="preserve">12、虫害爆发分析模型：将捕获到的昆虫进行统计分析，绘制出虫害的发生趋势与发生轨迹，并确定其发生源头，以此为数据基础实现病虫害的预测预警； </w:t>
            </w:r>
            <w:r/>
          </w:p>
          <w:p>
            <w:pPr>
              <w:rPr>
                <w:rFonts w:hint="eastAsia" w:ascii="宋体" w:hAnsi="宋体" w:cs="宋体"/>
                <w:color w:val="000000"/>
                <w:sz w:val="24"/>
                <w:szCs w:val="24"/>
              </w:rPr>
            </w:pPr>
            <w:r>
              <w:rPr>
                <w:rFonts w:hint="eastAsia" w:ascii="宋体" w:hAnsi="宋体" w:cs="宋体"/>
                <w:color w:val="000000"/>
                <w:sz w:val="24"/>
                <w:szCs w:val="24"/>
              </w:rPr>
              <w:t xml:space="preserve">13、具备标准化数据输出接口，支持与国家级、省级、市级、县区级和当地相关信息调度管理平台实现无缝对接。</w:t>
            </w:r>
            <w:r/>
          </w:p>
          <w:p>
            <w:pPr>
              <w:rPr>
                <w:rFonts w:hint="eastAsia" w:ascii="宋体" w:hAnsi="宋体" w:cs="宋体"/>
                <w:color w:val="000000"/>
                <w:sz w:val="24"/>
                <w:szCs w:val="24"/>
              </w:rPr>
            </w:pPr>
            <w:r>
              <w:rPr>
                <w:rFonts w:hint="eastAsia" w:ascii="宋体" w:hAnsi="宋体" w:cs="宋体"/>
                <w:color w:val="000000"/>
                <w:sz w:val="24"/>
                <w:szCs w:val="24"/>
              </w:rPr>
              <w:t xml:space="preserve">14、作物产量评估模型：根据虫害、天气、土壤、作物、站点、农事等数据，实现作物整个生育期内各指标的模拟。</w:t>
            </w:r>
            <w:r/>
          </w:p>
          <w:p>
            <w:pPr>
              <w:rPr>
                <w:rFonts w:hint="eastAsia" w:ascii="宋体" w:hAnsi="宋体" w:cs="宋体"/>
                <w:color w:val="000000"/>
                <w:sz w:val="24"/>
                <w:szCs w:val="24"/>
              </w:rPr>
            </w:pPr>
            <w:r>
              <w:rPr>
                <w:rFonts w:hint="eastAsia" w:ascii="宋体" w:hAnsi="宋体" w:cs="宋体"/>
                <w:color w:val="000000"/>
                <w:sz w:val="24"/>
                <w:szCs w:val="24"/>
              </w:rPr>
              <w:t xml:space="preserve">15、无需安装 App，关注微信公众号，即可接收设备诱虫信息推送:包括灯下成虫首现信息和每日诱虫数据。根据账号权限，省市县数据三级贯通，按权限隔离。</w:t>
            </w:r>
            <w:r/>
          </w:p>
          <w:p>
            <w:pPr>
              <w:rPr>
                <w:rFonts w:hint="eastAsia" w:ascii="宋体" w:hAnsi="宋体" w:cs="宋体"/>
                <w:color w:val="000000"/>
                <w:sz w:val="24"/>
                <w:szCs w:val="24"/>
              </w:rPr>
            </w:pPr>
            <w:r>
              <w:rPr>
                <w:rFonts w:hint="eastAsia" w:ascii="宋体" w:hAnsi="宋体" w:cs="宋体"/>
                <w:color w:val="000000"/>
                <w:sz w:val="24"/>
                <w:szCs w:val="24"/>
              </w:rPr>
              <w:t xml:space="preserve">▲16、微小虫体识别准确率验证针对白背飞虱、灰飞虱、黑尾叶蝉等典型毫米级微小虫体，在标准测试环境下，AI自动识别的准确率≥97%。</w:t>
            </w:r>
            <w:r/>
          </w:p>
          <w:p>
            <w:pPr>
              <w:rPr>
                <w:rFonts w:hint="eastAsia" w:ascii="宋体" w:hAnsi="宋体" w:cs="宋体"/>
                <w:color w:val="000000"/>
                <w:sz w:val="24"/>
                <w:szCs w:val="24"/>
              </w:rPr>
            </w:pPr>
            <w:r>
              <w:rPr>
                <w:rFonts w:hint="eastAsia" w:ascii="宋体" w:hAnsi="宋体" w:cs="宋体"/>
                <w:color w:val="000000"/>
                <w:sz w:val="24"/>
                <w:szCs w:val="24"/>
              </w:rPr>
              <w:t xml:space="preserve">▲17、图像畸变与色差校准使用标准测试卡拍摄，通过软件分析确认：全视域范围内（中心与边缘）分辨率差异&lt;5%，色彩还原误差ΔE&lt;3，满足“无畸变、无色差”要求。</w:t>
            </w:r>
            <w:r/>
          </w:p>
          <w:p>
            <w:pPr>
              <w:rPr>
                <w:rFonts w:hint="eastAsia" w:ascii="宋体" w:hAnsi="宋体" w:cs="宋体"/>
                <w:color w:val="000000"/>
                <w:sz w:val="24"/>
                <w:szCs w:val="24"/>
              </w:rPr>
            </w:pPr>
            <w:r>
              <w:rPr>
                <w:rFonts w:hint="eastAsia" w:ascii="宋体" w:hAnsi="宋体" w:cs="宋体"/>
                <w:color w:val="000000"/>
                <w:sz w:val="24"/>
                <w:szCs w:val="24"/>
              </w:rPr>
              <w:t xml:space="preserve">▲18、虫害爆发分析模型输出系统应能基于历史数据自动生成包含发生趋势图、发生轨迹热力图和预测源头的分析报告，报告生成时间≤10分钟。</w:t>
            </w:r>
            <w:r/>
          </w:p>
          <w:p>
            <w:pPr>
              <w:rPr>
                <w:rFonts w:hint="eastAsia" w:ascii="宋体" w:hAnsi="宋体" w:cs="宋体"/>
                <w:color w:val="000000"/>
                <w:sz w:val="24"/>
                <w:szCs w:val="24"/>
              </w:rPr>
            </w:pPr>
            <w:r>
              <w:rPr>
                <w:rFonts w:hint="eastAsia" w:ascii="宋体" w:hAnsi="宋体" w:cs="宋体"/>
                <w:color w:val="000000"/>
                <w:sz w:val="24"/>
                <w:szCs w:val="24"/>
              </w:rPr>
              <w:t xml:space="preserve">▲19、标准化API接口提供符合RESTful规范的开放API接口文档，第三方国家级或省级调度平台可通过此接口实现数据的无缝对接和读取，对接成功率100%。</w:t>
            </w:r>
            <w:r/>
          </w:p>
          <w:p>
            <w:pPr>
              <w:rPr>
                <w:rFonts w:ascii="宋体" w:hAnsi="宋体" w:cs="宋体"/>
                <w:color w:val="000000"/>
                <w:sz w:val="24"/>
                <w:szCs w:val="24"/>
              </w:rPr>
            </w:pPr>
            <w:r>
              <w:rPr>
                <w:rFonts w:hint="eastAsia" w:ascii="宋体" w:hAnsi="宋体" w:cs="宋体"/>
                <w:color w:val="000000"/>
                <w:sz w:val="24"/>
                <w:szCs w:val="24"/>
              </w:rPr>
              <w:t xml:space="preserve">（▲提供本项目公示日期之前具有检测资质的机构出具的带CNAS标识的检测报告）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水泥预制</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水泥预制（含水泥、砂石、地笼等）</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农业病虫害 AR 智能测报仪</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1、操作系统：Android系统（AOSP），双麦克风，带降噪算法。</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2、内存/芯片：RAM LPDDR4X 3GB+ROM 32GB，8核芯片。</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3、显示器: Micro OLED 0.23寸单目屏幕。</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4、摄像头：长焦8M 5X (120mm，支持AF、OIS)+广角 50M (28mm，支持AF)，传感器：6轴陀螺仪+环境光传感器。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5、触控：支持3点触控场景，触控区 20*50mm。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6、电池：990mAh/3.81Wh，聚合物电芯，4.45V，充电：5V2A，2PIN，续航时间：3h。</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7、实现对稻飞虱15个指标进行有效识别，平均识别准确率≥95%。</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8、实现自动识别烟粉虱的幼虫、成虫并自动统计计数</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9、具有手机APP端和PC端双操作平台，可查看、编辑数据:手机端通过采集时间、采集对象进行数据筛选和查看;PC端均可通过采集时间、采集对象、采集用户、采集地点进行数据筛选、搜索和查看。</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10、支持PC端导出病虫害调查数据列表</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重大病害自动监测设备</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1、满足GB/T 24689.3-2009（植物保护机械 孢子捕捉仪（器））。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2、具有500万像素的显微成像系统，能够自动对所捕获病菌孢子进行高清显微拍摄，所拍摄图像清晰度能够达到人工识别病菌孢子种类的要求。</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3、传动装置：通过转盘驱动，实现载玻片自动加载、自动更换，限位传感装置根据每一步工作进程自动定位。</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4、气体采样：采集流量0.3m/s-0.5m/s，采集时间1--24小时，设置范围：定时启动，24时制，可以任意设置24小时开启时间，抽气时间：1--24小时</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5、成像系统：采用光学显微成像系统，自动对焦，自动拍照，自动计算并选取最清晰的图片上传至云服务器。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6、收集：采用风扇采集空气中随风传播的孢子，集中拍照。</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7、设备具有高低温保护功能，低于5℃，高于70℃机器处于保护状态；</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8、GPS定位：自动定位设备经纬度信息。</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9、断电及故障预警：内置备用电源，设备断电后向平台端自动发送设备异常数据，实现断电及故障自动预警。</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10、设备自带不小于7寸液晶显示屏，具有语音播报功能：具有语音播报功能，可以实时播报每一步的进程</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11、远程控制：远程控制培养液滴加时间、孢子培养时间、保温仓温度设定、数据上传频率、采集时间段和关闭时间设置。</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水泥预制</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水泥预制（含水泥、砂石、地笼等）</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小麦赤霉病病害监测仪</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1、电容量:12V20A</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2、太阳能板:30W</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3、功耗:10毫安。</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4、工作时间:在连续阴雨天环境中可持续工作30天以上</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5、工作温度范围:-20℃~50℃</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6、太阳能供电，野外太阳能供电系统包括单晶硅太阳能板、充电控制器、12v蕃电池</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7、机箱为不锈钢材质，耐腐蚀，防护等级IP67，</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8、支架:采用镀锌支架，带安装底座，螺杆固定。</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9、传感器具体指标如下:温度:范围-40℃</w:t>
            </w:r>
            <w:r>
              <w:rPr>
                <w:rFonts w:hint="eastAsia" w:ascii="宋体" w:hAnsi="宋体" w:cs="宋体"/>
                <w:color w:val="000000"/>
                <w:sz w:val="24"/>
                <w:szCs w:val="24"/>
                <w:lang w:bidi="ar"/>
              </w:rPr>
              <w:t xml:space="preserve">~80℃，精度土0.2℃，分辨力0.1°;降雨范围0~240 my/h，精度土2%，分辨力0.1M0相对湿度围0~100%RH，精度土1%，分辨力0.01°露点温度范围-80℃~60℃，精度土0.2℃叶片表面湿润时间范围0~15，精度土0.5日照强度范围0~2000W/心，精度土3%日照时数，精度土0.1min10cm土壤含水量范围0%~100%，精度土4%10cm土壤温度范围-50℃~80℃，精度土0.5℃20cm土壤含水量范围0%~100%，精度土4%20cm土壤温度，范围-50℃~80℃精度土0.5℃</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水泥预制</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水泥预制（含水泥、砂石、地笼等）</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水稻稻瘟病监测仪</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1.分生孢子产生与温度关系模型、侵染概率模型、菌量模型、潜育速车模型、显 症率模型、重复侵染概率模型、叶瘟发生监测预警模型、  十瘟流行监测预警模 型，穗茎瘟发生流行监测预警模型等子模型；</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2.每小时实测一次田间实时数据，每天上报12次，储存容量至少3年历史数 据。用折线图、柱状图和数据列表等不同形式展示汇总；</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3.实时监测采集环境因子、气候变化等因素，初始化后自动进入模型运算，对水 稻分蘖期至蜡熟期稻瘟发病概率、发病程度发出预警。具有防治极限值报警功 能，能够及时提示防控预警。开放式系统平台，能够随时查看、下载实时采集和 预测预报数据，方便快捷效率高，并且能够接入国家及省、市、县信息平台；</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 电池容量：12V20A;太阳能板：40W(2 个 2 0w), 可实现180°旋转；功耗： 10mA; 工作时间：在连续阴雨天环境中可持续工作30天以上，工作温度范围： -20℃~+80℃;</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5.空气温度：测量范围-40～+65℃,分辨率0. 1℃,精度±0.5℃;相对湿度：测量范围1～100%,分辨率1%,精度±3～4%;降雨量：测量范围0～240 m/h,      分辨力0 . 1 πm,    精度±2%;露点温度：测量范围-80~+60℃,精度±0.2℃;</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6.实现无人值守、自动监控；</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7.采用全网通无线通讯模块，兼容物联网卡及5G43/3G/GPRS  通讯</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水泥预制</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水泥预制（含水泥、砂石、地笼等）</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无人机</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尺寸（长×宽×高）折叠：长 223毫米，宽 96.3 毫米，高 122.2毫米、展开： 长 347.5 毫米，宽 283 毫米，高 139.6毫米</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对角线轴距：380.1 mm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最大起飞重量（无配件）：1050g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最大水平飞行速度：15km/h（海平面附近无风环境）</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最大上升速度：8 m/s（S 模式）、6 m/s（P 模式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最大下降速度：垂直下降 6 m/s（S 模式）、6 m/s（P 模式）</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最大飞行海拔高度：6000 米(空载飞行)</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最大可抗风速：12 m/s</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最长飞行时间：43 分钟（无风环境）最长悬停时间:37 分钟（无风环境）</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工作环境温度：-10°C 至 40°C</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可见光相机传感器：4/3 CMOS，有效像素 2000 万</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多光谱相机传感器：1/2.8 英寸 CMOS，有效像素500万</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可见光相机最大照片尺寸：5280×3956</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可见光相机录像分辨率：3840×2160@30fps、1920×1080@30fps</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定位系统 GNSS：GPS + Galileo + GLONASS</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含RTK模块</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3</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无人机保险（Mavic 3M）</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提供一年保险，在25000元额度内不限次数的维修或者置换。</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台/年</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无人机三者险</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提供100万第三方险，其中人60万，物40万</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台/年</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10037"/>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无人值守自动一体机库</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开合方式:双开门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关盖(mm)：850*850*850</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开盖(mm)：1950*850*550</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重量：约120kg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工作环境温度:-20°C 至50°C</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最大同时充电数量:1个无人机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充电方式:触点式充电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温控方式: 工业恒温空调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自带UPS电源:输入电压范围145--290V;输出市电模式200-250V，应急使用时间:30分钟、支持高温警报</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▲机库防护等级:不低于IP55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UPS电源:650VA/390W;应急使用时间:30分钟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图传延时:＜2.0秒</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空调功率:300W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▲待机功率:50W;最大功率:1000W 输入电压:交流220—240V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充电时间：30分钟可从20%充至90%</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机库小环境气象监测功能覆盖常规多项参数，包括但不限于空气温度、空气湿度、气压、风速、风向、雨量等，采集传感器参数支持自定义云设置；</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产品内置过流、防雷击、防浪涌、防反接保护，内置看门狗，运行安全可靠;</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支持机型：大疆御3（M3M）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配套无人机飞控平台</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提供1年遥感算法分析：地势分析、小麦基本苗监测、水稻长势监测、小麦苗情监测、稻麦草害监测、稻麦产量预测</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注：以上▲参数提供具有相关检测资质的第三方专业检测机构出具的封面带CMA或CNAS标识的检验报告。</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售后服务</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1、非人为损坏配件免费更换</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2、7X12小时电话服务，远程协助</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3、2次/年免费上门维修服务（非偏远地区）</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台/年</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施工及辅材 </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包含设备的运输、安装、调试及辅材成本</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土壤监测传感器</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1、主机可以实时显示采集数据，包括：土壤墒情(4层)，土壤温度（4层)等；</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2、四层土壤温度土壤水分一体式管式传感器，通过PVC导管进行测量，无需与土壤直接接触。</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3、内置GPS可准确获取设备所在的具体地理位置（经度，纬度），具有跟踪防盗功能。</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4、Web和APP端都有电池电量检测、太阳能电压检测、数据采集间隔、故障报警等功能；具有手机APP软件、云数据平台。手机上随时查看数据和曲线图。历史数据永不丢失，数据可上传到物联网平台。</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5、网络模式：手机卡/有线网口两种模式。</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6、网络查看：无需指定电脑查看数据，任何可上网中查看数据和曲线图，曲线和数据都可下载到本地电脑中进行存储和分析，且在服务器中永不丢失。</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7、可按指定传感器在某一时间范图内分析其变化趋势，从而得到其走势分析。</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8、可查看传感器在指定时间范围内的数据报表信息，也可将结果导出到Excel。</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9、可查看某个站点在指定时间月份、年份的数据报表信息。可将备份的数据或本地整理的数据导入到数据库，也可将导入的数据删除。</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10、土壤温度测量范围：-40℃～85℃，土壤湿度测量范围0%～90%；</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土壤监测传感器</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产品外壳采用 PVC 塑料管，内部发射近 1GHz 的高频探测波，可以穿透塑料管，有效感知土壤环境。</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可选择内置倾角传感器实时监测土壤及设备状态。</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高级版管式土壤墒情监测仪灌封制作，可完全防水。</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不受土壤中盐离子的影响，化肥、农药、灌溉等农业活动不会影响测量结果，数据精准。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传感器的电极没有直接与土壤接触，避免电力对土壤及土壤中的植物的干扰。</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产品采用标准的 ModBus-RTU485 通信模式，最远通信 2000 米。</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土壤湿度 0～100%</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土壤温度 -15℃～35℃</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土壤电导率 0-20000μS/cm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倾角 -90°～90</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土壤深度:20、40、60、80cm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土壤</w:t>
            </w:r>
            <w:r>
              <w:rPr>
                <w:rFonts w:hint="eastAsia" w:ascii="宋体" w:hAnsi="宋体" w:cs="宋体"/>
                <w:color w:val="000000"/>
                <w:sz w:val="21"/>
                <w:szCs w:val="21"/>
                <w:lang w:bidi="ar"/>
              </w:rPr>
              <w:t xml:space="preserve">监测设备支架，2米立杆</w:t>
            </w:r>
            <w:r>
              <w:rPr>
                <w:rFonts w:hint="eastAsia" w:ascii="宋体" w:hAnsi="宋体" w:cs="宋体"/>
                <w:color w:val="000000"/>
                <w:sz w:val="21"/>
                <w:szCs w:val="21"/>
                <w:lang w:bidi="ar"/>
              </w:rPr>
              <w:br/>
            </w:r>
            <w:r>
              <w:rPr>
                <w:rFonts w:hint="eastAsia" w:ascii="宋体" w:hAnsi="宋体" w:cs="宋体"/>
                <w:color w:val="000000"/>
                <w:sz w:val="21"/>
                <w:szCs w:val="21"/>
                <w:lang w:bidi="ar"/>
              </w:rPr>
              <w:t xml:space="preserve">太阳板：18</w:t>
            </w:r>
            <w:r>
              <w:rPr>
                <w:rFonts w:hint="eastAsia" w:ascii="宋体" w:hAnsi="宋体" w:cs="宋体"/>
                <w:color w:val="000000"/>
                <w:sz w:val="24"/>
                <w:szCs w:val="24"/>
                <w:lang w:bidi="ar"/>
              </w:rPr>
              <w:t xml:space="preserve">V60W单晶硅</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锂电池：12V/30Ah锂电池</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控制器：太阳能控制器（集成）</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监测点围栏：60*60*60cm塑钢材质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包含采集网关、流量卡和水泥预制。以及设备运输、施工、安装、调试等及相关线辅材。</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bl>
    <w:p>
      <w:r/>
      <w:r/>
    </w:p>
    <w:p>
      <w:pPr>
        <w:rPr>
          <w:rFonts w:hint="eastAsia"/>
          <w:lang w:eastAsia="zh-CN"/>
        </w:rPr>
      </w:pPr>
      <w:r>
        <w:rPr>
          <w:rFonts w:hint="eastAsia"/>
          <w:lang w:eastAsia="zh-CN"/>
        </w:rPr>
      </w:r>
      <w:r/>
    </w:p>
    <w:p>
      <w:pPr>
        <w:pStyle w:val="741"/>
        <w:numPr>
          <w:ilvl w:val="0"/>
          <w:numId w:val="0"/>
        </w:numP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val="en-US" w:eastAsia="zh-CN"/>
        </w:rPr>
        <w:t xml:space="preserve">采购包2：家具</w:t>
      </w:r>
      <w:r/>
    </w:p>
    <w:tbl>
      <w:tblPr>
        <w:tblStyle w:val="739"/>
        <w:tblpPr w:horzAnchor="page" w:tblpX="540" w:vertAnchor="text" w:tblpY="177" w:leftFromText="180" w:topFromText="0" w:rightFromText="180" w:bottomFromText="0"/>
        <w:tblW w:w="110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2235"/>
        <w:gridCol w:w="5040"/>
        <w:gridCol w:w="1080"/>
        <w:gridCol w:w="1590"/>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建设模块</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设备参数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办公室桌椅</w:t>
            </w:r>
            <w:r/>
          </w:p>
        </w:tc>
        <w:tc>
          <w:tcPr>
            <w:shd w:val="clear" w:color="auto" w:fill="auto"/>
            <w:tcBorders>
              <w:top w:val="none" w:color="000000" w:sz="4" w:space="0"/>
              <w:left w:val="none" w:color="000000" w:sz="4" w:space="0"/>
              <w:bottom w:val="none" w:color="000000" w:sz="4" w:space="0"/>
              <w:right w:val="none" w:color="000000" w:sz="4" w:space="0"/>
            </w:tcBorders>
            <w:tcW w:w="5040"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00*</w:t>
            </w:r>
            <w:r>
              <w:rPr>
                <w:rFonts w:hint="eastAsia" w:ascii="宋体" w:hAnsi="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t xml:space="preserve">00*</w:t>
            </w:r>
            <w:r>
              <w:rPr>
                <w:rFonts w:hint="eastAsia" w:ascii="宋体" w:hAnsi="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26（6套能组合）</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座宽60左右，深50厘米左右，总高110厘米左右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35（大）</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座宽50左右，深40厘米左右，总高90厘米左右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档案室、档案柜</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1800*900*400mm*10个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胡桃色4300*1500*750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胡桃色1400*600*750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主席台阶梯</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胡桃色1800*400*750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胡桃色常规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折叠椅</w:t>
            </w:r>
            <w:r/>
          </w:p>
        </w:tc>
        <w:tc>
          <w:tcPr>
            <w:shd w:val="clear" w:color="auto" w:fill="ffffff"/>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带书写板</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层板高柜</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600*400*3700mm*6个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cs="宋体"/>
                <w:i w:val="0"/>
                <w:iCs w:val="0"/>
                <w:color w:val="000000"/>
                <w:sz w:val="24"/>
                <w:szCs w:val="24"/>
                <w:u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13.32</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选绒布壁画</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1400*3700mm*7个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36.26</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造型展柜</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1400*600mm*6个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造型展柜</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1600*600mm*2个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转角边柜</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600*600mm*3个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6.66</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北墙层板高柜</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4000*300*3700mm*1个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南墙层板高柜</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4000*300*3700mm*1个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w:t>
            </w:r>
            <w:r/>
          </w:p>
        </w:tc>
      </w:tr>
    </w:tbl>
    <w:p>
      <w:pPr>
        <w:rPr>
          <w:rFonts w:hint="eastAsia"/>
          <w:b/>
          <w:bCs/>
          <w:sz w:val="24"/>
          <w:szCs w:val="24"/>
          <w:lang w:val="en-US" w:eastAsia="zh-CN"/>
        </w:rPr>
      </w:pPr>
      <w:r>
        <w:rPr>
          <w:rFonts w:hint="eastAsia"/>
          <w:b/>
          <w:bCs/>
          <w:sz w:val="24"/>
          <w:szCs w:val="24"/>
          <w:lang w:val="en-US" w:eastAsia="zh-CN"/>
        </w:rPr>
        <w:t xml:space="preserve">注：本次需采购配置办公桌共计 26 套，其中包含 20 套常规独立单人办公桌，同时配套 6 套灵活可拼接组合式会议桌，满足日常单人办公及多人协作办公使用需求。</w:t>
      </w:r>
      <w:r/>
    </w:p>
    <w:p>
      <w:pPr>
        <w:pStyle w:val="741"/>
        <w:numPr>
          <w:ilvl w:val="0"/>
          <w:numId w:val="0"/>
        </w:numPr>
        <w:ind w:left="0" w:firstLine="0"/>
        <w:keepLines w:val="0"/>
        <w:keepNext w:val="0"/>
        <w:pageBreakBefore w:val="0"/>
        <w:spacing w:line="360" w:lineRule="auto"/>
        <w:widowControl/>
        <w:rPr>
          <w:rFonts w:hint="default" w:ascii="宋体" w:hAnsi="宋体" w:eastAsia="宋体" w:cs="宋体"/>
          <w:b/>
          <w:bCs w:val="0"/>
          <w:color w:val="auto"/>
          <w:sz w:val="24"/>
          <w:szCs w:val="24"/>
          <w:lang w:val="en-US" w:eastAsia="zh-CN" w:bidi="ar-SA"/>
        </w:rPr>
      </w:pPr>
      <w:r>
        <w:rPr>
          <w:rFonts w:hint="default" w:ascii="宋体" w:hAnsi="宋体" w:eastAsia="宋体" w:cs="宋体"/>
          <w:b/>
          <w:bCs w:val="0"/>
          <w:color w:val="auto"/>
          <w:sz w:val="24"/>
          <w:szCs w:val="24"/>
          <w:lang w:val="en-US" w:eastAsia="zh-CN" w:bidi="ar-SA"/>
        </w:rPr>
      </w:r>
      <w:r/>
    </w:p>
    <w:p>
      <w:pPr>
        <w:pStyle w:val="741"/>
        <w:numPr>
          <w:ilvl w:val="0"/>
          <w:numId w:val="0"/>
        </w:numPr>
        <w:ind w:left="0" w:firstLine="0"/>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lang w:val="en-US" w:eastAsia="zh-CN" w:bidi="ar-SA"/>
        </w:rPr>
        <w:t xml:space="preserve">（三）</w:t>
      </w:r>
      <w:r>
        <w:rPr>
          <w:rFonts w:hint="eastAsia" w:ascii="宋体" w:hAnsi="宋体" w:eastAsia="宋体" w:cs="宋体"/>
          <w:b/>
          <w:bCs w:val="0"/>
          <w:color w:val="auto"/>
          <w:sz w:val="24"/>
          <w:szCs w:val="24"/>
          <w:highlight w:val="none"/>
          <w:lang w:eastAsia="zh-CN"/>
        </w:rPr>
        <w:t xml:space="preserve">采购包</w:t>
      </w:r>
      <w:r>
        <w:rPr>
          <w:rFonts w:hint="eastAsia" w:ascii="宋体" w:hAnsi="宋体" w:eastAsia="宋体" w:cs="宋体"/>
          <w:b/>
          <w:bCs w:val="0"/>
          <w:color w:val="auto"/>
          <w:sz w:val="24"/>
          <w:szCs w:val="24"/>
          <w:highlight w:val="none"/>
          <w:lang w:val="en-US" w:eastAsia="zh-CN"/>
        </w:rPr>
        <w:t xml:space="preserve">3：基础建设</w:t>
      </w:r>
      <w:r/>
    </w:p>
    <w:tbl>
      <w:tblPr>
        <w:tblStyle w:val="739"/>
        <w:tblpPr w:horzAnchor="page" w:tblpX="510" w:vertAnchor="text" w:tblpY="632" w:leftFromText="180" w:topFromText="0" w:rightFromText="180" w:bottomFromText="0"/>
        <w:tblW w:w="110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2236"/>
        <w:gridCol w:w="5039"/>
        <w:gridCol w:w="1080"/>
        <w:gridCol w:w="1590"/>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建设模块</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设备参数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北墙背景灯箱</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4000*3700mm*1个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南墙背景灯箱</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4000*3000mm*1个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柜体灯带</w:t>
            </w:r>
            <w:r/>
          </w:p>
        </w:tc>
        <w:tc>
          <w:tcPr>
            <w:shd w:val="clear" w:color="auto" w:fill="ffffff"/>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94m</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灯带电源</w:t>
            </w:r>
            <w:r/>
          </w:p>
        </w:tc>
        <w:tc>
          <w:tcPr>
            <w:shd w:val="clear" w:color="auto" w:fill="ffffff"/>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色温5000K</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LED屏墙体建设等</w:t>
            </w:r>
            <w:r/>
          </w:p>
        </w:tc>
        <w:tc>
          <w:tcPr>
            <w:shd w:val="clear" w:color="auto" w:fill="ffffff"/>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轻钢龙骨+木饰面+一体门</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平方米</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落地玻璃隔断+推拉门</w:t>
            </w:r>
            <w:r/>
          </w:p>
        </w:tc>
        <w:tc>
          <w:tcPr>
            <w:shd w:val="clear" w:color="auto" w:fill="auto"/>
            <w:tcBorders>
              <w:top w:val="non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8500*4000铝合金框架、双层中空</w:t>
            </w:r>
            <w:r/>
          </w:p>
        </w:tc>
        <w:tc>
          <w:tcPr>
            <w:shd w:val="clear" w:color="auto" w:fill="auto"/>
            <w:tcBorders>
              <w:top w:val="non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平方</w:t>
            </w:r>
            <w:r/>
          </w:p>
        </w:tc>
        <w:tc>
          <w:tcPr>
            <w:shd w:val="clear" w:color="auto" w:fill="auto"/>
            <w:tcBorders>
              <w:top w:val="non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地坪PVC</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3.0mm(含自流平）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开关插座</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单开、双开、五孔插座</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实验台</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全钢结构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小圆凳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水电安装</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电路布线（包含材料）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新风系统</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3000风量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540*440*310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鹅颈水龙头</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三口</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bl>
    <w:p>
      <w:pPr>
        <w:pStyle w:val="741"/>
        <w:numPr>
          <w:ilvl w:val="0"/>
          <w:numId w:val="0"/>
        </w:numPr>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pStyle w:val="741"/>
        <w:numPr>
          <w:ilvl w:val="0"/>
          <w:numId w:val="0"/>
        </w:numPr>
        <w:keepLines w:val="0"/>
        <w:keepNext w:val="0"/>
        <w:pageBreakBefore w:val="0"/>
        <w:spacing w:line="360" w:lineRule="auto"/>
        <w:widowControl/>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 xml:space="preserve">（四）采购包</w:t>
      </w:r>
      <w:r>
        <w:rPr>
          <w:rFonts w:hint="eastAsia" w:ascii="宋体" w:hAnsi="宋体" w:eastAsia="宋体" w:cs="宋体"/>
          <w:b/>
          <w:bCs w:val="0"/>
          <w:color w:val="auto"/>
          <w:sz w:val="24"/>
          <w:szCs w:val="24"/>
          <w:highlight w:val="none"/>
          <w:lang w:val="en-US" w:eastAsia="zh-CN"/>
        </w:rPr>
        <w:t xml:space="preserve">4：仪器耗材</w:t>
      </w:r>
      <w:r/>
    </w:p>
    <w:tbl>
      <w:tblPr>
        <w:tblStyle w:val="739"/>
        <w:tblpPr w:horzAnchor="page" w:tblpX="525" w:vertAnchor="text" w:tblpY="401" w:leftFromText="180" w:topFromText="0" w:rightFromText="180" w:bottomFromText="0"/>
        <w:tblW w:w="110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2235"/>
        <w:gridCol w:w="5040"/>
        <w:gridCol w:w="1080"/>
        <w:gridCol w:w="1590"/>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建设模块</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设备参数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台式离心机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1.交流变频无刷电机驱动，免维护，配备霍尔测速系统；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2.微机变频控制技术，7寸高清IPS电容触摸屏、液晶显示；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3.99组用户自定义程序(10个预设程序组合)；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4.15档加减速可调、软刹车功能，防止样品重悬；</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5.中英文界面，可显示离心程序运行状态；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6.具有转子平衡自动测定功能，不平衡发生时自动停止运转；</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7.运行中可随时更改参数(rpm/rcf)，无需停机；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8.采用弹簧悬挂式平衡系统，不平衡量可达20克；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9.双通道空气流散热技术，温升低噪音小；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10.安装温度异常探测器，保护样品安全；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11.定时计时功能、启动计时或达到预定转速后再倒计时；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12.控制面板可戴手套进行操作，并可用去污剂清洁；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13.微动马达双吸入式电子门锁，轻按快速关闭门盖、安全静音；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14.离心结束后离心盖可以选择自动或手动打开，便于取放样品；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15.专用的适配器和脱帽器，运行中可有效预防交叉感染、溅血及碎管等问题；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16.具有故障自动诊断系统，针对超速、超温、不平衡、电子门盖等多项保护，确保仪器安全运行。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17.最高转速：≥6000rpm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18.最大相对离心力：≥5140×g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19.噪音：≤65dB（A）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20.外形尺寸：≤57×45×37cm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21.质保期：≥2年，提供生产企业质保承诺函。</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4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小型离心机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1、产品名称: 微量离心机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2、产品用途:生物研究中常用于细胞培养、细胞分离和纯化、DNA/RNA提取、蛋白质分析等;常用于不同密度粒子之间的分离。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3、产品供能：离心分离,LED数显,可定时调速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4、转速范围：3000-9999rpm士5%</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5、最大相心力：5300xg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6、离心管必须对称放置,注意配平(重量、密度)，重量差不超过0.1g,避免出现事故。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7、配置：主机*1、转子试管架*1、电源线*1、说明书*1、合格证*1、保修卡*1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69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单道移液器</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1、人体工程学设计，重量轻，仅为76-80 g（单道）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2、操作力小，避免手部重复性劳损（RSI）</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3、数字放大体积显示，更精准设定体积；位置合理，便于移液时观察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4、可整支高温高压灭菌，操作更方便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5、弹性吸嘴功能，降低装配/ 脱卸吸头的用力，确保吸头装配气密性且提高移液均一性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6、密度调节功能，可根据溶液属性进行密度调节，移液更精准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7、快速衔接卡口，方便徒手拆卸下半支，易于清洁和维护</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8、多道移液器独立活塞设计，每个通道可单独拆卸，易于保养且节省维修成本</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9、颜色标识及体积标识可快速识别体积大小及适配吸头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混匀仪</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1.振荡方式：漩涡混匀；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2.转速：可调或固定转速；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3.模式:点动/连续；</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4.底座：防滑稳定；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5.适用：离心管、试管；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6.电源：220V；</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恒温培养箱</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1.外形尺寸：≤627*621*692mm；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2.工作区尺寸：≤500*364*500mm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3.舱体采用不锈钢面板材质，多层可调节搁架，防滑脱隔板设计，方便装载。箱体外部为碳钢喷塑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4.保温层采用硅酸铝棉，保温性能好，减少受外界环境温度的影响。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5.单层门透视窗结构，采用硅胶密封条贴合密封设计，便于观察设备内部情况。</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6.箱体侧面标配测试孔，可根据实际需求检测工作室内温度。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7.具有限温报警系统功能，超过限制温度即自动中断，防止温度过高对仪器产生损害。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8.采用PID微电脑控温技术，多点校温，温度更精准。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9.温度选择范围：RT+5-85℃。</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10.设备容积；≥88L。</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11.温度显示精度：0.1℃。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12.温度均匀性：±2℃。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13.温度波动度：±1℃。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14.3.5寸显示屏，简单易懂易操作，便于观察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15.具有定时功能，声光报警提示，0-99.9H；具备开门报警，超温报警功能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16.选配；可选配紫外线杀菌，可选配福马脚轮，移动更方便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17. 质保期：≥2年，提供生产企业质保承诺函。</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卧式冰柜</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1.基本规格：有效容积≥500L，卧式单 / 双门，整体发泡；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2.制冷系统：环保制冷剂（如 R600a），全铜管蒸发器；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3.温控性能：冷冻≤-18℃，冷藏 0~10℃，LED 显示；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4.能效等级：≥2 级，提供能效标识；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5.售后质保：整机≥1 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05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台式净水机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1、进水：城市自来水TDS&lt;200ppm当TDS&gt;200PPM时，需配软水器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2、产水量：10L/H</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3、水压：0.1-0.5Mpa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4、重量：≤15kg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5、出水水质：UP电阻率10mQ.cm@25C</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6、RO电导率2-10us/cm重金属离子〈0.2ppb重金属离子〈0.1ppb</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7、瞬间取水量：超纯水1.2L/min(配置UF机型流速)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8、外形尺寸：≤280x460x450mm</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立式冰箱</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1.基本规格：有效容积≥240L，立式双 / 三门；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2.制冷系统：环保制冷剂，高效压缩机；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3.温控性能：冷藏 2~8℃，冷冻≤-18℃，独立控温；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4.能效等级：≥2 级，提供能效标识；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5.售后质保：整机≥1 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13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高压灭菌器</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1.容量:40-50升，灭菌腔高度≥70CM，手柄旋转右侧开门，底部带角轮。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2.灭菌腔材料:SUS304不锈钢,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3．功率≤2600W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4.温度范围:可使用灭菌温度≥135℃,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5.时间范围:灭菌时间:1-300分钟；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6.安全阀起跳压力≥0.28MPA；具有水质检测功能。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7.压力表显示范围:0-0.4MPa,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8.生产厂家具有灭菌器设计、制造、安装资质：中国压力容器制造许可证（如第三方提供视无效材料）；医疗器械生产许可证，CE-PED。</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9．可按选定的灭菌模式，全自动完成灭菌工作。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 可针对固体、液体模式灭菌工作。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 灭菌温度、灭菌时间、干燥时间分别专屏显示，使操作面板简捷易懂；温度、时间分别由。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专用键设置，使操作更加简便。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 所投产品生产商与特种设备（压力容器）实际制造商一致。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 系统自动监测冷空气的排放情况，确保纯蒸汽的灭菌环境，保证灭菌效果。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 闭盖检查系统：系统自动检测腔盖锁紧情况，如腔盖未锁紧，灭菌器无法启动工作。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 保温隔热门罩：既美观又防止操作者烫伤。</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16.灭菌过程状态LED动态显示，进程一目了然。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17. 故障检测程序，实时监测仪器的正常运行。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18．安全装置：压力联锁装置、超温保护系统、干烧保护系。统、过压保护、安全阀、过流、短路保护、闭盖检查系统、漏电保护装置、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防烫安全保护、自动故障检测系统。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19.配置：主机1台，不锈钢提篮3个，水位板1个，排水管2条，排气管1条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20. 三重干烧保护装置：灭菌腔底同时配备液胀式、铜质温度感应式、离子浓度式（水位传感器）三种不同干烧保护装置，避免了单一方式带来的误判。</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21.有10年以上压力容器制造经验（提供近10年来的压力容器制造资质证明）。</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22．质保期：≥2年，提供生产企业质保承诺函。</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烧杯、量筒</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1、品名：烧杯、量筒</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2、材质：玻璃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3、规格：玻璃烧杯（50ml、100ml、250ml）各一个；玻璃量筒（10ml、25ml、50ml、100ml）各一个；玻璃滴管（12cm） 2支。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超声波清洗机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1、容量≥15L；</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2、频率 40kHz；加热室温～80℃可调；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3、不锈钢内胆；带定时、数显、温控；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4、质保≥1 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1、精度 0.01g；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2、量程≥200g；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3、液晶显示 + 单位转换；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4、含防风罩、水平调节、校准功能；交直流两用；计量合格证明；</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5、质保≥1 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农安通一证一报自助终端</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屏幕尺寸</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：通常为10–15英寸触摸屏</w:t>
            </w:r>
            <w:r>
              <w:rPr>
                <w:rFonts w:hint="eastAsia" w:ascii="宋体" w:hAnsi="宋体" w:eastAsia="宋体" w:cs="宋体"/>
                <w:i w:val="0"/>
                <w:iCs w:val="0"/>
                <w:color w:val="000000"/>
                <w:sz w:val="24"/>
                <w:szCs w:val="24"/>
                <w:u w:val="none"/>
                <w:lang w:val="en-US" w:eastAsia="zh-CN" w:bidi="ar"/>
              </w:rPr>
              <w:br/>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身份识别</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：支持二代身份证读卡、人脸识别</w:t>
            </w:r>
            <w:r>
              <w:rPr>
                <w:rFonts w:hint="eastAsia" w:ascii="宋体" w:hAnsi="宋体" w:eastAsia="宋体" w:cs="宋体"/>
                <w:i w:val="0"/>
                <w:iCs w:val="0"/>
                <w:color w:val="000000"/>
                <w:sz w:val="24"/>
                <w:szCs w:val="24"/>
                <w:u w:val="none"/>
                <w:lang w:val="en-US" w:eastAsia="zh-CN" w:bidi="ar"/>
              </w:rPr>
              <w:br/>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打印功能</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：内置热敏或激光打印机，用于打印申报回执</w:t>
            </w:r>
            <w:r>
              <w:rPr>
                <w:rFonts w:hint="eastAsia" w:ascii="宋体" w:hAnsi="宋体" w:eastAsia="宋体" w:cs="宋体"/>
                <w:i w:val="0"/>
                <w:iCs w:val="0"/>
                <w:color w:val="000000"/>
                <w:sz w:val="24"/>
                <w:szCs w:val="24"/>
                <w:u w:val="none"/>
                <w:lang w:val="en-US" w:eastAsia="zh-CN" w:bidi="ar"/>
              </w:rPr>
              <w:br/>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网络连接</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：支持4G/5G、Wi-Fi、有线以太网</w:t>
            </w:r>
            <w:r>
              <w:rPr>
                <w:rFonts w:hint="eastAsia" w:ascii="宋体" w:hAnsi="宋体" w:eastAsia="宋体" w:cs="宋体"/>
                <w:i w:val="0"/>
                <w:iCs w:val="0"/>
                <w:color w:val="000000"/>
                <w:sz w:val="24"/>
                <w:szCs w:val="24"/>
                <w:u w:val="none"/>
                <w:lang w:val="en-US" w:eastAsia="zh-CN" w:bidi="ar"/>
              </w:rPr>
              <w:br/>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操作系统</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：嵌入式Linux或Android系统</w:t>
            </w:r>
            <w:r>
              <w:rPr>
                <w:rFonts w:hint="eastAsia" w:ascii="宋体" w:hAnsi="宋体" w:eastAsia="宋体" w:cs="宋体"/>
                <w:i w:val="0"/>
                <w:iCs w:val="0"/>
                <w:color w:val="000000"/>
                <w:sz w:val="24"/>
                <w:szCs w:val="24"/>
                <w:u w:val="none"/>
                <w:lang w:val="en-US" w:eastAsia="zh-CN" w:bidi="ar"/>
              </w:rPr>
              <w:br/>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适用场景</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：农业服务大厅、乡镇便民中心、农资经营点等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水产品出塘快速检测箱</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胶体金检测卡通道：1-3 通道，自动读取。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比色皿/比色管通道： 1 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显示：7英寸或以上彩色电容触摸屏。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处理器：ARM Cortex 系列或同等嵌入式处理器。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存储：可存储 10 万条以上检测记录，包含检测项目、样品名称、检测结果、时间等信息。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接口：USB 接口、Wi-Fi（用于数据上传）、蓝牙（可选配打印机）。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打印：内置或外接热敏打印机，可即时打印检测报告。</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电源：内置大容量锂电池（续航 4-6 小时）或 220V 交流电适配器。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工作环境：温度 10℃ - 35℃；湿度 20% - 80%。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便携式胶体金读数仪</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屏幕</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：≥7 英寸高清工业触摸屏</w:t>
            </w:r>
            <w:r>
              <w:rPr>
                <w:rFonts w:hint="eastAsia" w:ascii="宋体" w:hAnsi="宋体" w:eastAsia="宋体" w:cs="宋体"/>
                <w:i w:val="0"/>
                <w:iCs w:val="0"/>
                <w:color w:val="000000"/>
                <w:sz w:val="24"/>
                <w:szCs w:val="24"/>
                <w:u w:val="none"/>
                <w:lang w:val="en-US" w:eastAsia="zh-CN" w:bidi="ar"/>
              </w:rPr>
              <w:br/>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光源</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：节能环保 LED 光源</w:t>
            </w:r>
            <w:r>
              <w:rPr>
                <w:rFonts w:hint="eastAsia" w:ascii="宋体" w:hAnsi="宋体" w:eastAsia="宋体" w:cs="宋体"/>
                <w:i w:val="0"/>
                <w:iCs w:val="0"/>
                <w:color w:val="000000"/>
                <w:sz w:val="24"/>
                <w:szCs w:val="24"/>
                <w:u w:val="none"/>
                <w:lang w:val="en-US" w:eastAsia="zh-CN" w:bidi="ar"/>
              </w:rPr>
              <w:br/>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测读方法</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：光电扫描法；检测器件：硅光电二极管</w:t>
            </w:r>
            <w:r>
              <w:rPr>
                <w:rFonts w:hint="eastAsia" w:ascii="宋体" w:hAnsi="宋体" w:eastAsia="宋体" w:cs="宋体"/>
                <w:i w:val="0"/>
                <w:iCs w:val="0"/>
                <w:color w:val="000000"/>
                <w:sz w:val="24"/>
                <w:szCs w:val="24"/>
                <w:u w:val="none"/>
                <w:lang w:val="en-US" w:eastAsia="zh-CN" w:bidi="ar"/>
              </w:rPr>
              <w:br/>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操作系统</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：安卓系统</w:t>
            </w:r>
            <w:r>
              <w:rPr>
                <w:rFonts w:hint="eastAsia" w:ascii="宋体" w:hAnsi="宋体" w:eastAsia="宋体" w:cs="宋体"/>
                <w:i w:val="0"/>
                <w:iCs w:val="0"/>
                <w:color w:val="000000"/>
                <w:sz w:val="24"/>
                <w:szCs w:val="24"/>
                <w:u w:val="none"/>
                <w:lang w:val="en-US" w:eastAsia="zh-CN" w:bidi="ar"/>
              </w:rPr>
              <w:br/>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判读时间</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：≤6 秒</w:t>
            </w:r>
            <w:r>
              <w:rPr>
                <w:rFonts w:hint="eastAsia" w:ascii="宋体" w:hAnsi="宋体" w:eastAsia="宋体" w:cs="宋体"/>
                <w:i w:val="0"/>
                <w:iCs w:val="0"/>
                <w:color w:val="000000"/>
                <w:sz w:val="24"/>
                <w:szCs w:val="24"/>
                <w:u w:val="none"/>
                <w:lang w:val="en-US" w:eastAsia="zh-CN" w:bidi="ar"/>
              </w:rPr>
              <w:br/>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变异系数（CV）</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：&lt;1%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59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污水处理器</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1、产品名称：污水处理器（实验室废水处理系统）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2、处理量（25℃）：＞100L/天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3、处理系统：中和沉淀+复合式消毒+UV紫外灭菌+臭氧氧化+多级过滤</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4、PH在线检测，根据检测数值自动进行PH调节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5、PH测量范围：0～14，调节PH值：6～9</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6、分辨率：0.01pH，准确率：±0.02pH</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7、具备冲洗功能，可进行正洗和反洗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8、多路液位检测，具备药品缺液报警功能，废水自动处理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9、具有防冻加热装置，温度低于5℃时防冻功能自动启动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10、精准投加，利用进口计量泵准确控制投药量，并设有液位控制缺药自动报警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11、高效灭菌，与传统系统相比较操作便捷、杀菌能力强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12、采用智能控制系统实时检测、控制污水的水质变化和处理流程，实现全天候自动运行，无需专人值守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13、执行标准：《医疗机构水污染物排放标准》GB18466-2005；《污水排入城市下水道水质标准》GB/T3192-2015</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14、质保期：≥2年，提供生产企业质保承诺函。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15.产品尺寸：≤1000mm(L)*504mm(W)*900mm(H)</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电源：220V±10%，50/60Hz（可选配110V）</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bl>
    <w:p>
      <w:pPr>
        <w:ind w:firstLine="482"/>
        <w:keepLines w:val="0"/>
        <w:keepNext w:val="0"/>
        <w:pageBreakBefore w:val="0"/>
        <w:spacing w:line="360" w:lineRule="auto"/>
        <w:widowControl w:val="off"/>
        <w:rPr>
          <w:rFonts w:hint="eastAsia" w:ascii="宋体" w:hAnsi="宋体" w:cs="宋体"/>
          <w:b/>
          <w:sz w:val="24"/>
          <w:highlight w:val="none"/>
        </w:rPr>
      </w:pPr>
      <w:r>
        <w:rPr>
          <w:rFonts w:hint="eastAsia" w:ascii="宋体" w:hAnsi="宋体" w:cs="宋体"/>
          <w:b/>
          <w:sz w:val="24"/>
          <w:highlight w:val="none"/>
          <w:lang w:eastAsia="zh-CN"/>
        </w:rPr>
        <w:t xml:space="preserve">（四）</w:t>
      </w:r>
      <w:r>
        <w:rPr>
          <w:rFonts w:hint="eastAsia" w:ascii="宋体" w:hAnsi="宋体" w:cs="宋体"/>
          <w:b/>
          <w:sz w:val="24"/>
          <w:highlight w:val="none"/>
        </w:rPr>
        <w:t xml:space="preserve">售后服务要求：</w:t>
      </w:r>
      <w:r/>
    </w:p>
    <w:p>
      <w:pPr>
        <w:pStyle w:val="746"/>
        <w:ind w:left="0" w:firstLine="480"/>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1、免费质保期要求：自本项目完成验收之日起，提供不少于3年的免费质保和免费上门服务</w:t>
      </w:r>
      <w:r>
        <w:rPr>
          <w:rFonts w:hint="eastAsia" w:ascii="宋体" w:hAnsi="宋体" w:eastAsia="宋体" w:cs="宋体"/>
          <w:sz w:val="24"/>
          <w:szCs w:val="24"/>
          <w:highlight w:val="none"/>
          <w:lang w:val="en-US" w:eastAsia="zh-CN" w:bidi="ar-SA"/>
        </w:rPr>
        <w:t xml:space="preserve">。</w:t>
      </w:r>
      <w:r/>
    </w:p>
    <w:p>
      <w:pPr>
        <w:pStyle w:val="746"/>
        <w:ind w:left="0" w:firstLine="480"/>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2、所有质保费用均已包含在投标报价中，质保期满后，应提供优先的有偿售后服务及按不高于投标文件中主要配件、易损件清单所报价格供应原厂零配件等。</w:t>
      </w:r>
      <w:r/>
    </w:p>
    <w:p>
      <w:pPr>
        <w:pStyle w:val="746"/>
        <w:ind w:left="0" w:firstLine="480"/>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sz w:val="24"/>
          <w:szCs w:val="24"/>
          <w:lang w:val="en-US" w:eastAsia="zh-CN" w:bidi="ar-SA"/>
        </w:rPr>
        <w:t xml:space="preserve">3、中标人须设有维修服务电话，负责解答用户在设备使用中遇到的问题，及时提出解决问题的建议和操作方法。</w:t>
      </w:r>
      <w:r/>
    </w:p>
    <w:p>
      <w:pPr>
        <w:pStyle w:val="778"/>
        <w:ind w:firstLine="482"/>
        <w:keepLines w:val="0"/>
        <w:keepNext w:val="0"/>
        <w:pageBreakBefore w:val="0"/>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四、项目实施要求 </w:t>
      </w:r>
      <w:r/>
    </w:p>
    <w:p>
      <w:pPr>
        <w:pStyle w:val="746"/>
        <w:ind w:left="0" w:firstLine="480"/>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货物送到项目实施现场后，中标人与采购人一起按合同货物清单依合同标准进行货物验收。采购人对货物验收合格后，双方共同签署货物验收合格证明。验收中发现货物达不到验收标准或合同规定的性能指标，中标人必须更换，并且赔偿由此给采购人造成的损失。</w:t>
      </w:r>
      <w:r/>
    </w:p>
    <w:p>
      <w:pPr>
        <w:pStyle w:val="746"/>
        <w:ind w:left="0" w:firstLine="480"/>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验收时需提交的书面文件</w:t>
      </w:r>
      <w:r/>
    </w:p>
    <w:p>
      <w:pPr>
        <w:pStyle w:val="746"/>
        <w:ind w:left="0" w:firstLine="480"/>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①采购标的的所有检测报告及证明文件复印件并加盖公章。</w:t>
      </w:r>
      <w:r/>
    </w:p>
    <w:p>
      <w:pPr>
        <w:pStyle w:val="746"/>
        <w:ind w:left="0" w:firstLine="480"/>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②所有标的合格证明文件；</w:t>
      </w:r>
      <w:r/>
    </w:p>
    <w:p>
      <w:pPr>
        <w:pStyle w:val="746"/>
        <w:ind w:left="0" w:firstLine="480"/>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③保修卡或保修手册；</w:t>
      </w:r>
      <w:r/>
    </w:p>
    <w:p>
      <w:pPr>
        <w:pStyle w:val="746"/>
        <w:ind w:left="0" w:firstLine="480"/>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④</w:t>
      </w:r>
      <w:r>
        <w:rPr>
          <w:rFonts w:hint="eastAsia" w:ascii="宋体" w:hAnsi="宋体" w:eastAsia="宋体" w:cs="宋体"/>
          <w:sz w:val="24"/>
          <w:szCs w:val="24"/>
          <w:lang w:val="en-US" w:eastAsia="zh-CN" w:bidi="ar-SA"/>
        </w:rPr>
        <w:t xml:space="preserve">设备配置详单。</w:t>
      </w:r>
      <w:r/>
    </w:p>
    <w:p>
      <w:pPr>
        <w:pStyle w:val="746"/>
        <w:ind w:left="0" w:firstLine="480"/>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、报价包含项目所有的材料、运输、安装实施等一切费用，采购人不再支付额外任何费用。</w:t>
      </w:r>
      <w:r/>
    </w:p>
    <w:p>
      <w:pPr>
        <w:pStyle w:val="746"/>
        <w:ind w:left="0" w:firstLine="480"/>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、供货方式、时间及地点要求：</w:t>
      </w:r>
      <w:r/>
    </w:p>
    <w:p>
      <w:pPr>
        <w:pStyle w:val="746"/>
        <w:ind w:left="0" w:firstLine="480"/>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（1）交货时间要求：合同签订生效后，</w:t>
      </w:r>
      <w:r>
        <w:rPr>
          <w:rFonts w:hint="eastAsia" w:ascii="宋体" w:hAnsi="宋体" w:cs="宋体"/>
          <w:sz w:val="24"/>
          <w:szCs w:val="24"/>
          <w:lang w:val="en-US" w:eastAsia="zh-CN" w:bidi="ar-SA"/>
        </w:rPr>
        <w:t xml:space="preserve">30</w:t>
      </w:r>
      <w:r>
        <w:rPr>
          <w:rFonts w:hint="eastAsia" w:ascii="宋体" w:hAnsi="宋体" w:eastAsia="宋体" w:cs="宋体"/>
          <w:sz w:val="24"/>
          <w:szCs w:val="24"/>
          <w:lang w:val="en-US" w:eastAsia="zh-CN" w:bidi="ar-SA"/>
        </w:rPr>
        <w:t xml:space="preserve">日内将合同标的全部交付并安装完毕</w:t>
      </w:r>
      <w:r>
        <w:rPr>
          <w:rFonts w:hint="eastAsia" w:ascii="宋体" w:hAnsi="宋体" w:cs="宋体"/>
          <w:sz w:val="24"/>
          <w:szCs w:val="24"/>
          <w:lang w:val="en-US" w:eastAsia="zh-CN" w:bidi="ar-SA"/>
        </w:rPr>
        <w:t xml:space="preserve">。</w:t>
      </w:r>
      <w:r/>
    </w:p>
    <w:p>
      <w:pPr>
        <w:pStyle w:val="746"/>
        <w:ind w:left="0" w:firstLine="480"/>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（2）供货地点：采购人指定地点。</w:t>
      </w:r>
      <w:r/>
    </w:p>
    <w:p>
      <w:pPr>
        <w:pStyle w:val="746"/>
        <w:ind w:left="0" w:firstLine="480"/>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、安排至少1名专业技术人员对采购方人员进行免费技术培训，培训内容包括装备的操作、日常维修、简单故障的识别及排除等。培训地点由采购方指定。</w:t>
      </w:r>
      <w:r/>
    </w:p>
    <w:p>
      <w:pPr>
        <w:pStyle w:val="778"/>
        <w:ind w:firstLine="482"/>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、其他要求</w:t>
      </w:r>
      <w:r>
        <w:rPr>
          <w:rFonts w:hint="eastAsia" w:ascii="宋体" w:hAnsi="宋体" w:cs="宋体"/>
          <w:b/>
          <w:bCs/>
          <w:color w:val="auto"/>
          <w:sz w:val="24"/>
          <w:szCs w:val="24"/>
          <w:lang w:eastAsia="zh-CN"/>
        </w:rPr>
        <w:t xml:space="preserve">：</w:t>
      </w:r>
      <w:r>
        <w:rPr>
          <w:rFonts w:hint="eastAsia" w:ascii="宋体" w:hAnsi="宋体" w:eastAsia="宋体" w:cs="宋体"/>
          <w:color w:val="auto"/>
          <w:sz w:val="24"/>
          <w:szCs w:val="24"/>
        </w:rPr>
        <w:t xml:space="preserve">见招标文件第五章《拟签订的合同文本》。</w:t>
      </w:r>
      <w:r/>
    </w:p>
    <w:p>
      <w:pPr>
        <w:ind w:firstLine="561"/>
        <w:jc w:val="both"/>
        <w:keepLines w:val="0"/>
        <w:keepNext w:val="0"/>
        <w:pageBreakBefore w:val="0"/>
        <w:spacing w:line="360" w:lineRule="auto"/>
        <w:widowControl/>
        <w:rPr>
          <w:rFonts w:hint="eastAsia" w:ascii="宋体" w:hAnsi="宋体" w:eastAsia="宋体" w:cs="宋体"/>
          <w:b w:val="0"/>
          <w:bCs w:val="0"/>
          <w:color w:val="000000" w:themeColor="text1"/>
          <w:sz w:val="24"/>
          <w:szCs w:val="24"/>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b w:val="0"/>
          <w:bCs w:val="0"/>
          <w:color w:val="000000" w:themeColor="text1"/>
          <w:sz w:val="24"/>
          <w:szCs w:val="24"/>
          <w14:textFill>
            <w14:solidFill>
              <w14:schemeClr w14:val="tx1"/>
            </w14:solidFill>
          </w14:textFill>
        </w:rPr>
      </w:r>
      <w:r/>
    </w:p>
    <w:p>
      <w:pPr>
        <w:jc w:val="center"/>
        <w:rPr>
          <w:rFonts w:hint="eastAsia" w:ascii="宋体" w:hAnsi="宋体" w:eastAsia="宋体" w:cs="宋体"/>
          <w:color w:val="000000" w:themeColor="text1"/>
          <w:sz w:val="22"/>
          <w:szCs w:val="18"/>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t xml:space="preserve">第七章  投标文件相关格式</w:t>
      </w:r>
      <w:bookmarkEnd w:id="14"/>
      <w:r/>
      <w:bookmarkEnd w:id="15"/>
      <w:r/>
      <w:r/>
    </w:p>
    <w:p>
      <w:pPr>
        <w:pStyle w:val="778"/>
        <w:ind w:firstLine="640"/>
        <w:jc w:val="center"/>
        <w:spacing w:line="44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一、投标函格式</w:t>
      </w:r>
      <w:r/>
    </w:p>
    <w:p>
      <w:pPr>
        <w:pStyle w:val="778"/>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致：</w:t>
      </w:r>
      <w:r>
        <w:rPr>
          <w:rFonts w:hint="eastAsia" w:ascii="宋体" w:hAnsi="宋体" w:eastAsia="宋体" w:cs="宋体"/>
          <w:color w:val="000000" w:themeColor="text1"/>
          <w:sz w:val="24"/>
          <w:szCs w:val="24"/>
          <w:u w:val="single"/>
          <w14:textFill>
            <w14:solidFill>
              <w14:schemeClr w14:val="tx1"/>
            </w14:solidFill>
          </w14:textFill>
        </w:rPr>
        <w:t xml:space="preserve"> 徐州国信招标有限公司</w:t>
      </w:r>
      <w:r/>
    </w:p>
    <w:p>
      <w:pPr>
        <w:pStyle w:val="778"/>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项目[项目编号：</w:t>
      </w:r>
      <w:r>
        <w:rPr>
          <w:rFonts w:hint="eastAsia" w:ascii="宋体" w:hAnsi="宋体" w:cs="宋体"/>
          <w:color w:val="000000" w:themeColor="text1"/>
          <w:sz w:val="24"/>
          <w:szCs w:val="24"/>
          <w:lang w:eastAsia="zh-CN"/>
          <w14:textFill>
            <w14:solidFill>
              <w14:schemeClr w14:val="tx1"/>
            </w14:solidFill>
          </w14:textFill>
        </w:rPr>
        <w:t xml:space="preserve">JSZC-320305-XZGX-G2026-0011</w:t>
      </w:r>
      <w:r>
        <w:rPr>
          <w:rFonts w:hint="eastAsia" w:ascii="宋体" w:hAnsi="宋体" w:eastAsia="宋体" w:cs="宋体"/>
          <w:color w:val="000000" w:themeColor="text1"/>
          <w:sz w:val="24"/>
          <w:szCs w:val="24"/>
          <w14:textFill>
            <w14:solidFill>
              <w14:schemeClr w14:val="tx1"/>
            </w14:solidFill>
          </w14:textFill>
        </w:rPr>
        <w:t xml:space="preserve">]招标文件，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姓名）代表我方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（投标人的名称）全权处理本次投标的有关事宜。</w:t>
      </w:r>
      <w:r/>
    </w:p>
    <w:p>
      <w:pPr>
        <w:pStyle w:val="778"/>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据此函，投标人承诺并同意如下： </w:t>
      </w:r>
      <w:r/>
    </w:p>
    <w:p>
      <w:pPr>
        <w:pStyle w:val="778"/>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1.投标人唯一投标报价见《开标一览表》。</w:t>
      </w:r>
      <w:r/>
    </w:p>
    <w:p>
      <w:pPr>
        <w:pStyle w:val="778"/>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2.投标人将按招标文件的规定履行合同责任和义务。</w:t>
      </w:r>
      <w:r/>
    </w:p>
    <w:p>
      <w:pPr>
        <w:pStyle w:val="778"/>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pStyle w:val="778"/>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4.投标有效期为开标之日后90天。</w:t>
      </w:r>
      <w:r/>
    </w:p>
    <w:p>
      <w:pPr>
        <w:pStyle w:val="778"/>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pStyle w:val="778"/>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6.投标人同意在授予合同后，按照有关规定支付公证费（如有）。</w:t>
      </w:r>
      <w:r/>
    </w:p>
    <w:p>
      <w:pPr>
        <w:pStyle w:val="778"/>
        <w:ind w:right="29"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7.徐州国信招标有限公司有权将我单位本项目的《开标一览表》和《分项价格表》予以公示，公示的方式由徐州国信招标有限公司确定。</w:t>
      </w:r>
      <w:r/>
    </w:p>
    <w:p>
      <w:pPr>
        <w:pStyle w:val="778"/>
        <w:ind w:right="29"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8"/>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9.与本投标有关的一切正式往来信函请寄：</w:t>
      </w:r>
      <w:r/>
    </w:p>
    <w:p>
      <w:pPr>
        <w:pStyle w:val="778"/>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w:t>
      </w:r>
      <w:r/>
    </w:p>
    <w:p>
      <w:pPr>
        <w:pStyle w:val="778"/>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电话：</w:t>
      </w:r>
      <w:r/>
    </w:p>
    <w:p>
      <w:pPr>
        <w:pStyle w:val="778"/>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传真：</w:t>
      </w:r>
      <w:r/>
    </w:p>
    <w:p>
      <w:pPr>
        <w:pStyle w:val="778"/>
        <w:ind w:firstLine="27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ind w:firstLine="27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778"/>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投标人授权代表：</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（签字或盖章）  </w:t>
      </w:r>
      <w:r/>
    </w:p>
    <w:p>
      <w:pPr>
        <w:pStyle w:val="778"/>
        <w:ind w:firstLine="45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78"/>
        <w:ind w:firstLine="64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jc w:val="center"/>
        <w:spacing w:line="480" w:lineRule="exact"/>
        <w:rPr>
          <w:rFonts w:hint="eastAsia" w:ascii="宋体" w:hAnsi="宋体" w:eastAsia="宋体" w:cs="宋体"/>
          <w:color w:val="000000" w:themeColor="text1"/>
          <w:sz w:val="24"/>
          <w:szCs w:val="24"/>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outlineLvl w:val="1"/>
      </w:pPr>
      <w:r>
        <w:rPr>
          <w:rFonts w:hint="eastAsia" w:ascii="宋体" w:hAnsi="宋体" w:eastAsia="宋体" w:cs="宋体"/>
          <w:color w:val="000000" w:themeColor="text1"/>
          <w:sz w:val="24"/>
          <w:szCs w:val="24"/>
          <w14:textFill>
            <w14:solidFill>
              <w14:schemeClr w14:val="tx1"/>
            </w14:solidFill>
          </w14:textFill>
        </w:rPr>
      </w:r>
      <w:r/>
    </w:p>
    <w:p>
      <w:pPr>
        <w:pStyle w:val="778"/>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二、开标一览表格式</w:t>
      </w:r>
      <w:r/>
    </w:p>
    <w:p>
      <w:pPr>
        <w:pStyle w:val="778"/>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ind w:firstLine="600"/>
        <w:spacing w:line="52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贾汪区区域性农业综合服务中心建设 </w:t>
      </w:r>
      <w:r>
        <w:rPr>
          <w:rFonts w:hint="eastAsia" w:ascii="宋体" w:hAnsi="宋体" w:eastAsia="宋体" w:cs="宋体"/>
          <w:color w:val="000000" w:themeColor="text1"/>
          <w:sz w:val="24"/>
          <w:szCs w:val="24"/>
          <w14:textFill>
            <w14:solidFill>
              <w14:schemeClr w14:val="tx1"/>
            </w14:solidFill>
          </w14:textFill>
        </w:rPr>
        <w:t xml:space="preserve"> </w:t>
      </w:r>
      <w:r/>
    </w:p>
    <w:p>
      <w:pPr>
        <w:pStyle w:val="778"/>
        <w:ind w:firstLine="600"/>
        <w:spacing w:line="520" w:lineRule="exact"/>
        <w:rPr>
          <w:rFonts w:hint="eastAsia"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JSZC-320305-XZGX-G2026-0011</w:t>
      </w:r>
      <w:r/>
    </w:p>
    <w:p>
      <w:pPr>
        <w:pStyle w:val="778"/>
        <w:ind w:firstLine="67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货币单位：人民币元</w:t>
      </w:r>
      <w:r/>
    </w:p>
    <w:tbl>
      <w:tblPr>
        <w:tblStyle w:val="739"/>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0"/>
        <w:gridCol w:w="2721"/>
        <w:gridCol w:w="2943"/>
      </w:tblGrid>
      <w:tr>
        <w:trPr>
          <w:cantSplit/>
          <w:jc w:val="center"/>
          <w:trHeight w:val="1163"/>
        </w:trPr>
        <w:tc>
          <w:tcPr>
            <w:tcW w:w="3670" w:type="dxa"/>
            <w:vAlign w:val="center"/>
            <w:textDirection w:val="lrTb"/>
            <w:noWrap w:val="false"/>
          </w:tcPr>
          <w:p>
            <w:pPr>
              <w:pStyle w:val="778"/>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tc>
        <w:tc>
          <w:tcPr>
            <w:tcW w:w="2721" w:type="dxa"/>
            <w:vAlign w:val="center"/>
            <w:textDirection w:val="lrTb"/>
            <w:noWrap w:val="false"/>
          </w:tcPr>
          <w:p>
            <w:pPr>
              <w:pStyle w:val="778"/>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项目内容</w:t>
            </w:r>
            <w:r/>
          </w:p>
        </w:tc>
        <w:tc>
          <w:tcPr>
            <w:tcW w:w="2943" w:type="dxa"/>
            <w:vAlign w:val="center"/>
            <w:textDirection w:val="lrTb"/>
            <w:noWrap w:val="false"/>
          </w:tcPr>
          <w:p>
            <w:pPr>
              <w:pStyle w:val="778"/>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总价（小写）</w:t>
            </w:r>
            <w:r/>
          </w:p>
        </w:tc>
      </w:tr>
      <w:tr>
        <w:trPr>
          <w:cantSplit/>
          <w:jc w:val="center"/>
          <w:trHeight w:val="1214"/>
        </w:trPr>
        <w:tc>
          <w:tcPr>
            <w:tcW w:w="3670" w:type="dxa"/>
            <w:vAlign w:val="center"/>
            <w:textDirection w:val="lrTb"/>
            <w:noWrap w:val="false"/>
          </w:tcPr>
          <w:p>
            <w:pPr>
              <w:pStyle w:val="778"/>
              <w:jc w:val="center"/>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贾汪区区域性农业综合服务中心建设</w:t>
            </w:r>
            <w:r/>
          </w:p>
          <w:p>
            <w:pPr>
              <w:pStyle w:val="778"/>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（采购包</w:t>
            </w:r>
            <w:r>
              <w:rPr>
                <w:rFonts w:hint="eastAsia" w:ascii="宋体" w:hAnsi="宋体" w:cs="宋体"/>
                <w:color w:val="000000" w:themeColor="text1"/>
                <w:sz w:val="24"/>
                <w:szCs w:val="24"/>
                <w:lang w:val="en-US" w:eastAsia="zh-CN"/>
                <w14:textFill>
                  <w14:solidFill>
                    <w14:schemeClr w14:val="tx1"/>
                  </w14:solidFill>
                </w14:textFill>
              </w:rPr>
              <w:t xml:space="preserve">X</w:t>
            </w:r>
            <w:r>
              <w:rPr>
                <w:rFonts w:hint="eastAsia" w:ascii="宋体" w:hAnsi="宋体" w:cs="宋体"/>
                <w:color w:val="000000" w:themeColor="text1"/>
                <w:sz w:val="24"/>
                <w:szCs w:val="24"/>
                <w:lang w:eastAsia="zh-CN"/>
                <w14:textFill>
                  <w14:solidFill>
                    <w14:schemeClr w14:val="tx1"/>
                  </w14:solidFill>
                </w14:textFill>
              </w:rPr>
              <w:t xml:space="preserve">）</w:t>
            </w:r>
            <w:r/>
          </w:p>
        </w:tc>
        <w:tc>
          <w:tcPr>
            <w:tcW w:w="2721" w:type="dxa"/>
            <w:vAlign w:val="center"/>
            <w:textDirection w:val="lrTb"/>
            <w:noWrap w:val="false"/>
          </w:tcPr>
          <w:p>
            <w:pPr>
              <w:pStyle w:val="778"/>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详见投标文件</w:t>
            </w:r>
            <w:r/>
          </w:p>
        </w:tc>
        <w:tc>
          <w:tcPr>
            <w:tcW w:w="2943" w:type="dxa"/>
            <w:vAlign w:val="center"/>
            <w:textDirection w:val="lrTb"/>
            <w:noWrap w:val="false"/>
          </w:tcPr>
          <w:p>
            <w:pPr>
              <w:pStyle w:val="778"/>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1452"/>
        </w:trPr>
        <w:tc>
          <w:tcPr>
            <w:tcW w:w="3670" w:type="dxa"/>
            <w:vAlign w:val="center"/>
            <w:textDirection w:val="lrTb"/>
            <w:noWrap w:val="false"/>
          </w:tcPr>
          <w:p>
            <w:pPr>
              <w:pStyle w:val="778"/>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总价（大写）：</w:t>
            </w:r>
            <w:r/>
          </w:p>
        </w:tc>
        <w:tc>
          <w:tcPr>
            <w:gridSpan w:val="2"/>
            <w:tcW w:w="5664" w:type="dxa"/>
            <w:vAlign w:val="center"/>
            <w:textDirection w:val="lrTb"/>
            <w:noWrap w:val="false"/>
          </w:tcPr>
          <w:p>
            <w:pPr>
              <w:pStyle w:val="778"/>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pStyle w:val="778"/>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ind w:firstLine="276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ind w:firstLine="3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ind w:firstLine="3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ind w:firstLine="3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ind w:firstLine="392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778"/>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778"/>
        <w:ind w:firstLine="49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78"/>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8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8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85"/>
        <w:rPr>
          <w:rFonts w:hint="eastAsia"/>
        </w:rPr>
      </w:pPr>
      <w:r>
        <w:rPr>
          <w:rFonts w:hint="eastAsia"/>
        </w:rPr>
      </w:r>
      <w:r/>
    </w:p>
    <w:p>
      <w:pPr>
        <w:pStyle w:val="778"/>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三、分项价格表格式</w:t>
      </w:r>
      <w:r/>
    </w:p>
    <w:p>
      <w:pPr>
        <w:pStyle w:val="778"/>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贾汪区区域性农业综合服务中心建设（采购包</w:t>
      </w:r>
      <w:r>
        <w:rPr>
          <w:rFonts w:hint="eastAsia" w:ascii="宋体" w:hAnsi="宋体" w:cs="宋体"/>
          <w:color w:val="000000" w:themeColor="text1"/>
          <w:sz w:val="24"/>
          <w:szCs w:val="24"/>
          <w:lang w:val="en-US" w:eastAsia="zh-CN"/>
          <w14:textFill>
            <w14:solidFill>
              <w14:schemeClr w14:val="tx1"/>
            </w14:solidFill>
          </w14:textFill>
        </w:rPr>
        <w:t xml:space="preserve">X</w:t>
      </w:r>
      <w:r>
        <w:rPr>
          <w:rFonts w:hint="eastAsia" w:ascii="宋体" w:hAnsi="宋体" w:cs="宋体"/>
          <w:color w:val="000000" w:themeColor="text1"/>
          <w:sz w:val="24"/>
          <w:szCs w:val="24"/>
          <w:lang w:eastAsia="zh-CN"/>
          <w14:textFill>
            <w14:solidFill>
              <w14:schemeClr w14:val="tx1"/>
            </w14:solidFill>
          </w14:textFill>
        </w:rPr>
        <w:t xml:space="preserve">）</w:t>
      </w:r>
      <w:r/>
    </w:p>
    <w:p>
      <w:pPr>
        <w:pStyle w:val="778"/>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JSZC-320305-XZGX-G2026-0011</w:t>
      </w:r>
      <w:r>
        <w:rPr>
          <w:rFonts w:hint="eastAsia" w:ascii="宋体" w:hAnsi="宋体" w:eastAsia="宋体" w:cs="宋体"/>
          <w:color w:val="000000" w:themeColor="text1"/>
          <w:sz w:val="24"/>
          <w:szCs w:val="24"/>
          <w14:textFill>
            <w14:solidFill>
              <w14:schemeClr w14:val="tx1"/>
            </w14:solidFill>
          </w14:textFill>
        </w:rPr>
        <w:t xml:space="preserve">   </w:t>
      </w:r>
      <w:r/>
    </w:p>
    <w:p>
      <w:pPr>
        <w:pStyle w:val="778"/>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货币单位：人民币元</w:t>
      </w:r>
      <w:r/>
    </w:p>
    <w:p>
      <w:pPr>
        <w:pStyle w:val="778"/>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739"/>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产品制造企业名称（全称）</w:t>
            </w:r>
            <w:r/>
          </w:p>
        </w:tc>
        <w:tc>
          <w:tcPr>
            <w:shd w:val="clear" w:color="auto" w:fill="c0c0c0"/>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shd w:val="clear" w:color="auto" w:fill="c0c0c0"/>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数量单位</w:t>
            </w:r>
            <w:r/>
          </w:p>
        </w:tc>
        <w:tc>
          <w:tcPr>
            <w:shd w:val="clear" w:color="auto" w:fill="c0c0c0"/>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shd w:val="clear" w:color="auto" w:fill="c0c0c0"/>
            <w:tcW w:w="80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c>
          <w:tcPr>
            <w:shd w:val="clear" w:color="auto" w:fill="c0c0c0"/>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总价合计（即《开标一览表》中的“总价”）</w:t>
            </w:r>
            <w:r/>
          </w:p>
        </w:tc>
        <w:tc>
          <w:tcPr>
            <w:gridSpan w:val="6"/>
            <w:tcW w:w="60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pStyle w:val="778"/>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left"/>
        <w:widowControl/>
        <w:rPr>
          <w:rFonts w:hint="eastAsia" w:asciiTheme="minorEastAsia" w:hAnsiTheme="minorEastAsia" w:eastAsiaTheme="minorEastAsia" w:cstheme="minorEastAsia"/>
          <w:b/>
          <w:bCs/>
          <w:color w:val="ff0000"/>
          <w:sz w:val="24"/>
          <w:szCs w:val="24"/>
          <w:lang w:val="en-US" w:eastAsia="zh-CN"/>
        </w:rPr>
      </w:pPr>
      <w:r>
        <w:rPr>
          <w:rFonts w:hint="eastAsia" w:asciiTheme="minorEastAsia" w:hAnsiTheme="minorEastAsia" w:eastAsiaTheme="minorEastAsia" w:cstheme="minorEastAsia"/>
          <w:sz w:val="24"/>
          <w:szCs w:val="24"/>
        </w:rPr>
        <w:t xml:space="preserve">注：</w:t>
      </w:r>
      <w:r>
        <w:rPr>
          <w:rFonts w:hint="eastAsia" w:asciiTheme="minorEastAsia" w:hAnsiTheme="minorEastAsia" w:eastAsiaTheme="minorEastAsia" w:cstheme="minorEastAsia"/>
          <w:b/>
          <w:bCs/>
          <w:color w:val="ff0000"/>
          <w:sz w:val="24"/>
          <w:szCs w:val="24"/>
          <w:lang w:val="en-US" w:eastAsia="zh-CN"/>
        </w:rPr>
        <w:t xml:space="preserve">各采购包分别填写。</w:t>
      </w:r>
      <w:r/>
    </w:p>
    <w:p>
      <w:pPr>
        <w:pStyle w:val="778"/>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778"/>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778"/>
        <w:ind w:firstLine="39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78"/>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注：①如果不提供详细分项报价的，将视为没有实质性响应招标文件。</w:t>
      </w:r>
      <w:r/>
    </w:p>
    <w:p>
      <w:pPr>
        <w:pStyle w:val="778"/>
        <w:ind w:firstLine="112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②投标人对以上数据的真实性负责。</w:t>
      </w:r>
      <w:r/>
    </w:p>
    <w:p>
      <w:pPr>
        <w:pStyle w:val="778"/>
        <w:ind w:firstLine="112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ind w:firstLine="600"/>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徐州国信招标有限公司有权将以上内容进行公示。</w:t>
      </w:r>
      <w:r/>
    </w:p>
    <w:p>
      <w:pPr>
        <w:pStyle w:val="778"/>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四、偏离表格式</w:t>
      </w:r>
      <w:r/>
    </w:p>
    <w:p>
      <w:pPr>
        <w:pStyle w:val="778"/>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ind w:firstLine="600"/>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贾汪区区域性农业综合服务中心建设 </w:t>
      </w:r>
      <w:r/>
    </w:p>
    <w:p>
      <w:pPr>
        <w:pStyle w:val="778"/>
        <w:ind w:firstLine="600"/>
        <w:spacing w:line="480" w:lineRule="exact"/>
        <w:rPr>
          <w:rFonts w:hint="eastAsia"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JSZC-320305-XZGX-G2026-0011</w:t>
      </w:r>
      <w:r/>
    </w:p>
    <w:p>
      <w:pPr>
        <w:pStyle w:val="778"/>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tbl>
      <w:tblPr>
        <w:tblStyle w:val="739"/>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78"/>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78"/>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78"/>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78"/>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78"/>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78"/>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pStyle w:val="778"/>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p>
      <w:pPr>
        <w:pStyle w:val="778"/>
        <w:ind w:firstLine="56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注</w:t>
      </w:r>
      <w:r>
        <w:rPr>
          <w:rFonts w:hint="eastAsia" w:ascii="宋体" w:hAnsi="宋体" w:eastAsia="宋体" w:cs="宋体"/>
          <w:color w:val="000000" w:themeColor="text1"/>
          <w:sz w:val="24"/>
          <w:szCs w:val="24"/>
          <w14:textFill>
            <w14:solidFill>
              <w14:schemeClr w14:val="tx1"/>
            </w14:solidFill>
          </w14:textFill>
        </w:rPr>
        <w:t xml:space="preserve">：投标人的投标文件中的内容与招标文件（含招标文件的澄清或者修改的内容）的要求不同时，逐条列在偏离表中，否则将视为投标人接受招标文件的要求。</w:t>
      </w:r>
      <w:r/>
    </w:p>
    <w:p>
      <w:pPr>
        <w:pStyle w:val="778"/>
        <w:ind w:firstLine="285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ind w:firstLine="285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778"/>
        <w:ind w:firstLine="60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778"/>
        <w:ind w:firstLine="39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78"/>
        <w:ind w:firstLine="60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778"/>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778"/>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bCs/>
          <w:color w:val="000000" w:themeColor="text1"/>
          <w:sz w:val="24"/>
          <w:szCs w:val="24"/>
          <w14:textFill>
            <w14:solidFill>
              <w14:schemeClr w14:val="tx1"/>
            </w14:solidFill>
          </w14:textFill>
        </w:rPr>
        <w:br w:type="page" w:clear="all"/>
      </w:r>
      <w:r>
        <w:rPr>
          <w:rFonts w:hint="eastAsia" w:ascii="宋体" w:hAnsi="宋体" w:eastAsia="宋体" w:cs="宋体"/>
          <w:bCs/>
          <w:color w:val="000000" w:themeColor="text1"/>
          <w:sz w:val="24"/>
          <w:szCs w:val="24"/>
          <w14:textFill>
            <w14:solidFill>
              <w14:schemeClr w14:val="tx1"/>
            </w14:solidFill>
          </w14:textFill>
        </w:rPr>
        <w:t xml:space="preserve">五、法定代表人授权书格式</w:t>
      </w:r>
      <w:r/>
    </w:p>
    <w:p>
      <w:pPr>
        <w:pStyle w:val="778"/>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w:t>
      </w:r>
      <w:r/>
    </w:p>
    <w:p>
      <w:pPr>
        <w:pStyle w:val="778"/>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w:t>
      </w:r>
      <w:r/>
    </w:p>
    <w:p>
      <w:pPr>
        <w:pStyle w:val="778"/>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法定代表人（负责人）：               职务：</w:t>
      </w:r>
      <w:r/>
    </w:p>
    <w:p>
      <w:pPr>
        <w:pStyle w:val="778"/>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统一社会信用代码：</w:t>
      </w:r>
      <w:r/>
    </w:p>
    <w:p>
      <w:pPr>
        <w:pStyle w:val="778"/>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                   性别：男（女）  </w:t>
      </w:r>
      <w:r/>
    </w:p>
    <w:p>
      <w:pPr>
        <w:pStyle w:val="778"/>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年龄：  岁                 民族：   族</w:t>
      </w:r>
      <w:r/>
    </w:p>
    <w:p>
      <w:pPr>
        <w:pStyle w:val="778"/>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职务：</w:t>
      </w:r>
      <w:r/>
    </w:p>
    <w:p>
      <w:pPr>
        <w:pStyle w:val="778"/>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身份证号：</w:t>
      </w:r>
      <w:r/>
    </w:p>
    <w:p>
      <w:pPr>
        <w:pStyle w:val="778"/>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受托人联系电话：</w:t>
      </w:r>
      <w:r/>
    </w:p>
    <w:p>
      <w:pPr>
        <w:pStyle w:val="778"/>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兹委托（      ）全权代表我企业（公司）参与</w:t>
      </w:r>
      <w:r>
        <w:rPr>
          <w:rFonts w:hint="eastAsia" w:ascii="宋体" w:hAnsi="宋体" w:cs="宋体"/>
          <w:color w:val="000000" w:themeColor="text1"/>
          <w:sz w:val="24"/>
          <w:szCs w:val="24"/>
          <w:lang w:eastAsia="zh-CN"/>
          <w14:textFill>
            <w14:solidFill>
              <w14:schemeClr w14:val="tx1"/>
            </w14:solidFill>
          </w14:textFill>
        </w:rPr>
        <w:t xml:space="preserve">贾汪区区域性农业综合服务中心建设 </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JSZC-320305-XZGX-G2026-0011</w:t>
      </w:r>
      <w:r>
        <w:rPr>
          <w:rFonts w:hint="eastAsia" w:ascii="宋体" w:hAnsi="宋体" w:eastAsia="宋体" w:cs="宋体"/>
          <w:color w:val="000000" w:themeColor="text1"/>
          <w:sz w:val="24"/>
          <w:szCs w:val="24"/>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78"/>
        <w:ind w:firstLine="63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特此授权委托。</w:t>
      </w:r>
      <w:r/>
    </w:p>
    <w:p>
      <w:pPr>
        <w:pStyle w:val="778"/>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委托人（盖章）：               受托人（签字或盖章）：</w:t>
      </w:r>
      <w:r/>
    </w:p>
    <w:p>
      <w:pPr>
        <w:pStyle w:val="778"/>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法定代表人（签字或盖章）： </w:t>
      </w:r>
      <w:r/>
    </w:p>
    <w:p>
      <w:pPr>
        <w:pStyle w:val="778"/>
        <w:ind w:right="600" w:firstLine="6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   月   日 </w:t>
      </w:r>
      <w:r/>
    </w:p>
    <w:p>
      <w:pPr>
        <w:pStyle w:val="778"/>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（受托人身份证复印件附后）</w:t>
      </w:r>
      <w:r/>
    </w:p>
    <w:p>
      <w:pPr>
        <w:pStyle w:val="778"/>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778"/>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p>
    <w:p>
      <w:pPr>
        <w:pStyle w:val="778"/>
        <w:jc w:val="center"/>
        <w:spacing w:before="100" w:beforeAutospacing="1" w:after="100" w:afterAutospacing="1"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六、中小企业声明函格式</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采购包2</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pStyle w:val="803"/>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504"/>
        <w:spacing w:line="360" w:lineRule="auto"/>
        <w:rPr>
          <w:rStyle w:val="1059"/>
          <w:rFonts w:hint="eastAsia" w:ascii="宋体" w:hAnsi="宋体" w:eastAsia="宋体" w:cs="宋体"/>
          <w:spacing w:val="6"/>
          <w:sz w:val="24"/>
          <w:szCs w:val="24"/>
          <w:u w:val="single"/>
        </w:rPr>
      </w:pPr>
      <w:r>
        <w:rPr>
          <w:rStyle w:val="1059"/>
          <w:rFonts w:hint="eastAsia" w:ascii="宋体" w:hAnsi="宋体" w:eastAsia="宋体" w:cs="宋体"/>
          <w:spacing w:val="6"/>
          <w:sz w:val="24"/>
          <w:szCs w:val="24"/>
        </w:rPr>
        <w:t xml:space="preserve">项目编号：</w:t>
      </w:r>
      <w:r>
        <w:rPr>
          <w:rStyle w:val="1059"/>
          <w:rFonts w:hint="eastAsia" w:ascii="宋体" w:hAnsi="宋体" w:eastAsia="宋体" w:cs="宋体"/>
          <w:spacing w:val="6"/>
          <w:sz w:val="24"/>
          <w:szCs w:val="24"/>
          <w:u w:val="single"/>
        </w:rPr>
        <w:t xml:space="preserve"> </w:t>
      </w:r>
      <w:r>
        <w:rPr>
          <w:rStyle w:val="1059"/>
          <w:rFonts w:hint="eastAsia" w:ascii="宋体" w:hAnsi="宋体" w:cs="宋体"/>
          <w:spacing w:val="6"/>
          <w:sz w:val="24"/>
          <w:szCs w:val="24"/>
          <w:u w:val="single"/>
        </w:rPr>
        <w:t xml:space="preserve">JSZC-320305-XZGX-G2026-0011</w:t>
      </w:r>
      <w:r>
        <w:rPr>
          <w:rStyle w:val="1059"/>
          <w:rFonts w:hint="eastAsia" w:ascii="宋体" w:hAnsi="宋体" w:eastAsia="宋体" w:cs="宋体"/>
          <w:spacing w:val="6"/>
          <w:sz w:val="24"/>
          <w:szCs w:val="24"/>
          <w:u w:val="single"/>
        </w:rPr>
        <w:t xml:space="preserve">              </w:t>
      </w:r>
      <w:r/>
    </w:p>
    <w:p>
      <w:pPr>
        <w:ind w:firstLine="504"/>
        <w:spacing w:line="360" w:lineRule="auto"/>
        <w:rPr>
          <w:rStyle w:val="1059"/>
          <w:rFonts w:hint="eastAsia" w:ascii="宋体" w:hAnsi="宋体" w:eastAsia="宋体" w:cs="宋体"/>
          <w:spacing w:val="6"/>
          <w:sz w:val="24"/>
          <w:szCs w:val="24"/>
          <w:u w:val="single"/>
        </w:rPr>
      </w:pPr>
      <w:r>
        <w:rPr>
          <w:rStyle w:val="1059"/>
          <w:rFonts w:hint="eastAsia" w:ascii="宋体" w:hAnsi="宋体" w:eastAsia="宋体" w:cs="宋体"/>
          <w:spacing w:val="6"/>
          <w:sz w:val="24"/>
          <w:szCs w:val="24"/>
        </w:rPr>
        <w:t xml:space="preserve">项目名称：</w:t>
      </w:r>
      <w:r>
        <w:rPr>
          <w:rStyle w:val="1059"/>
          <w:rFonts w:hint="eastAsia" w:ascii="宋体" w:hAnsi="宋体" w:eastAsia="宋体" w:cs="宋体"/>
          <w:spacing w:val="6"/>
          <w:sz w:val="24"/>
          <w:szCs w:val="24"/>
          <w:u w:val="single"/>
        </w:rPr>
        <w:t xml:space="preserve"> </w:t>
      </w:r>
      <w:r>
        <w:rPr>
          <w:rStyle w:val="1059"/>
          <w:rFonts w:hint="eastAsia" w:ascii="宋体" w:hAnsi="宋体" w:cs="宋体"/>
          <w:spacing w:val="6"/>
          <w:sz w:val="24"/>
          <w:szCs w:val="24"/>
          <w:u w:val="single"/>
        </w:rPr>
        <w:t xml:space="preserve">贾汪区区域性农业综合服务中心建设 </w:t>
      </w:r>
      <w:r>
        <w:rPr>
          <w:rStyle w:val="1059"/>
          <w:rFonts w:hint="eastAsia" w:ascii="宋体" w:hAnsi="宋体" w:eastAsia="宋体" w:cs="宋体"/>
          <w:spacing w:val="6"/>
          <w:sz w:val="24"/>
          <w:szCs w:val="24"/>
          <w:u w:val="single"/>
        </w:rPr>
        <w:t xml:space="preserve">              </w:t>
      </w:r>
      <w:r/>
    </w:p>
    <w:p>
      <w:pPr>
        <w:ind w:firstLine="560"/>
        <w:spacing w:line="360" w:lineRule="auto"/>
        <w:rPr>
          <w:rStyle w:val="1059"/>
          <w:rFonts w:hint="eastAsia" w:ascii="宋体" w:hAnsi="宋体" w:eastAsia="宋体" w:cs="宋体"/>
          <w:sz w:val="24"/>
          <w:szCs w:val="24"/>
        </w:rPr>
      </w:pPr>
      <w:r>
        <w:rPr>
          <w:rFonts w:hint="eastAsia" w:ascii="宋体" w:hAnsi="宋体" w:eastAsia="宋体" w:cs="宋体"/>
          <w:sz w:val="24"/>
          <w:szCs w:val="24"/>
        </w:rPr>
      </w:r>
      <w:r/>
    </w:p>
    <w:p>
      <w:pPr>
        <w:ind w:firstLine="560"/>
        <w:spacing w:line="360" w:lineRule="auto"/>
        <w:rPr>
          <w:rStyle w:val="1059"/>
          <w:rFonts w:hint="eastAsia" w:ascii="宋体" w:hAnsi="宋体" w:eastAsia="宋体" w:cs="宋体"/>
          <w:sz w:val="24"/>
          <w:szCs w:val="24"/>
        </w:rPr>
      </w:pPr>
      <w:r>
        <w:rPr>
          <w:rStyle w:val="1059"/>
          <w:rFonts w:hint="eastAsia" w:ascii="宋体" w:hAnsi="宋体" w:eastAsia="宋体" w:cs="宋体"/>
          <w:sz w:val="24"/>
          <w:szCs w:val="24"/>
        </w:rPr>
        <w:t xml:space="preserve">本公司郑重声明，根据《政府采购促进中小企业发展管理办法》（财库﹝2020﹞46 号）的规定，本公司参加</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徐州市贾汪区农业农村局</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的</w:t>
      </w:r>
      <w:r>
        <w:rPr>
          <w:rStyle w:val="1059"/>
          <w:rFonts w:hint="eastAsia" w:ascii="宋体" w:hAnsi="宋体" w:eastAsia="宋体" w:cs="宋体"/>
          <w:sz w:val="24"/>
          <w:szCs w:val="24"/>
          <w:u w:val="single"/>
        </w:rPr>
        <w:t xml:space="preserve">（ </w:t>
      </w:r>
      <w:r>
        <w:rPr>
          <w:rStyle w:val="1059"/>
          <w:rFonts w:hint="eastAsia" w:ascii="宋体" w:hAnsi="宋体" w:cs="宋体"/>
          <w:sz w:val="24"/>
          <w:szCs w:val="24"/>
          <w:u w:val="single"/>
        </w:rPr>
        <w:t xml:space="preserve">贾汪区区域性农业综合服务中心建设（采购包</w:t>
      </w:r>
      <w:r>
        <w:rPr>
          <w:rStyle w:val="1059"/>
          <w:rFonts w:hint="eastAsia" w:ascii="宋体" w:hAnsi="宋体" w:cs="宋体"/>
          <w:sz w:val="24"/>
          <w:szCs w:val="24"/>
          <w:u w:val="single"/>
          <w:lang w:val="en-US"/>
        </w:rPr>
        <w:t xml:space="preserve">2</w:t>
      </w:r>
      <w:r>
        <w:rPr>
          <w:rStyle w:val="1059"/>
          <w:rFonts w:hint="eastAsia" w:ascii="宋体" w:hAnsi="宋体" w:cs="宋体"/>
          <w:sz w:val="24"/>
          <w:szCs w:val="24"/>
          <w:u w:val="single"/>
        </w:rPr>
        <w:t xml:space="preserve">）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采购活动，货物全部由符合政策要求的中小企业生产制造。相关企业的具体情况如下：</w:t>
      </w:r>
      <w:r/>
    </w:p>
    <w:p>
      <w:pPr>
        <w:ind w:firstLine="48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1、</w:t>
      </w:r>
      <w:r>
        <w:rPr>
          <w:rStyle w:val="1059"/>
          <w:rFonts w:hint="eastAsia" w:ascii="宋体" w:hAnsi="宋体" w:eastAsia="宋体" w:cs="宋体"/>
          <w:sz w:val="24"/>
          <w:szCs w:val="24"/>
          <w:u w:val="single"/>
        </w:rPr>
        <w:t xml:space="preserve">（办公室桌椅）</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480"/>
        <w:spacing w:line="360" w:lineRule="auto"/>
        <w:rPr>
          <w:rFonts w:hint="eastAsia"/>
        </w:rPr>
      </w:pPr>
      <w:r>
        <w:rPr>
          <w:rStyle w:val="1059"/>
          <w:rFonts w:hint="eastAsia" w:ascii="宋体" w:hAnsi="宋体" w:cs="宋体"/>
          <w:sz w:val="24"/>
          <w:szCs w:val="24"/>
          <w:u w:val="single"/>
          <w:lang w:val="en-US"/>
        </w:rPr>
        <w:t xml:space="preserve">2、</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档案室、档案柜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48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3、</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会议桌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pStyle w:val="769"/>
        <w:ind w:left="0" w:firstLine="48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4、</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主席台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48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5、</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主席台阶梯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pStyle w:val="769"/>
        <w:ind w:left="0" w:firstLine="48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6、</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条桌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480"/>
        <w:spacing w:line="360" w:lineRule="auto"/>
        <w:rPr>
          <w:rFonts w:hint="eastAsia"/>
        </w:rPr>
      </w:pPr>
      <w:r>
        <w:rPr>
          <w:rStyle w:val="1059"/>
          <w:rFonts w:hint="eastAsia" w:ascii="宋体" w:hAnsi="宋体" w:cs="宋体"/>
          <w:sz w:val="24"/>
          <w:szCs w:val="24"/>
          <w:u w:val="single"/>
          <w:lang w:val="en-US"/>
        </w:rPr>
        <w:t xml:space="preserve">7、</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椅子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pStyle w:val="769"/>
        <w:rPr>
          <w:rStyle w:val="1059"/>
          <w:rFonts w:hint="eastAsia" w:ascii="宋体" w:hAnsi="宋体" w:eastAsia="宋体" w:cs="宋体"/>
          <w:b/>
          <w:sz w:val="24"/>
          <w:szCs w:val="24"/>
        </w:rPr>
      </w:pPr>
      <w:r>
        <w:rPr>
          <w:rFonts w:hint="eastAsia" w:ascii="宋体" w:hAnsi="宋体" w:eastAsia="宋体" w:cs="宋体"/>
          <w:b/>
          <w:sz w:val="24"/>
          <w:szCs w:val="24"/>
        </w:rPr>
      </w:r>
      <w:r/>
    </w:p>
    <w:p>
      <w:pPr>
        <w:ind w:firstLine="48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8、</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折叠椅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pStyle w:val="769"/>
        <w:ind w:left="0" w:firstLine="48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9、</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层板高柜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48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10、</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选绒布壁画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pStyle w:val="769"/>
        <w:ind w:left="0" w:firstLine="48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11、</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造型展柜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48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12、</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造型展柜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pStyle w:val="769"/>
        <w:ind w:left="0" w:firstLine="48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13、</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转角边柜</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48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14、</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北墙层板高柜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pStyle w:val="769"/>
        <w:ind w:left="0" w:firstLine="48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15、</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南墙层板高柜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pStyle w:val="769"/>
        <w:rPr>
          <w:rFonts w:hint="eastAsia"/>
        </w:rPr>
      </w:pPr>
      <w:r>
        <w:rPr>
          <w:rFonts w:hint="eastAsia"/>
        </w:rPr>
      </w:r>
      <w:r/>
    </w:p>
    <w:p>
      <w:pPr>
        <w:ind w:firstLine="560"/>
        <w:spacing w:line="360" w:lineRule="auto"/>
        <w:rPr>
          <w:rStyle w:val="1059"/>
          <w:rFonts w:hint="eastAsia" w:ascii="宋体" w:hAnsi="宋体" w:eastAsia="宋体" w:cs="宋体"/>
          <w:spacing w:val="6"/>
          <w:sz w:val="24"/>
          <w:szCs w:val="24"/>
        </w:rPr>
      </w:pPr>
      <w:r>
        <w:rPr>
          <w:rStyle w:val="1059"/>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560"/>
        <w:spacing w:line="360" w:lineRule="auto"/>
        <w:rPr>
          <w:rStyle w:val="1059"/>
          <w:rFonts w:hint="eastAsia" w:ascii="宋体" w:hAnsi="宋体" w:eastAsia="宋体" w:cs="宋体"/>
          <w:spacing w:val="6"/>
          <w:sz w:val="24"/>
          <w:szCs w:val="24"/>
        </w:rPr>
      </w:pPr>
      <w:r>
        <w:rPr>
          <w:rStyle w:val="1059"/>
          <w:rFonts w:hint="eastAsia" w:ascii="宋体" w:hAnsi="宋体" w:eastAsia="宋体" w:cs="宋体"/>
          <w:sz w:val="24"/>
          <w:szCs w:val="24"/>
        </w:rPr>
        <w:t xml:space="preserve">本企业对上述声明内容的真实性负责。如有虚假，将依法承担相应责任。</w:t>
      </w:r>
      <w:r/>
    </w:p>
    <w:p>
      <w:pPr>
        <w:spacing w:line="360" w:lineRule="auto"/>
        <w:rPr>
          <w:rStyle w:val="1059"/>
          <w:rFonts w:hint="eastAsia" w:ascii="宋体" w:hAnsi="宋体" w:eastAsia="宋体" w:cs="宋体"/>
          <w:sz w:val="24"/>
          <w:szCs w:val="24"/>
        </w:rPr>
      </w:pPr>
      <w:r>
        <w:rPr>
          <w:rFonts w:hint="eastAsia" w:ascii="宋体" w:hAnsi="宋体" w:eastAsia="宋体" w:cs="宋体"/>
          <w:sz w:val="24"/>
          <w:szCs w:val="24"/>
        </w:rPr>
      </w:r>
      <w:r/>
    </w:p>
    <w:p>
      <w:pPr>
        <w:spacing w:line="360" w:lineRule="auto"/>
        <w:rPr>
          <w:rStyle w:val="1059"/>
          <w:rFonts w:hint="eastAsia" w:ascii="宋体" w:hAnsi="宋体" w:eastAsia="宋体" w:cs="宋体"/>
          <w:b/>
          <w:bCs/>
          <w:sz w:val="24"/>
          <w:szCs w:val="24"/>
        </w:rPr>
      </w:pPr>
      <w:r>
        <w:rPr>
          <w:rStyle w:val="1059"/>
          <w:rFonts w:hint="eastAsia" w:ascii="宋体" w:hAnsi="宋体" w:eastAsia="宋体" w:cs="宋体"/>
          <w:b/>
          <w:bCs/>
          <w:sz w:val="24"/>
          <w:szCs w:val="24"/>
        </w:rPr>
        <w:t xml:space="preserve">注：本项目采购的货物属于</w:t>
      </w:r>
      <w:r>
        <w:rPr>
          <w:rStyle w:val="1059"/>
          <w:rFonts w:hint="eastAsia" w:ascii="宋体" w:hAnsi="宋体" w:cs="宋体"/>
          <w:b/>
          <w:bCs/>
          <w:sz w:val="24"/>
          <w:szCs w:val="24"/>
          <w:u w:val="single"/>
        </w:rPr>
        <w:t xml:space="preserve">工业</w:t>
      </w:r>
      <w:r>
        <w:rPr>
          <w:rStyle w:val="1059"/>
          <w:rFonts w:hint="eastAsia" w:ascii="宋体" w:hAnsi="宋体" w:eastAsia="宋体" w:cs="宋体"/>
          <w:b/>
          <w:bCs/>
          <w:sz w:val="24"/>
          <w:szCs w:val="24"/>
        </w:rPr>
        <w:t xml:space="preserve">。</w:t>
      </w:r>
      <w:r/>
    </w:p>
    <w:p>
      <w:pPr>
        <w:spacing w:line="360" w:lineRule="auto"/>
        <w:rPr>
          <w:rStyle w:val="1059"/>
          <w:rFonts w:hint="eastAsia" w:ascii="宋体" w:hAnsi="宋体" w:eastAsia="宋体" w:cs="宋体"/>
          <w:b/>
          <w:bCs/>
          <w:sz w:val="24"/>
          <w:szCs w:val="24"/>
        </w:rPr>
      </w:pPr>
      <w:r>
        <w:rPr>
          <w:rFonts w:hint="eastAsia" w:ascii="宋体" w:hAnsi="宋体" w:eastAsia="宋体" w:cs="宋体"/>
          <w:b/>
          <w:bCs/>
          <w:sz w:val="24"/>
          <w:szCs w:val="24"/>
        </w:rPr>
      </w:r>
      <w:r/>
    </w:p>
    <w:p>
      <w:pPr>
        <w:ind w:firstLine="600"/>
        <w:spacing w:line="360" w:lineRule="auto"/>
        <w:rPr>
          <w:rStyle w:val="1059"/>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Style w:val="1059"/>
          <w:rFonts w:hint="eastAsia" w:ascii="宋体" w:hAnsi="宋体" w:eastAsia="宋体" w:cs="宋体"/>
          <w:sz w:val="24"/>
          <w:szCs w:val="24"/>
        </w:rPr>
      </w:pPr>
      <w:r>
        <w:rPr>
          <w:rStyle w:val="1059"/>
          <w:rFonts w:hint="eastAsia" w:ascii="宋体" w:hAnsi="宋体" w:eastAsia="宋体" w:cs="宋体"/>
          <w:sz w:val="24"/>
          <w:szCs w:val="24"/>
        </w:rPr>
        <w:t xml:space="preserve">                         企业名称（电子签章）：</w:t>
      </w:r>
      <w:r/>
    </w:p>
    <w:p>
      <w:pPr>
        <w:ind w:firstLine="480"/>
        <w:spacing w:line="360" w:lineRule="auto"/>
        <w:rPr>
          <w:rStyle w:val="1059"/>
          <w:rFonts w:hint="eastAsia" w:ascii="宋体" w:hAnsi="宋体" w:eastAsia="宋体" w:cs="宋体"/>
          <w:sz w:val="24"/>
          <w:szCs w:val="24"/>
        </w:rPr>
      </w:pPr>
      <w:r>
        <w:rPr>
          <w:rStyle w:val="1059"/>
          <w:rFonts w:hint="eastAsia" w:ascii="宋体" w:hAnsi="宋体" w:eastAsia="宋体" w:cs="宋体"/>
          <w:sz w:val="24"/>
          <w:szCs w:val="24"/>
        </w:rPr>
        <w:t xml:space="preserve">                         日期： 年  月  日</w:t>
      </w:r>
      <w:r/>
    </w:p>
    <w:p>
      <w:pPr>
        <w:ind w:firstLine="480"/>
        <w:jc w:val="center"/>
        <w:spacing w:line="360" w:lineRule="auto"/>
        <w:rPr>
          <w:rStyle w:val="1059"/>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p>
    <w:p>
      <w:pPr>
        <w:ind w:firstLine="480"/>
        <w:jc w:val="center"/>
        <w:spacing w:line="360" w:lineRule="auto"/>
        <w:rPr>
          <w:rStyle w:val="1059"/>
          <w:rFonts w:hint="eastAsia" w:ascii="宋体" w:hAnsi="宋体" w:eastAsia="宋体" w:cs="宋体"/>
          <w:sz w:val="24"/>
          <w:szCs w:val="24"/>
        </w:rPr>
        <w:outlineLvl w:val="2"/>
      </w:pPr>
      <w:r>
        <w:rPr>
          <w:rFonts w:hint="eastAsia" w:ascii="宋体" w:hAnsi="宋体" w:eastAsia="宋体" w:cs="宋体"/>
          <w:color w:val="000000" w:themeColor="text1"/>
          <w:sz w:val="24"/>
          <w:szCs w:val="24"/>
          <w14:textFill>
            <w14:solidFill>
              <w14:schemeClr w14:val="tx1"/>
            </w14:solidFill>
          </w14:textFill>
        </w:rPr>
        <w:t xml:space="preserve">中小企业声明函格式</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采购包3</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560"/>
        <w:spacing w:line="360" w:lineRule="auto"/>
        <w:rPr>
          <w:rStyle w:val="1059"/>
          <w:rFonts w:hint="eastAsia" w:ascii="宋体" w:hAnsi="宋体" w:eastAsia="宋体" w:cs="宋体"/>
          <w:sz w:val="24"/>
          <w:szCs w:val="24"/>
        </w:rPr>
      </w:pPr>
      <w:r>
        <w:rPr>
          <w:rFonts w:hint="eastAsia" w:ascii="宋体" w:hAnsi="宋体" w:eastAsia="宋体" w:cs="宋体"/>
          <w:sz w:val="24"/>
          <w:szCs w:val="24"/>
        </w:rPr>
      </w:r>
      <w:r/>
    </w:p>
    <w:p>
      <w:pPr>
        <w:ind w:firstLine="560"/>
        <w:spacing w:line="360" w:lineRule="auto"/>
        <w:rPr>
          <w:rStyle w:val="1059"/>
          <w:rFonts w:hint="eastAsia" w:ascii="宋体" w:hAnsi="宋体" w:eastAsia="宋体" w:cs="宋体"/>
          <w:sz w:val="24"/>
          <w:szCs w:val="24"/>
        </w:rPr>
      </w:pPr>
      <w:r>
        <w:rPr>
          <w:rStyle w:val="1059"/>
          <w:rFonts w:hint="eastAsia" w:ascii="宋体" w:hAnsi="宋体" w:eastAsia="宋体" w:cs="宋体"/>
          <w:sz w:val="24"/>
          <w:szCs w:val="24"/>
        </w:rPr>
        <w:t xml:space="preserve">本公司郑重声明，根据《政府采购促进中小企业发展管理办法》（财库﹝2020﹞46 号）的规定，本公司参加</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徐州市贾汪区农业农村局</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的</w:t>
      </w:r>
      <w:r>
        <w:rPr>
          <w:rStyle w:val="1059"/>
          <w:rFonts w:hint="eastAsia" w:ascii="宋体" w:hAnsi="宋体" w:eastAsia="宋体" w:cs="宋体"/>
          <w:sz w:val="24"/>
          <w:szCs w:val="24"/>
          <w:u w:val="single"/>
        </w:rPr>
        <w:t xml:space="preserve">（ </w:t>
      </w:r>
      <w:r>
        <w:rPr>
          <w:rStyle w:val="1059"/>
          <w:rFonts w:hint="eastAsia" w:ascii="宋体" w:hAnsi="宋体" w:cs="宋体"/>
          <w:sz w:val="24"/>
          <w:szCs w:val="24"/>
          <w:u w:val="single"/>
        </w:rPr>
        <w:t xml:space="preserve">贾汪区区域性农业综合服务中心建设（采购包</w:t>
      </w:r>
      <w:r>
        <w:rPr>
          <w:rStyle w:val="1059"/>
          <w:rFonts w:hint="eastAsia" w:ascii="宋体" w:hAnsi="宋体" w:cs="宋体"/>
          <w:sz w:val="24"/>
          <w:szCs w:val="24"/>
          <w:u w:val="single"/>
          <w:lang w:val="en-US"/>
        </w:rPr>
        <w:t xml:space="preserve">3</w:t>
      </w:r>
      <w:r>
        <w:rPr>
          <w:rStyle w:val="1059"/>
          <w:rFonts w:hint="eastAsia" w:ascii="宋体" w:hAnsi="宋体" w:cs="宋体"/>
          <w:sz w:val="24"/>
          <w:szCs w:val="24"/>
          <w:u w:val="single"/>
        </w:rPr>
        <w:t xml:space="preserve">）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采购活动，货物全部由符合政策要求的中小企业生产制造。相关企业的具体情况如下：</w:t>
      </w:r>
      <w:r/>
    </w:p>
    <w:p>
      <w:pPr>
        <w:ind w:firstLine="56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1、</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北墙背景灯箱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2、</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南墙背景灯箱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3、</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柜体灯带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4、</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灯带电源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5、</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LED屏墙体建设等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6、</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落地玻璃隔断+推拉门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pacing w:val="6"/>
          <w:sz w:val="24"/>
          <w:szCs w:val="24"/>
        </w:rPr>
      </w:pPr>
      <w:r>
        <w:rPr>
          <w:rStyle w:val="1059"/>
          <w:rFonts w:hint="eastAsia" w:ascii="宋体" w:hAnsi="宋体" w:cs="宋体"/>
          <w:sz w:val="24"/>
          <w:szCs w:val="24"/>
          <w:u w:val="single"/>
          <w:lang w:val="en-US"/>
        </w:rPr>
        <w:t xml:space="preserve">7、</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地坪PVC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pacing w:val="6"/>
          <w:sz w:val="24"/>
          <w:szCs w:val="24"/>
        </w:rPr>
      </w:pPr>
      <w:r>
        <w:rPr>
          <w:rStyle w:val="1059"/>
          <w:rFonts w:hint="eastAsia" w:ascii="宋体" w:hAnsi="宋体" w:cs="宋体"/>
          <w:sz w:val="24"/>
          <w:szCs w:val="24"/>
          <w:u w:val="single"/>
          <w:lang w:val="en-US"/>
        </w:rPr>
        <w:t xml:space="preserve">8、</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开关插座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pacing w:val="6"/>
          <w:sz w:val="24"/>
          <w:szCs w:val="24"/>
        </w:rPr>
      </w:pPr>
      <w:r>
        <w:rPr>
          <w:rStyle w:val="1059"/>
          <w:rFonts w:hint="eastAsia" w:ascii="宋体" w:hAnsi="宋体" w:cs="宋体"/>
          <w:sz w:val="24"/>
          <w:szCs w:val="24"/>
          <w:u w:val="single"/>
          <w:lang w:val="en-US"/>
        </w:rPr>
        <w:t xml:space="preserve">9、</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实验台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pacing w:val="6"/>
          <w:sz w:val="24"/>
          <w:szCs w:val="24"/>
        </w:rPr>
      </w:pPr>
      <w:r>
        <w:rPr>
          <w:rStyle w:val="1059"/>
          <w:rFonts w:hint="eastAsia" w:ascii="宋体" w:hAnsi="宋体" w:cs="宋体"/>
          <w:sz w:val="24"/>
          <w:szCs w:val="24"/>
          <w:u w:val="single"/>
          <w:lang w:val="en-US"/>
        </w:rPr>
        <w:t xml:space="preserve">10、</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实验凳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pacing w:val="6"/>
          <w:sz w:val="24"/>
          <w:szCs w:val="24"/>
        </w:rPr>
      </w:pPr>
      <w:r>
        <w:rPr>
          <w:rStyle w:val="1059"/>
          <w:rFonts w:hint="eastAsia" w:ascii="宋体" w:hAnsi="宋体" w:cs="宋体"/>
          <w:sz w:val="24"/>
          <w:szCs w:val="24"/>
          <w:u w:val="single"/>
          <w:lang w:val="en-US"/>
        </w:rPr>
        <w:t xml:space="preserve">11、</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水电安装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pacing w:val="6"/>
          <w:sz w:val="24"/>
          <w:szCs w:val="24"/>
        </w:rPr>
      </w:pPr>
      <w:r>
        <w:rPr>
          <w:rStyle w:val="1059"/>
          <w:rFonts w:hint="eastAsia" w:ascii="宋体" w:hAnsi="宋体" w:cs="宋体"/>
          <w:sz w:val="24"/>
          <w:szCs w:val="24"/>
          <w:u w:val="single"/>
          <w:lang w:val="en-US"/>
        </w:rPr>
        <w:t xml:space="preserve">12、</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新风系统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pacing w:val="6"/>
          <w:sz w:val="24"/>
          <w:szCs w:val="24"/>
        </w:rPr>
      </w:pPr>
      <w:r>
        <w:rPr>
          <w:rStyle w:val="1059"/>
          <w:rFonts w:hint="eastAsia" w:ascii="宋体" w:hAnsi="宋体" w:cs="宋体"/>
          <w:sz w:val="24"/>
          <w:szCs w:val="24"/>
          <w:u w:val="single"/>
          <w:lang w:val="en-US"/>
        </w:rPr>
        <w:t xml:space="preserve">13、</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水槽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pacing w:val="6"/>
          <w:sz w:val="24"/>
          <w:szCs w:val="24"/>
        </w:rPr>
      </w:pPr>
      <w:r>
        <w:rPr>
          <w:rStyle w:val="1059"/>
          <w:rFonts w:hint="eastAsia" w:ascii="宋体" w:hAnsi="宋体" w:cs="宋体"/>
          <w:sz w:val="24"/>
          <w:szCs w:val="24"/>
          <w:u w:val="single"/>
          <w:lang w:val="en-US"/>
        </w:rPr>
        <w:t xml:space="preserve">14、</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鹅颈水龙头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sz w:val="24"/>
          <w:szCs w:val="24"/>
        </w:rPr>
      </w:pPr>
      <w:r>
        <w:rPr>
          <w:rFonts w:hint="eastAsia" w:ascii="宋体" w:hAnsi="宋体" w:eastAsia="宋体" w:cs="宋体"/>
          <w:sz w:val="24"/>
          <w:szCs w:val="24"/>
        </w:rPr>
      </w:r>
      <w:r/>
    </w:p>
    <w:p>
      <w:pPr>
        <w:ind w:firstLine="560"/>
        <w:spacing w:line="360" w:lineRule="auto"/>
        <w:rPr>
          <w:rStyle w:val="1059"/>
          <w:rFonts w:hint="eastAsia" w:ascii="宋体" w:hAnsi="宋体" w:eastAsia="宋体" w:cs="宋体"/>
          <w:spacing w:val="6"/>
          <w:sz w:val="24"/>
          <w:szCs w:val="24"/>
        </w:rPr>
      </w:pPr>
      <w:r>
        <w:rPr>
          <w:rStyle w:val="1059"/>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560"/>
        <w:spacing w:line="360" w:lineRule="auto"/>
        <w:rPr>
          <w:rStyle w:val="1059"/>
          <w:rFonts w:hint="eastAsia" w:ascii="宋体" w:hAnsi="宋体" w:eastAsia="宋体" w:cs="宋体"/>
          <w:spacing w:val="6"/>
          <w:sz w:val="24"/>
          <w:szCs w:val="24"/>
        </w:rPr>
      </w:pPr>
      <w:r>
        <w:rPr>
          <w:rStyle w:val="1059"/>
          <w:rFonts w:hint="eastAsia" w:ascii="宋体" w:hAnsi="宋体" w:eastAsia="宋体" w:cs="宋体"/>
          <w:sz w:val="24"/>
          <w:szCs w:val="24"/>
        </w:rPr>
        <w:t xml:space="preserve">本企业对上述声明内容的真实性负责。如有虚假，将依法承担相应责任。</w:t>
      </w:r>
      <w:r/>
    </w:p>
    <w:p>
      <w:pPr>
        <w:spacing w:line="360" w:lineRule="auto"/>
        <w:rPr>
          <w:rStyle w:val="1059"/>
          <w:rFonts w:hint="eastAsia" w:ascii="宋体" w:hAnsi="宋体" w:eastAsia="宋体" w:cs="宋体"/>
          <w:sz w:val="24"/>
          <w:szCs w:val="24"/>
        </w:rPr>
      </w:pPr>
      <w:r>
        <w:rPr>
          <w:rFonts w:hint="eastAsia" w:ascii="宋体" w:hAnsi="宋体" w:eastAsia="宋体" w:cs="宋体"/>
          <w:sz w:val="24"/>
          <w:szCs w:val="24"/>
        </w:rPr>
      </w:r>
      <w:r/>
    </w:p>
    <w:p>
      <w:pPr>
        <w:spacing w:line="360" w:lineRule="auto"/>
        <w:rPr>
          <w:rStyle w:val="1059"/>
          <w:rFonts w:hint="eastAsia" w:ascii="宋体" w:hAnsi="宋体" w:eastAsia="宋体" w:cs="宋体"/>
          <w:sz w:val="24"/>
          <w:szCs w:val="24"/>
        </w:rPr>
      </w:pPr>
      <w:r>
        <w:rPr>
          <w:rStyle w:val="1059"/>
          <w:rFonts w:hint="eastAsia" w:ascii="宋体" w:hAnsi="宋体" w:eastAsia="宋体" w:cs="宋体"/>
          <w:b/>
          <w:bCs/>
          <w:sz w:val="24"/>
          <w:szCs w:val="24"/>
        </w:rPr>
        <w:t xml:space="preserve">注：本项目采购的货物属于</w:t>
      </w:r>
      <w:r>
        <w:rPr>
          <w:rStyle w:val="1059"/>
          <w:rFonts w:hint="eastAsia" w:ascii="宋体" w:hAnsi="宋体" w:cs="宋体"/>
          <w:b/>
          <w:bCs/>
          <w:sz w:val="24"/>
          <w:szCs w:val="24"/>
          <w:u w:val="single"/>
        </w:rPr>
        <w:t xml:space="preserve">工业</w:t>
      </w:r>
      <w:r>
        <w:rPr>
          <w:rStyle w:val="1059"/>
          <w:rFonts w:hint="eastAsia" w:ascii="宋体" w:hAnsi="宋体" w:eastAsia="宋体" w:cs="宋体"/>
          <w:b/>
          <w:bCs/>
          <w:sz w:val="24"/>
          <w:szCs w:val="24"/>
        </w:rPr>
        <w:t xml:space="preserve">。</w:t>
      </w:r>
      <w:r/>
    </w:p>
    <w:p>
      <w:pPr>
        <w:ind w:firstLine="480"/>
        <w:spacing w:line="360" w:lineRule="auto"/>
        <w:rPr>
          <w:rStyle w:val="1059"/>
          <w:rFonts w:hint="eastAsia" w:ascii="宋体" w:hAnsi="宋体" w:eastAsia="宋体" w:cs="宋体"/>
          <w:sz w:val="24"/>
          <w:szCs w:val="24"/>
        </w:rPr>
      </w:pPr>
      <w:r>
        <w:rPr>
          <w:rStyle w:val="1059"/>
          <w:rFonts w:hint="eastAsia" w:ascii="宋体" w:hAnsi="宋体" w:eastAsia="宋体" w:cs="宋体"/>
          <w:sz w:val="24"/>
          <w:szCs w:val="24"/>
        </w:rPr>
        <w:t xml:space="preserve">                         企业名称（电子签章）：</w:t>
      </w:r>
      <w:r/>
    </w:p>
    <w:p>
      <w:pPr>
        <w:ind w:firstLine="480"/>
        <w:spacing w:line="360" w:lineRule="auto"/>
        <w:rPr>
          <w:rStyle w:val="1059"/>
          <w:rFonts w:hint="eastAsia" w:ascii="宋体" w:hAnsi="宋体" w:eastAsia="宋体" w:cs="宋体"/>
          <w:sz w:val="24"/>
          <w:szCs w:val="24"/>
        </w:rPr>
      </w:pPr>
      <w:r>
        <w:rPr>
          <w:rStyle w:val="1059"/>
          <w:rFonts w:hint="eastAsia" w:ascii="宋体" w:hAnsi="宋体" w:eastAsia="宋体" w:cs="宋体"/>
          <w:sz w:val="24"/>
          <w:szCs w:val="24"/>
        </w:rPr>
        <w:t xml:space="preserve">                         日期： 年  月  日</w:t>
      </w:r>
      <w:r/>
    </w:p>
    <w:p>
      <w:pPr>
        <w:pStyle w:val="1080"/>
        <w:rPr>
          <w:rStyle w:val="1059"/>
          <w:rFonts w:hint="eastAsia" w:ascii="宋体" w:hAnsi="宋体" w:eastAsia="宋体" w:cs="宋体"/>
          <w:sz w:val="24"/>
          <w:szCs w:val="24"/>
        </w:rPr>
      </w:pPr>
      <w:r>
        <w:rPr>
          <w:rFonts w:hint="eastAsia" w:ascii="宋体" w:hAnsi="宋体" w:eastAsia="宋体" w:cs="宋体"/>
          <w:sz w:val="24"/>
          <w:szCs w:val="24"/>
        </w:rPr>
      </w:r>
      <w:r/>
    </w:p>
    <w:p>
      <w:pPr>
        <w:pStyle w:val="778"/>
        <w:ind w:firstLine="600"/>
        <w:spacing w:line="480" w:lineRule="exact"/>
        <w:rPr>
          <w:rFonts w:hint="eastAsia" w:ascii="宋体" w:hAnsi="宋体" w:eastAsia="宋体" w:cs="宋体"/>
          <w:b/>
          <w:sz w:val="24"/>
          <w:szCs w:val="24"/>
        </w:rPr>
      </w:pPr>
      <w:r>
        <w:rPr>
          <w:rFonts w:hint="eastAsia" w:ascii="宋体" w:hAnsi="宋体" w:eastAsia="宋体" w:cs="宋体"/>
          <w:b/>
          <w:sz w:val="24"/>
          <w:szCs w:val="24"/>
        </w:rPr>
      </w:r>
      <w:r/>
    </w:p>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p>
    <w:p>
      <w:pPr>
        <w:pStyle w:val="1080"/>
        <w:ind w:firstLine="240"/>
        <w:jc w:val="center"/>
        <w:rPr>
          <w:rFonts w:hint="eastAsia" w:ascii="宋体" w:hAnsi="宋体" w:cs="宋体"/>
          <w:color w:val="000000" w:themeColor="text1"/>
          <w:sz w:val="24"/>
          <w:szCs w:val="24"/>
          <w:lang w:eastAsia="zh-CN"/>
          <w14:textFill>
            <w14:solidFill>
              <w14:schemeClr w14:val="tx1"/>
            </w14:solidFill>
          </w14:textFill>
        </w:rPr>
        <w:outlineLvl w:val="2"/>
      </w:pPr>
      <w:r>
        <w:rPr>
          <w:rFonts w:hint="eastAsia" w:ascii="宋体" w:hAnsi="宋体" w:eastAsia="宋体" w:cs="宋体"/>
          <w:color w:val="000000" w:themeColor="text1"/>
          <w:sz w:val="24"/>
          <w:szCs w:val="24"/>
          <w14:textFill>
            <w14:solidFill>
              <w14:schemeClr w14:val="tx1"/>
            </w14:solidFill>
          </w14:textFill>
        </w:rPr>
        <w:t xml:space="preserve">中小企业声明函格式</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采购包4</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560"/>
        <w:spacing w:line="360" w:lineRule="auto"/>
        <w:rPr>
          <w:rStyle w:val="1059"/>
          <w:rFonts w:hint="eastAsia" w:ascii="宋体" w:hAnsi="宋体" w:eastAsia="宋体" w:cs="宋体"/>
          <w:sz w:val="24"/>
          <w:szCs w:val="24"/>
        </w:rPr>
      </w:pPr>
      <w:r>
        <w:rPr>
          <w:rFonts w:hint="eastAsia" w:ascii="宋体" w:hAnsi="宋体" w:eastAsia="宋体" w:cs="宋体"/>
          <w:sz w:val="24"/>
          <w:szCs w:val="24"/>
        </w:rPr>
      </w:r>
      <w:r/>
    </w:p>
    <w:p>
      <w:pPr>
        <w:ind w:firstLine="560"/>
        <w:spacing w:line="360" w:lineRule="auto"/>
        <w:rPr>
          <w:rStyle w:val="1059"/>
          <w:rFonts w:hint="eastAsia" w:ascii="宋体" w:hAnsi="宋体" w:eastAsia="宋体" w:cs="宋体"/>
          <w:sz w:val="24"/>
          <w:szCs w:val="24"/>
        </w:rPr>
      </w:pPr>
      <w:r>
        <w:rPr>
          <w:rStyle w:val="1059"/>
          <w:rFonts w:hint="eastAsia" w:ascii="宋体" w:hAnsi="宋体" w:eastAsia="宋体" w:cs="宋体"/>
          <w:sz w:val="24"/>
          <w:szCs w:val="24"/>
        </w:rPr>
        <w:t xml:space="preserve">本公司郑重声明，根据《政府采购促进中小企业发展管理办法》（财库﹝2020﹞46 号）的规定，本公司参加</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徐州市贾汪区农业农村局</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的</w:t>
      </w:r>
      <w:r>
        <w:rPr>
          <w:rStyle w:val="1059"/>
          <w:rFonts w:hint="eastAsia" w:ascii="宋体" w:hAnsi="宋体" w:eastAsia="宋体" w:cs="宋体"/>
          <w:sz w:val="24"/>
          <w:szCs w:val="24"/>
          <w:u w:val="single"/>
        </w:rPr>
        <w:t xml:space="preserve">（ </w:t>
      </w:r>
      <w:r>
        <w:rPr>
          <w:rStyle w:val="1059"/>
          <w:rFonts w:hint="eastAsia" w:ascii="宋体" w:hAnsi="宋体" w:cs="宋体"/>
          <w:sz w:val="24"/>
          <w:szCs w:val="24"/>
          <w:u w:val="single"/>
        </w:rPr>
        <w:t xml:space="preserve">贾汪区区域性农业综合服务中心建设（采购包</w:t>
      </w:r>
      <w:r>
        <w:rPr>
          <w:rStyle w:val="1059"/>
          <w:rFonts w:hint="eastAsia" w:ascii="宋体" w:hAnsi="宋体" w:cs="宋体"/>
          <w:sz w:val="24"/>
          <w:szCs w:val="24"/>
          <w:u w:val="single"/>
          <w:lang w:val="en-US"/>
        </w:rPr>
        <w:t xml:space="preserve">4</w:t>
      </w:r>
      <w:r>
        <w:rPr>
          <w:rStyle w:val="1059"/>
          <w:rFonts w:hint="eastAsia" w:ascii="宋体" w:hAnsi="宋体" w:cs="宋体"/>
          <w:sz w:val="24"/>
          <w:szCs w:val="24"/>
          <w:u w:val="single"/>
        </w:rPr>
        <w:t xml:space="preserve">）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采购活动，货物全部由符合政策要求的中小企业生产制造。相关企业的具体情况如下：</w:t>
      </w:r>
      <w:r/>
    </w:p>
    <w:p>
      <w:pPr>
        <w:ind w:firstLine="56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1、</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台式离心机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2、</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小型离心机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3、</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单道移液器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4、</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混匀仪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5、（ </w:t>
      </w:r>
      <w:r>
        <w:rPr>
          <w:rStyle w:val="1059"/>
          <w:rFonts w:hint="eastAsia" w:ascii="宋体" w:hAnsi="宋体" w:eastAsia="宋体" w:cs="宋体"/>
          <w:sz w:val="24"/>
          <w:szCs w:val="24"/>
          <w:u w:val="single"/>
          <w:lang w:val="en-US"/>
        </w:rPr>
        <w:t xml:space="preserve"> 恒温培养箱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6、</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卧式冰柜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7、（ 台式净水机</w:t>
      </w:r>
      <w:r>
        <w:rPr>
          <w:rStyle w:val="1059"/>
          <w:rFonts w:hint="eastAsia" w:ascii="宋体" w:hAnsi="宋体" w:eastAsia="宋体" w:cs="宋体"/>
          <w:sz w:val="24"/>
          <w:szCs w:val="24"/>
          <w:u w:val="single"/>
          <w:lang w:val="en-US"/>
        </w:rPr>
        <w:t xml:space="preserve">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8、</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立式冰箱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9、</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高压灭菌器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10、</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烧杯、量筒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11、</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超声波清洗机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12、</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电子天平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13、</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农安通一证一报自助终端</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14、</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水产品出塘快速检测箱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z w:val="24"/>
          <w:szCs w:val="24"/>
        </w:rPr>
      </w:pPr>
      <w:r>
        <w:rPr>
          <w:rStyle w:val="1059"/>
          <w:rFonts w:hint="eastAsia" w:ascii="宋体" w:hAnsi="宋体" w:cs="宋体"/>
          <w:sz w:val="24"/>
          <w:szCs w:val="24"/>
          <w:u w:val="single"/>
          <w:lang w:val="en-US"/>
        </w:rPr>
        <w:t xml:space="preserve">15、</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便携式胶体金读数仪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b/>
          <w:spacing w:val="6"/>
          <w:sz w:val="24"/>
          <w:szCs w:val="24"/>
        </w:rPr>
      </w:pPr>
      <w:r>
        <w:rPr>
          <w:rStyle w:val="1059"/>
          <w:rFonts w:hint="eastAsia" w:ascii="宋体" w:hAnsi="宋体" w:cs="宋体"/>
          <w:sz w:val="24"/>
          <w:szCs w:val="24"/>
          <w:u w:val="single"/>
          <w:lang w:val="en-US"/>
        </w:rPr>
        <w:t xml:space="preserve">16、</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u w:val="single"/>
          <w:lang w:val="en-US"/>
        </w:rPr>
        <w:t xml:space="preserve">  污水处理器 </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，属于</w:t>
      </w:r>
      <w:r>
        <w:rPr>
          <w:rStyle w:val="1059"/>
          <w:rFonts w:hint="eastAsia" w:ascii="宋体" w:hAnsi="宋体" w:eastAsia="宋体" w:cs="宋体"/>
          <w:sz w:val="24"/>
          <w:szCs w:val="24"/>
          <w:u w:val="single"/>
        </w:rPr>
        <w:t xml:space="preserve">（</w:t>
      </w:r>
      <w:r>
        <w:rPr>
          <w:rStyle w:val="1059"/>
          <w:rFonts w:hint="eastAsia" w:ascii="宋体" w:hAnsi="宋体" w:cs="宋体"/>
          <w:sz w:val="24"/>
          <w:szCs w:val="24"/>
          <w:u w:val="single"/>
        </w:rPr>
        <w:t xml:space="preserve">工业</w:t>
      </w:r>
      <w:r>
        <w:rPr>
          <w:rStyle w:val="1059"/>
          <w:rFonts w:hint="eastAsia" w:ascii="宋体" w:hAnsi="宋体" w:eastAsia="宋体" w:cs="宋体"/>
          <w:sz w:val="24"/>
          <w:szCs w:val="24"/>
          <w:u w:val="single"/>
        </w:rPr>
        <w:t xml:space="preserve">）</w:t>
      </w:r>
      <w:r>
        <w:rPr>
          <w:rStyle w:val="1059"/>
          <w:rFonts w:hint="eastAsia" w:ascii="宋体" w:hAnsi="宋体" w:eastAsia="宋体" w:cs="宋体"/>
          <w:sz w:val="24"/>
          <w:szCs w:val="24"/>
        </w:rPr>
        <w:t xml:space="preserve">；供货企业为</w:t>
      </w:r>
      <w:r>
        <w:rPr>
          <w:rStyle w:val="1059"/>
          <w:rFonts w:hint="eastAsia" w:ascii="宋体" w:hAnsi="宋体" w:eastAsia="宋体" w:cs="宋体"/>
          <w:sz w:val="24"/>
          <w:szCs w:val="24"/>
          <w:u w:val="single"/>
        </w:rPr>
        <w:t xml:space="preserve">（企业名称）</w:t>
      </w:r>
      <w:r>
        <w:rPr>
          <w:rStyle w:val="1059"/>
          <w:rFonts w:hint="eastAsia" w:ascii="宋体" w:hAnsi="宋体" w:eastAsia="宋体" w:cs="宋体"/>
          <w:sz w:val="24"/>
          <w:szCs w:val="24"/>
        </w:rPr>
        <w:t xml:space="preserve">，从业人员</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人，营业收入为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万元，资产总额为</w:t>
      </w:r>
      <w:r>
        <w:rPr>
          <w:rStyle w:val="1059"/>
          <w:rFonts w:hint="eastAsia" w:ascii="宋体" w:hAnsi="宋体" w:eastAsia="宋体" w:cs="宋体"/>
          <w:sz w:val="24"/>
          <w:szCs w:val="24"/>
          <w:u w:val="single"/>
        </w:rPr>
        <w:t xml:space="preserve">    </w:t>
      </w:r>
      <w:r>
        <w:rPr>
          <w:rStyle w:val="1059"/>
          <w:rFonts w:hint="eastAsia" w:ascii="宋体" w:hAnsi="宋体" w:eastAsia="宋体" w:cs="宋体"/>
          <w:sz w:val="24"/>
          <w:szCs w:val="24"/>
        </w:rPr>
        <w:t xml:space="preserve">万元，</w:t>
      </w:r>
      <w:r>
        <w:rPr>
          <w:rStyle w:val="1059"/>
          <w:rFonts w:hint="eastAsia" w:ascii="宋体" w:hAnsi="宋体" w:eastAsia="宋体" w:cs="宋体"/>
          <w:b/>
          <w:sz w:val="24"/>
          <w:szCs w:val="24"/>
        </w:rPr>
        <w:t xml:space="preserve">属于（□中型企业、□小型企业、□微型企业，请勾选！）</w:t>
      </w:r>
      <w:r/>
    </w:p>
    <w:p>
      <w:pPr>
        <w:ind w:firstLine="560"/>
        <w:spacing w:line="360" w:lineRule="auto"/>
        <w:rPr>
          <w:rStyle w:val="1059"/>
          <w:rFonts w:hint="eastAsia" w:ascii="宋体" w:hAnsi="宋体" w:eastAsia="宋体" w:cs="宋体"/>
          <w:sz w:val="24"/>
          <w:szCs w:val="24"/>
        </w:rPr>
      </w:pPr>
      <w:r>
        <w:rPr>
          <w:rFonts w:hint="eastAsia" w:ascii="宋体" w:hAnsi="宋体" w:eastAsia="宋体" w:cs="宋体"/>
          <w:sz w:val="24"/>
          <w:szCs w:val="24"/>
        </w:rPr>
      </w:r>
      <w:r/>
    </w:p>
    <w:p>
      <w:pPr>
        <w:ind w:firstLine="560"/>
        <w:spacing w:line="360" w:lineRule="auto"/>
        <w:rPr>
          <w:rStyle w:val="1059"/>
          <w:rFonts w:hint="eastAsia" w:ascii="宋体" w:hAnsi="宋体" w:eastAsia="宋体" w:cs="宋体"/>
          <w:spacing w:val="6"/>
          <w:sz w:val="24"/>
          <w:szCs w:val="24"/>
        </w:rPr>
      </w:pPr>
      <w:r>
        <w:rPr>
          <w:rStyle w:val="1059"/>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560"/>
        <w:spacing w:line="360" w:lineRule="auto"/>
        <w:rPr>
          <w:rStyle w:val="1059"/>
          <w:rFonts w:hint="eastAsia" w:ascii="宋体" w:hAnsi="宋体" w:eastAsia="宋体" w:cs="宋体"/>
          <w:spacing w:val="6"/>
          <w:sz w:val="24"/>
          <w:szCs w:val="24"/>
        </w:rPr>
      </w:pPr>
      <w:r>
        <w:rPr>
          <w:rStyle w:val="1059"/>
          <w:rFonts w:hint="eastAsia" w:ascii="宋体" w:hAnsi="宋体" w:eastAsia="宋体" w:cs="宋体"/>
          <w:sz w:val="24"/>
          <w:szCs w:val="24"/>
        </w:rPr>
        <w:t xml:space="preserve">本企业对上述声明内容的真实性负责。如有虚假，将依法承担相应责任。</w:t>
      </w:r>
      <w:r/>
    </w:p>
    <w:p>
      <w:pPr>
        <w:spacing w:line="360" w:lineRule="auto"/>
        <w:rPr>
          <w:rStyle w:val="1059"/>
          <w:rFonts w:hint="eastAsia" w:ascii="宋体" w:hAnsi="宋体" w:eastAsia="宋体" w:cs="宋体"/>
          <w:sz w:val="24"/>
          <w:szCs w:val="24"/>
        </w:rPr>
      </w:pPr>
      <w:r>
        <w:rPr>
          <w:rFonts w:hint="eastAsia" w:ascii="宋体" w:hAnsi="宋体" w:eastAsia="宋体" w:cs="宋体"/>
          <w:sz w:val="24"/>
          <w:szCs w:val="24"/>
        </w:rPr>
      </w:r>
      <w:r/>
    </w:p>
    <w:p>
      <w:pPr>
        <w:spacing w:line="360" w:lineRule="auto"/>
        <w:rPr>
          <w:rStyle w:val="1059"/>
          <w:rFonts w:hint="eastAsia" w:ascii="宋体" w:hAnsi="宋体" w:eastAsia="宋体" w:cs="宋体"/>
          <w:b/>
          <w:bCs/>
          <w:sz w:val="24"/>
          <w:szCs w:val="24"/>
        </w:rPr>
      </w:pPr>
      <w:r>
        <w:rPr>
          <w:rStyle w:val="1059"/>
          <w:rFonts w:hint="eastAsia" w:ascii="宋体" w:hAnsi="宋体" w:eastAsia="宋体" w:cs="宋体"/>
          <w:b/>
          <w:bCs/>
          <w:sz w:val="24"/>
          <w:szCs w:val="24"/>
        </w:rPr>
        <w:t xml:space="preserve">注：本项目采购的货物属于</w:t>
      </w:r>
      <w:r>
        <w:rPr>
          <w:rStyle w:val="1059"/>
          <w:rFonts w:hint="eastAsia" w:ascii="宋体" w:hAnsi="宋体" w:cs="宋体"/>
          <w:b/>
          <w:bCs/>
          <w:sz w:val="24"/>
          <w:szCs w:val="24"/>
          <w:u w:val="single"/>
        </w:rPr>
        <w:t xml:space="preserve">工业</w:t>
      </w:r>
      <w:r>
        <w:rPr>
          <w:rStyle w:val="1059"/>
          <w:rFonts w:hint="eastAsia" w:ascii="宋体" w:hAnsi="宋体" w:eastAsia="宋体" w:cs="宋体"/>
          <w:b/>
          <w:bCs/>
          <w:sz w:val="24"/>
          <w:szCs w:val="24"/>
        </w:rPr>
        <w:t xml:space="preserve">。</w:t>
      </w:r>
      <w:r/>
    </w:p>
    <w:p>
      <w:pPr>
        <w:ind w:firstLine="480"/>
        <w:spacing w:line="360" w:lineRule="auto"/>
        <w:rPr>
          <w:rStyle w:val="1059"/>
          <w:rFonts w:hint="eastAsia" w:ascii="宋体" w:hAnsi="宋体" w:eastAsia="宋体" w:cs="宋体"/>
          <w:sz w:val="24"/>
          <w:szCs w:val="24"/>
        </w:rPr>
      </w:pPr>
      <w:r>
        <w:rPr>
          <w:rStyle w:val="1059"/>
          <w:rFonts w:hint="eastAsia" w:ascii="宋体" w:hAnsi="宋体" w:eastAsia="宋体" w:cs="宋体"/>
          <w:sz w:val="24"/>
          <w:szCs w:val="24"/>
        </w:rPr>
        <w:t xml:space="preserve">                         企业名称（电子签章）：</w:t>
      </w:r>
      <w:r/>
    </w:p>
    <w:p>
      <w:pPr>
        <w:ind w:firstLine="480"/>
        <w:spacing w:line="360" w:lineRule="auto"/>
        <w:rPr>
          <w:rStyle w:val="1059"/>
          <w:rFonts w:hint="eastAsia" w:ascii="宋体" w:hAnsi="宋体" w:eastAsia="宋体" w:cs="宋体"/>
          <w:sz w:val="24"/>
          <w:szCs w:val="24"/>
        </w:rPr>
      </w:pPr>
      <w:r>
        <w:rPr>
          <w:rStyle w:val="1059"/>
          <w:rFonts w:hint="eastAsia" w:ascii="宋体" w:hAnsi="宋体" w:eastAsia="宋体" w:cs="宋体"/>
          <w:sz w:val="24"/>
          <w:szCs w:val="24"/>
        </w:rPr>
        <w:t xml:space="preserve">                         日期： 年  月  日</w:t>
      </w:r>
      <w:r/>
    </w:p>
    <w:p>
      <w:pPr>
        <w:pStyle w:val="747"/>
        <w:ind w:left="0"/>
        <w:jc w:val="left"/>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47"/>
        <w:ind w:left="0"/>
        <w:jc w:val="left"/>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47"/>
        <w:ind w:left="0"/>
        <w:jc w:val="left"/>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47"/>
        <w:ind w:left="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47"/>
        <w:ind w:left="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747"/>
        <w:ind w:left="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747"/>
        <w:ind w:left="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47"/>
        <w:ind w:left="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jc w:val="left"/>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78"/>
        <w:ind w:firstLine="600"/>
        <w:spacing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778"/>
        <w:jc w:val="center"/>
        <w:rPr>
          <w:rFonts w:hint="eastAsia" w:ascii="宋体" w:hAnsi="宋体" w:eastAsia="宋体" w:cs="宋体"/>
          <w:b/>
          <w:color w:val="000000" w:themeColor="text1"/>
          <w:spacing w:val="6"/>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059940" cy="4242435"/>
                <wp:effectExtent l="0" t="0" r="16510" b="5715"/>
                <wp:docPr id="5"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图片1"/>
                        <pic:cNvPicPr>
                          <a:picLocks noChangeAspect="1"/>
                        </pic:cNvPicPr>
                        <pic:nvPr/>
                      </pic:nvPicPr>
                      <pic:blipFill>
                        <a:blip r:embed="rId19"/>
                        <a:stretch/>
                      </pic:blipFill>
                      <pic:spPr bwMode="auto">
                        <a:xfrm>
                          <a:off x="0" y="0"/>
                          <a:ext cx="2059940" cy="42424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2.2pt;height:334.1pt;mso-wrap-distance-left:0.0pt;mso-wrap-distance-top:0.0pt;mso-wrap-distance-right:0.0pt;mso-wrap-distance-bottom:0.0pt;" stroked="false">
                <v:path textboxrect="0,0,0,0"/>
                <v:imagedata r:id="rId19" o:title=""/>
              </v:shape>
            </w:pict>
          </mc:Fallback>
        </mc:AlternateContent>
      </w:r>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七、残疾人福利性单位声明函格式</w:t>
      </w:r>
      <w:r/>
    </w:p>
    <w:p>
      <w:pPr>
        <w:pStyle w:val="778"/>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778"/>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778"/>
        <w:ind w:firstLine="624"/>
        <w:spacing w:line="480" w:lineRule="exac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项目名称：</w:t>
      </w:r>
      <w:r>
        <w:rPr>
          <w:rFonts w:hint="eastAsia" w:ascii="宋体" w:hAnsi="宋体" w:cs="宋体"/>
          <w:color w:val="000000" w:themeColor="text1"/>
          <w:spacing w:val="6"/>
          <w:sz w:val="24"/>
          <w:szCs w:val="24"/>
          <w:lang w:eastAsia="zh-CN"/>
          <w14:textFill>
            <w14:solidFill>
              <w14:schemeClr w14:val="tx1"/>
            </w14:solidFill>
          </w14:textFill>
        </w:rPr>
        <w:t xml:space="preserve">贾汪区区域性农业综合服务中心建设 </w:t>
      </w:r>
      <w:r/>
    </w:p>
    <w:p>
      <w:pPr>
        <w:pStyle w:val="778"/>
        <w:ind w:firstLine="624"/>
        <w:spacing w:line="480" w:lineRule="exac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项目编号：</w:t>
      </w:r>
      <w:r>
        <w:rPr>
          <w:rFonts w:hint="eastAsia" w:ascii="宋体" w:hAnsi="宋体" w:cs="宋体"/>
          <w:color w:val="000000" w:themeColor="text1"/>
          <w:spacing w:val="6"/>
          <w:sz w:val="24"/>
          <w:szCs w:val="24"/>
          <w:lang w:eastAsia="zh-CN"/>
          <w14:textFill>
            <w14:solidFill>
              <w14:schemeClr w14:val="tx1"/>
            </w14:solidFill>
          </w14:textFill>
        </w:rPr>
        <w:t xml:space="preserve">JSZC-320305-XZGX-G2026-0011</w:t>
      </w:r>
      <w:r/>
    </w:p>
    <w:p>
      <w:pPr>
        <w:pStyle w:val="778"/>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14:textFill>
            <w14:solidFill>
              <w14:schemeClr w14:val="tx1"/>
            </w14:solidFill>
          </w14:textFill>
        </w:rPr>
        <w:t xml:space="preserve">〔2017〕 141</w:t>
      </w:r>
      <w:r>
        <w:rPr>
          <w:rFonts w:hint="eastAsia" w:ascii="宋体" w:hAnsi="宋体" w:eastAsia="宋体" w:cs="宋体"/>
          <w:color w:val="000000" w:themeColor="text1"/>
          <w:spacing w:val="6"/>
          <w:sz w:val="24"/>
          <w:szCs w:val="24"/>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szCs w:val="24"/>
          <w:u w:val="none"/>
          <w14:textFill>
            <w14:solidFill>
              <w14:schemeClr w14:val="tx1"/>
            </w14:solidFill>
          </w14:textFill>
        </w:rPr>
        <w:t xml:space="preserve">______</w:t>
      </w:r>
      <w:r>
        <w:rPr>
          <w:rFonts w:hint="eastAsia" w:ascii="宋体" w:hAnsi="宋体" w:eastAsia="宋体" w:cs="宋体"/>
          <w:color w:val="000000" w:themeColor="text1"/>
          <w:spacing w:val="6"/>
          <w:sz w:val="24"/>
          <w:szCs w:val="24"/>
          <w14:textFill>
            <w14:solidFill>
              <w14:schemeClr w14:val="tx1"/>
            </w14:solidFill>
          </w14:textFill>
        </w:rPr>
        <w:t xml:space="preserve">单位的</w:t>
      </w:r>
      <w:r>
        <w:rPr>
          <w:rFonts w:hint="eastAsia" w:ascii="宋体" w:hAnsi="宋体" w:eastAsia="宋体" w:cs="宋体"/>
          <w:color w:val="000000" w:themeColor="text1"/>
          <w:sz w:val="24"/>
          <w:szCs w:val="24"/>
          <w:u w:val="none"/>
          <w14:textFill>
            <w14:solidFill>
              <w14:schemeClr w14:val="tx1"/>
            </w14:solidFill>
          </w14:textFill>
        </w:rPr>
        <w:t xml:space="preserve">______</w:t>
      </w:r>
      <w:r>
        <w:rPr>
          <w:rFonts w:hint="eastAsia" w:ascii="宋体" w:hAnsi="宋体" w:eastAsia="宋体" w:cs="宋体"/>
          <w:color w:val="000000" w:themeColor="text1"/>
          <w:spacing w:val="6"/>
          <w:sz w:val="24"/>
          <w:szCs w:val="24"/>
          <w14:textFill>
            <w14:solidFill>
              <w14:schemeClr w14:val="tx1"/>
            </w14:solidFill>
          </w14:textFill>
        </w:rPr>
        <w:t xml:space="preserve">项目采购活动提供本单位制造的货物（由本单位承担工程/提供服务），或者提供其他残疾人福利性单位提供的服务（不包括使用非残疾人福利性单位注册商标的货物）。</w:t>
      </w:r>
      <w:r/>
    </w:p>
    <w:p>
      <w:pPr>
        <w:pStyle w:val="778"/>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本单位对上述声明的真实性负责。如有虚假，将依法承担相应责任。</w:t>
      </w:r>
      <w:r/>
    </w:p>
    <w:p>
      <w:pPr>
        <w:pStyle w:val="778"/>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778"/>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778"/>
        <w:ind w:firstLine="25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778"/>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778"/>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78"/>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br w:type="page" w:clear="all"/>
      </w:r>
      <w:r/>
    </w:p>
    <w:p>
      <w:pPr>
        <w:pStyle w:val="778"/>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r>
      <w:r/>
    </w:p>
    <w:p>
      <w:pPr>
        <w:pStyle w:val="778"/>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八、投标人参加政府采购活动前3年内在经营活动中没有重大违法记录的书面声明格式</w:t>
      </w:r>
      <w:r/>
    </w:p>
    <w:p>
      <w:pPr>
        <w:pStyle w:val="778"/>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我单位在参加</w:t>
      </w:r>
      <w:r>
        <w:rPr>
          <w:rFonts w:hint="eastAsia" w:ascii="宋体" w:hAnsi="宋体" w:cs="宋体"/>
          <w:color w:val="000000" w:themeColor="text1"/>
          <w:sz w:val="24"/>
          <w:szCs w:val="24"/>
          <w:lang w:eastAsia="zh-CN"/>
          <w14:textFill>
            <w14:solidFill>
              <w14:schemeClr w14:val="tx1"/>
            </w14:solidFill>
          </w14:textFill>
        </w:rPr>
        <w:t xml:space="preserve">贾汪区区域性农业综合服务中心建设</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JSZC-320305-XZGX-G2026-0011</w:t>
      </w:r>
      <w:r>
        <w:rPr>
          <w:rFonts w:hint="eastAsia" w:ascii="宋体" w:hAnsi="宋体" w:eastAsia="宋体" w:cs="宋体"/>
          <w:color w:val="000000" w:themeColor="text1"/>
          <w:sz w:val="24"/>
          <w:szCs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61"/>
        <w:ind w:firstLine="600"/>
        <w:spacing w:before="0" w:beforeAutospacing="0" w:after="0" w:afterAutospacing="0"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我单位对上述声明的真实性负责。如有虚假，将依法承担相应责任。</w:t>
      </w:r>
      <w:r/>
    </w:p>
    <w:p>
      <w:pPr>
        <w:pStyle w:val="778"/>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778"/>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778"/>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ind w:firstLine="4950"/>
        <w:spacing w:line="480" w:lineRule="exact"/>
        <w:rPr>
          <w:rFonts w:hint="eastAsia" w:ascii="宋体" w:hAnsi="宋体" w:eastAsia="宋体" w:cs="宋体"/>
          <w:color w:val="000000" w:themeColor="text1"/>
          <w:sz w:val="20"/>
          <w:szCs w:val="22"/>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83"/>
        <w:jc w:val="center"/>
        <w:spacing w:line="360" w:lineRule="auto"/>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t xml:space="preserve">九</w:t>
      </w:r>
      <w:r>
        <w:rPr>
          <w:rFonts w:hint="eastAsia" w:ascii="宋体" w:hAnsi="宋体" w:eastAsia="宋体" w:cs="宋体"/>
          <w:color w:val="000000" w:themeColor="text1"/>
          <w:sz w:val="24"/>
          <w:szCs w:val="24"/>
          <w14:textFill>
            <w14:solidFill>
              <w14:schemeClr w14:val="tx1"/>
            </w14:solidFill>
          </w14:textFill>
        </w:rPr>
        <w:t xml:space="preserve">、具备履行合同所必需的设备和专业技术能力的书面声明（附证明材料）</w:t>
      </w:r>
      <w:r/>
    </w:p>
    <w:p>
      <w:pPr>
        <w:pStyle w:val="783"/>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格式</w:t>
      </w:r>
      <w:r/>
    </w:p>
    <w:p>
      <w:pPr>
        <w:pStyle w:val="783"/>
        <w:ind w:firstLine="480"/>
        <w:spacing w:line="480" w:lineRule="exact"/>
        <w:rPr>
          <w:rFonts w:hint="eastAsia" w:ascii="宋体" w:hAnsi="宋体" w:eastAsia="宋体" w:cs="宋体"/>
          <w:sz w:val="22"/>
          <w:szCs w:val="22"/>
        </w:rPr>
      </w:pPr>
      <w:r>
        <w:rPr>
          <w:rFonts w:hint="eastAsia" w:ascii="宋体" w:hAnsi="宋体" w:eastAsia="宋体" w:cs="宋体"/>
          <w:sz w:val="22"/>
          <w:szCs w:val="22"/>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p>
    <w:p>
      <w:pPr>
        <w:pStyle w:val="783"/>
        <w:ind w:firstLine="485"/>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响应供应商郑重声明：供应商具备履行合同（项目名称：     ，项目编号：          ）所必需的设备和专业技术能力，具体为：</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设备：</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专业技术能力：</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pStyle w:val="783"/>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特此声明。</w:t>
      </w:r>
      <w:r/>
    </w:p>
    <w:p>
      <w:pPr>
        <w:pStyle w:val="783"/>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响应供应商对上述声明的真实性负责。如有虚假，将依法承担相应责任。</w:t>
      </w:r>
      <w:r/>
    </w:p>
    <w:p>
      <w:pPr>
        <w:pStyle w:val="783"/>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供应商：（电子签章）</w:t>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供应商法定代表人或授权代表：（签字或电子签章）  </w:t>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805"/>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3"/>
        <w:jc w:val="center"/>
        <w:spacing w:line="360" w:lineRule="auto"/>
        <w:rPr>
          <w:rFonts w:hint="eastAsia"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十、关于符合本国产品标准的声明函</w:t>
      </w:r>
      <w:r/>
    </w:p>
    <w:p>
      <w:pPr>
        <w:pStyle w:val="766"/>
        <w:ind w:firstLine="420"/>
        <w:spacing w:before="0" w:beforeAutospacing="0" w:after="0" w:afterAutospacing="0" w:line="0" w:lineRule="atLeast"/>
        <w:rPr>
          <w:rFonts w:hint="eastAsia"/>
          <w:color w:val="ff0000"/>
        </w:rPr>
      </w:pPr>
      <w:r>
        <w:rPr>
          <w:rFonts w:hint="eastAsia"/>
          <w:color w:val="ff0000"/>
        </w:rPr>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84"/>
        <w:jc w:val="both"/>
        <w:spacing w:before="0" w:beforeAutospacing="0" w:after="200" w:afterAutospacing="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584"/>
        <w:jc w:val="both"/>
        <w:spacing w:before="0" w:beforeAutospacing="0" w:after="200" w:afterAutospacing="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本公司（单位）对上述声明内容的真实性负责。如有虚假，愿承担相应法律责任。</w:t>
      </w:r>
      <w:r/>
    </w:p>
    <w:p>
      <w:pPr>
        <w:jc w:val="both"/>
        <w:spacing w:before="0" w:beforeAutospacing="0" w:after="12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420" w:right="33" w:firstLine="4101"/>
        <w:jc w:val="left"/>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投标人（电子签章）：</w:t>
      </w:r>
      <w:r/>
    </w:p>
    <w:p>
      <w:pPr>
        <w:ind w:left="420" w:right="33" w:firstLine="4101"/>
        <w:jc w:val="left"/>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日期：   年  月  日</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1.产品如有型号，请在“产品名称”栏一并填写。</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2.生产厂名与厂址应与生产厂营业执照载明的相关信息保持一致。</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3.该产品的中国境内生产的组件成本占比相关要求实施前，“规定比例”栏可不填，下同。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4.该产品的关键组件要求实施前，“关键组件”栏可不填，下同。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5.该产品的关键工序要求实施前，“关键工序”栏可不填，下同。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6.《声明函》中用删除线划除的地方无需填写。</w:t>
      </w:r>
      <w:r/>
    </w:p>
    <w:p>
      <w:pPr>
        <w:numPr>
          <w:ilvl w:val="0"/>
          <w:numId w:val="0"/>
        </w:numPr>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lang w:val="en-US" w:eastAsia="zh-CN" w:bidi="ar-SA"/>
          <w14:textFill>
            <w14:solidFill>
              <w14:schemeClr w14:val="tx1"/>
            </w14:solidFill>
          </w14:textFill>
        </w:rPr>
        <w:t xml:space="preserve">备注：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pStyle w:val="1061"/>
        <w:ind w:left="0" w:right="0" w:firstLine="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r>
      <w:r/>
    </w:p>
    <w:p>
      <w:pPr>
        <w:pStyle w:val="1061"/>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1061"/>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附件</w:t>
      </w:r>
      <w:r/>
    </w:p>
    <w:p>
      <w:pPr>
        <w:pStyle w:val="1061"/>
        <w:ind w:left="0" w:right="0" w:firstLine="420"/>
        <w:keepLines w:val="0"/>
        <w:keepNext w:val="0"/>
        <w:spacing w:before="30" w:beforeAutospacing="0" w:after="30" w:afterAutospacing="0"/>
        <w:shd w:val="clear" w:color="auto" w:fill="ffffff"/>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rPr>
      </w:r>
      <w:r/>
    </w:p>
    <w:p>
      <w:pPr>
        <w:pStyle w:val="1061"/>
        <w:ind w:left="0" w:right="0" w:firstLine="0"/>
        <w:jc w:val="center"/>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中国境内生产的组件成本核算基本规则</w:t>
      </w:r>
      <w:r/>
    </w:p>
    <w:p>
      <w:pPr>
        <w:pStyle w:val="1061"/>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rPr>
      </w:r>
      <w:r/>
    </w:p>
    <w:p>
      <w:pPr>
        <w:pStyle w:val="1061"/>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61"/>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1061"/>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1061"/>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三、产品总成本和组件成本以相关会计核算数据、采购合同、进货记录等为基础进行计算。</w:t>
      </w:r>
      <w:r/>
    </w:p>
    <w:p>
      <w:pPr>
        <w:pStyle w:val="1061"/>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四、需要对成本核算规则予以进一步明确的其他有关事项，由财政部会同有关部门另行规定。</w:t>
      </w:r>
      <w:r/>
    </w:p>
    <w:p>
      <w:pPr>
        <w:pStyle w:val="778"/>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778"/>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778"/>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778"/>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778"/>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778"/>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778"/>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778"/>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778"/>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778"/>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778"/>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778"/>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t xml:space="preserve">十一</w:t>
      </w:r>
      <w:r>
        <w:rPr>
          <w:rFonts w:hint="eastAsia" w:ascii="宋体" w:hAnsi="宋体" w:eastAsia="宋体" w:cs="宋体"/>
          <w:color w:val="000000" w:themeColor="text1"/>
          <w:sz w:val="24"/>
          <w:szCs w:val="24"/>
          <w14:textFill>
            <w14:solidFill>
              <w14:schemeClr w14:val="tx1"/>
            </w14:solidFill>
          </w14:textFill>
        </w:rPr>
        <w:t xml:space="preserve">、预付款保函支付条款模板</w:t>
      </w:r>
      <w:r/>
    </w:p>
    <w:p>
      <w:pPr>
        <w:pStyle w:val="778"/>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778"/>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符合条件一：提交预付款保函的</w:t>
      </w:r>
      <w:r/>
    </w:p>
    <w:p>
      <w:pPr>
        <w:pStyle w:val="778"/>
        <w:ind w:firstLine="602"/>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        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778"/>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乙方需提交的支付文件：乙方出具的全额正式发票。</w:t>
      </w:r>
      <w:r/>
    </w:p>
    <w:p>
      <w:pPr>
        <w:pStyle w:val="778"/>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（2）验收合格后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778"/>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w:t>
      </w:r>
      <w:r/>
    </w:p>
    <w:p>
      <w:pPr>
        <w:pStyle w:val="778"/>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符合条件二：不提交预付款保函的</w:t>
      </w:r>
      <w:r/>
    </w:p>
    <w:p>
      <w:pPr>
        <w:pStyle w:val="778"/>
        <w:ind w:firstLine="602"/>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（1）合同签订后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778"/>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乙方需提交的支付文件：乙方出具的全额正式发票。</w:t>
      </w:r>
      <w:r/>
    </w:p>
    <w:p>
      <w:pPr>
        <w:pStyle w:val="778"/>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（2）验收合格后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778"/>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w:t>
      </w:r>
      <w:r/>
    </w:p>
    <w:p>
      <w:pPr>
        <w:pStyle w:val="778"/>
        <w:ind w:left="140"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注：</w:t>
      </w:r>
      <w:r/>
    </w:p>
    <w:p>
      <w:pPr>
        <w:pStyle w:val="778"/>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1.付款条件一中，出具预付款保函后支付的合同款应当与保函金额一致。</w:t>
      </w:r>
      <w:r/>
    </w:p>
    <w:p>
      <w:pPr>
        <w:pStyle w:val="778"/>
        <w:ind w:left="140" w:firstLine="602"/>
        <w:spacing w:line="480" w:lineRule="exact"/>
        <w:rPr>
          <w:rFonts w:hint="eastAsia"/>
        </w:rPr>
      </w:pPr>
      <w:r>
        <w:rPr>
          <w:rFonts w:hint="eastAsia" w:ascii="宋体" w:hAnsi="宋体" w:eastAsia="宋体" w:cs="宋体"/>
          <w:color w:val="000000" w:themeColor="text1"/>
          <w:sz w:val="24"/>
          <w:szCs w:val="24"/>
          <w14:textFill>
            <w14:solidFill>
              <w14:schemeClr w14:val="tx1"/>
            </w14:solidFill>
          </w14:textFill>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ourier New">
    <w:panose1 w:val="02070309020205020404"/>
  </w:font>
  <w:font w:name="黑体">
    <w:panose1 w:val="02010609060101010101"/>
  </w:font>
  <w:font w:name="仿宋_GB2312">
    <w:panose1 w:val="02010609060101010101"/>
  </w:font>
  <w:font w:name="CG Times">
    <w:panose1 w:val="020B0503020202020204"/>
  </w:font>
  <w:font w:name="Calibri">
    <w:panose1 w:val="020F0502020204030204"/>
  </w:font>
  <w:font w:name="微软雅黑">
    <w:panose1 w:val="020B050302020402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uiPriority w:val="0"/>
    <w:qFormat/>
    <w:rPr>
      <w:rFonts w:hint="default" w:ascii="Times New Roman" w:hAnsi="Times New Roman" w:eastAsia="宋体" w:cs="Times New Roman"/>
      <w:lang w:val="en-US" w:eastAsia="zh-CN" w:bidi="ar-SA"/>
    </w:rPr>
  </w:style>
  <w:style w:type="paragraph" w:styleId="729">
    <w:name w:val="Heading 1"/>
    <w:basedOn w:val="728"/>
    <w:next w:val="728"/>
    <w:link w:val="866"/>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uiPriority w:val="0"/>
    <w:qFormat/>
    <w:pPr>
      <w:keepLines/>
      <w:keepNext/>
      <w:spacing w:before="260" w:after="260" w:line="416" w:lineRule="auto"/>
      <w:outlineLvl w:val="1"/>
    </w:pPr>
    <w:rPr>
      <w:rFonts w:ascii="Calibri Light" w:hAnsi="Calibri Light"/>
      <w:b/>
      <w:bCs/>
      <w:sz w:val="24"/>
      <w:szCs w:val="32"/>
    </w:rPr>
  </w:style>
  <w:style w:type="paragraph" w:styleId="731">
    <w:name w:val="Heading 3"/>
    <w:next w:val="728"/>
    <w:link w:val="868"/>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32">
    <w:name w:val="Heading 4"/>
    <w:basedOn w:val="728"/>
    <w:next w:val="728"/>
    <w:link w:val="869"/>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next w:val="728"/>
    <w:link w:val="870"/>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34">
    <w:name w:val="Heading 6"/>
    <w:next w:val="728"/>
    <w:link w:val="871"/>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35">
    <w:name w:val="Heading 7"/>
    <w:next w:val="728"/>
    <w:link w:val="872"/>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36">
    <w:name w:val="Heading 8"/>
    <w:next w:val="728"/>
    <w:link w:val="873"/>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37">
    <w:name w:val="Heading 9"/>
    <w:next w:val="728"/>
    <w:link w:val="874"/>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next w:val="728"/>
    <w:uiPriority w:val="39"/>
    <w:unhideWhenUsed/>
    <w:qFormat/>
    <w:pPr>
      <w:ind w:left="1701"/>
      <w:spacing w:after="57"/>
    </w:pPr>
    <w:rPr>
      <w:rFonts w:hint="default" w:ascii="Times New Roman" w:hAnsi="Times New Roman" w:eastAsia="宋体" w:cs="Times New Roman"/>
      <w:lang w:val="en-US" w:eastAsia="zh-CN" w:bidi="ar-SA"/>
    </w:rPr>
  </w:style>
  <w:style w:type="paragraph" w:styleId="741">
    <w:name w:val="Normal Indent"/>
    <w:basedOn w:val="728"/>
    <w:uiPriority w:val="0"/>
    <w:qFormat/>
    <w:pPr>
      <w:ind w:firstLine="420"/>
    </w:pPr>
    <w:rPr>
      <w:rFonts w:eastAsia="??"/>
      <w:sz w:val="24"/>
    </w:rPr>
  </w:style>
  <w:style w:type="paragraph" w:styleId="742">
    <w:name w:val="Caption"/>
    <w:next w:val="728"/>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43">
    <w:name w:val="index 5"/>
    <w:basedOn w:val="728"/>
    <w:next w:val="728"/>
    <w:uiPriority w:val="0"/>
    <w:qFormat/>
    <w:pPr>
      <w:ind w:left="798"/>
      <w:jc w:val="left"/>
    </w:pPr>
    <w:rPr>
      <w:rFonts w:ascii="Calibri" w:hAnsi="Calibri"/>
    </w:rPr>
  </w:style>
  <w:style w:type="paragraph" w:styleId="744">
    <w:name w:val="Document Map"/>
    <w:basedOn w:val="728"/>
    <w:uiPriority w:val="0"/>
    <w:qFormat/>
    <w:pPr>
      <w:shd w:val="clear" w:color="auto" w:fill="000080"/>
    </w:pPr>
    <w:rPr>
      <w:rFonts w:ascii="仿宋_GB2312" w:hAnsi="仿宋_GB2312"/>
      <w:szCs w:val="21"/>
      <w:shd w:val="clear" w:color="auto" w:fill="000080"/>
    </w:rPr>
  </w:style>
  <w:style w:type="paragraph" w:styleId="745">
    <w:name w:val="annotation text"/>
    <w:basedOn w:val="728"/>
    <w:uiPriority w:val="99"/>
    <w:qFormat/>
    <w:rPr>
      <w:szCs w:val="24"/>
    </w:rPr>
  </w:style>
  <w:style w:type="paragraph" w:styleId="746">
    <w:name w:val="Body Text"/>
    <w:basedOn w:val="728"/>
    <w:next w:val="728"/>
    <w:uiPriority w:val="99"/>
    <w:qFormat/>
    <w:pPr>
      <w:spacing w:after="120"/>
    </w:pPr>
    <w:rPr>
      <w:rFonts w:ascii="Calibri" w:hAnsi="Calibri"/>
    </w:rPr>
  </w:style>
  <w:style w:type="paragraph" w:styleId="747">
    <w:name w:val="Body Text Indent"/>
    <w:basedOn w:val="728"/>
    <w:link w:val="1085"/>
    <w:uiPriority w:val="99"/>
    <w:semiHidden/>
    <w:unhideWhenUsed/>
    <w:qFormat/>
    <w:pPr>
      <w:ind w:left="420"/>
      <w:spacing w:after="120"/>
    </w:pPr>
  </w:style>
  <w:style w:type="paragraph" w:styleId="748">
    <w:name w:val="Block Text"/>
    <w:basedOn w:val="728"/>
    <w:uiPriority w:val="99"/>
    <w:unhideWhenUsed/>
    <w:qFormat/>
    <w:pPr>
      <w:ind w:left="-359" w:right="-512" w:firstLine="501"/>
    </w:pPr>
    <w:rPr>
      <w:rFonts w:ascii="仿宋_GB2312" w:eastAsia="仿宋_GB2312"/>
      <w:sz w:val="30"/>
    </w:rPr>
  </w:style>
  <w:style w:type="paragraph" w:styleId="749">
    <w:name w:val="toc 5"/>
    <w:next w:val="728"/>
    <w:uiPriority w:val="39"/>
    <w:unhideWhenUsed/>
    <w:qFormat/>
    <w:pPr>
      <w:ind w:left="1134"/>
      <w:spacing w:after="57"/>
    </w:pPr>
    <w:rPr>
      <w:rFonts w:hint="default" w:ascii="Times New Roman" w:hAnsi="Times New Roman" w:eastAsia="宋体" w:cs="Times New Roman"/>
      <w:lang w:val="en-US" w:eastAsia="zh-CN" w:bidi="ar-SA"/>
    </w:rPr>
  </w:style>
  <w:style w:type="paragraph" w:styleId="750">
    <w:name w:val="toc 3"/>
    <w:next w:val="728"/>
    <w:uiPriority w:val="39"/>
    <w:unhideWhenUsed/>
    <w:qFormat/>
    <w:pPr>
      <w:ind w:left="567"/>
      <w:spacing w:after="57"/>
    </w:pPr>
    <w:rPr>
      <w:rFonts w:hint="default" w:ascii="Times New Roman" w:hAnsi="Times New Roman" w:eastAsia="宋体" w:cs="Times New Roman"/>
      <w:lang w:val="en-US" w:eastAsia="zh-CN" w:bidi="ar-SA"/>
    </w:rPr>
  </w:style>
  <w:style w:type="paragraph" w:styleId="751">
    <w:name w:val="Plain Text"/>
    <w:basedOn w:val="728"/>
    <w:uiPriority w:val="0"/>
    <w:qFormat/>
    <w:rPr>
      <w:rFonts w:ascii="宋体" w:hAnsi="Courier New"/>
    </w:rPr>
  </w:style>
  <w:style w:type="paragraph" w:styleId="752">
    <w:name w:val="toc 8"/>
    <w:next w:val="728"/>
    <w:uiPriority w:val="39"/>
    <w:unhideWhenUsed/>
    <w:qFormat/>
    <w:pPr>
      <w:ind w:left="1984"/>
      <w:spacing w:after="57"/>
    </w:pPr>
    <w:rPr>
      <w:rFonts w:hint="default" w:ascii="Times New Roman" w:hAnsi="Times New Roman" w:eastAsia="宋体" w:cs="Times New Roman"/>
      <w:lang w:val="en-US" w:eastAsia="zh-CN" w:bidi="ar-SA"/>
    </w:rPr>
  </w:style>
  <w:style w:type="paragraph" w:styleId="753">
    <w:name w:val="endnote text"/>
    <w:link w:val="993"/>
    <w:uiPriority w:val="99"/>
    <w:semiHidden/>
    <w:unhideWhenUsed/>
    <w:qFormat/>
    <w:rPr>
      <w:rFonts w:hint="default" w:ascii="Times New Roman" w:hAnsi="Times New Roman" w:eastAsia="宋体" w:cs="Times New Roman"/>
      <w:lang w:val="en-US" w:eastAsia="zh-CN" w:bidi="ar-SA"/>
    </w:rPr>
  </w:style>
  <w:style w:type="paragraph" w:styleId="754">
    <w:name w:val="Footer"/>
    <w:basedOn w:val="728"/>
    <w:link w:val="885"/>
    <w:uiPriority w:val="99"/>
    <w:unhideWhenUsed/>
    <w:qFormat/>
    <w:pPr>
      <w:tabs>
        <w:tab w:val="center" w:pos="7143" w:leader="none"/>
        <w:tab w:val="right" w:pos="14287" w:leader="none"/>
      </w:tabs>
    </w:pPr>
  </w:style>
  <w:style w:type="paragraph" w:styleId="755">
    <w:name w:val="envelope return"/>
    <w:basedOn w:val="728"/>
    <w:uiPriority w:val="0"/>
    <w:qFormat/>
    <w:rPr>
      <w:rFonts w:ascii="Arial" w:hAnsi="Arial"/>
    </w:rPr>
  </w:style>
  <w:style w:type="paragraph" w:styleId="756">
    <w:name w:val="Header"/>
    <w:basedOn w:val="728"/>
    <w:link w:val="883"/>
    <w:uiPriority w:val="99"/>
    <w:unhideWhenUsed/>
    <w:qFormat/>
    <w:pPr>
      <w:tabs>
        <w:tab w:val="center" w:pos="7143" w:leader="none"/>
        <w:tab w:val="right" w:pos="14287" w:leader="none"/>
      </w:tabs>
    </w:pPr>
  </w:style>
  <w:style w:type="paragraph" w:styleId="757">
    <w:name w:val="toc 1"/>
    <w:basedOn w:val="728"/>
    <w:next w:val="728"/>
    <w:uiPriority w:val="39"/>
    <w:unhideWhenUsed/>
    <w:qFormat/>
    <w:pPr>
      <w:spacing w:after="57"/>
    </w:pPr>
  </w:style>
  <w:style w:type="paragraph" w:styleId="758">
    <w:name w:val="toc 4"/>
    <w:next w:val="728"/>
    <w:uiPriority w:val="39"/>
    <w:unhideWhenUsed/>
    <w:qFormat/>
    <w:pPr>
      <w:ind w:left="850"/>
      <w:spacing w:after="57"/>
    </w:pPr>
    <w:rPr>
      <w:rFonts w:hint="default" w:ascii="Times New Roman" w:hAnsi="Times New Roman" w:eastAsia="宋体" w:cs="Times New Roman"/>
      <w:lang w:val="en-US" w:eastAsia="zh-CN" w:bidi="ar-SA"/>
    </w:rPr>
  </w:style>
  <w:style w:type="paragraph" w:styleId="759">
    <w:name w:val="Subtitle"/>
    <w:link w:val="878"/>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60">
    <w:name w:val="footnote text"/>
    <w:basedOn w:val="728"/>
    <w:next w:val="743"/>
    <w:link w:val="992"/>
    <w:uiPriority w:val="99"/>
    <w:semiHidden/>
    <w:unhideWhenUsed/>
    <w:qFormat/>
    <w:pPr>
      <w:spacing w:after="40"/>
    </w:pPr>
    <w:rPr>
      <w:rFonts w:hint="default" w:ascii="Times New Roman" w:hAnsi="Times New Roman" w:eastAsia="宋体" w:cs="Times New Roman"/>
      <w:sz w:val="18"/>
      <w:lang w:val="en-US" w:eastAsia="zh-CN" w:bidi="ar-SA"/>
    </w:rPr>
  </w:style>
  <w:style w:type="paragraph" w:styleId="761">
    <w:name w:val="toc 6"/>
    <w:next w:val="728"/>
    <w:uiPriority w:val="39"/>
    <w:unhideWhenUsed/>
    <w:qFormat/>
    <w:pPr>
      <w:ind w:left="1417"/>
      <w:spacing w:after="57"/>
    </w:pPr>
    <w:rPr>
      <w:rFonts w:hint="default" w:ascii="Times New Roman" w:hAnsi="Times New Roman" w:eastAsia="宋体" w:cs="Times New Roman"/>
      <w:lang w:val="en-US" w:eastAsia="zh-CN" w:bidi="ar-SA"/>
    </w:rPr>
  </w:style>
  <w:style w:type="paragraph" w:styleId="762">
    <w:name w:val="table of figures"/>
    <w:next w:val="728"/>
    <w:uiPriority w:val="99"/>
    <w:unhideWhenUsed/>
    <w:qFormat/>
    <w:rPr>
      <w:rFonts w:hint="default" w:ascii="Times New Roman" w:hAnsi="Times New Roman" w:eastAsia="宋体" w:cs="Times New Roman"/>
      <w:lang w:val="en-US" w:eastAsia="zh-CN" w:bidi="ar-SA"/>
    </w:rPr>
  </w:style>
  <w:style w:type="paragraph" w:styleId="763">
    <w:name w:val="toc 2"/>
    <w:next w:val="728"/>
    <w:uiPriority w:val="39"/>
    <w:unhideWhenUsed/>
    <w:qFormat/>
    <w:pPr>
      <w:ind w:left="283"/>
      <w:spacing w:after="57"/>
    </w:pPr>
    <w:rPr>
      <w:rFonts w:hint="default" w:ascii="Times New Roman" w:hAnsi="Times New Roman" w:eastAsia="宋体" w:cs="Times New Roman"/>
      <w:lang w:val="en-US" w:eastAsia="zh-CN" w:bidi="ar-SA"/>
    </w:rPr>
  </w:style>
  <w:style w:type="paragraph" w:styleId="764">
    <w:name w:val="toc 9"/>
    <w:next w:val="728"/>
    <w:uiPriority w:val="39"/>
    <w:unhideWhenUsed/>
    <w:qFormat/>
    <w:pPr>
      <w:ind w:left="2268"/>
      <w:spacing w:after="57"/>
    </w:pPr>
    <w:rPr>
      <w:rFonts w:hint="default" w:ascii="Times New Roman" w:hAnsi="Times New Roman" w:eastAsia="宋体" w:cs="Times New Roman"/>
      <w:lang w:val="en-US" w:eastAsia="zh-CN" w:bidi="ar-SA"/>
    </w:rPr>
  </w:style>
  <w:style w:type="paragraph" w:styleId="765">
    <w:name w:val="Body Text 2"/>
    <w:basedOn w:val="728"/>
    <w:next w:val="746"/>
    <w:uiPriority w:val="99"/>
    <w:semiHidden/>
    <w:unhideWhenUsed/>
    <w:qFormat/>
    <w:pPr>
      <w:spacing w:after="120" w:line="480" w:lineRule="auto"/>
    </w:pPr>
  </w:style>
  <w:style w:type="paragraph" w:styleId="766">
    <w:name w:val="Normal (Web)"/>
    <w:basedOn w:val="728"/>
    <w:uiPriority w:val="99"/>
    <w:qFormat/>
    <w:pPr>
      <w:spacing w:before="100" w:beforeAutospacing="1" w:after="100" w:afterAutospacing="1"/>
    </w:pPr>
    <w:rPr>
      <w:rFonts w:ascii="宋体" w:hAnsi="宋体" w:cs="宋体"/>
      <w:sz w:val="24"/>
      <w:szCs w:val="24"/>
    </w:rPr>
  </w:style>
  <w:style w:type="paragraph" w:styleId="767">
    <w:name w:val="Title"/>
    <w:basedOn w:val="728"/>
    <w:next w:val="728"/>
    <w:link w:val="877"/>
    <w:uiPriority w:val="10"/>
    <w:qFormat/>
    <w:pPr>
      <w:contextualSpacing/>
      <w:spacing w:before="300" w:after="200"/>
    </w:pPr>
    <w:rPr>
      <w:sz w:val="48"/>
      <w:szCs w:val="48"/>
    </w:rPr>
  </w:style>
  <w:style w:type="paragraph" w:styleId="768">
    <w:name w:val="Body Text First Indent"/>
    <w:basedOn w:val="746"/>
    <w:next w:val="769"/>
    <w:uiPriority w:val="0"/>
    <w:qFormat/>
    <w:pPr>
      <w:ind w:firstLine="420"/>
    </w:pPr>
  </w:style>
  <w:style w:type="paragraph" w:styleId="769">
    <w:name w:val="Body Text First Indent 2"/>
    <w:basedOn w:val="747"/>
    <w:next w:val="728"/>
    <w:link w:val="1086"/>
    <w:uiPriority w:val="99"/>
    <w:semiHidden/>
    <w:unhideWhenUsed/>
    <w:qFormat/>
    <w:pPr>
      <w:ind w:firstLine="420"/>
    </w:pPr>
  </w:style>
  <w:style w:type="table" w:styleId="7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endnote reference"/>
    <w:uiPriority w:val="99"/>
    <w:semiHidden/>
    <w:unhideWhenUsed/>
    <w:qFormat/>
    <w:rPr>
      <w:vertAlign w:val="superscript"/>
    </w:rPr>
  </w:style>
  <w:style w:type="character" w:styleId="772">
    <w:name w:val="Emphasis"/>
    <w:uiPriority w:val="0"/>
    <w:qFormat/>
    <w:rPr>
      <w:i/>
    </w:rPr>
  </w:style>
  <w:style w:type="character" w:styleId="773">
    <w:name w:val="Hyperlink"/>
    <w:uiPriority w:val="99"/>
    <w:unhideWhenUsed/>
    <w:qFormat/>
    <w:rPr>
      <w:color w:val="0000ff"/>
      <w:u w:val="single"/>
    </w:rPr>
  </w:style>
  <w:style w:type="character" w:styleId="774">
    <w:name w:val="footnote reference"/>
    <w:uiPriority w:val="99"/>
    <w:unhideWhenUsed/>
    <w:qFormat/>
    <w:rPr>
      <w:vertAlign w:val="superscript"/>
    </w:rPr>
  </w:style>
  <w:style w:type="character" w:styleId="775" w:customStyle="1">
    <w:name w:val="标题 1 Char"/>
    <w:uiPriority w:val="0"/>
    <w:qFormat/>
    <w:rPr>
      <w:b/>
      <w:bCs/>
      <w:sz w:val="44"/>
      <w:szCs w:val="44"/>
    </w:rPr>
  </w:style>
  <w:style w:type="character" w:styleId="776" w:customStyle="1">
    <w:name w:val="标题 2 Char"/>
    <w:uiPriority w:val="0"/>
    <w:qFormat/>
    <w:rPr>
      <w:rFonts w:ascii="Cambria" w:hAnsi="Cambria" w:eastAsia="宋体"/>
      <w:b/>
      <w:bCs/>
      <w:sz w:val="32"/>
      <w:szCs w:val="32"/>
    </w:rPr>
  </w:style>
  <w:style w:type="paragraph" w:styleId="777" w:customStyle="1">
    <w:name w:val="列表段落1"/>
    <w:basedOn w:val="778"/>
    <w:next w:val="728"/>
    <w:uiPriority w:val="34"/>
    <w:qFormat/>
    <w:pPr>
      <w:contextualSpacing/>
      <w:ind w:left="720"/>
    </w:pPr>
  </w:style>
  <w:style w:type="paragraph" w:styleId="778" w:customStyle="1">
    <w:name w:val="正文1"/>
    <w:basedOn w:val="779"/>
    <w:next w:val="797"/>
    <w:link w:val="10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9" w:customStyle="1">
    <w:name w:val="正文111"/>
    <w:next w:val="7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0" w:customStyle="1">
    <w:name w:val="正文首行缩进1"/>
    <w:basedOn w:val="781"/>
    <w:next w:val="792"/>
    <w:link w:val="1042"/>
    <w:uiPriority w:val="0"/>
    <w:qFormat/>
    <w:pPr>
      <w:ind w:firstLine="420"/>
    </w:pPr>
    <w:rPr>
      <w:rFonts w:ascii="仿宋_GB2312" w:eastAsia="仿宋_GB2312"/>
      <w:sz w:val="30"/>
      <w:szCs w:val="30"/>
    </w:rPr>
  </w:style>
  <w:style w:type="paragraph" w:styleId="781" w:customStyle="1">
    <w:name w:val="正文文本11"/>
    <w:basedOn w:val="782"/>
    <w:next w:val="783"/>
    <w:uiPriority w:val="0"/>
    <w:qFormat/>
    <w:pPr>
      <w:spacing w:after="120"/>
    </w:pPr>
  </w:style>
  <w:style w:type="paragraph" w:styleId="782" w:customStyle="1">
    <w:name w:val="正文112"/>
    <w:next w:val="7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customStyle="1">
    <w:name w:val="正文11"/>
    <w:next w:val="784"/>
    <w:link w:val="10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4" w:customStyle="1">
    <w:name w:val="正文首行缩进11"/>
    <w:basedOn w:val="785"/>
    <w:next w:val="789"/>
    <w:uiPriority w:val="0"/>
    <w:qFormat/>
    <w:pPr>
      <w:ind w:firstLine="420"/>
    </w:pPr>
    <w:rPr>
      <w:rFonts w:ascii="仿宋_GB2312" w:eastAsia="仿宋_GB2312"/>
      <w:sz w:val="30"/>
      <w:szCs w:val="30"/>
    </w:rPr>
  </w:style>
  <w:style w:type="paragraph" w:styleId="785" w:customStyle="1">
    <w:name w:val="正文文本1"/>
    <w:basedOn w:val="786"/>
    <w:next w:val="787"/>
    <w:link w:val="1032"/>
    <w:uiPriority w:val="0"/>
    <w:qFormat/>
    <w:pPr>
      <w:spacing w:after="120"/>
    </w:pPr>
    <w:rPr>
      <w:rFonts w:ascii="Calibri" w:hAnsi="Calibri"/>
    </w:rPr>
  </w:style>
  <w:style w:type="paragraph" w:styleId="786" w:customStyle="1">
    <w:name w:val="正文13"/>
    <w:next w:val="7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7" w:customStyle="1">
    <w:name w:val="一级条标题"/>
    <w:basedOn w:val="788"/>
    <w:next w:val="7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8" w:customStyle="1">
    <w:name w:val="章标题"/>
    <w:next w:val="77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89" w:customStyle="1">
    <w:name w:val="正文首行缩进 211"/>
    <w:basedOn w:val="790"/>
    <w:uiPriority w:val="0"/>
    <w:qFormat/>
    <w:pPr>
      <w:ind w:firstLine="420"/>
    </w:pPr>
    <w:rPr>
      <w:rFonts w:ascii="Times New Roman" w:hAnsi="Times New Roman"/>
    </w:rPr>
  </w:style>
  <w:style w:type="paragraph" w:styleId="790" w:customStyle="1">
    <w:name w:val="正文文本缩进11"/>
    <w:basedOn w:val="783"/>
    <w:next w:val="791"/>
    <w:uiPriority w:val="0"/>
    <w:qFormat/>
    <w:pPr>
      <w:ind w:left="420"/>
      <w:spacing w:after="120"/>
    </w:pPr>
    <w:rPr>
      <w:rFonts w:ascii="Calibri" w:hAnsi="Calibri"/>
    </w:rPr>
  </w:style>
  <w:style w:type="paragraph" w:styleId="791" w:customStyle="1">
    <w:name w:val="寄信人地址11"/>
    <w:basedOn w:val="783"/>
    <w:uiPriority w:val="0"/>
    <w:qFormat/>
    <w:rPr>
      <w:rFonts w:ascii="Arial" w:hAnsi="Arial"/>
    </w:rPr>
  </w:style>
  <w:style w:type="paragraph" w:styleId="792" w:customStyle="1">
    <w:name w:val="正文首行缩进 21"/>
    <w:basedOn w:val="793"/>
    <w:next w:val="779"/>
    <w:link w:val="1043"/>
    <w:uiPriority w:val="0"/>
    <w:qFormat/>
    <w:pPr>
      <w:ind w:firstLine="420"/>
    </w:pPr>
    <w:rPr>
      <w:rFonts w:ascii="Times New Roman" w:hAnsi="Times New Roman"/>
    </w:rPr>
  </w:style>
  <w:style w:type="paragraph" w:styleId="793" w:customStyle="1">
    <w:name w:val="正文文本缩进1"/>
    <w:basedOn w:val="794"/>
    <w:next w:val="796"/>
    <w:link w:val="1033"/>
    <w:uiPriority w:val="0"/>
    <w:qFormat/>
    <w:pPr>
      <w:ind w:left="420"/>
      <w:spacing w:after="120"/>
    </w:pPr>
    <w:rPr>
      <w:rFonts w:ascii="Calibri" w:hAnsi="Calibri"/>
    </w:rPr>
  </w:style>
  <w:style w:type="paragraph" w:styleId="794" w:customStyle="1">
    <w:name w:val="正文12"/>
    <w:next w:val="795"/>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95" w:customStyle="1">
    <w:name w:val="正文文本111"/>
    <w:basedOn w:val="794"/>
    <w:next w:val="794"/>
    <w:uiPriority w:val="0"/>
    <w:qFormat/>
  </w:style>
  <w:style w:type="paragraph" w:styleId="796" w:customStyle="1">
    <w:name w:val="寄信人地址1"/>
    <w:basedOn w:val="778"/>
    <w:uiPriority w:val="0"/>
    <w:qFormat/>
    <w:rPr>
      <w:rFonts w:ascii="Arial" w:hAnsi="Arial"/>
    </w:rPr>
  </w:style>
  <w:style w:type="paragraph" w:styleId="797" w:customStyle="1">
    <w:name w:val="目录 11"/>
    <w:basedOn w:val="794"/>
    <w:next w:val="778"/>
    <w:uiPriority w:val="0"/>
    <w:qFormat/>
  </w:style>
  <w:style w:type="paragraph" w:styleId="798" w:customStyle="1">
    <w:name w:val="段"/>
    <w:basedOn w:val="778"/>
    <w:next w:val="728"/>
    <w:uiPriority w:val="0"/>
    <w:qFormat/>
    <w:pPr>
      <w:ind w:firstLine="200"/>
      <w:widowControl/>
    </w:pPr>
    <w:rPr>
      <w:rFonts w:ascii="宋体"/>
      <w:sz w:val="20"/>
      <w:szCs w:val="20"/>
    </w:rPr>
  </w:style>
  <w:style w:type="paragraph" w:styleId="799" w:customStyle="1">
    <w:name w:val="脚注文本1"/>
    <w:basedOn w:val="800"/>
    <w:next w:val="803"/>
    <w:uiPriority w:val="0"/>
    <w:qFormat/>
    <w:pPr>
      <w:jc w:val="left"/>
    </w:pPr>
    <w:rPr>
      <w:rFonts w:ascii="宋体" w:eastAsia="Times New Roman"/>
      <w:sz w:val="18"/>
      <w:szCs w:val="18"/>
    </w:rPr>
  </w:style>
  <w:style w:type="paragraph" w:styleId="800" w:customStyle="1">
    <w:name w:val="正文1111"/>
    <w:next w:val="8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1" w:customStyle="1">
    <w:name w:val="文本块11"/>
    <w:basedOn w:val="802"/>
    <w:uiPriority w:val="0"/>
    <w:unhideWhenUsed/>
    <w:qFormat/>
    <w:pPr>
      <w:ind w:left="1440" w:right="1440"/>
      <w:spacing w:after="120"/>
    </w:pPr>
  </w:style>
  <w:style w:type="paragraph" w:styleId="802" w:customStyle="1">
    <w:name w:val="正文121"/>
    <w:next w:val="801"/>
    <w:uiPriority w:val="0"/>
    <w:qFormat/>
    <w:rPr>
      <w:rFonts w:hint="default" w:ascii="Times New Roman" w:hAnsi="Times New Roman" w:eastAsia="宋体" w:cs="Times New Roman"/>
      <w:lang w:val="en-US" w:eastAsia="zh-CN" w:bidi="ar-SA"/>
    </w:rPr>
  </w:style>
  <w:style w:type="paragraph" w:styleId="803" w:customStyle="1">
    <w:name w:val="索引 51"/>
    <w:basedOn w:val="779"/>
    <w:next w:val="778"/>
    <w:uiPriority w:val="0"/>
    <w:qFormat/>
    <w:pPr>
      <w:ind w:left="798"/>
      <w:jc w:val="left"/>
    </w:pPr>
    <w:rPr>
      <w:rFonts w:ascii="Calibri" w:hAnsi="Calibri"/>
    </w:rPr>
  </w:style>
  <w:style w:type="paragraph" w:styleId="804" w:customStyle="1">
    <w:name w:val="标题 111"/>
    <w:basedOn w:val="783"/>
    <w:next w:val="783"/>
    <w:uiPriority w:val="0"/>
    <w:qFormat/>
    <w:pPr>
      <w:jc w:val="center"/>
      <w:keepLines/>
      <w:keepNext/>
      <w:spacing w:line="578" w:lineRule="auto"/>
      <w:outlineLvl w:val="0"/>
    </w:pPr>
    <w:rPr>
      <w:rFonts w:eastAsia="新宋体"/>
      <w:b/>
      <w:bCs/>
      <w:sz w:val="30"/>
      <w:szCs w:val="44"/>
    </w:rPr>
  </w:style>
  <w:style w:type="paragraph" w:styleId="805" w:customStyle="1">
    <w:name w:val="文本块1"/>
    <w:basedOn w:val="779"/>
    <w:next w:val="806"/>
    <w:uiPriority w:val="0"/>
    <w:qFormat/>
    <w:pPr>
      <w:ind w:left="420" w:right="33"/>
      <w:jc w:val="left"/>
    </w:pPr>
    <w:rPr>
      <w:sz w:val="24"/>
      <w:szCs w:val="20"/>
    </w:rPr>
  </w:style>
  <w:style w:type="paragraph" w:styleId="806" w:customStyle="1">
    <w:name w:val="标题 41"/>
    <w:basedOn w:val="778"/>
    <w:next w:val="783"/>
    <w:link w:val="1008"/>
    <w:uiPriority w:val="0"/>
    <w:qFormat/>
    <w:pPr>
      <w:keepLines/>
      <w:keepNext/>
      <w:spacing w:before="280" w:after="290" w:line="376" w:lineRule="auto"/>
      <w:outlineLvl w:val="3"/>
    </w:pPr>
    <w:rPr>
      <w:rFonts w:ascii="Cambria" w:hAnsi="Cambria"/>
      <w:b/>
      <w:bCs/>
      <w:sz w:val="28"/>
      <w:szCs w:val="28"/>
    </w:rPr>
  </w:style>
  <w:style w:type="paragraph" w:styleId="807" w:customStyle="1">
    <w:name w:val="标题 211"/>
    <w:basedOn w:val="783"/>
    <w:next w:val="800"/>
    <w:uiPriority w:val="0"/>
    <w:qFormat/>
    <w:pPr>
      <w:jc w:val="both"/>
      <w:keepLines/>
      <w:keepNext/>
      <w:spacing w:before="260" w:after="260" w:line="416" w:lineRule="auto"/>
      <w:outlineLvl w:val="1"/>
    </w:pPr>
    <w:rPr>
      <w:rFonts w:ascii="Calibri Light" w:hAnsi="Calibri Light"/>
      <w:b/>
      <w:bCs/>
      <w:sz w:val="32"/>
      <w:szCs w:val="32"/>
      <w:lang w:val="en-US" w:eastAsia="zh-CN"/>
    </w:rPr>
  </w:style>
  <w:style w:type="table" w:styleId="808" w:customStyle="1">
    <w:name w:val="Plain Table 1"/>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2"/>
    <w:basedOn w:val="7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3"/>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Plain Table 4"/>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Plain Table 5"/>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Grid Table 1 Light"/>
    <w:basedOn w:val="7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2"/>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3"/>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basedOn w:val="7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5 Dark"/>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6 Colorful"/>
    <w:basedOn w:val="7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Grid Table 7 Colorful"/>
    <w:basedOn w:val="7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List Table 1 Light"/>
    <w:basedOn w:val="7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2"/>
    <w:basedOn w:val="7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3"/>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5 Dark"/>
    <w:basedOn w:val="7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6 Colorful"/>
    <w:basedOn w:val="7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6" w:customStyle="1">
    <w:name w:val="List Table 7 Colorful"/>
    <w:basedOn w:val="7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7" w:customStyle="1">
    <w:name w:val="TOC Heading"/>
    <w:uiPriority w:val="39"/>
    <w:unhideWhenUsed/>
    <w:qFormat/>
    <w:rPr>
      <w:rFonts w:hint="default" w:ascii="Times New Roman" w:hAnsi="Times New Roman" w:eastAsia="宋体" w:cs="Times New Roman"/>
    </w:rPr>
  </w:style>
  <w:style w:type="paragraph" w:styleId="828" w:customStyle="1">
    <w:name w:val="目录 41"/>
    <w:basedOn w:val="728"/>
    <w:next w:val="728"/>
    <w:uiPriority w:val="39"/>
    <w:qFormat/>
    <w:pPr>
      <w:ind w:left="300" w:firstLine="200"/>
      <w:spacing w:line="360" w:lineRule="auto"/>
    </w:pPr>
    <w:rPr>
      <w:rFonts w:ascii="Arial" w:hAnsi="Arial" w:cs="宋体"/>
      <w:sz w:val="24"/>
    </w:rPr>
  </w:style>
  <w:style w:type="character" w:styleId="829" w:customStyle="1">
    <w:name w:val="Heading 1 Char"/>
    <w:basedOn w:val="738"/>
    <w:uiPriority w:val="9"/>
    <w:qFormat/>
    <w:rPr>
      <w:rFonts w:ascii="Arial" w:hAnsi="Arial" w:eastAsia="Arial" w:cs="Arial"/>
      <w:sz w:val="40"/>
      <w:szCs w:val="40"/>
    </w:rPr>
  </w:style>
  <w:style w:type="character" w:styleId="830" w:customStyle="1">
    <w:name w:val="Heading 3 Char"/>
    <w:basedOn w:val="738"/>
    <w:uiPriority w:val="9"/>
    <w:qFormat/>
    <w:rPr>
      <w:rFonts w:ascii="Arial" w:hAnsi="Arial" w:eastAsia="Arial" w:cs="Arial"/>
      <w:sz w:val="30"/>
      <w:szCs w:val="30"/>
    </w:rPr>
  </w:style>
  <w:style w:type="character" w:styleId="831" w:customStyle="1">
    <w:name w:val="Heading 4 Char"/>
    <w:basedOn w:val="738"/>
    <w:uiPriority w:val="9"/>
    <w:qFormat/>
    <w:rPr>
      <w:rFonts w:ascii="Arial" w:hAnsi="Arial" w:eastAsia="Arial" w:cs="Arial"/>
      <w:b/>
      <w:bCs/>
      <w:sz w:val="26"/>
      <w:szCs w:val="26"/>
    </w:rPr>
  </w:style>
  <w:style w:type="character" w:styleId="832" w:customStyle="1">
    <w:name w:val="Heading 5 Char"/>
    <w:basedOn w:val="738"/>
    <w:uiPriority w:val="9"/>
    <w:qFormat/>
    <w:rPr>
      <w:rFonts w:ascii="Arial" w:hAnsi="Arial" w:eastAsia="Arial" w:cs="Arial"/>
      <w:b/>
      <w:bCs/>
      <w:sz w:val="24"/>
      <w:szCs w:val="24"/>
    </w:rPr>
  </w:style>
  <w:style w:type="character" w:styleId="833" w:customStyle="1">
    <w:name w:val="Heading 6 Char"/>
    <w:basedOn w:val="738"/>
    <w:uiPriority w:val="9"/>
    <w:qFormat/>
    <w:rPr>
      <w:rFonts w:ascii="Arial" w:hAnsi="Arial" w:eastAsia="Arial" w:cs="Arial"/>
      <w:b/>
      <w:bCs/>
      <w:sz w:val="22"/>
      <w:szCs w:val="22"/>
    </w:rPr>
  </w:style>
  <w:style w:type="character" w:styleId="834" w:customStyle="1">
    <w:name w:val="Heading 7 Char"/>
    <w:basedOn w:val="738"/>
    <w:uiPriority w:val="9"/>
    <w:qFormat/>
    <w:rPr>
      <w:rFonts w:ascii="Arial" w:hAnsi="Arial" w:eastAsia="Arial" w:cs="Arial"/>
      <w:b/>
      <w:bCs/>
      <w:i/>
      <w:iCs/>
      <w:sz w:val="22"/>
      <w:szCs w:val="22"/>
    </w:rPr>
  </w:style>
  <w:style w:type="character" w:styleId="835" w:customStyle="1">
    <w:name w:val="Heading 8 Char"/>
    <w:basedOn w:val="738"/>
    <w:uiPriority w:val="9"/>
    <w:qFormat/>
    <w:rPr>
      <w:rFonts w:ascii="Arial" w:hAnsi="Arial" w:eastAsia="Arial" w:cs="Arial"/>
      <w:i/>
      <w:iCs/>
      <w:sz w:val="22"/>
      <w:szCs w:val="22"/>
    </w:rPr>
  </w:style>
  <w:style w:type="character" w:styleId="836" w:customStyle="1">
    <w:name w:val="Heading 9 Char"/>
    <w:basedOn w:val="738"/>
    <w:uiPriority w:val="9"/>
    <w:qFormat/>
    <w:rPr>
      <w:rFonts w:ascii="Arial" w:hAnsi="Arial" w:eastAsia="Arial" w:cs="Arial"/>
      <w:i/>
      <w:iCs/>
      <w:sz w:val="21"/>
      <w:szCs w:val="21"/>
    </w:rPr>
  </w:style>
  <w:style w:type="character" w:styleId="837" w:customStyle="1">
    <w:name w:val="Title Char"/>
    <w:basedOn w:val="738"/>
    <w:uiPriority w:val="10"/>
    <w:qFormat/>
    <w:rPr>
      <w:sz w:val="48"/>
      <w:szCs w:val="48"/>
    </w:rPr>
  </w:style>
  <w:style w:type="character" w:styleId="838" w:customStyle="1">
    <w:name w:val="Subtitle Char"/>
    <w:basedOn w:val="738"/>
    <w:uiPriority w:val="11"/>
    <w:qFormat/>
    <w:rPr>
      <w:sz w:val="24"/>
      <w:szCs w:val="24"/>
    </w:rPr>
  </w:style>
  <w:style w:type="character" w:styleId="839" w:customStyle="1">
    <w:name w:val="Quote Char"/>
    <w:uiPriority w:val="29"/>
    <w:qFormat/>
    <w:rPr>
      <w:i/>
    </w:rPr>
  </w:style>
  <w:style w:type="character" w:styleId="840" w:customStyle="1">
    <w:name w:val="Intense Quote Char"/>
    <w:uiPriority w:val="30"/>
    <w:qFormat/>
    <w:rPr>
      <w:i/>
    </w:rPr>
  </w:style>
  <w:style w:type="character" w:styleId="841" w:customStyle="1">
    <w:name w:val="Header Char"/>
    <w:basedOn w:val="738"/>
    <w:uiPriority w:val="99"/>
    <w:qFormat/>
  </w:style>
  <w:style w:type="character" w:styleId="842" w:customStyle="1">
    <w:name w:val="Caption Char"/>
    <w:uiPriority w:val="99"/>
    <w:qFormat/>
  </w:style>
  <w:style w:type="table" w:styleId="843" w:customStyle="1">
    <w:name w:val="无格式表格 11"/>
    <w:basedOn w:val="73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21"/>
    <w:basedOn w:val="73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3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无格式表格 4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无格式表格 5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网格表 1 浅色1"/>
    <w:basedOn w:val="73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网格表 2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网格表 3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网格表 41"/>
    <w:basedOn w:val="73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网格表 5 深色1"/>
    <w:basedOn w:val="73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网格表 6 彩色1"/>
    <w:basedOn w:val="73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网格表 7 彩色1"/>
    <w:basedOn w:val="739"/>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清单表 1 浅色1"/>
    <w:basedOn w:val="73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清单表 21"/>
    <w:basedOn w:val="739"/>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清单表 31"/>
    <w:basedOn w:val="739"/>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清单表 41"/>
    <w:basedOn w:val="73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清单表 5 深色1"/>
    <w:basedOn w:val="739"/>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清单表 6 彩色1"/>
    <w:basedOn w:val="739"/>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清单表 7 彩色1"/>
    <w:basedOn w:val="739"/>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2" w:customStyle="1">
    <w:name w:val="Footnote Text Char"/>
    <w:uiPriority w:val="99"/>
    <w:qFormat/>
    <w:rPr>
      <w:sz w:val="18"/>
    </w:rPr>
  </w:style>
  <w:style w:type="character" w:styleId="863" w:customStyle="1">
    <w:name w:val="Endnote Text Char"/>
    <w:uiPriority w:val="99"/>
    <w:qFormat/>
    <w:rPr>
      <w:sz w:val="20"/>
    </w:rPr>
  </w:style>
  <w:style w:type="paragraph" w:styleId="864" w:customStyle="1">
    <w:name w:val="TOC 标题1"/>
    <w:uiPriority w:val="39"/>
    <w:unhideWhenUsed/>
    <w:qFormat/>
    <w:rPr>
      <w:rFonts w:hint="default" w:ascii="Times New Roman" w:hAnsi="Times New Roman" w:eastAsia="宋体" w:cs="Times New Roman"/>
      <w:lang w:val="en-US" w:eastAsia="zh-CN" w:bidi="ar-SA"/>
    </w:rPr>
  </w:style>
  <w:style w:type="paragraph" w:styleId="865" w:customStyle="1">
    <w:name w:val="正文文本 21"/>
    <w:basedOn w:val="783"/>
    <w:uiPriority w:val="0"/>
    <w:qFormat/>
    <w:pPr>
      <w:spacing w:after="120" w:line="480" w:lineRule="auto"/>
    </w:pPr>
  </w:style>
  <w:style w:type="character" w:styleId="866" w:customStyle="1">
    <w:name w:val="标题 1 字符1"/>
    <w:link w:val="729"/>
    <w:uiPriority w:val="9"/>
    <w:qFormat/>
    <w:rPr>
      <w:rFonts w:ascii="Arial" w:hAnsi="Arial" w:eastAsia="Arial" w:cs="Arial"/>
      <w:sz w:val="40"/>
      <w:szCs w:val="40"/>
    </w:rPr>
  </w:style>
  <w:style w:type="character" w:styleId="867" w:customStyle="1">
    <w:name w:val="Heading 2 Char"/>
    <w:uiPriority w:val="9"/>
    <w:qFormat/>
    <w:rPr>
      <w:rFonts w:ascii="Arial" w:hAnsi="Arial" w:eastAsia="Arial" w:cs="Arial"/>
      <w:sz w:val="34"/>
    </w:rPr>
  </w:style>
  <w:style w:type="character" w:styleId="868" w:customStyle="1">
    <w:name w:val="标题 3 字符1"/>
    <w:link w:val="731"/>
    <w:uiPriority w:val="9"/>
    <w:qFormat/>
    <w:rPr>
      <w:rFonts w:ascii="Arial" w:hAnsi="Arial" w:eastAsia="Arial" w:cs="Arial"/>
      <w:sz w:val="30"/>
      <w:szCs w:val="30"/>
    </w:rPr>
  </w:style>
  <w:style w:type="character" w:styleId="869" w:customStyle="1">
    <w:name w:val="标题 4 字符2"/>
    <w:link w:val="732"/>
    <w:uiPriority w:val="9"/>
    <w:qFormat/>
    <w:rPr>
      <w:rFonts w:ascii="Arial" w:hAnsi="Arial" w:eastAsia="Arial" w:cs="Arial"/>
      <w:b/>
      <w:bCs/>
      <w:sz w:val="26"/>
      <w:szCs w:val="26"/>
    </w:rPr>
  </w:style>
  <w:style w:type="character" w:styleId="870" w:customStyle="1">
    <w:name w:val="标题 5 字符1"/>
    <w:link w:val="733"/>
    <w:uiPriority w:val="9"/>
    <w:qFormat/>
    <w:rPr>
      <w:rFonts w:ascii="Arial" w:hAnsi="Arial" w:eastAsia="Arial" w:cs="Arial"/>
      <w:b/>
      <w:bCs/>
      <w:sz w:val="24"/>
      <w:szCs w:val="24"/>
    </w:rPr>
  </w:style>
  <w:style w:type="character" w:styleId="871" w:customStyle="1">
    <w:name w:val="标题 6 字符"/>
    <w:link w:val="734"/>
    <w:uiPriority w:val="9"/>
    <w:qFormat/>
    <w:rPr>
      <w:rFonts w:ascii="Arial" w:hAnsi="Arial" w:eastAsia="Arial" w:cs="Arial"/>
      <w:b/>
      <w:bCs/>
      <w:sz w:val="22"/>
      <w:szCs w:val="22"/>
    </w:rPr>
  </w:style>
  <w:style w:type="character" w:styleId="872" w:customStyle="1">
    <w:name w:val="标题 7 字符1"/>
    <w:link w:val="735"/>
    <w:uiPriority w:val="9"/>
    <w:qFormat/>
    <w:rPr>
      <w:rFonts w:ascii="Arial" w:hAnsi="Arial" w:eastAsia="Arial" w:cs="Arial"/>
      <w:b/>
      <w:bCs/>
      <w:i/>
      <w:iCs/>
      <w:sz w:val="22"/>
      <w:szCs w:val="22"/>
    </w:rPr>
  </w:style>
  <w:style w:type="character" w:styleId="873" w:customStyle="1">
    <w:name w:val="标题 8 字符"/>
    <w:link w:val="736"/>
    <w:uiPriority w:val="9"/>
    <w:qFormat/>
    <w:rPr>
      <w:rFonts w:ascii="Arial" w:hAnsi="Arial" w:eastAsia="Arial" w:cs="Arial"/>
      <w:i/>
      <w:iCs/>
      <w:sz w:val="22"/>
      <w:szCs w:val="22"/>
    </w:rPr>
  </w:style>
  <w:style w:type="character" w:styleId="874" w:customStyle="1">
    <w:name w:val="标题 9 字符"/>
    <w:link w:val="737"/>
    <w:uiPriority w:val="9"/>
    <w:qFormat/>
    <w:rPr>
      <w:rFonts w:ascii="Arial" w:hAnsi="Arial" w:eastAsia="Arial" w:cs="Arial"/>
      <w:i/>
      <w:iCs/>
      <w:sz w:val="21"/>
      <w:szCs w:val="21"/>
    </w:rPr>
  </w:style>
  <w:style w:type="paragraph" w:styleId="875">
    <w:name w:val="List Paragraph"/>
    <w:basedOn w:val="728"/>
    <w:uiPriority w:val="34"/>
    <w:qFormat/>
    <w:pPr>
      <w:contextualSpacing/>
      <w:ind w:left="720"/>
    </w:pPr>
  </w:style>
  <w:style w:type="paragraph" w:styleId="876">
    <w:name w:val="No Spacing"/>
    <w:uiPriority w:val="1"/>
    <w:qFormat/>
    <w:rPr>
      <w:rFonts w:hint="default" w:ascii="Times New Roman" w:hAnsi="Times New Roman" w:eastAsia="宋体" w:cs="Times New Roman"/>
      <w:lang w:val="en-US" w:eastAsia="zh-CN" w:bidi="ar-SA"/>
    </w:rPr>
  </w:style>
  <w:style w:type="character" w:styleId="877" w:customStyle="1">
    <w:name w:val="标题 字符"/>
    <w:link w:val="767"/>
    <w:uiPriority w:val="10"/>
    <w:qFormat/>
    <w:rPr>
      <w:sz w:val="48"/>
      <w:szCs w:val="48"/>
    </w:rPr>
  </w:style>
  <w:style w:type="character" w:styleId="878" w:customStyle="1">
    <w:name w:val="副标题 字符"/>
    <w:link w:val="759"/>
    <w:uiPriority w:val="11"/>
    <w:qFormat/>
    <w:rPr>
      <w:sz w:val="24"/>
      <w:szCs w:val="24"/>
    </w:rPr>
  </w:style>
  <w:style w:type="paragraph" w:styleId="879">
    <w:name w:val="Quote"/>
    <w:link w:val="880"/>
    <w:uiPriority w:val="29"/>
    <w:qFormat/>
    <w:pPr>
      <w:ind w:left="720" w:right="720"/>
    </w:pPr>
    <w:rPr>
      <w:rFonts w:hint="default" w:ascii="Times New Roman" w:hAnsi="Times New Roman" w:eastAsia="宋体" w:cs="Times New Roman"/>
      <w:i/>
      <w:lang w:val="en-US" w:eastAsia="zh-CN" w:bidi="ar-SA"/>
    </w:rPr>
  </w:style>
  <w:style w:type="character" w:styleId="880" w:customStyle="1">
    <w:name w:val="引用 字符"/>
    <w:link w:val="879"/>
    <w:uiPriority w:val="29"/>
    <w:qFormat/>
    <w:rPr>
      <w:i/>
    </w:rPr>
  </w:style>
  <w:style w:type="paragraph" w:styleId="881">
    <w:name w:val="Intense Quote"/>
    <w:link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82" w:customStyle="1">
    <w:name w:val="明显引用 字符"/>
    <w:link w:val="881"/>
    <w:uiPriority w:val="30"/>
    <w:qFormat/>
    <w:rPr>
      <w:i/>
    </w:rPr>
  </w:style>
  <w:style w:type="character" w:styleId="883" w:customStyle="1">
    <w:name w:val="页眉 字符1"/>
    <w:link w:val="756"/>
    <w:uiPriority w:val="99"/>
    <w:qFormat/>
  </w:style>
  <w:style w:type="character" w:styleId="884" w:customStyle="1">
    <w:name w:val="Footer Char"/>
    <w:uiPriority w:val="99"/>
    <w:qFormat/>
  </w:style>
  <w:style w:type="character" w:styleId="885" w:customStyle="1">
    <w:name w:val="页脚 字符1"/>
    <w:link w:val="754"/>
    <w:uiPriority w:val="99"/>
    <w:qFormat/>
  </w:style>
  <w:style w:type="table" w:styleId="88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9" w:customStyle="1">
    <w:name w:val="List Table 1 Light - Accent 1"/>
    <w:uiPriority w:val="99"/>
    <w:qFormat/>
    <w:tblPr>
      <w:tblCellMar>
        <w:left w:w="0" w:type="dxa"/>
        <w:top w:w="0" w:type="dxa"/>
        <w:right w:w="0" w:type="dxa"/>
        <w:bottom w:w="0" w:type="dxa"/>
      </w:tblCellMar>
    </w:tblPr>
  </w:style>
  <w:style w:type="table" w:styleId="930" w:customStyle="1">
    <w:name w:val="List Table 1 Light - Accent 2"/>
    <w:uiPriority w:val="99"/>
    <w:qFormat/>
    <w:tblPr>
      <w:tblCellMar>
        <w:left w:w="0" w:type="dxa"/>
        <w:top w:w="0" w:type="dxa"/>
        <w:right w:w="0" w:type="dxa"/>
        <w:bottom w:w="0" w:type="dxa"/>
      </w:tblCellMar>
    </w:tblPr>
  </w:style>
  <w:style w:type="table" w:styleId="931" w:customStyle="1">
    <w:name w:val="List Table 1 Light - Accent 3"/>
    <w:uiPriority w:val="99"/>
    <w:qFormat/>
    <w:tblPr>
      <w:tblCellMar>
        <w:left w:w="0" w:type="dxa"/>
        <w:top w:w="0" w:type="dxa"/>
        <w:right w:w="0" w:type="dxa"/>
        <w:bottom w:w="0" w:type="dxa"/>
      </w:tblCellMar>
    </w:tblPr>
  </w:style>
  <w:style w:type="table" w:styleId="932" w:customStyle="1">
    <w:name w:val="List Table 1 Light - Accent 4"/>
    <w:uiPriority w:val="99"/>
    <w:qFormat/>
    <w:tblPr>
      <w:tblCellMar>
        <w:left w:w="0" w:type="dxa"/>
        <w:top w:w="0" w:type="dxa"/>
        <w:right w:w="0" w:type="dxa"/>
        <w:bottom w:w="0" w:type="dxa"/>
      </w:tblCellMar>
    </w:tblPr>
  </w:style>
  <w:style w:type="table" w:styleId="933" w:customStyle="1">
    <w:name w:val="List Table 1 Light - Accent 5"/>
    <w:uiPriority w:val="99"/>
    <w:qFormat/>
    <w:tblPr>
      <w:tblCellMar>
        <w:left w:w="0" w:type="dxa"/>
        <w:top w:w="0" w:type="dxa"/>
        <w:right w:w="0" w:type="dxa"/>
        <w:bottom w:w="0" w:type="dxa"/>
      </w:tblCellMar>
    </w:tblPr>
  </w:style>
  <w:style w:type="table" w:styleId="934" w:customStyle="1">
    <w:name w:val="List Table 1 Light - Accent 6"/>
    <w:uiPriority w:val="99"/>
    <w:qFormat/>
    <w:tblPr>
      <w:tblCellMar>
        <w:left w:w="0" w:type="dxa"/>
        <w:top w:w="0" w:type="dxa"/>
        <w:right w:w="0" w:type="dxa"/>
        <w:bottom w:w="0" w:type="dxa"/>
      </w:tblCellMar>
    </w:tblPr>
  </w:style>
  <w:style w:type="table" w:styleId="93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1" w:customStyle="1">
    <w:name w:val="Lined - Accent"/>
    <w:uiPriority w:val="99"/>
    <w:qFormat/>
    <w:rPr>
      <w:color w:val="404040"/>
    </w:rPr>
    <w:tblPr>
      <w:tblCellMar>
        <w:left w:w="0" w:type="dxa"/>
        <w:top w:w="0" w:type="dxa"/>
        <w:right w:w="0" w:type="dxa"/>
        <w:bottom w:w="0" w:type="dxa"/>
      </w:tblCellMar>
    </w:tblPr>
  </w:style>
  <w:style w:type="table" w:styleId="972" w:customStyle="1">
    <w:name w:val="Lined - Accent 1"/>
    <w:uiPriority w:val="99"/>
    <w:qFormat/>
    <w:rPr>
      <w:color w:val="404040"/>
    </w:rPr>
    <w:tblPr>
      <w:tblCellMar>
        <w:left w:w="0" w:type="dxa"/>
        <w:top w:w="0" w:type="dxa"/>
        <w:right w:w="0" w:type="dxa"/>
        <w:bottom w:w="0" w:type="dxa"/>
      </w:tblCellMar>
    </w:tblPr>
  </w:style>
  <w:style w:type="table" w:styleId="973" w:customStyle="1">
    <w:name w:val="Lined - Accent 2"/>
    <w:uiPriority w:val="99"/>
    <w:qFormat/>
    <w:rPr>
      <w:color w:val="404040"/>
    </w:rPr>
    <w:tblPr>
      <w:tblCellMar>
        <w:left w:w="0" w:type="dxa"/>
        <w:top w:w="0" w:type="dxa"/>
        <w:right w:w="0" w:type="dxa"/>
        <w:bottom w:w="0" w:type="dxa"/>
      </w:tblCellMar>
    </w:tblPr>
  </w:style>
  <w:style w:type="table" w:styleId="974" w:customStyle="1">
    <w:name w:val="Lined - Accent 3"/>
    <w:uiPriority w:val="99"/>
    <w:qFormat/>
    <w:rPr>
      <w:color w:val="404040"/>
    </w:rPr>
    <w:tblPr>
      <w:tblCellMar>
        <w:left w:w="0" w:type="dxa"/>
        <w:top w:w="0" w:type="dxa"/>
        <w:right w:w="0" w:type="dxa"/>
        <w:bottom w:w="0" w:type="dxa"/>
      </w:tblCellMar>
    </w:tblPr>
  </w:style>
  <w:style w:type="table" w:styleId="975" w:customStyle="1">
    <w:name w:val="Lined - Accent 4"/>
    <w:uiPriority w:val="99"/>
    <w:qFormat/>
    <w:rPr>
      <w:color w:val="404040"/>
    </w:rPr>
    <w:tblPr>
      <w:tblCellMar>
        <w:left w:w="0" w:type="dxa"/>
        <w:top w:w="0" w:type="dxa"/>
        <w:right w:w="0" w:type="dxa"/>
        <w:bottom w:w="0" w:type="dxa"/>
      </w:tblCellMar>
    </w:tblPr>
  </w:style>
  <w:style w:type="table" w:styleId="976" w:customStyle="1">
    <w:name w:val="Lined - Accent 5"/>
    <w:uiPriority w:val="99"/>
    <w:qFormat/>
    <w:rPr>
      <w:color w:val="404040"/>
    </w:rPr>
    <w:tblPr>
      <w:tblCellMar>
        <w:left w:w="0" w:type="dxa"/>
        <w:top w:w="0" w:type="dxa"/>
        <w:right w:w="0" w:type="dxa"/>
        <w:bottom w:w="0" w:type="dxa"/>
      </w:tblCellMar>
    </w:tblPr>
  </w:style>
  <w:style w:type="table" w:styleId="977" w:customStyle="1">
    <w:name w:val="Lined - Accent 6"/>
    <w:uiPriority w:val="99"/>
    <w:qFormat/>
    <w:rPr>
      <w:color w:val="404040"/>
    </w:rPr>
    <w:tblPr>
      <w:tblCellMar>
        <w:left w:w="0" w:type="dxa"/>
        <w:top w:w="0" w:type="dxa"/>
        <w:right w:w="0" w:type="dxa"/>
        <w:bottom w:w="0" w:type="dxa"/>
      </w:tblCellMar>
    </w:tblPr>
  </w:style>
  <w:style w:type="table" w:styleId="97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2" w:customStyle="1">
    <w:name w:val="脚注文本 字符"/>
    <w:link w:val="760"/>
    <w:uiPriority w:val="99"/>
    <w:qFormat/>
    <w:rPr>
      <w:sz w:val="18"/>
    </w:rPr>
  </w:style>
  <w:style w:type="character" w:styleId="993" w:customStyle="1">
    <w:name w:val="尾注文本 字符"/>
    <w:link w:val="753"/>
    <w:uiPriority w:val="99"/>
    <w:qFormat/>
    <w:rPr>
      <w:sz w:val="20"/>
    </w:rPr>
  </w:style>
  <w:style w:type="paragraph" w:styleId="994" w:customStyle="1">
    <w:name w:val="TOC 标题11"/>
    <w:uiPriority w:val="39"/>
    <w:unhideWhenUsed/>
    <w:qFormat/>
    <w:rPr>
      <w:rFonts w:hint="default" w:ascii="Times New Roman" w:hAnsi="Times New Roman" w:eastAsia="宋体" w:cs="Times New Roman"/>
      <w:lang w:val="en-US" w:eastAsia="zh-CN" w:bidi="ar-SA"/>
    </w:rPr>
  </w:style>
  <w:style w:type="paragraph" w:styleId="995" w:customStyle="1">
    <w:name w:val="标题 11"/>
    <w:basedOn w:val="778"/>
    <w:next w:val="783"/>
    <w:link w:val="1023"/>
    <w:uiPriority w:val="0"/>
    <w:qFormat/>
    <w:pPr>
      <w:jc w:val="center"/>
      <w:keepLines/>
      <w:keepNext/>
      <w:spacing w:line="578" w:lineRule="auto"/>
      <w:outlineLvl w:val="0"/>
    </w:pPr>
    <w:rPr>
      <w:rFonts w:eastAsia="新宋体"/>
      <w:b/>
      <w:bCs/>
      <w:sz w:val="30"/>
      <w:szCs w:val="44"/>
    </w:rPr>
  </w:style>
  <w:style w:type="paragraph" w:styleId="996" w:customStyle="1">
    <w:name w:val="标题 21"/>
    <w:basedOn w:val="778"/>
    <w:next w:val="778"/>
    <w:link w:val="1013"/>
    <w:uiPriority w:val="0"/>
    <w:qFormat/>
    <w:pPr>
      <w:keepLines/>
      <w:keepNext/>
      <w:spacing w:before="260" w:after="260" w:line="416" w:lineRule="auto"/>
      <w:outlineLvl w:val="1"/>
    </w:pPr>
    <w:rPr>
      <w:rFonts w:ascii="Cambria" w:hAnsi="Cambria"/>
      <w:b/>
      <w:bCs/>
      <w:sz w:val="32"/>
      <w:szCs w:val="32"/>
    </w:rPr>
  </w:style>
  <w:style w:type="paragraph" w:styleId="997" w:customStyle="1">
    <w:name w:val="标题 31"/>
    <w:basedOn w:val="778"/>
    <w:next w:val="778"/>
    <w:link w:val="1009"/>
    <w:uiPriority w:val="0"/>
    <w:qFormat/>
    <w:pPr>
      <w:keepLines/>
      <w:keepNext/>
      <w:spacing w:before="260" w:after="260" w:line="416" w:lineRule="auto"/>
      <w:outlineLvl w:val="2"/>
    </w:pPr>
    <w:rPr>
      <w:b/>
      <w:bCs/>
      <w:sz w:val="32"/>
      <w:szCs w:val="32"/>
    </w:rPr>
  </w:style>
  <w:style w:type="paragraph" w:styleId="998" w:customStyle="1">
    <w:name w:val="标题 51"/>
    <w:basedOn w:val="778"/>
    <w:next w:val="778"/>
    <w:link w:val="1022"/>
    <w:uiPriority w:val="0"/>
    <w:qFormat/>
    <w:pPr>
      <w:keepLines/>
      <w:keepNext/>
      <w:spacing w:before="280" w:after="290" w:line="376" w:lineRule="auto"/>
      <w:outlineLvl w:val="4"/>
    </w:pPr>
    <w:rPr>
      <w:b/>
      <w:bCs/>
      <w:sz w:val="28"/>
      <w:szCs w:val="28"/>
    </w:rPr>
  </w:style>
  <w:style w:type="paragraph" w:styleId="999" w:customStyle="1">
    <w:name w:val="标题 71"/>
    <w:basedOn w:val="778"/>
    <w:next w:val="778"/>
    <w:link w:val="1027"/>
    <w:uiPriority w:val="0"/>
    <w:qFormat/>
    <w:pPr>
      <w:keepLines/>
      <w:keepNext/>
      <w:spacing w:before="240" w:after="64" w:line="320" w:lineRule="auto"/>
      <w:outlineLvl w:val="6"/>
    </w:pPr>
    <w:rPr>
      <w:rFonts w:ascii="Calibri" w:hAnsi="Calibri"/>
      <w:b/>
      <w:bCs/>
      <w:sz w:val="24"/>
    </w:rPr>
  </w:style>
  <w:style w:type="character" w:styleId="1000" w:customStyle="1">
    <w:name w:val="默认段落字体1"/>
    <w:uiPriority w:val="0"/>
    <w:semiHidden/>
    <w:qFormat/>
  </w:style>
  <w:style w:type="table" w:styleId="1001" w:customStyle="1">
    <w:name w:val="普通表格1"/>
    <w:uiPriority w:val="0"/>
    <w:semiHidden/>
    <w:qFormat/>
    <w:tblPr>
      <w:tblCellMar>
        <w:left w:w="0" w:type="dxa"/>
        <w:top w:w="0" w:type="dxa"/>
        <w:right w:w="0" w:type="dxa"/>
        <w:bottom w:w="0" w:type="dxa"/>
      </w:tblCellMar>
    </w:tblPr>
  </w:style>
  <w:style w:type="character" w:styleId="1002" w:customStyle="1">
    <w:name w:val="超链接1"/>
    <w:uiPriority w:val="0"/>
    <w:qFormat/>
    <w:rPr>
      <w:color w:val="0000ff"/>
      <w:u w:val="single"/>
    </w:rPr>
  </w:style>
  <w:style w:type="character" w:styleId="1003" w:customStyle="1">
    <w:name w:val="批注引用1"/>
    <w:uiPriority w:val="0"/>
    <w:qFormat/>
    <w:rPr>
      <w:sz w:val="21"/>
      <w:szCs w:val="21"/>
    </w:rPr>
  </w:style>
  <w:style w:type="character" w:styleId="1004" w:customStyle="1">
    <w:name w:val="强调1"/>
    <w:uiPriority w:val="0"/>
    <w:qFormat/>
    <w:rPr>
      <w:i/>
    </w:rPr>
  </w:style>
  <w:style w:type="character" w:styleId="1005" w:customStyle="1">
    <w:name w:val="要点1"/>
    <w:uiPriority w:val="0"/>
    <w:qFormat/>
    <w:rPr>
      <w:b/>
      <w:bCs/>
    </w:rPr>
  </w:style>
  <w:style w:type="character" w:styleId="1006" w:customStyle="1">
    <w:name w:val="页码1"/>
    <w:uiPriority w:val="0"/>
    <w:qFormat/>
  </w:style>
  <w:style w:type="character" w:styleId="1007" w:customStyle="1">
    <w:name w:val="日期 Char"/>
    <w:uiPriority w:val="0"/>
    <w:semiHidden/>
    <w:qFormat/>
  </w:style>
  <w:style w:type="character" w:styleId="1008" w:customStyle="1">
    <w:name w:val="标题 4 字符1"/>
    <w:link w:val="806"/>
    <w:uiPriority w:val="0"/>
    <w:semiHidden/>
    <w:qFormat/>
    <w:rPr>
      <w:rFonts w:ascii="Cambria" w:hAnsi="Cambria"/>
      <w:b/>
      <w:bCs/>
      <w:sz w:val="28"/>
      <w:szCs w:val="28"/>
    </w:rPr>
  </w:style>
  <w:style w:type="character" w:styleId="1009" w:customStyle="1">
    <w:name w:val="标题 3 字符"/>
    <w:link w:val="997"/>
    <w:uiPriority w:val="0"/>
    <w:semiHidden/>
    <w:qFormat/>
    <w:rPr>
      <w:b/>
      <w:bCs/>
      <w:sz w:val="32"/>
      <w:szCs w:val="32"/>
    </w:rPr>
  </w:style>
  <w:style w:type="character" w:styleId="1010" w:customStyle="1">
    <w:name w:val="标题 4 Char"/>
    <w:uiPriority w:val="0"/>
    <w:semiHidden/>
    <w:qFormat/>
    <w:rPr>
      <w:rFonts w:ascii="Cambria" w:hAnsi="Cambria" w:eastAsia="宋体"/>
      <w:b/>
      <w:bCs/>
      <w:sz w:val="28"/>
      <w:szCs w:val="28"/>
    </w:rPr>
  </w:style>
  <w:style w:type="character" w:styleId="1011" w:customStyle="1">
    <w:name w:val="批注框文本 字符"/>
    <w:link w:val="1012"/>
    <w:uiPriority w:val="0"/>
    <w:qFormat/>
    <w:rPr>
      <w:sz w:val="18"/>
      <w:szCs w:val="18"/>
    </w:rPr>
  </w:style>
  <w:style w:type="paragraph" w:styleId="1012" w:customStyle="1">
    <w:name w:val="批注框文本1"/>
    <w:basedOn w:val="778"/>
    <w:link w:val="1011"/>
    <w:uiPriority w:val="0"/>
    <w:qFormat/>
    <w:rPr>
      <w:sz w:val="18"/>
      <w:szCs w:val="18"/>
    </w:rPr>
  </w:style>
  <w:style w:type="character" w:styleId="1013" w:customStyle="1">
    <w:name w:val="标题 2 字符1"/>
    <w:link w:val="996"/>
    <w:uiPriority w:val="0"/>
    <w:qFormat/>
    <w:rPr>
      <w:rFonts w:ascii="Cambria" w:hAnsi="Cambria"/>
      <w:b/>
      <w:bCs/>
      <w:sz w:val="32"/>
      <w:szCs w:val="32"/>
    </w:rPr>
  </w:style>
  <w:style w:type="character" w:styleId="1014" w:customStyle="1">
    <w:name w:val="正文文本首行缩进 字符"/>
    <w:uiPriority w:val="0"/>
    <w:qFormat/>
  </w:style>
  <w:style w:type="character" w:styleId="1015" w:customStyle="1">
    <w:name w:val="批注框文本 Char"/>
    <w:uiPriority w:val="0"/>
    <w:semiHidden/>
    <w:qFormat/>
    <w:rPr>
      <w:sz w:val="18"/>
      <w:szCs w:val="18"/>
    </w:rPr>
  </w:style>
  <w:style w:type="character" w:styleId="1016" w:customStyle="1">
    <w:name w:val="批注主题 字符"/>
    <w:link w:val="1017"/>
    <w:uiPriority w:val="0"/>
    <w:qFormat/>
    <w:rPr>
      <w:b/>
      <w:bCs/>
      <w:sz w:val="21"/>
      <w:szCs w:val="24"/>
    </w:rPr>
  </w:style>
  <w:style w:type="paragraph" w:styleId="1017" w:customStyle="1">
    <w:name w:val="批注主题1"/>
    <w:basedOn w:val="1018"/>
    <w:next w:val="1018"/>
    <w:link w:val="1016"/>
    <w:uiPriority w:val="0"/>
    <w:qFormat/>
    <w:rPr>
      <w:b/>
      <w:bCs/>
    </w:rPr>
  </w:style>
  <w:style w:type="paragraph" w:styleId="1018" w:customStyle="1">
    <w:name w:val="批注文字1"/>
    <w:basedOn w:val="778"/>
    <w:link w:val="1019"/>
    <w:uiPriority w:val="0"/>
    <w:qFormat/>
    <w:pPr>
      <w:jc w:val="left"/>
    </w:pPr>
  </w:style>
  <w:style w:type="character" w:styleId="1019" w:customStyle="1">
    <w:name w:val="批注文字 字符"/>
    <w:link w:val="1018"/>
    <w:uiPriority w:val="0"/>
    <w:qFormat/>
    <w:rPr>
      <w:sz w:val="21"/>
      <w:szCs w:val="24"/>
    </w:rPr>
  </w:style>
  <w:style w:type="character" w:styleId="1020" w:customStyle="1">
    <w:name w:val="页眉 字符"/>
    <w:link w:val="1021"/>
    <w:uiPriority w:val="0"/>
    <w:qFormat/>
    <w:rPr>
      <w:sz w:val="18"/>
      <w:szCs w:val="18"/>
    </w:rPr>
  </w:style>
  <w:style w:type="paragraph" w:styleId="1021" w:customStyle="1">
    <w:name w:val="页眉1"/>
    <w:basedOn w:val="778"/>
    <w:link w:val="1020"/>
    <w:uiPriority w:val="0"/>
    <w:qFormat/>
    <w:pPr>
      <w:jc w:val="center"/>
      <w:tabs>
        <w:tab w:val="center" w:pos="4153" w:leader="none"/>
        <w:tab w:val="right" w:pos="8306" w:leader="none"/>
      </w:tabs>
      <w:pBdr>
        <w:bottom w:val="single" w:color="000000" w:sz="6" w:space="1"/>
      </w:pBdr>
    </w:pPr>
    <w:rPr>
      <w:sz w:val="18"/>
      <w:szCs w:val="18"/>
    </w:rPr>
  </w:style>
  <w:style w:type="character" w:styleId="1022" w:customStyle="1">
    <w:name w:val="标题 5 字符"/>
    <w:link w:val="998"/>
    <w:uiPriority w:val="0"/>
    <w:semiHidden/>
    <w:qFormat/>
    <w:rPr>
      <w:b/>
      <w:bCs/>
      <w:sz w:val="28"/>
      <w:szCs w:val="28"/>
    </w:rPr>
  </w:style>
  <w:style w:type="character" w:styleId="1023" w:customStyle="1">
    <w:name w:val="标题 1 字符"/>
    <w:link w:val="995"/>
    <w:uiPriority w:val="0"/>
    <w:qFormat/>
    <w:rPr>
      <w:rFonts w:eastAsia="新宋体"/>
      <w:b/>
      <w:bCs/>
      <w:sz w:val="30"/>
      <w:szCs w:val="44"/>
    </w:rPr>
  </w:style>
  <w:style w:type="character" w:styleId="1024" w:customStyle="1">
    <w:name w:val="标题 4 字符"/>
    <w:uiPriority w:val="0"/>
    <w:semiHidden/>
    <w:qFormat/>
    <w:rPr>
      <w:rFonts w:ascii="等线 Light" w:hAnsi="等线 Light" w:eastAsia="等线 Light"/>
      <w:b/>
      <w:bCs/>
      <w:sz w:val="28"/>
      <w:szCs w:val="28"/>
    </w:rPr>
  </w:style>
  <w:style w:type="character" w:styleId="1025" w:customStyle="1">
    <w:name w:val="纯文本 Char"/>
    <w:uiPriority w:val="0"/>
    <w:qFormat/>
    <w:rPr>
      <w:rFonts w:ascii="宋体" w:hAnsi="Courier New" w:eastAsia="宋体"/>
      <w:sz w:val="21"/>
      <w:szCs w:val="21"/>
    </w:rPr>
  </w:style>
  <w:style w:type="character" w:styleId="1026" w:customStyle="1">
    <w:name w:val="apple-converted-space"/>
    <w:uiPriority w:val="0"/>
    <w:qFormat/>
  </w:style>
  <w:style w:type="character" w:styleId="1027" w:customStyle="1">
    <w:name w:val="标题 7 字符"/>
    <w:link w:val="999"/>
    <w:uiPriority w:val="0"/>
    <w:semiHidden/>
    <w:qFormat/>
    <w:rPr>
      <w:rFonts w:ascii="Calibri" w:hAnsi="Calibri"/>
      <w:b/>
      <w:bCs/>
      <w:sz w:val="24"/>
      <w:szCs w:val="24"/>
    </w:rPr>
  </w:style>
  <w:style w:type="character" w:styleId="1028" w:customStyle="1">
    <w:name w:val="正文缩进 字符"/>
    <w:link w:val="1029"/>
    <w:uiPriority w:val="0"/>
    <w:qFormat/>
    <w:rPr>
      <w:sz w:val="21"/>
      <w:szCs w:val="24"/>
      <w:lang w:bidi="ar-SA"/>
    </w:rPr>
  </w:style>
  <w:style w:type="paragraph" w:styleId="1029" w:customStyle="1">
    <w:name w:val="正文缩进1"/>
    <w:basedOn w:val="778"/>
    <w:link w:val="1028"/>
    <w:uiPriority w:val="0"/>
    <w:qFormat/>
    <w:pPr>
      <w:ind w:firstLine="420"/>
    </w:pPr>
  </w:style>
  <w:style w:type="character" w:styleId="1030" w:customStyle="1">
    <w:name w:val="文档结构图 字符1"/>
    <w:link w:val="1031"/>
    <w:uiPriority w:val="0"/>
    <w:qFormat/>
    <w:rPr>
      <w:rFonts w:ascii="宋体" w:hAnsi="Calibri"/>
      <w:sz w:val="18"/>
      <w:szCs w:val="18"/>
    </w:rPr>
  </w:style>
  <w:style w:type="paragraph" w:styleId="1031" w:customStyle="1">
    <w:name w:val="文档结构图1"/>
    <w:basedOn w:val="778"/>
    <w:link w:val="1030"/>
    <w:uiPriority w:val="0"/>
    <w:qFormat/>
    <w:rPr>
      <w:rFonts w:ascii="宋体" w:hAnsi="Calibri"/>
      <w:sz w:val="18"/>
      <w:szCs w:val="18"/>
    </w:rPr>
  </w:style>
  <w:style w:type="character" w:styleId="1032" w:customStyle="1">
    <w:name w:val="正文文本 字符"/>
    <w:link w:val="785"/>
    <w:uiPriority w:val="0"/>
    <w:qFormat/>
    <w:rPr>
      <w:rFonts w:ascii="Calibri" w:hAnsi="Calibri"/>
      <w:sz w:val="21"/>
      <w:szCs w:val="24"/>
    </w:rPr>
  </w:style>
  <w:style w:type="character" w:styleId="1033" w:customStyle="1">
    <w:name w:val="正文文本缩进 字符"/>
    <w:link w:val="793"/>
    <w:uiPriority w:val="0"/>
    <w:qFormat/>
    <w:rPr>
      <w:rFonts w:ascii="Calibri" w:hAnsi="Calibri"/>
      <w:sz w:val="21"/>
      <w:szCs w:val="24"/>
    </w:rPr>
  </w:style>
  <w:style w:type="character" w:styleId="1034" w:customStyle="1">
    <w:name w:val="纯文本 字符"/>
    <w:link w:val="1035"/>
    <w:uiPriority w:val="0"/>
    <w:qFormat/>
    <w:rPr>
      <w:rFonts w:ascii="宋体" w:hAnsi="Courier New"/>
      <w:sz w:val="21"/>
    </w:rPr>
  </w:style>
  <w:style w:type="paragraph" w:styleId="1035" w:customStyle="1">
    <w:name w:val="纯文本1"/>
    <w:basedOn w:val="778"/>
    <w:link w:val="1034"/>
    <w:uiPriority w:val="0"/>
    <w:qFormat/>
    <w:rPr>
      <w:rFonts w:ascii="宋体" w:hAnsi="Courier New"/>
      <w:sz w:val="20"/>
      <w:szCs w:val="20"/>
    </w:rPr>
  </w:style>
  <w:style w:type="character" w:styleId="1036" w:customStyle="1">
    <w:name w:val="日期 字符"/>
    <w:link w:val="1037"/>
    <w:uiPriority w:val="0"/>
    <w:qFormat/>
    <w:rPr>
      <w:rFonts w:eastAsia="仿宋_GB2312"/>
      <w:sz w:val="28"/>
    </w:rPr>
  </w:style>
  <w:style w:type="paragraph" w:styleId="1037" w:customStyle="1">
    <w:name w:val="日期1"/>
    <w:basedOn w:val="778"/>
    <w:next w:val="778"/>
    <w:link w:val="1036"/>
    <w:uiPriority w:val="0"/>
    <w:qFormat/>
    <w:rPr>
      <w:rFonts w:eastAsia="仿宋_GB2312"/>
      <w:sz w:val="28"/>
      <w:szCs w:val="20"/>
    </w:rPr>
  </w:style>
  <w:style w:type="character" w:styleId="1038" w:customStyle="1">
    <w:name w:val="正文文本缩进 2 字符"/>
    <w:link w:val="1039"/>
    <w:uiPriority w:val="0"/>
    <w:qFormat/>
    <w:rPr>
      <w:rFonts w:ascii="仿宋_GB2312" w:eastAsia="仿宋_GB2312"/>
      <w:sz w:val="24"/>
      <w:szCs w:val="24"/>
      <w:lang w:bidi="ar-SA"/>
    </w:rPr>
  </w:style>
  <w:style w:type="paragraph" w:styleId="1039" w:customStyle="1">
    <w:name w:val="正文文本缩进 21"/>
    <w:basedOn w:val="778"/>
    <w:link w:val="1038"/>
    <w:uiPriority w:val="0"/>
    <w:qFormat/>
    <w:pPr>
      <w:ind w:firstLine="475"/>
      <w:spacing w:line="10" w:lineRule="atLeast"/>
    </w:pPr>
    <w:rPr>
      <w:rFonts w:ascii="仿宋_GB2312" w:eastAsia="仿宋_GB2312"/>
      <w:sz w:val="24"/>
    </w:rPr>
  </w:style>
  <w:style w:type="character" w:styleId="1040" w:customStyle="1">
    <w:name w:val="页脚 字符"/>
    <w:link w:val="1041"/>
    <w:uiPriority w:val="0"/>
    <w:qFormat/>
    <w:rPr>
      <w:sz w:val="18"/>
      <w:szCs w:val="18"/>
    </w:rPr>
  </w:style>
  <w:style w:type="paragraph" w:styleId="1041" w:customStyle="1">
    <w:name w:val="页脚1"/>
    <w:basedOn w:val="778"/>
    <w:link w:val="1040"/>
    <w:uiPriority w:val="0"/>
    <w:qFormat/>
    <w:pPr>
      <w:jc w:val="left"/>
      <w:tabs>
        <w:tab w:val="center" w:pos="4153" w:leader="none"/>
        <w:tab w:val="right" w:pos="8306" w:leader="none"/>
      </w:tabs>
    </w:pPr>
    <w:rPr>
      <w:sz w:val="18"/>
      <w:szCs w:val="18"/>
    </w:rPr>
  </w:style>
  <w:style w:type="character" w:styleId="1042" w:customStyle="1">
    <w:name w:val="正文首行缩进 字符"/>
    <w:link w:val="780"/>
    <w:uiPriority w:val="0"/>
    <w:qFormat/>
    <w:rPr>
      <w:rFonts w:ascii="仿宋_GB2312" w:hAnsi="Times New Roman" w:eastAsia="仿宋_GB2312"/>
      <w:sz w:val="30"/>
      <w:szCs w:val="30"/>
    </w:rPr>
  </w:style>
  <w:style w:type="character" w:styleId="1043" w:customStyle="1">
    <w:name w:val="正文首行缩进 2 字符1"/>
    <w:link w:val="792"/>
    <w:uiPriority w:val="0"/>
    <w:qFormat/>
  </w:style>
  <w:style w:type="character" w:styleId="1044" w:customStyle="1">
    <w:name w:val="标题 2 字符"/>
    <w:uiPriority w:val="0"/>
    <w:semiHidden/>
    <w:qFormat/>
    <w:rPr>
      <w:rFonts w:ascii="等线 Light" w:hAnsi="等线 Light" w:eastAsia="等线 Light"/>
      <w:b/>
      <w:bCs/>
      <w:sz w:val="32"/>
      <w:szCs w:val="32"/>
    </w:rPr>
  </w:style>
  <w:style w:type="character" w:styleId="1045" w:customStyle="1">
    <w:name w:val="批注文字 Char"/>
    <w:uiPriority w:val="0"/>
    <w:qFormat/>
    <w:rPr>
      <w:rFonts w:ascii="Times New Roman" w:hAnsi="Times New Roman"/>
      <w:sz w:val="21"/>
    </w:rPr>
  </w:style>
  <w:style w:type="character" w:styleId="1046" w:customStyle="1">
    <w:name w:val="正文首行缩进 2 字符"/>
    <w:link w:val="1047"/>
    <w:uiPriority w:val="0"/>
    <w:qFormat/>
    <w:rPr>
      <w:sz w:val="21"/>
      <w:szCs w:val="24"/>
    </w:rPr>
  </w:style>
  <w:style w:type="paragraph" w:styleId="1047" w:customStyle="1">
    <w:name w:val="_Style 63"/>
    <w:basedOn w:val="793"/>
    <w:next w:val="778"/>
    <w:link w:val="1046"/>
    <w:uiPriority w:val="0"/>
    <w:qFormat/>
    <w:pPr>
      <w:ind w:firstLine="420"/>
    </w:pPr>
    <w:rPr>
      <w:rFonts w:ascii="Times New Roman" w:hAnsi="Times New Roman"/>
    </w:rPr>
  </w:style>
  <w:style w:type="character" w:styleId="1048" w:customStyle="1">
    <w:name w:val="标书正文 Char1"/>
    <w:link w:val="1049"/>
    <w:uiPriority w:val="0"/>
    <w:qFormat/>
    <w:rPr>
      <w:color w:val="000000"/>
      <w:sz w:val="22"/>
      <w:szCs w:val="28"/>
      <w:lang w:eastAsia="en-US"/>
    </w:rPr>
  </w:style>
  <w:style w:type="paragraph" w:styleId="1049" w:customStyle="1">
    <w:name w:val="标书正文"/>
    <w:basedOn w:val="778"/>
    <w:link w:val="1048"/>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50" w:customStyle="1">
    <w:name w:val="font01"/>
    <w:uiPriority w:val="0"/>
    <w:qFormat/>
    <w:rPr>
      <w:rFonts w:ascii="仿宋" w:hAnsi="仿宋" w:eastAsia="仿宋"/>
      <w:color w:val="000000"/>
      <w:sz w:val="20"/>
      <w:szCs w:val="20"/>
      <w:u w:val="none"/>
    </w:rPr>
  </w:style>
  <w:style w:type="character" w:styleId="1051" w:customStyle="1">
    <w:name w:val="标题 3 Char"/>
    <w:uiPriority w:val="0"/>
    <w:qFormat/>
    <w:rPr>
      <w:rFonts w:ascii="Arial" w:hAnsi="Arial" w:eastAsia="宋体"/>
      <w:b/>
      <w:sz w:val="32"/>
      <w:szCs w:val="20"/>
    </w:rPr>
  </w:style>
  <w:style w:type="character" w:styleId="1052" w:customStyle="1">
    <w:name w:val="批注主题 Char"/>
    <w:uiPriority w:val="0"/>
    <w:semiHidden/>
    <w:qFormat/>
    <w:rPr>
      <w:rFonts w:ascii="Times New Roman" w:hAnsi="Times New Roman"/>
      <w:b/>
      <w:bCs/>
      <w:sz w:val="21"/>
    </w:rPr>
  </w:style>
  <w:style w:type="character" w:styleId="1053" w:customStyle="1">
    <w:name w:val="font41"/>
    <w:uiPriority w:val="0"/>
    <w:qFormat/>
    <w:rPr>
      <w:rFonts w:ascii="Symbol" w:hAnsi="Symbol"/>
      <w:color w:val="000000"/>
      <w:sz w:val="20"/>
      <w:szCs w:val="20"/>
      <w:u w:val="none"/>
    </w:rPr>
  </w:style>
  <w:style w:type="character" w:styleId="1054" w:customStyle="1">
    <w:name w:val="文档结构图 Char"/>
    <w:uiPriority w:val="0"/>
    <w:semiHidden/>
    <w:qFormat/>
    <w:rPr>
      <w:rFonts w:ascii="宋体"/>
      <w:sz w:val="18"/>
      <w:szCs w:val="18"/>
    </w:rPr>
  </w:style>
  <w:style w:type="character" w:styleId="1055" w:customStyle="1">
    <w:name w:val="文档结构图 字符"/>
    <w:uiPriority w:val="0"/>
    <w:qFormat/>
    <w:rPr>
      <w:rFonts w:ascii="Microsoft YaHei UI" w:eastAsia="Microsoft YaHei UI"/>
      <w:sz w:val="18"/>
      <w:szCs w:val="18"/>
    </w:rPr>
  </w:style>
  <w:style w:type="character" w:styleId="1056" w:customStyle="1">
    <w:name w:val="正文文本 Char"/>
    <w:uiPriority w:val="0"/>
    <w:qFormat/>
    <w:rPr>
      <w:sz w:val="21"/>
      <w:szCs w:val="24"/>
    </w:rPr>
  </w:style>
  <w:style w:type="character" w:styleId="1057" w:customStyle="1">
    <w:name w:val="纯文本 Char1"/>
    <w:uiPriority w:val="0"/>
    <w:qFormat/>
    <w:rPr>
      <w:rFonts w:ascii="宋体" w:hAnsi="Courier New" w:eastAsia="宋体"/>
      <w:sz w:val="20"/>
      <w:szCs w:val="20"/>
    </w:rPr>
  </w:style>
  <w:style w:type="character" w:styleId="1058" w:customStyle="1">
    <w:name w:val="页脚 Char"/>
    <w:uiPriority w:val="0"/>
    <w:qFormat/>
    <w:rPr>
      <w:sz w:val="18"/>
      <w:szCs w:val="18"/>
    </w:rPr>
  </w:style>
  <w:style w:type="character" w:styleId="1059" w:customStyle="1">
    <w:name w:val="NormalCharacter"/>
    <w:link w:val="783"/>
    <w:uiPriority w:val="0"/>
    <w:semiHidden/>
    <w:qFormat/>
    <w:rPr>
      <w:rFonts w:hint="default" w:ascii="Times New Roman" w:hAnsi="Times New Roman" w:eastAsia="宋体" w:cs="Times New Roman"/>
      <w:sz w:val="21"/>
      <w:szCs w:val="24"/>
      <w:lang w:val="en-US" w:eastAsia="zh-CN" w:bidi="ar-SA"/>
    </w:rPr>
  </w:style>
  <w:style w:type="character" w:styleId="1060" w:customStyle="1">
    <w:name w:val="页眉 Char"/>
    <w:link w:val="778"/>
    <w:uiPriority w:val="0"/>
    <w:qFormat/>
    <w:rPr>
      <w:sz w:val="18"/>
      <w:szCs w:val="18"/>
    </w:rPr>
  </w:style>
  <w:style w:type="paragraph" w:styleId="1061" w:customStyle="1">
    <w:name w:val="普通(网站)1"/>
    <w:basedOn w:val="783"/>
    <w:uiPriority w:val="0"/>
    <w:qFormat/>
    <w:pPr>
      <w:jc w:val="left"/>
      <w:spacing w:before="100" w:beforeAutospacing="1" w:after="100" w:afterAutospacing="1"/>
      <w:widowControl/>
    </w:pPr>
    <w:rPr>
      <w:rFonts w:ascii="宋体" w:hAnsi="宋体"/>
      <w:sz w:val="24"/>
    </w:rPr>
  </w:style>
  <w:style w:type="paragraph" w:styleId="1062" w:customStyle="1">
    <w:name w:val="索引 41"/>
    <w:basedOn w:val="778"/>
    <w:next w:val="778"/>
    <w:uiPriority w:val="0"/>
    <w:qFormat/>
    <w:pPr>
      <w:ind w:left="600"/>
    </w:pPr>
    <w:rPr>
      <w:rFonts w:ascii="Calibri" w:hAnsi="Calibri"/>
      <w:sz w:val="22"/>
      <w:szCs w:val="22"/>
    </w:rPr>
  </w:style>
  <w:style w:type="paragraph" w:styleId="1063" w:customStyle="1">
    <w:name w:val="_Style 48"/>
    <w:basedOn w:val="778"/>
    <w:next w:val="1064"/>
    <w:uiPriority w:val="0"/>
    <w:qFormat/>
    <w:pPr>
      <w:ind w:firstLine="420"/>
    </w:pPr>
    <w:rPr>
      <w:rFonts w:eastAsia="微软雅黑"/>
      <w:sz w:val="24"/>
    </w:rPr>
  </w:style>
  <w:style w:type="paragraph" w:styleId="1064" w:customStyle="1">
    <w:name w:val="列出段落1"/>
    <w:basedOn w:val="778"/>
    <w:uiPriority w:val="0"/>
    <w:qFormat/>
    <w:pPr>
      <w:ind w:firstLine="420"/>
    </w:pPr>
  </w:style>
  <w:style w:type="paragraph" w:styleId="1065"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66" w:customStyle="1">
    <w:name w:val="_Style 100"/>
    <w:basedOn w:val="778"/>
    <w:next w:val="778"/>
    <w:uiPriority w:val="0"/>
    <w:qFormat/>
    <w:pPr>
      <w:ind w:left="420"/>
    </w:pPr>
    <w:rPr>
      <w:rFonts w:ascii="Calibri" w:hAnsi="Calibri"/>
      <w:sz w:val="22"/>
      <w:szCs w:val="22"/>
    </w:rPr>
  </w:style>
  <w:style w:type="paragraph" w:styleId="1067" w:customStyle="1">
    <w:name w:val="p0"/>
    <w:basedOn w:val="778"/>
    <w:uiPriority w:val="0"/>
    <w:qFormat/>
    <w:pPr>
      <w:widowControl/>
    </w:pPr>
    <w:rPr>
      <w:szCs w:val="21"/>
    </w:rPr>
  </w:style>
  <w:style w:type="paragraph" w:styleId="1068" w:customStyle="1">
    <w:name w:val="TOC 标题2"/>
    <w:basedOn w:val="995"/>
    <w:next w:val="778"/>
    <w:uiPriority w:val="0"/>
    <w:qFormat/>
    <w:pPr>
      <w:jc w:val="left"/>
      <w:spacing w:before="480" w:line="276" w:lineRule="auto"/>
      <w:widowControl/>
      <w:outlineLvl w:val="9"/>
    </w:pPr>
    <w:rPr>
      <w:rFonts w:ascii="Cambria" w:hAnsi="Cambria" w:eastAsia="宋体"/>
      <w:color w:val="365f91"/>
      <w:sz w:val="28"/>
      <w:szCs w:val="28"/>
    </w:rPr>
  </w:style>
  <w:style w:type="paragraph" w:styleId="1069" w:customStyle="1">
    <w:name w:val="修订1"/>
    <w:uiPriority w:val="0"/>
    <w:qFormat/>
    <w:rPr>
      <w:rFonts w:hint="default" w:ascii="Times New Roman" w:hAnsi="Times New Roman" w:eastAsia="宋体" w:cs="Times New Roman"/>
      <w:sz w:val="21"/>
      <w:szCs w:val="24"/>
      <w:lang w:val="en-US" w:eastAsia="zh-CN" w:bidi="ar-SA"/>
    </w:rPr>
  </w:style>
  <w:style w:type="paragraph" w:styleId="1070" w:customStyle="1">
    <w:name w:val="UserStyle_1"/>
    <w:basedOn w:val="778"/>
    <w:uiPriority w:val="0"/>
    <w:qFormat/>
    <w:pPr>
      <w:ind w:left="-6" w:hanging="99"/>
      <w:jc w:val="left"/>
    </w:pPr>
    <w:rPr>
      <w:rFonts w:ascii="宋体"/>
      <w:b/>
    </w:rPr>
  </w:style>
  <w:style w:type="paragraph" w:styleId="1071" w:customStyle="1">
    <w:name w:val="首行缩进"/>
    <w:basedOn w:val="778"/>
    <w:uiPriority w:val="0"/>
    <w:qFormat/>
    <w:pPr>
      <w:ind w:firstLine="480"/>
    </w:pPr>
    <w:rPr>
      <w:sz w:val="20"/>
      <w:szCs w:val="20"/>
      <w:lang w:val="zh-CN"/>
    </w:rPr>
  </w:style>
  <w:style w:type="paragraph" w:styleId="1072" w:customStyle="1">
    <w:name w:val="Other|1"/>
    <w:basedOn w:val="778"/>
    <w:uiPriority w:val="0"/>
    <w:qFormat/>
    <w:pPr>
      <w:ind w:firstLine="400"/>
      <w:spacing w:line="418" w:lineRule="auto"/>
    </w:pPr>
    <w:rPr>
      <w:rFonts w:ascii="宋体" w:hAnsi="宋体"/>
      <w:sz w:val="30"/>
      <w:szCs w:val="30"/>
      <w:lang w:val="zh-TW" w:eastAsia="zh-TW" w:bidi="zh-TW"/>
    </w:rPr>
  </w:style>
  <w:style w:type="paragraph" w:styleId="1073" w:customStyle="1">
    <w:name w:val="投标文件正文"/>
    <w:basedOn w:val="778"/>
    <w:uiPriority w:val="0"/>
    <w:qFormat/>
    <w:pPr>
      <w:ind w:firstLine="200"/>
      <w:spacing w:before="40" w:after="40" w:line="400" w:lineRule="exact"/>
    </w:pPr>
    <w:rPr>
      <w:sz w:val="24"/>
    </w:rPr>
  </w:style>
  <w:style w:type="paragraph" w:styleId="1074" w:customStyle="1">
    <w:name w:val="179"/>
    <w:basedOn w:val="778"/>
    <w:uiPriority w:val="0"/>
    <w:qFormat/>
    <w:pPr>
      <w:ind w:firstLine="420"/>
      <w:jc w:val="left"/>
      <w:widowControl/>
    </w:pPr>
    <w:rPr>
      <w:rFonts w:ascii="宋体" w:hAnsi="宋体"/>
      <w:sz w:val="24"/>
    </w:rPr>
  </w:style>
  <w:style w:type="paragraph" w:styleId="1075"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76" w:customStyle="1">
    <w:name w:val="列出段落11"/>
    <w:basedOn w:val="778"/>
    <w:uiPriority w:val="0"/>
    <w:qFormat/>
    <w:pPr>
      <w:ind w:firstLine="420"/>
    </w:pPr>
    <w:rPr>
      <w:rFonts w:ascii="Calibri" w:hAnsi="Calibri"/>
    </w:rPr>
  </w:style>
  <w:style w:type="paragraph" w:styleId="1077" w:customStyle="1">
    <w:name w:val="_Style 15"/>
    <w:basedOn w:val="778"/>
    <w:next w:val="1064"/>
    <w:uiPriority w:val="0"/>
    <w:qFormat/>
    <w:pPr>
      <w:ind w:firstLine="420"/>
    </w:pPr>
    <w:rPr>
      <w:rFonts w:ascii="Calibri" w:hAnsi="Calibri"/>
      <w:sz w:val="22"/>
      <w:szCs w:val="22"/>
    </w:rPr>
  </w:style>
  <w:style w:type="paragraph" w:styleId="1078" w:customStyle="1">
    <w:name w:val="one-p"/>
    <w:basedOn w:val="778"/>
    <w:uiPriority w:val="0"/>
    <w:qFormat/>
    <w:pPr>
      <w:jc w:val="left"/>
      <w:spacing w:before="100" w:beforeAutospacing="1" w:after="100" w:afterAutospacing="1"/>
      <w:widowControl/>
    </w:pPr>
    <w:rPr>
      <w:rFonts w:ascii="宋体" w:hAnsi="宋体"/>
      <w:sz w:val="24"/>
    </w:rPr>
  </w:style>
  <w:style w:type="paragraph" w:styleId="1079" w:customStyle="1">
    <w:name w:val="BodyTextIndent"/>
    <w:basedOn w:val="778"/>
    <w:next w:val="1080"/>
    <w:uiPriority w:val="0"/>
    <w:qFormat/>
    <w:pPr>
      <w:ind w:left="420"/>
      <w:spacing w:after="120"/>
    </w:pPr>
    <w:rPr>
      <w:sz w:val="28"/>
      <w:szCs w:val="20"/>
    </w:rPr>
  </w:style>
  <w:style w:type="paragraph" w:styleId="1080" w:customStyle="1">
    <w:name w:val="EnvelopeReturn"/>
    <w:basedOn w:val="728"/>
    <w:uiPriority w:val="0"/>
    <w:qFormat/>
    <w:rPr>
      <w:rFonts w:ascii="Arial" w:hAnsi="Arial"/>
    </w:rPr>
  </w:style>
  <w:style w:type="paragraph" w:styleId="1081"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082" w:customStyle="1">
    <w:name w:val="网格型11"/>
    <w:basedOn w:val="1001"/>
    <w:uiPriority w:val="0"/>
    <w:qFormat/>
    <w:pPr>
      <w:jc w:val="both"/>
      <w:widowControl w:val="off"/>
    </w:pPr>
    <w:tblPr/>
  </w:style>
  <w:style w:type="table" w:styleId="1083" w:customStyle="1">
    <w:name w:val="网格型1"/>
    <w:basedOn w:val="1001"/>
    <w:uiPriority w:val="0"/>
    <w:qFormat/>
    <w:pPr>
      <w:jc w:val="both"/>
      <w:widowControl w:val="off"/>
    </w:pPr>
    <w:tblPr/>
  </w:style>
  <w:style w:type="paragraph" w:styleId="1084" w:customStyle="1">
    <w:name w:val="_HT_正文"/>
    <w:basedOn w:val="728"/>
    <w:uiPriority w:val="0"/>
    <w:qFormat/>
    <w:pPr>
      <w:ind w:firstLine="200"/>
      <w:jc w:val="both"/>
      <w:spacing w:line="360" w:lineRule="auto"/>
    </w:pPr>
    <w:rPr>
      <w:sz w:val="24"/>
    </w:rPr>
  </w:style>
  <w:style w:type="character" w:styleId="1085" w:customStyle="1">
    <w:name w:val="正文文本缩进 字符1"/>
    <w:basedOn w:val="738"/>
    <w:link w:val="747"/>
    <w:uiPriority w:val="99"/>
    <w:semiHidden/>
    <w:qFormat/>
  </w:style>
  <w:style w:type="character" w:styleId="1086" w:customStyle="1">
    <w:name w:val="正文文本首行缩进 2 字符"/>
    <w:basedOn w:val="1085"/>
    <w:link w:val="769"/>
    <w:uiPriority w:val="99"/>
    <w:semiHidden/>
    <w:qFormat/>
  </w:style>
  <w:style w:type="paragraph" w:styleId="1087" w:customStyle="1">
    <w:name w:val="Char"/>
    <w:basedOn w:val="744"/>
    <w:uiPriority w:val="0"/>
    <w:qFormat/>
    <w:rPr>
      <w:rFonts w:ascii="楷体_GB2312" w:hAnsi="楷体_GB2312" w:cs="CG Times"/>
      <w:sz w:val="28"/>
      <w:szCs w:val="28"/>
    </w:rPr>
  </w:style>
  <w:style w:type="paragraph" w:styleId="1088" w:customStyle="1">
    <w:name w:val="正文_0"/>
    <w:uiPriority w:val="0"/>
    <w:qFormat/>
    <w:rPr>
      <w:rFonts w:hint="default" w:ascii="Times New Roman" w:hAnsi="Times New Roman" w:eastAsia="宋体" w:cs="Times New Roman"/>
      <w:sz w:val="21"/>
      <w:szCs w:val="22"/>
      <w:lang w:val="en-US" w:eastAsia="zh-CN" w:bidi="ar-SA"/>
    </w:rPr>
  </w:style>
  <w:style w:type="paragraph" w:styleId="1089" w:customStyle="1">
    <w:name w:val="Table Paragraph"/>
    <w:basedOn w:val="783"/>
    <w:uiPriority w:val="0"/>
    <w:qFormat/>
    <w:pPr>
      <w:jc w:val="left"/>
    </w:pPr>
    <w:rPr>
      <w:rFonts w:ascii="宋体" w:hAnsi="宋体"/>
      <w:sz w:val="22"/>
      <w:lang w:val="zh-CN" w:bidi="zh-CN"/>
    </w:rPr>
  </w:style>
  <w:style w:type="paragraph" w:styleId="1090" w:customStyle="1">
    <w:name w:val="_Style 71"/>
    <w:basedOn w:val="728"/>
    <w:next w:val="875"/>
    <w:uiPriority w:val="34"/>
    <w:qFormat/>
    <w:pPr>
      <w:ind w:firstLine="420"/>
    </w:pPr>
    <w:rPr>
      <w:szCs w:val="24"/>
    </w:rPr>
  </w:style>
  <w:style w:type="paragraph" w:styleId="1091" w:customStyle="1">
    <w:name w:val="目录 111"/>
    <w:basedOn w:val="779"/>
    <w:next w:val="779"/>
    <w:uiPriority w:val="0"/>
    <w:qFormat/>
  </w:style>
  <w:style w:type="paragraph" w:styleId="1092" w:customStyle="1">
    <w:name w:val="列出段落"/>
    <w:basedOn w:val="783"/>
    <w:uiPriority w:val="0"/>
    <w:qFormat/>
    <w:pPr>
      <w:ind w:firstLine="420"/>
    </w:pPr>
  </w:style>
  <w:style w:type="character" w:styleId="1093" w:customStyle="1">
    <w:name w:val="font21"/>
    <w:basedOn w:val="738"/>
    <w:uiPriority w:val="0"/>
    <w:qFormat/>
    <w:rPr>
      <w:rFonts w:hint="eastAsia" w:ascii="宋体" w:hAnsi="宋体" w:eastAsia="宋体" w:cs="宋体"/>
      <w:color w:val="000000"/>
      <w:sz w:val="24"/>
      <w:szCs w:val="24"/>
      <w:u w:val="none"/>
    </w:rPr>
  </w:style>
  <w:style w:type="paragraph" w:styleId="1094" w:customStyle="1">
    <w:name w:val="UserStyle_21"/>
    <w:uiPriority w:val="0"/>
    <w:qFormat/>
    <w:pPr>
      <w:jc w:val="both"/>
    </w:pPr>
    <w:rPr>
      <w:rFonts w:hint="default" w:ascii="Times New Roman" w:hAnsi="Times New Roman" w:eastAsia="宋体" w:cstheme="minorBidi"/>
      <w:sz w:val="21"/>
      <w:szCs w:val="22"/>
      <w:lang w:val="en-US" w:eastAsia="zh-CN" w:bidi="ar-SA"/>
    </w:rPr>
  </w:style>
  <w:style w:type="character" w:styleId="1095" w:customStyle="1">
    <w:name w:val="wyg1"/>
    <w:uiPriority w:val="6"/>
    <w:qFormat/>
    <w:rPr>
      <w:rFonts w:hint="default" w:ascii="Times New Roman" w:hAnsi="Times New Roman" w:eastAsia="宋体" w:cstheme="minorBidi"/>
      <w:sz w:val="21"/>
      <w:szCs w:val="24"/>
      <w:lang w:val="en-US" w:eastAsia="zh-CN" w:bidi="ar-SA"/>
    </w:rPr>
  </w:style>
  <w:style w:type="paragraph" w:styleId="1096" w:customStyle="1">
    <w:name w:val="正文缩进11"/>
    <w:basedOn w:val="728"/>
    <w:uiPriority w:val="0"/>
    <w:unhideWhenUsed/>
    <w:qFormat/>
    <w:pPr>
      <w:ind w:firstLine="420"/>
    </w:pPr>
  </w:style>
  <w:style w:type="paragraph" w:styleId="1097" w:customStyle="1">
    <w:name w:val="Body text|21"/>
    <w:basedOn w:val="728"/>
    <w:uiPriority w:val="0"/>
    <w:qFormat/>
    <w:pPr>
      <w:spacing w:before="500" w:after="260" w:line="200" w:lineRule="exact"/>
      <w:shd w:val="clear" w:color="auto" w:fill="ffffff"/>
    </w:pPr>
    <w:rPr>
      <w:rFonts w:ascii="PMingLiU" w:hAnsi="PMingLiU" w:eastAsia="PMingLiU" w:cs="PMingLiU"/>
      <w:spacing w:val="10"/>
    </w:rPr>
  </w:style>
  <w:style w:type="character" w:styleId="1098" w:customStyle="1">
    <w:name w:val="font71"/>
    <w:basedOn w:val="738"/>
    <w:uiPriority w:val="0"/>
    <w:qFormat/>
    <w:rPr>
      <w:rFonts w:hint="eastAsia" w:ascii="宋体" w:hAnsi="宋体" w:eastAsia="宋体" w:cs="宋体"/>
      <w:b/>
      <w:bCs/>
      <w:color w:val="ff0000"/>
      <w:sz w:val="21"/>
      <w:szCs w:val="21"/>
      <w:u w:val="none"/>
    </w:rPr>
  </w:style>
  <w:style w:type="character" w:styleId="1099" w:customStyle="1">
    <w:name w:val="font31"/>
    <w:basedOn w:val="738"/>
    <w:uiPriority w:val="0"/>
    <w:qFormat/>
    <w:rPr>
      <w:rFonts w:hint="default" w:ascii="Times New Roman" w:hAnsi="Times New Roman" w:cs="Times New Roman"/>
      <w:color w:val="000000"/>
      <w:sz w:val="21"/>
      <w:szCs w:val="21"/>
      <w:u w:val="none"/>
    </w:rPr>
  </w:style>
  <w:style w:type="character" w:styleId="1100" w:customStyle="1">
    <w:name w:val="font11"/>
    <w:basedOn w:val="738"/>
    <w:uiPriority w:val="0"/>
    <w:qFormat/>
    <w:rPr>
      <w:rFonts w:hint="eastAsia" w:ascii="宋体" w:hAnsi="宋体" w:eastAsia="宋体" w:cs="宋体"/>
      <w:color w:val="000000"/>
      <w:sz w:val="20"/>
      <w:szCs w:val="20"/>
      <w:u w:val="none"/>
    </w:rPr>
  </w:style>
  <w:style w:type="character" w:styleId="1101" w:customStyle="1">
    <w:name w:val="font51"/>
    <w:basedOn w:val="738"/>
    <w:uiPriority w:val="0"/>
    <w:qFormat/>
    <w:rPr>
      <w:rFonts w:hint="eastAsia" w:ascii="宋体" w:hAnsi="宋体" w:eastAsia="宋体" w:cs="宋体"/>
      <w:color w:val="000000"/>
      <w:sz w:val="20"/>
      <w:szCs w:val="20"/>
      <w:u w:val="none"/>
    </w:rPr>
  </w:style>
  <w:style w:type="paragraph" w:styleId="1102" w:customStyle="1">
    <w:name w:val="目录 1111"/>
    <w:basedOn w:val="728"/>
    <w:next w:val="728"/>
    <w:uiPriority w:val="39"/>
    <w:unhideWhenUsed/>
    <w:qFormat/>
    <w:pPr>
      <w:jc w:val="left"/>
      <w:spacing w:after="100" w:line="259" w:lineRule="auto"/>
      <w:widowControl/>
    </w:pPr>
    <w:rPr>
      <w:rFonts w:ascii="Calibri" w:hAnsi="Calibri" w:eastAsia="宋体"/>
      <w:sz w:val="22"/>
      <w:szCs w:val="22"/>
    </w:rPr>
  </w:style>
  <w:style w:type="table" w:styleId="1103" w:customStyle="1">
    <w:name w:val="Table Normal"/>
    <w:uiPriority w:val="0"/>
    <w:semiHidden/>
    <w:unhideWhenUsed/>
    <w:qFormat/>
    <w:tblPr>
      <w:tblCellMar>
        <w:left w:w="0" w:type="dxa"/>
        <w:top w:w="0" w:type="dxa"/>
        <w:right w:w="0" w:type="dxa"/>
        <w:bottom w:w="0" w:type="dxa"/>
      </w:tblCellMar>
    </w:tblPr>
  </w:style>
  <w:style w:type="paragraph" w:styleId="1104" w:customStyle="1">
    <w:name w:val="无间隔1"/>
    <w:uiPriority w:val="1"/>
    <w:qFormat/>
    <w:rPr>
      <w:rFonts w:ascii="Times New Roman" w:hAnsi="Times New Roman" w:eastAsia="宋体" w:cs="Times New Roman"/>
      <w:lang w:val="en-US" w:eastAsia="zh-CN" w:bidi="ar-SA"/>
    </w:rPr>
  </w:style>
  <w:style w:type="numbering" w:styleId="11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612875F8-56E3-4165-9E18-70159356DE78}"/>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王天育</cp:lastModifiedBy>
  <cp:revision>36</cp:revision>
  <dcterms:created xsi:type="dcterms:W3CDTF">2022-06-10T07:13:00Z</dcterms:created>
  <dcterms:modified xsi:type="dcterms:W3CDTF">2026-05-11T08:19:56Z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8E0E3E45299D49038C24CAE0482327FF_13</vt:lpwstr>
  </property>
  <property fmtid="{D5CDD505-2E9C-101B-9397-08002B2CF9AE}" pid="4" name="KSOTemplateDocerSaveRecord">
    <vt:lpwstr>eyJoZGlkIjoiM2ExNjU3MTQ2MTA2ODM1ZDI0ZjNjNDlmMGFjOTRiNzEiLCJ1c2VySWQiOiIxMTk3NDkwNzA2In0=</vt:lpwstr>
  </property>
</Properties>
</file>