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110"/>
          <w:szCs w:val="110"/>
          <w:highlight w:val="none"/>
        </w:rPr>
        <w:outlineLvl w:val="0"/>
      </w:pPr>
      <w:r>
        <w:rPr>
          <w:rFonts w:hint="eastAsia" w:ascii="宋体" w:hAnsi="宋体" w:eastAsia="宋体" w:cs="宋体"/>
          <w:b/>
          <w:bCs/>
          <w:color w:val="auto"/>
          <w:sz w:val="110"/>
          <w:szCs w:val="110"/>
          <w:highlight w:val="none"/>
        </w:rPr>
        <w:t xml:space="preserve">竞争性磋商文件</w:t>
      </w:r>
      <w:r/>
    </w:p>
    <w:p>
      <w:pPr>
        <w:jc w:val="center"/>
        <w:rPr>
          <w:rFonts w:ascii="Times New Roman" w:hAnsi="Times New Roman" w:cs="Times New Roman"/>
          <w:bCs/>
          <w:color w:val="auto"/>
          <w:spacing w:val="76"/>
          <w:sz w:val="144"/>
          <w:highlight w:val="none"/>
          <w:lang w:eastAsia="zh-CN"/>
        </w:rPr>
      </w:pPr>
      <w:r>
        <w:rPr>
          <w:rFonts w:ascii="Times New Roman" w:hAnsi="Times New Roman" w:cs="Times New Roman"/>
          <w:bCs/>
          <w:color w:val="auto"/>
          <w:spacing w:val="76"/>
          <w:sz w:val="144"/>
          <w:highlight w:val="none"/>
          <w:lang w:eastAsia="zh-CN"/>
        </w:rPr>
      </w:r>
      <w:r/>
    </w:p>
    <w:p>
      <w:pPr>
        <w:jc w:val="center"/>
        <w:rPr>
          <w:rFonts w:hint="eastAsia"/>
          <w:color w:val="auto"/>
          <w:highlight w:val="none"/>
        </w:rPr>
      </w:pPr>
      <w:r>
        <w:rPr>
          <w:rFonts w:hint="eastAsia"/>
          <w:color w:val="auto"/>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280"/>
        <w:jc w:val="left"/>
        <w:keepLines w:val="0"/>
        <w:keepNext w:val="0"/>
        <w:pageBreakBefore w:val="0"/>
        <w:spacing w:line="360" w:lineRule="auto"/>
        <w:widowControl w:val="off"/>
        <w:rPr>
          <w:rFonts w:hint="eastAsia" w:ascii="宋体" w:hAnsi="宋体" w:eastAsia="宋体" w:cs="宋体"/>
          <w:color w:val="auto"/>
          <w:sz w:val="32"/>
          <w:szCs w:val="32"/>
          <w:highlight w:val="none"/>
          <w:lang w:eastAsia="zh-CN"/>
        </w:rPr>
        <w:outlineLvl w:val="9"/>
      </w:pPr>
      <w:r>
        <w:rPr>
          <w:rFonts w:hint="eastAsia" w:ascii="宋体" w:hAnsi="宋体" w:eastAsia="宋体" w:cs="宋体"/>
          <w:color w:val="auto"/>
          <w:sz w:val="32"/>
          <w:szCs w:val="32"/>
          <w:highlight w:val="none"/>
        </w:rPr>
        <w:t xml:space="preserve">项目编号：</w:t>
      </w:r>
      <w:bookmarkStart w:id="0" w:name="OLE_LINK2"/>
      <w:r>
        <w:rPr>
          <w:rFonts w:hint="eastAsia" w:ascii="宋体" w:hAnsi="宋体" w:cs="宋体"/>
          <w:color w:val="auto"/>
          <w:sz w:val="32"/>
          <w:szCs w:val="32"/>
          <w:highlight w:val="none"/>
          <w:lang w:eastAsia="zh-CN"/>
        </w:rPr>
        <w:t xml:space="preserve">JSZC-320381-XZMX-C2026-0007</w:t>
      </w:r>
      <w:bookmarkEnd w:id="0"/>
      <w:r/>
      <w:r/>
    </w:p>
    <w:p>
      <w:pPr>
        <w:ind w:firstLine="1280"/>
        <w:jc w:val="left"/>
        <w:keepLines w:val="0"/>
        <w:keepNext w:val="0"/>
        <w:pageBreakBefore w:val="0"/>
        <w:spacing w:line="360" w:lineRule="auto"/>
        <w:widowControl w:val="off"/>
        <w:rPr>
          <w:rFonts w:hint="eastAsia" w:ascii="宋体" w:hAnsi="宋体" w:eastAsia="宋体" w:cs="宋体"/>
          <w:color w:val="auto"/>
          <w:sz w:val="32"/>
          <w:szCs w:val="32"/>
          <w:highlight w:val="none"/>
          <w:lang w:eastAsia="zh-CN"/>
        </w:rPr>
        <w:outlineLvl w:val="9"/>
      </w:pPr>
      <w:r>
        <w:rPr>
          <w:rFonts w:hint="eastAsia" w:ascii="宋体" w:hAnsi="宋体" w:eastAsia="宋体" w:cs="宋体"/>
          <w:color w:val="auto"/>
          <w:sz w:val="32"/>
          <w:szCs w:val="32"/>
          <w:highlight w:val="none"/>
        </w:rPr>
        <w:t xml:space="preserve">项目名称：</w:t>
      </w:r>
      <w:bookmarkStart w:id="1" w:name="OLE_LINK6"/>
      <w:r>
        <w:rPr>
          <w:rFonts w:hint="eastAsia" w:ascii="宋体" w:hAnsi="宋体" w:cs="宋体"/>
          <w:color w:val="auto"/>
          <w:sz w:val="32"/>
          <w:szCs w:val="32"/>
          <w:highlight w:val="none"/>
          <w:lang w:eastAsia="zh-CN"/>
        </w:rPr>
        <w:t xml:space="preserve">新沂市2025年农产品质量安全风险监测</w:t>
      </w:r>
      <w:bookmarkEnd w:id="1"/>
      <w:r/>
      <w:r/>
    </w:p>
    <w:p>
      <w:pPr>
        <w:ind w:firstLine="1280"/>
        <w:jc w:val="left"/>
        <w:keepLines w:val="0"/>
        <w:keepNext w:val="0"/>
        <w:pageBreakBefore w:val="0"/>
        <w:spacing w:line="360" w:lineRule="auto"/>
        <w:widowControl w:val="off"/>
        <w:rPr>
          <w:rFonts w:hint="eastAsia" w:ascii="宋体" w:hAnsi="宋体" w:eastAsia="宋体" w:cs="宋体"/>
          <w:color w:val="auto"/>
          <w:sz w:val="32"/>
          <w:szCs w:val="32"/>
          <w:highlight w:val="none"/>
          <w:lang w:eastAsia="zh-CN"/>
        </w:rPr>
        <w:outlineLvl w:val="9"/>
      </w:pPr>
      <w:r>
        <w:rPr>
          <w:rFonts w:hint="eastAsia" w:ascii="宋体" w:hAnsi="宋体" w:eastAsia="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新沂市农业农村局</w:t>
      </w:r>
      <w:r/>
    </w:p>
    <w:p>
      <w:pPr>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      </w:t>
      </w:r>
      <w:r/>
    </w:p>
    <w:p>
      <w:pP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spacing w:line="360" w:lineRule="auto"/>
        <w:rPr>
          <w:rFonts w:hint="eastAsia" w:ascii="宋体" w:hAnsi="宋体" w:eastAsia="宋体" w:cs="宋体"/>
          <w:color w:val="auto"/>
          <w:sz w:val="32"/>
          <w:szCs w:val="32"/>
          <w:highlight w:val="none"/>
          <w:lang w:val="zh-CN"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cs="宋体"/>
          <w:b/>
          <w:bCs/>
          <w:color w:val="auto"/>
          <w:sz w:val="32"/>
          <w:szCs w:val="32"/>
          <w:highlight w:val="none"/>
          <w:lang w:eastAsia="zh-CN"/>
        </w:rPr>
        <w:t xml:space="preserve">徐州迈迅项目管理咨询有限公司</w:t>
      </w:r>
      <w:r/>
    </w:p>
    <w:p>
      <w:pPr>
        <w:jc w:val="center"/>
        <w:spacing w:line="0" w:lineRule="atLeast"/>
        <w:rPr>
          <w:rFonts w:hint="eastAsia" w:ascii="宋体" w:hAnsi="宋体" w:eastAsia="宋体" w:cs="宋体"/>
          <w:b/>
          <w:bCs/>
          <w:color w:val="auto"/>
          <w:sz w:val="32"/>
          <w:szCs w:val="32"/>
          <w:highlight w:val="none"/>
        </w:rPr>
        <w:sectPr>
          <w:headerReference w:type="default" r:id="rId9"/>
          <w:headerReference w:type="even" r:id="rId10"/>
          <w:headerReference w:type="first" r:id="rId11"/>
          <w:footerReference w:type="even" r:id="rId12"/>
          <w:footnotePr/>
          <w:endnotePr/>
          <w:type w:val="nextPage"/>
          <w:pgSz w:w="11906" w:h="16838" w:orient="portrait"/>
          <w:pgMar w:top="1440" w:right="1440" w:bottom="1440" w:left="1440" w:header="851" w:footer="992" w:gutter="0"/>
          <w:cols w:num="1" w:sep="0" w:space="720" w:equalWidth="1"/>
          <w:docGrid w:linePitch="360"/>
          <w:titlePg/>
        </w:sectPr>
        <w:outlineLvl w:val="9"/>
      </w:pPr>
      <w:r>
        <w:rPr>
          <w:rFonts w:hint="eastAsia" w:ascii="宋体" w:hAnsi="宋体" w:eastAsia="宋体" w:cs="宋体"/>
          <w:b/>
          <w:bCs/>
          <w:color w:val="auto"/>
          <w:sz w:val="32"/>
          <w:szCs w:val="32"/>
          <w:highlight w:val="none"/>
        </w:rPr>
        <w:t xml:space="preserve">二〇二</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月</w:t>
      </w:r>
      <w:r/>
    </w:p>
    <w:p>
      <w:pPr>
        <w:jc w:val="cente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b/>
          <w:color w:val="auto"/>
          <w:sz w:val="36"/>
          <w:highlight w:val="none"/>
        </w:rPr>
        <w:t xml:space="preserve">竞争性磋商文件</w:t>
      </w:r>
      <w:r/>
    </w:p>
    <w:p>
      <w:pPr>
        <w:jc w:val="center"/>
        <w:spacing w:line="360" w:lineRule="auto"/>
        <w:tabs>
          <w:tab w:val="left" w:pos="324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JSZC-320381-XZMX-C2026-0007</w:t>
      </w:r>
      <w:r/>
    </w:p>
    <w:p>
      <w:pPr>
        <w:keepLines w:val="0"/>
        <w:keepNext w:val="0"/>
        <w:pageBreakBefore w:val="0"/>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（供应商）：</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徐州迈迅项目管理咨询有限公司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新沂市2025年农产品质量安全风险监测</w:t>
      </w:r>
      <w:r>
        <w:rPr>
          <w:rFonts w:hint="eastAsia" w:ascii="宋体" w:hAnsi="宋体" w:eastAsia="宋体" w:cs="宋体"/>
          <w:color w:val="auto"/>
          <w:sz w:val="24"/>
          <w:highlight w:val="none"/>
        </w:rPr>
        <w:t xml:space="preserve">采取竞争性磋商采购方式进行采购，竞争性磋商文件（以下简称《磋商文件》）内容如下：</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center"/>
        <w:keepLines w:val="0"/>
        <w:keepNext w:val="0"/>
        <w:pageBreakBefore w:val="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第一章 项目说明</w:t>
      </w:r>
      <w:r/>
    </w:p>
    <w:p>
      <w:pPr>
        <w:ind w:firstLine="480"/>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1"/>
        </w:num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新沂市农业农村局</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二、项目名称：</w:t>
      </w:r>
      <w:r>
        <w:rPr>
          <w:rFonts w:hint="eastAsia" w:ascii="宋体" w:hAnsi="宋体" w:cs="宋体"/>
          <w:color w:val="auto"/>
          <w:sz w:val="24"/>
          <w:highlight w:val="none"/>
          <w:u w:val="none"/>
          <w:lang w:eastAsia="zh-CN"/>
        </w:rPr>
        <w:t xml:space="preserve">新沂市2025年农产品质量安全风险监测</w:t>
      </w:r>
      <w:r/>
    </w:p>
    <w:p>
      <w:pPr>
        <w:ind w:firstLine="480"/>
        <w:jc w:val="left"/>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三、项目编号：</w:t>
      </w:r>
      <w:r>
        <w:rPr>
          <w:rFonts w:hint="eastAsia" w:ascii="宋体" w:hAnsi="宋体" w:cs="宋体"/>
          <w:color w:val="auto"/>
          <w:sz w:val="24"/>
          <w:highlight w:val="none"/>
          <w:lang w:eastAsia="zh-CN"/>
        </w:rPr>
        <w:t xml:space="preserve">JSZC-320381-XZMX-C2026-0007</w:t>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五、采购方式：竞争性磋商。</w:t>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六、供应商资格条件：见竞争性磋商公告（项目编号：</w:t>
      </w:r>
      <w:r>
        <w:rPr>
          <w:rFonts w:hint="eastAsia" w:ascii="宋体" w:hAnsi="宋体" w:cs="宋体"/>
          <w:color w:val="auto"/>
          <w:sz w:val="24"/>
          <w:highlight w:val="none"/>
          <w:lang w:eastAsia="zh-CN"/>
        </w:rPr>
        <w:t xml:space="preserve">JSZC-320381-XZMX-C2026-0007</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七、采购预算（采购项目预算金额）：见《磋商文件》附件2、《项目要求（采购需求）》。</w:t>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八、采购需求：见《磋商文件》附件2、《项目要求（采购需求）》。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九、合同草案条款：见《磋商文件》附件6、《合同草案条款》。</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十、报价要求</w:t>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r>
        <w:rPr>
          <w:rFonts w:hint="eastAsia" w:ascii="宋体" w:hAnsi="宋体" w:eastAsia="宋体" w:cs="宋体"/>
          <w:color w:val="auto"/>
          <w:sz w:val="24"/>
          <w:szCs w:val="24"/>
          <w:highlight w:val="none"/>
          <w:lang w:val="en-US" w:eastAsia="zh-CN" w:bidi="ar-SA"/>
        </w:rPr>
        <w:br w:type="page" w:clear="all"/>
      </w:r>
      <w:r/>
      <w:r>
        <w:rPr>
          <w:rFonts w:hint="eastAsia" w:ascii="宋体" w:hAnsi="宋体" w:eastAsia="宋体" w:cs="宋体"/>
          <w:color w:val="auto"/>
          <w:sz w:val="24"/>
          <w:highlight w:val="none"/>
        </w:rPr>
      </w:r>
    </w:p>
    <w:p>
      <w:pPr>
        <w:numPr>
          <w:ilvl w:val="0"/>
          <w:numId w:val="0"/>
        </w:numPr>
        <w:ind w:firstLine="480"/>
        <w:jc w:val="center"/>
        <w:keepLines w:val="0"/>
        <w:keepNext w:val="0"/>
        <w:pageBreakBefore w:val="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第二章 </w:t>
      </w:r>
      <w:r>
        <w:rPr>
          <w:rFonts w:hint="eastAsia" w:ascii="宋体" w:hAnsi="宋体" w:eastAsia="宋体" w:cs="宋体"/>
          <w:color w:val="auto"/>
          <w:sz w:val="24"/>
          <w:highlight w:val="none"/>
        </w:rPr>
        <w:t xml:space="preserve">磋商保证金</w:t>
      </w:r>
      <w:r/>
    </w:p>
    <w:p>
      <w:pPr>
        <w:pStyle w:val="865"/>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2"/>
        </w:num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供应商提交磋商保证金：本项目无需缴纳磋商保证金。</w:t>
      </w:r>
      <w:r/>
    </w:p>
    <w:p>
      <w:pPr>
        <w:ind w:firstLine="480"/>
        <w:jc w:val="center"/>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firstLine="480"/>
        <w:jc w:val="center"/>
        <w:keepLines w:val="0"/>
        <w:keepNext w:val="0"/>
        <w:pageBreakBefore w:val="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第三章 响应文件</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十二、提交响应文件要求</w:t>
      </w:r>
      <w:r/>
    </w:p>
    <w:p>
      <w:pPr>
        <w:ind w:firstLine="48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（一）本项目通过“苏采云”系统进行电子采购，即供应商响应文件从政府采购客户端工具制作并通过“苏采云”系统提交。</w:t>
      </w:r>
      <w:r/>
    </w:p>
    <w:p>
      <w:pPr>
        <w:ind w:firstLine="48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 HYPERLINK "http://jszfcg.jsczt.cn/" \o "http://jszfcg.jsczt.cn/" </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rPr>
        <w:t xml:space="preserve">http://jszfcg.jsczt.cn/</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；或进入徐州政府采购网（网址：http://czj.xz.gov.cn/Home/HomeIndex）--业务工作--用户登录，点击“苏采云”进入系统），按照要求通过互联网方式提交首次响应文件。</w:t>
      </w:r>
      <w:r/>
    </w:p>
    <w:p>
      <w:pPr>
        <w:ind w:firstLine="482"/>
        <w:keepLines w:val="0"/>
        <w:keepNext w:val="0"/>
        <w:pageBreakBefore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“苏采云”系统使用要求：</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使用谷歌浏览器参与不见面开标及磋商环节。</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电脑需提前准备好麦克风、音响、摄像头，提前检查保证能够正常使用。</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操作系统至少win7以上，建议使用win10操作系统。</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（二）首次响应文件提交的截止时间：</w:t>
      </w:r>
      <w:r>
        <w:rPr>
          <w:rFonts w:hint="eastAsia" w:ascii="宋体" w:hAnsi="宋体" w:cs="宋体"/>
          <w:bCs/>
          <w:color w:val="auto"/>
          <w:sz w:val="24"/>
          <w:highlight w:val="none"/>
          <w:lang w:eastAsia="zh-CN"/>
        </w:rPr>
        <w:t xml:space="preserve">2026年0</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lang w:eastAsia="zh-CN"/>
        </w:rPr>
        <w:t xml:space="preserve">月</w:t>
      </w:r>
      <w:r>
        <w:rPr>
          <w:rFonts w:hint="eastAsia" w:ascii="宋体" w:hAnsi="宋体" w:cs="宋体"/>
          <w:bCs/>
          <w:color w:val="auto"/>
          <w:sz w:val="24"/>
          <w:highlight w:val="none"/>
          <w:lang w:val="en-US" w:eastAsia="zh-CN"/>
        </w:rPr>
        <w:t xml:space="preserve">04</w:t>
      </w:r>
      <w:r>
        <w:rPr>
          <w:rFonts w:hint="eastAsia" w:ascii="宋体" w:hAnsi="宋体" w:cs="宋体"/>
          <w:bCs/>
          <w:color w:val="auto"/>
          <w:sz w:val="24"/>
          <w:highlight w:val="none"/>
          <w:lang w:eastAsia="zh-CN"/>
        </w:rPr>
        <w:t xml:space="preserve">日</w:t>
      </w:r>
      <w:r>
        <w:rPr>
          <w:rFonts w:hint="eastAsia" w:ascii="宋体" w:hAnsi="宋体" w:eastAsia="宋体" w:cs="宋体"/>
          <w:bCs/>
          <w:color w:val="auto"/>
          <w:sz w:val="24"/>
          <w:highlight w:val="none"/>
          <w:lang w:eastAsia="zh-CN"/>
        </w:rPr>
        <w:t xml:space="preserve">北京时间</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30</w:t>
      </w:r>
      <w:r>
        <w:rPr>
          <w:rFonts w:hint="eastAsia" w:ascii="宋体" w:hAnsi="宋体" w:eastAsia="宋体" w:cs="宋体"/>
          <w:bCs/>
          <w:color w:val="auto"/>
          <w:sz w:val="24"/>
          <w:highlight w:val="none"/>
        </w:rPr>
        <w:t xml:space="preserve">，在截止时间后提交的首次响应文件为无效文件，将被拒收。</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（三）首次响应文件提交时间、地点：</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提交时间</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首次响应文件提交的截止时间（</w:t>
      </w:r>
      <w:r>
        <w:rPr>
          <w:rFonts w:hint="eastAsia" w:ascii="宋体" w:hAnsi="宋体" w:cs="宋体"/>
          <w:bCs/>
          <w:color w:val="auto"/>
          <w:sz w:val="24"/>
          <w:highlight w:val="none"/>
          <w:lang w:eastAsia="zh-CN"/>
        </w:rPr>
        <w:t xml:space="preserve">2026年0</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lang w:eastAsia="zh-CN"/>
        </w:rPr>
        <w:t xml:space="preserve">月</w:t>
      </w:r>
      <w:r>
        <w:rPr>
          <w:rFonts w:hint="eastAsia" w:ascii="宋体" w:hAnsi="宋体" w:cs="宋体"/>
          <w:bCs/>
          <w:color w:val="auto"/>
          <w:sz w:val="24"/>
          <w:highlight w:val="none"/>
          <w:lang w:val="en-US" w:eastAsia="zh-CN"/>
        </w:rPr>
        <w:t xml:space="preserve">04</w:t>
      </w:r>
      <w:r>
        <w:rPr>
          <w:rFonts w:hint="eastAsia" w:ascii="宋体" w:hAnsi="宋体" w:cs="宋体"/>
          <w:bCs/>
          <w:color w:val="auto"/>
          <w:sz w:val="24"/>
          <w:highlight w:val="none"/>
          <w:lang w:eastAsia="zh-CN"/>
        </w:rPr>
        <w:t xml:space="preserve">日</w:t>
      </w:r>
      <w:r>
        <w:rPr>
          <w:rFonts w:hint="eastAsia" w:ascii="宋体" w:hAnsi="宋体" w:eastAsia="宋体" w:cs="宋体"/>
          <w:bCs/>
          <w:color w:val="auto"/>
          <w:sz w:val="24"/>
          <w:highlight w:val="none"/>
          <w:lang w:eastAsia="zh-CN"/>
        </w:rPr>
        <w:t xml:space="preserve">北京时间</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30</w:t>
      </w:r>
      <w:r>
        <w:rPr>
          <w:rFonts w:hint="eastAsia" w:ascii="宋体" w:hAnsi="宋体" w:eastAsia="宋体" w:cs="宋体"/>
          <w:bCs/>
          <w:color w:val="auto"/>
          <w:sz w:val="24"/>
          <w:highlight w:val="none"/>
        </w:rPr>
        <w:t xml:space="preserve">）前。</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提交地点：</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“苏采云”系统（网址：http://jszfcg.jsczt.cn/）“开标大厅”或进入徐州政府采购网（网址：http://czj.xz.gov.cn/Home/HomeIndex）-业务工作-用户登录，点击“苏采云”进入系统“开标大厅”。 </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（四）首次响应文件开启时间：</w:t>
      </w:r>
      <w:r>
        <w:rPr>
          <w:rFonts w:hint="eastAsia" w:ascii="宋体" w:hAnsi="宋体" w:cs="宋体"/>
          <w:bCs/>
          <w:color w:val="auto"/>
          <w:sz w:val="24"/>
          <w:highlight w:val="none"/>
          <w:lang w:eastAsia="zh-CN"/>
        </w:rPr>
        <w:t xml:space="preserve">2026年0</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lang w:eastAsia="zh-CN"/>
        </w:rPr>
        <w:t xml:space="preserve">月</w:t>
      </w:r>
      <w:r>
        <w:rPr>
          <w:rFonts w:hint="eastAsia" w:ascii="宋体" w:hAnsi="宋体" w:cs="宋体"/>
          <w:bCs/>
          <w:color w:val="auto"/>
          <w:sz w:val="24"/>
          <w:highlight w:val="none"/>
          <w:lang w:val="en-US" w:eastAsia="zh-CN"/>
        </w:rPr>
        <w:t xml:space="preserve">04</w:t>
      </w:r>
      <w:r>
        <w:rPr>
          <w:rFonts w:hint="eastAsia" w:ascii="宋体" w:hAnsi="宋体" w:cs="宋体"/>
          <w:bCs/>
          <w:color w:val="auto"/>
          <w:sz w:val="24"/>
          <w:highlight w:val="none"/>
          <w:lang w:eastAsia="zh-CN"/>
        </w:rPr>
        <w:t xml:space="preserve">日</w:t>
      </w:r>
      <w:r>
        <w:rPr>
          <w:rFonts w:hint="eastAsia" w:ascii="宋体" w:hAnsi="宋体" w:eastAsia="宋体" w:cs="宋体"/>
          <w:bCs/>
          <w:color w:val="auto"/>
          <w:sz w:val="24"/>
          <w:highlight w:val="none"/>
          <w:lang w:eastAsia="zh-CN"/>
        </w:rPr>
        <w:t xml:space="preserve">北京时间</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30</w:t>
      </w:r>
      <w:r>
        <w:rPr>
          <w:rFonts w:hint="eastAsia" w:ascii="宋体" w:hAnsi="宋体" w:eastAsia="宋体" w:cs="宋体"/>
          <w:bCs/>
          <w:color w:val="auto"/>
          <w:sz w:val="24"/>
          <w:highlight w:val="none"/>
        </w:rPr>
        <w:t xml:space="preserve">。</w:t>
      </w:r>
      <w:r/>
    </w:p>
    <w:p>
      <w:pPr>
        <w:ind w:firstLine="48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（五）首次响应文件开启地点：</w:t>
      </w:r>
      <w:r/>
    </w:p>
    <w:p>
      <w:pPr>
        <w:ind w:firstLine="48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“苏采云”系统（网址：http://jszfcg.jsczt.cn/）“开标大厅”或进入徐州政府采购网（网址：http://czj.xz.gov.cn/Home/HomeIndex）-业务工作-用户登录，点击“苏采云”进入系统“开标大厅”。</w:t>
      </w:r>
      <w:bookmarkStart w:id="21" w:name="_GoBack"/>
      <w:r/>
      <w:bookmarkEnd w:id="21"/>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（七）不接受不按要求加盖公章（电子签章）的首次响应文件。电子签章相关要求见“苏采云”系统。</w:t>
      </w:r>
      <w:r/>
    </w:p>
    <w:p>
      <w:pPr>
        <w:ind w:firstLine="480"/>
        <w:jc w:val="left"/>
        <w:keepLines w:val="0"/>
        <w:keepNext w:val="0"/>
        <w:pageBreakBefore w:val="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（九）采购文件（后缀名为“.kedt”）、供应商操作手册及政府采购客户端工具可通过“苏采云”系统（网址：</w:t>
      </w: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 HYPERLINK "http://jszfcg.jsczt.cn/" \o "http://jszfcg.jsczt.cn/" </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rPr>
        <w:t xml:space="preserve">http://jszfcg.jsczt.cn/</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（十）相关说明: 供应商在“苏采云”系统中提交首次响应文件的时间即为数据电文（响应文件，下同）的发送时间和接收时间。</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十三、响应文件编制要求</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请按照以下要求（包括但不限于以下要求）制作：</w:t>
      </w:r>
      <w:r/>
    </w:p>
    <w:p>
      <w:pPr>
        <w:ind w:firstLine="482"/>
        <w:keepLines w:val="0"/>
        <w:keepNext w:val="0"/>
        <w:pageBreakBefore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（一）基本目录</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《磋商报价表》（加盖电子签章，格式见《磋商文件》附件。政府采购客户端工具输入报价自动生成</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授权委托书（</w:t>
      </w:r>
      <w:r>
        <w:rPr>
          <w:rFonts w:hint="eastAsia" w:ascii="宋体" w:hAnsi="宋体" w:eastAsia="宋体" w:cs="宋体"/>
          <w:bCs/>
          <w:color w:val="auto"/>
          <w:sz w:val="24"/>
          <w:highlight w:val="none"/>
          <w:lang w:eastAsia="zh-CN"/>
        </w:rPr>
        <w:t xml:space="preserve">提供原件的扫描件</w:t>
      </w:r>
      <w:r>
        <w:rPr>
          <w:rFonts w:hint="eastAsia" w:ascii="宋体" w:hAnsi="宋体" w:eastAsia="宋体" w:cs="宋体"/>
          <w:bCs/>
          <w:color w:val="auto"/>
          <w:sz w:val="24"/>
          <w:highlight w:val="none"/>
        </w:rPr>
        <w:t xml:space="preserve">，格式见《磋商文件》附件）；</w:t>
      </w:r>
      <w:r/>
    </w:p>
    <w:p>
      <w:pPr>
        <w:ind w:firstLine="480"/>
        <w:jc w:val="left"/>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授权委托书中受托人身份证扫描件</w:t>
      </w:r>
      <w:r>
        <w:rPr>
          <w:rFonts w:hint="eastAsia" w:ascii="宋体" w:hAnsi="宋体" w:eastAsia="宋体" w:cs="宋体"/>
          <w:bCs/>
          <w:color w:val="auto"/>
          <w:sz w:val="24"/>
          <w:highlight w:val="none"/>
          <w:lang w:eastAsia="zh-CN"/>
        </w:rPr>
        <w:t xml:space="preserve">。</w:t>
      </w:r>
      <w:r/>
    </w:p>
    <w:p>
      <w:pPr>
        <w:ind w:right="0" w:firstLine="482"/>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rPr>
        <w:t xml:space="preserve">（二）资格条件（必须提供，否则响应无效）</w:t>
      </w:r>
      <w:r/>
    </w:p>
    <w:p>
      <w:pPr>
        <w:ind w:right="0" w:firstLine="482"/>
        <w:jc w:val="both"/>
        <w:keepLines w:val="0"/>
        <w:keepNext w:val="0"/>
        <w:pageBreakBefore w:val="0"/>
        <w:spacing w:line="360" w:lineRule="auto"/>
        <w:rPr>
          <w:rFonts w:hint="eastAsia" w:ascii="宋体" w:hAnsi="宋体" w:eastAsia="宋体" w:cs="宋体"/>
          <w:b w:val="0"/>
          <w:bCs/>
          <w:color w:val="auto"/>
          <w:sz w:val="24"/>
          <w:highlight w:val="none"/>
          <w:lang w:val="en-US" w:eastAsia="zh-CN"/>
        </w:rPr>
        <w:outlineLvl w:val="9"/>
      </w:pPr>
      <w:r>
        <w:rPr>
          <w:rFonts w:hint="eastAsia" w:ascii="宋体" w:hAnsi="宋体" w:eastAsia="宋体" w:cs="宋体"/>
          <w:b w:val="0"/>
          <w:bCs/>
          <w:color w:val="auto"/>
          <w:sz w:val="24"/>
          <w:highlight w:val="none"/>
          <w:lang w:val="en-US" w:eastAsia="zh-CN"/>
        </w:rPr>
        <w:t xml:space="preserve">1.具有独立承担民事责任的能力，提供供应商合法有效的法人的营业执照(或事业单位法人证书)或其他组织应提供合法证明文件的原件扫描件(加盖电子签章)。</w:t>
      </w:r>
      <w:r/>
    </w:p>
    <w:p>
      <w:pPr>
        <w:ind w:right="0" w:firstLine="482"/>
        <w:jc w:val="both"/>
        <w:keepLines w:val="0"/>
        <w:keepNext w:val="0"/>
        <w:pageBreakBefore w:val="0"/>
        <w:spacing w:line="360" w:lineRule="auto"/>
        <w:rPr>
          <w:rFonts w:hint="eastAsia" w:ascii="宋体" w:hAnsi="宋体" w:eastAsia="宋体" w:cs="宋体"/>
          <w:b w:val="0"/>
          <w:bCs/>
          <w:color w:val="auto"/>
          <w:sz w:val="24"/>
          <w:highlight w:val="none"/>
          <w:lang w:val="en-US" w:eastAsia="zh-CN"/>
        </w:rPr>
        <w:outlineLvl w:val="9"/>
      </w:pPr>
      <w:r>
        <w:rPr>
          <w:rFonts w:hint="eastAsia" w:ascii="宋体" w:hAnsi="宋体" w:eastAsia="宋体" w:cs="宋体"/>
          <w:b w:val="0"/>
          <w:bCs/>
          <w:color w:val="auto"/>
          <w:sz w:val="24"/>
          <w:highlight w:val="none"/>
          <w:lang w:val="en-US" w:eastAsia="zh-CN"/>
        </w:rPr>
        <w:t xml:space="preserve">2.财务状况报告，至少提供：即提供供应商的本项目开标时间前6个月内任何1月（不含开标当月）的资产负债表原件的扫描件1份；供应商的本项目开标时间前6个月内任何1月（不含开标当月）利润表原件的扫描件1份。</w:t>
      </w:r>
      <w:r/>
    </w:p>
    <w:p>
      <w:pPr>
        <w:ind w:right="0" w:firstLine="482"/>
        <w:jc w:val="both"/>
        <w:keepLines w:val="0"/>
        <w:keepNext w:val="0"/>
        <w:pageBreakBefore w:val="0"/>
        <w:spacing w:line="360" w:lineRule="auto"/>
        <w:rPr>
          <w:rFonts w:hint="eastAsia" w:ascii="宋体" w:hAnsi="宋体" w:eastAsia="宋体" w:cs="宋体"/>
          <w:b w:val="0"/>
          <w:bCs/>
          <w:color w:val="auto"/>
          <w:sz w:val="24"/>
          <w:highlight w:val="none"/>
          <w:lang w:val="en-US" w:eastAsia="zh-CN"/>
        </w:rPr>
        <w:outlineLvl w:val="9"/>
      </w:pPr>
      <w:r>
        <w:rPr>
          <w:rFonts w:hint="eastAsia" w:ascii="宋体" w:hAnsi="宋体" w:eastAsia="宋体" w:cs="宋体"/>
          <w:b w:val="0"/>
          <w:bCs/>
          <w:color w:val="auto"/>
          <w:sz w:val="24"/>
          <w:highlight w:val="none"/>
          <w:lang w:val="en-US" w:eastAsia="zh-CN"/>
        </w:rPr>
        <w:t xml:space="preserve">3.供应商的本项目开标时间前6个月内（不含开标当月）任何1月的依法缴纳税收和社会保障资金的相关材料扫描件；依法免税或不需要缴纳社会保障资金的供应商应提供相应其依法免税或不需要缴纳社会保障资金的证明文件扫描件。</w:t>
      </w:r>
      <w:r/>
    </w:p>
    <w:p>
      <w:pPr>
        <w:ind w:right="0" w:firstLine="482"/>
        <w:jc w:val="both"/>
        <w:keepLines w:val="0"/>
        <w:keepNext w:val="0"/>
        <w:pageBreakBefore w:val="0"/>
        <w:spacing w:line="360" w:lineRule="auto"/>
        <w:rPr>
          <w:rFonts w:hint="eastAsia" w:ascii="宋体" w:hAnsi="宋体" w:eastAsia="宋体" w:cs="宋体"/>
          <w:b w:val="0"/>
          <w:bCs/>
          <w:color w:val="auto"/>
          <w:sz w:val="24"/>
          <w:highlight w:val="none"/>
          <w:lang w:val="en-US" w:eastAsia="zh-CN"/>
        </w:rPr>
        <w:outlineLvl w:val="9"/>
      </w:pPr>
      <w:r>
        <w:rPr>
          <w:rFonts w:hint="eastAsia" w:ascii="宋体" w:hAnsi="宋体" w:eastAsia="宋体" w:cs="宋体"/>
          <w:b w:val="0"/>
          <w:bCs/>
          <w:color w:val="auto"/>
          <w:sz w:val="24"/>
          <w:highlight w:val="none"/>
          <w:lang w:val="en-US" w:eastAsia="zh-CN"/>
        </w:rPr>
        <w:t xml:space="preserve">4.具备履行合同所必需的设备和专业技术能力的证明材料提供具备履行合同所必需的设备和专业技术能力的书面声明（格式见《磋商文件》附件）。</w:t>
      </w:r>
      <w:r/>
    </w:p>
    <w:p>
      <w:pPr>
        <w:ind w:right="0" w:firstLine="482"/>
        <w:jc w:val="both"/>
        <w:keepLines w:val="0"/>
        <w:keepNext w:val="0"/>
        <w:pageBreakBefore w:val="0"/>
        <w:spacing w:line="360" w:lineRule="auto"/>
        <w:rPr>
          <w:rFonts w:hint="eastAsia" w:ascii="宋体" w:hAnsi="宋体" w:eastAsia="宋体" w:cs="宋体"/>
          <w:b w:val="0"/>
          <w:bCs/>
          <w:color w:val="auto"/>
          <w:sz w:val="24"/>
          <w:highlight w:val="none"/>
          <w:lang w:val="en-US" w:eastAsia="zh-CN"/>
        </w:rPr>
        <w:outlineLvl w:val="9"/>
      </w:pPr>
      <w:r>
        <w:rPr>
          <w:rFonts w:hint="eastAsia" w:ascii="宋体" w:hAnsi="宋体" w:eastAsia="宋体" w:cs="宋体"/>
          <w:b w:val="0"/>
          <w:bCs/>
          <w:color w:val="auto"/>
          <w:sz w:val="24"/>
          <w:highlight w:val="none"/>
          <w:lang w:val="en-US" w:eastAsia="zh-CN"/>
        </w:rPr>
        <w:t xml:space="preserve">5.供应商参加政府采购活动前3年内在经营活动中没有重大违法记录的书面声明（加盖电子签章，格式见《磋商文件》附件）。</w:t>
      </w:r>
      <w:r/>
    </w:p>
    <w:p>
      <w:pPr>
        <w:ind w:right="0" w:firstLine="482"/>
        <w:jc w:val="both"/>
        <w:keepLines w:val="0"/>
        <w:keepNext w:val="0"/>
        <w:pageBreakBefore w:val="0"/>
        <w:spacing w:line="360" w:lineRule="auto"/>
        <w:rPr>
          <w:rFonts w:hint="eastAsia" w:ascii="宋体" w:hAnsi="宋体" w:eastAsia="宋体" w:cs="宋体"/>
          <w:b w:val="0"/>
          <w:bCs/>
          <w:color w:val="auto"/>
          <w:sz w:val="24"/>
          <w:highlight w:val="none"/>
          <w:lang w:val="en-US" w:eastAsia="zh-CN"/>
        </w:rPr>
        <w:outlineLvl w:val="9"/>
      </w:pPr>
      <w:r>
        <w:rPr>
          <w:rFonts w:hint="eastAsia" w:ascii="宋体" w:hAnsi="宋体" w:eastAsia="宋体" w:cs="宋体"/>
          <w:b w:val="0"/>
          <w:bCs/>
          <w:color w:val="auto"/>
          <w:sz w:val="24"/>
          <w:highlight w:val="none"/>
          <w:lang w:val="en-US" w:eastAsia="zh-CN"/>
        </w:rPr>
        <w:t xml:space="preserve">6、本项目属于专门面向中小微企业采购的项目：参与竞争性磋商的供应商必须为中小企业（含中型、小型、微型企业，下同）的，提供《中小企业声明函》（电子签章，填写完整。格式见《磋商文件》附件。必须提供，否则投标将被拒绝。）。《中小企业声明函》查询渠道用微信搜索“中小企业规模类型自测小程序</w:t>
      </w:r>
      <w:r/>
    </w:p>
    <w:p>
      <w:pPr>
        <w:ind w:right="0" w:firstLine="482"/>
        <w:jc w:val="both"/>
        <w:keepLines w:val="0"/>
        <w:keepNext w:val="0"/>
        <w:pageBreakBefore w:val="0"/>
        <w:spacing w:line="360" w:lineRule="auto"/>
        <w:rPr>
          <w:rFonts w:hint="eastAsia" w:eastAsia="宋体"/>
          <w:color w:val="auto"/>
          <w:highlight w:val="none"/>
          <w:lang w:val="en-US" w:eastAsia="zh-CN"/>
        </w:rPr>
        <w:outlineLvl w:val="9"/>
      </w:pPr>
      <w:r>
        <w:rPr>
          <w:rFonts w:hint="eastAsia" w:ascii="宋体" w:hAnsi="宋体" w:cs="宋体"/>
          <w:b/>
          <w:bCs w:val="0"/>
          <w:color w:val="auto"/>
          <w:sz w:val="24"/>
          <w:highlight w:val="none"/>
          <w:lang w:val="en-US" w:eastAsia="zh-CN"/>
        </w:rPr>
        <w:t xml:space="preserve">7、本项目特定资格要求：</w:t>
      </w:r>
      <w:r>
        <w:rPr>
          <w:rFonts w:hint="eastAsia" w:ascii="宋体" w:hAnsi="宋体" w:eastAsia="宋体" w:cs="宋体"/>
          <w:b/>
          <w:bCs w:val="0"/>
          <w:color w:val="auto"/>
          <w:sz w:val="24"/>
          <w:highlight w:val="none"/>
          <w:lang w:val="en-US" w:eastAsia="zh-CN"/>
        </w:rPr>
        <w:t xml:space="preserve">供应商须具有省级及以上市场监督管理部门颁发的检验检测机构资质认定证书（CMA）及省级以上农业农村部门颁发的农产品质量安全检测机构考核合格证书（CATL）。</w:t>
      </w:r>
      <w:r/>
    </w:p>
    <w:p>
      <w:pPr>
        <w:pStyle w:val="888"/>
        <w:ind w:right="0" w:firstLine="482"/>
        <w:jc w:val="left"/>
        <w:keepLines w:val="0"/>
        <w:keepNext w:val="0"/>
        <w:pageBreakBefore w:val="0"/>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（三）</w:t>
      </w:r>
      <w:r>
        <w:rPr>
          <w:rFonts w:hint="eastAsia" w:ascii="宋体" w:hAnsi="宋体" w:eastAsia="宋体" w:cs="宋体"/>
          <w:b/>
          <w:bCs/>
          <w:color w:val="auto"/>
          <w:sz w:val="24"/>
          <w:highlight w:val="none"/>
        </w:rPr>
        <w:t xml:space="preserve">符合条件（必须提供，否则在符合性审查时按照响应无效处理。）</w:t>
      </w:r>
      <w:r/>
    </w:p>
    <w:p>
      <w:pPr>
        <w:pStyle w:val="888"/>
        <w:ind w:right="0" w:firstLine="482"/>
        <w:jc w:val="left"/>
        <w:keepLines w:val="0"/>
        <w:keepNext w:val="0"/>
        <w:pageBreakBefore w:val="0"/>
        <w:spacing w:line="360" w:lineRule="auto"/>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《承诺书》（加盖</w:t>
      </w:r>
      <w:r>
        <w:rPr>
          <w:rFonts w:hint="eastAsia" w:ascii="宋体" w:hAnsi="宋体" w:eastAsia="宋体" w:cs="宋体"/>
          <w:b w:val="0"/>
          <w:bCs w:val="0"/>
          <w:color w:val="auto"/>
          <w:sz w:val="24"/>
          <w:highlight w:val="none"/>
          <w:lang w:eastAsia="zh-CN"/>
        </w:rPr>
        <w:t xml:space="preserve">电子签章</w:t>
      </w:r>
      <w:r>
        <w:rPr>
          <w:rFonts w:hint="eastAsia" w:ascii="宋体" w:hAnsi="宋体" w:eastAsia="宋体" w:cs="宋体"/>
          <w:b w:val="0"/>
          <w:bCs w:val="0"/>
          <w:color w:val="auto"/>
          <w:sz w:val="24"/>
          <w:highlight w:val="none"/>
        </w:rPr>
        <w:t xml:space="preserve">，格式见《磋商文件》附件。）；</w:t>
      </w:r>
      <w:r/>
    </w:p>
    <w:p>
      <w:pPr>
        <w:pStyle w:val="888"/>
        <w:ind w:right="0" w:firstLine="482"/>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en-US" w:eastAsia="zh-CN"/>
        </w:rPr>
        <w:t xml:space="preserve">、《磋商报价表》（政府采购客户端工具输入报价自动生成。）；</w:t>
      </w:r>
      <w:r/>
    </w:p>
    <w:p>
      <w:pPr>
        <w:pStyle w:val="888"/>
        <w:ind w:right="0" w:firstLine="482"/>
        <w:jc w:val="left"/>
        <w:keepLines w:val="0"/>
        <w:keepNext w:val="0"/>
        <w:pageBreakBefore w:val="0"/>
        <w:spacing w:line="360" w:lineRule="auto"/>
        <w:widowControl/>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分项价格表</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（加盖</w:t>
      </w:r>
      <w:r>
        <w:rPr>
          <w:rFonts w:hint="eastAsia" w:ascii="宋体" w:hAnsi="宋体" w:eastAsia="宋体" w:cs="宋体"/>
          <w:b w:val="0"/>
          <w:bCs w:val="0"/>
          <w:color w:val="auto"/>
          <w:sz w:val="24"/>
          <w:highlight w:val="none"/>
          <w:lang w:eastAsia="zh-CN"/>
        </w:rPr>
        <w:t xml:space="preserve">电子签章</w:t>
      </w:r>
      <w:r>
        <w:rPr>
          <w:rFonts w:hint="eastAsia" w:ascii="宋体" w:hAnsi="宋体" w:eastAsia="宋体" w:cs="宋体"/>
          <w:b w:val="0"/>
          <w:bCs w:val="0"/>
          <w:color w:val="auto"/>
          <w:sz w:val="24"/>
          <w:highlight w:val="none"/>
        </w:rPr>
        <w:t xml:space="preserve">，格式见《磋商文件》附件。）</w:t>
      </w:r>
      <w:r>
        <w:rPr>
          <w:rFonts w:hint="eastAsia" w:ascii="宋体" w:hAnsi="宋体" w:eastAsia="宋体" w:cs="宋体"/>
          <w:b w:val="0"/>
          <w:bCs w:val="0"/>
          <w:color w:val="auto"/>
          <w:sz w:val="24"/>
          <w:highlight w:val="none"/>
          <w:lang w:eastAsia="zh-CN"/>
        </w:rPr>
        <w:t xml:space="preserve">。</w:t>
      </w:r>
      <w:r/>
    </w:p>
    <w:p>
      <w:pPr>
        <w:pStyle w:val="888"/>
        <w:ind w:right="0" w:firstLine="482"/>
        <w:jc w:val="left"/>
        <w:keepLines w:val="0"/>
        <w:keepNext w:val="0"/>
        <w:pageBreakBefore w:val="0"/>
        <w:spacing w:line="360" w:lineRule="auto"/>
        <w:widowControl/>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4</w:t>
      </w:r>
      <w:r>
        <w:rPr>
          <w:rFonts w:hint="eastAsia" w:ascii="宋体" w:hAnsi="宋体" w:eastAsia="宋体" w:cs="宋体"/>
          <w:b w:val="0"/>
          <w:bCs w:val="0"/>
          <w:color w:val="auto"/>
          <w:sz w:val="24"/>
          <w:highlight w:val="none"/>
          <w:lang w:val="en-US" w:eastAsia="zh-CN"/>
        </w:rPr>
        <w:t xml:space="preserve">、</w:t>
      </w:r>
      <w:r>
        <w:rPr>
          <w:rFonts w:hint="eastAsia" w:ascii="宋体" w:hAnsi="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授权委托书</w:t>
      </w:r>
      <w:r>
        <w:rPr>
          <w:rFonts w:hint="eastAsia" w:ascii="宋体" w:hAnsi="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（提供原件的扫描件，</w:t>
      </w:r>
      <w:r>
        <w:rPr>
          <w:rFonts w:hint="eastAsia" w:ascii="宋体" w:hAnsi="宋体" w:eastAsia="宋体" w:cs="宋体"/>
          <w:b w:val="0"/>
          <w:bCs w:val="0"/>
          <w:color w:val="auto"/>
          <w:sz w:val="24"/>
          <w:highlight w:val="none"/>
        </w:rPr>
        <w:t xml:space="preserve">加盖</w:t>
      </w:r>
      <w:r>
        <w:rPr>
          <w:rFonts w:hint="eastAsia" w:ascii="宋体" w:hAnsi="宋体" w:eastAsia="宋体" w:cs="宋体"/>
          <w:b w:val="0"/>
          <w:bCs w:val="0"/>
          <w:color w:val="auto"/>
          <w:sz w:val="24"/>
          <w:highlight w:val="none"/>
          <w:lang w:eastAsia="zh-CN"/>
        </w:rPr>
        <w:t xml:space="preserve">电子签章</w:t>
      </w: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格式见《磋商文件》附件）；</w:t>
      </w:r>
      <w:r/>
    </w:p>
    <w:p>
      <w:pPr>
        <w:pStyle w:val="888"/>
        <w:ind w:right="0" w:firstLine="482"/>
        <w:jc w:val="left"/>
        <w:keepLines w:val="0"/>
        <w:keepNext w:val="0"/>
        <w:pageBreakBefore w:val="0"/>
        <w:spacing w:line="360" w:lineRule="auto"/>
        <w:widowControl/>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偏离表</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rPr>
        <w:t xml:space="preserve">（加盖</w:t>
      </w:r>
      <w:r>
        <w:rPr>
          <w:rFonts w:hint="eastAsia" w:ascii="宋体" w:hAnsi="宋体" w:eastAsia="宋体" w:cs="宋体"/>
          <w:b w:val="0"/>
          <w:bCs w:val="0"/>
          <w:color w:val="auto"/>
          <w:sz w:val="24"/>
          <w:highlight w:val="none"/>
          <w:lang w:eastAsia="zh-CN"/>
        </w:rPr>
        <w:t xml:space="preserve">电子签章</w:t>
      </w:r>
      <w:r>
        <w:rPr>
          <w:rFonts w:hint="eastAsia" w:ascii="宋体" w:hAnsi="宋体" w:eastAsia="宋体" w:cs="宋体"/>
          <w:b w:val="0"/>
          <w:bCs w:val="0"/>
          <w:color w:val="auto"/>
          <w:sz w:val="24"/>
          <w:highlight w:val="none"/>
        </w:rPr>
        <w:t xml:space="preserve">，格式见《磋商文件》附件。）；</w:t>
      </w:r>
      <w:r/>
    </w:p>
    <w:p>
      <w:pPr>
        <w:pStyle w:val="888"/>
        <w:ind w:right="0" w:firstLine="482"/>
        <w:jc w:val="left"/>
        <w:keepLines w:val="0"/>
        <w:keepNext w:val="0"/>
        <w:pageBreakBefore w:val="0"/>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（四）综合评审评分项</w:t>
      </w:r>
      <w:r/>
    </w:p>
    <w:p>
      <w:pPr>
        <w:pStyle w:val="888"/>
        <w:ind w:right="0" w:firstLine="482"/>
        <w:jc w:val="left"/>
        <w:keepLines w:val="0"/>
        <w:keepNext w:val="0"/>
        <w:pageBreakBefore w:val="0"/>
        <w:spacing w:line="360" w:lineRule="auto"/>
        <w:widowControl/>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1、技术部分</w:t>
      </w:r>
      <w:r>
        <w:rPr>
          <w:rFonts w:hint="eastAsia" w:ascii="宋体" w:hAnsi="宋体" w:eastAsia="宋体" w:cs="宋体"/>
          <w:b w:val="0"/>
          <w:bCs w:val="0"/>
          <w:color w:val="auto"/>
          <w:sz w:val="24"/>
          <w:highlight w:val="none"/>
          <w:lang w:eastAsia="zh-CN"/>
        </w:rPr>
        <w:t xml:space="preserve">（要求见《磋商文件》附件1、《评分细则》及附件：2、《项目要求（采购需求）》）；</w:t>
      </w:r>
      <w:r/>
    </w:p>
    <w:p>
      <w:pPr>
        <w:pStyle w:val="888"/>
        <w:ind w:right="0" w:firstLine="482"/>
        <w:jc w:val="left"/>
        <w:keepLines w:val="0"/>
        <w:keepNext w:val="0"/>
        <w:pageBreakBefore w:val="0"/>
        <w:spacing w:line="360" w:lineRule="auto"/>
        <w:widowControl/>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val="en-US" w:eastAsia="zh-CN"/>
        </w:rPr>
        <w:t xml:space="preserve">2、商务部分（要求见《磋商文件》附件1、《评分细则》及附件：2、《项目要求（采购需求）》）；</w:t>
      </w:r>
      <w:r/>
    </w:p>
    <w:p>
      <w:pPr>
        <w:ind w:firstLine="482"/>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（五）价格折扣文件格式</w:t>
      </w:r>
      <w:r/>
    </w:p>
    <w:p>
      <w:pPr>
        <w:ind w:firstLine="482"/>
        <w:jc w:val="left"/>
        <w:keepLines w:val="0"/>
        <w:keepNext w:val="0"/>
        <w:pageBreakBefore w:val="0"/>
        <w:spacing w:line="360" w:lineRule="auto"/>
        <w:rPr>
          <w:rFonts w:hint="eastAsia" w:ascii="宋体" w:hAnsi="宋体" w:eastAsia="宋体" w:cs="宋体"/>
          <w:b/>
          <w:bCs/>
          <w:color w:val="auto"/>
          <w:sz w:val="24"/>
          <w:highlight w:val="none"/>
          <w:lang w:val="en-US" w:eastAsia="zh-CN"/>
        </w:rPr>
        <w:outlineLvl w:val="9"/>
      </w:pPr>
      <w:r/>
      <w:bookmarkStart w:id="2" w:name="OLE_LINK3"/>
      <w:r>
        <w:rPr>
          <w:rFonts w:hint="eastAsia" w:ascii="宋体" w:hAnsi="宋体" w:eastAsia="宋体" w:cs="宋体"/>
          <w:b/>
          <w:bCs/>
          <w:color w:val="auto"/>
          <w:sz w:val="24"/>
          <w:highlight w:val="none"/>
          <w:lang w:val="en-US" w:eastAsia="zh-CN"/>
        </w:rPr>
        <w:t xml:space="preserve">1、企业报价折扣证明：</w:t>
      </w:r>
      <w:r/>
    </w:p>
    <w:p>
      <w:pPr>
        <w:ind w:right="0" w:firstLine="482"/>
        <w:jc w:val="both"/>
        <w:keepLines w:val="0"/>
        <w:keepNext w:val="0"/>
        <w:pageBreakBefore w:val="0"/>
        <w:spacing w:line="360" w:lineRule="auto"/>
        <w:rPr>
          <w:rFonts w:hint="eastAsia" w:ascii="宋体" w:hAnsi="宋体" w:eastAsia="宋体" w:cs="宋体"/>
          <w:b w:val="0"/>
          <w:bCs/>
          <w:color w:val="auto"/>
          <w:sz w:val="24"/>
          <w:highlight w:val="none"/>
        </w:rPr>
        <w:outlineLvl w:val="9"/>
      </w:pPr>
      <w:r>
        <w:rPr>
          <w:rFonts w:hint="eastAsia" w:ascii="宋体" w:hAnsi="宋体" w:eastAsia="宋体" w:cs="宋体"/>
          <w:b w:val="0"/>
          <w:bCs/>
          <w:color w:val="auto"/>
          <w:sz w:val="24"/>
          <w:highlight w:val="none"/>
        </w:rPr>
        <w:t xml:space="preserve">服务全部由符合政策要求的中小企业承接</w:t>
      </w:r>
      <w:r>
        <w:rPr>
          <w:rFonts w:hint="eastAsia" w:ascii="宋体" w:hAnsi="宋体" w:eastAsia="宋体" w:cs="宋体"/>
          <w:b w:val="0"/>
          <w:bCs/>
          <w:color w:val="auto"/>
          <w:sz w:val="24"/>
          <w:highlight w:val="none"/>
          <w:lang w:val="en-US" w:eastAsia="zh-CN"/>
        </w:rPr>
        <w:t xml:space="preserve">的</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提供《中小企业声明函》（填写完整，加盖电子签章</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格式见《磋商文件》附件）。《中小企业声明函》查询渠道参考工业和信息化部发布的中小企业规模自测小程序。</w:t>
      </w:r>
      <w:r/>
    </w:p>
    <w:p>
      <w:pPr>
        <w:ind w:right="0" w:firstLine="480"/>
        <w:jc w:val="both"/>
        <w:keepLines w:val="0"/>
        <w:keepNext w:val="0"/>
        <w:pageBreakBefore w:val="0"/>
        <w:spacing w:line="360" w:lineRule="auto"/>
        <w:rPr>
          <w:rFonts w:hint="eastAsia" w:ascii="宋体" w:hAnsi="宋体" w:eastAsia="宋体" w:cs="宋体"/>
          <w:b w:val="0"/>
          <w:bCs/>
          <w:color w:val="auto"/>
          <w:sz w:val="24"/>
          <w:highlight w:val="none"/>
        </w:rPr>
        <w:outlineLvl w:val="9"/>
      </w:pPr>
      <w:r>
        <w:rPr>
          <w:rFonts w:hint="eastAsia" w:ascii="宋体" w:hAnsi="宋体" w:eastAsia="宋体" w:cs="宋体"/>
          <w:b w:val="0"/>
          <w:bCs/>
          <w:color w:val="auto"/>
          <w:sz w:val="24"/>
          <w:highlight w:val="none"/>
        </w:rPr>
        <w:t xml:space="preserve">注：具体以《政府采购促进中小企业发展管理办法》（财库[2020]46号）和《关于印发中小企业划型标准规定的通知》（工信部联企业[2011]300号）的规定为准。</w:t>
      </w:r>
      <w:r/>
    </w:p>
    <w:p>
      <w:pPr>
        <w:ind w:right="0" w:firstLine="480"/>
        <w:jc w:val="both"/>
        <w:keepLines w:val="0"/>
        <w:keepNext w:val="0"/>
        <w:pageBreakBefore w:val="0"/>
        <w:spacing w:line="360" w:lineRule="auto"/>
        <w:rPr>
          <w:rFonts w:hint="eastAsia" w:ascii="宋体" w:hAnsi="宋体" w:eastAsia="宋体" w:cs="宋体"/>
          <w:b w:val="0"/>
          <w:bCs/>
          <w:color w:val="auto"/>
          <w:sz w:val="24"/>
          <w:highlight w:val="none"/>
        </w:rPr>
        <w:outlineLvl w:val="9"/>
      </w:pPr>
      <w:r>
        <w:rPr>
          <w:rFonts w:hint="eastAsia" w:ascii="宋体" w:hAnsi="宋体" w:eastAsia="宋体" w:cs="宋体"/>
          <w:b w:val="0"/>
          <w:bCs/>
          <w:color w:val="auto"/>
          <w:sz w:val="24"/>
          <w:highlight w:val="none"/>
        </w:rPr>
        <w:t xml:space="preserve">注：监护企业和残疾人福利性单位等同于小微企业。</w:t>
      </w:r>
      <w:r/>
    </w:p>
    <w:p>
      <w:pPr>
        <w:ind w:right="0" w:firstLine="480"/>
        <w:jc w:val="both"/>
        <w:keepLines w:val="0"/>
        <w:keepNext w:val="0"/>
        <w:pageBreakBefore w:val="0"/>
        <w:spacing w:line="360" w:lineRule="auto"/>
        <w:rPr>
          <w:rFonts w:hint="eastAsia" w:ascii="宋体" w:hAnsi="宋体" w:eastAsia="宋体" w:cs="宋体"/>
          <w:b w:val="0"/>
          <w:bCs/>
          <w:color w:val="auto"/>
          <w:sz w:val="24"/>
          <w:highlight w:val="none"/>
        </w:rPr>
        <w:outlineLvl w:val="9"/>
      </w:pPr>
      <w:r>
        <w:rPr>
          <w:rFonts w:hint="eastAsia" w:ascii="宋体" w:hAnsi="宋体" w:eastAsia="宋体" w:cs="宋体"/>
          <w:b w:val="0"/>
          <w:bCs/>
          <w:color w:val="auto"/>
          <w:sz w:val="24"/>
          <w:highlight w:val="none"/>
        </w:rPr>
        <w:t xml:space="preserve">供应商为监狱企业的，提供省级以上监狱管理局、戒毒管理局（含新疆生产建设兵团）出具的属于监狱企业的证明文件原件的扫描件。</w:t>
      </w:r>
      <w:r/>
    </w:p>
    <w:p>
      <w:pPr>
        <w:ind w:right="0" w:firstLine="480"/>
        <w:jc w:val="both"/>
        <w:keepLines w:val="0"/>
        <w:keepNext w:val="0"/>
        <w:pageBreakBefore w:val="0"/>
        <w:spacing w:line="360" w:lineRule="auto"/>
        <w:rPr>
          <w:rFonts w:hint="eastAsia" w:ascii="宋体" w:hAnsi="宋体" w:eastAsia="宋体" w:cs="宋体"/>
          <w:b w:val="0"/>
          <w:bCs/>
          <w:color w:val="auto"/>
          <w:sz w:val="24"/>
          <w:highlight w:val="none"/>
        </w:rPr>
        <w:outlineLvl w:val="9"/>
      </w:pPr>
      <w:r>
        <w:rPr>
          <w:rFonts w:hint="eastAsia" w:ascii="宋体" w:hAnsi="宋体" w:eastAsia="宋体" w:cs="宋体"/>
          <w:b w:val="0"/>
          <w:bCs/>
          <w:color w:val="auto"/>
          <w:sz w:val="24"/>
          <w:highlight w:val="none"/>
        </w:rPr>
        <w:t xml:space="preserve">具体以《财政部司法部关于政府采购支持监狱企业发展有关问题的通知》（财库〔2014〕68号）的规定为准。</w:t>
      </w:r>
      <w:r/>
    </w:p>
    <w:p>
      <w:pPr>
        <w:ind w:right="0" w:firstLine="480"/>
        <w:jc w:val="both"/>
        <w:keepLines w:val="0"/>
        <w:keepNext w:val="0"/>
        <w:pageBreakBefore w:val="0"/>
        <w:spacing w:line="360" w:lineRule="auto"/>
        <w:rPr>
          <w:rFonts w:hint="eastAsia" w:ascii="宋体" w:hAnsi="宋体" w:eastAsia="宋体" w:cs="宋体"/>
          <w:b w:val="0"/>
          <w:bCs/>
          <w:color w:val="auto"/>
          <w:sz w:val="24"/>
          <w:highlight w:val="none"/>
        </w:rPr>
        <w:outlineLvl w:val="9"/>
      </w:pPr>
      <w:r>
        <w:rPr>
          <w:rFonts w:hint="eastAsia" w:ascii="宋体" w:hAnsi="宋体" w:eastAsia="宋体" w:cs="宋体"/>
          <w:b w:val="0"/>
          <w:bCs/>
          <w:color w:val="auto"/>
          <w:sz w:val="24"/>
          <w:highlight w:val="none"/>
        </w:rPr>
        <w:t xml:space="preserve">供应商为享受政府采购支持政策的残疾人福利性单位的，提供《残疾人福利性单位声明函》（加盖电子签章，格式见《磋商文件》附件）。</w:t>
      </w:r>
      <w:r/>
    </w:p>
    <w:p>
      <w:pPr>
        <w:ind w:right="0" w:firstLine="480"/>
        <w:jc w:val="both"/>
        <w:keepLines w:val="0"/>
        <w:keepNext w:val="0"/>
        <w:pageBreakBefore w:val="0"/>
        <w:spacing w:line="360" w:lineRule="auto"/>
        <w:rPr>
          <w:rFonts w:hint="eastAsia" w:ascii="宋体" w:hAnsi="宋体" w:eastAsia="宋体" w:cs="宋体"/>
          <w:b/>
          <w:bCs w:val="0"/>
          <w:color w:val="auto"/>
          <w:sz w:val="24"/>
          <w:highlight w:val="none"/>
        </w:rPr>
        <w:outlineLvl w:val="9"/>
      </w:pPr>
      <w:r>
        <w:rPr>
          <w:rFonts w:hint="eastAsia" w:ascii="宋体" w:hAnsi="宋体" w:eastAsia="宋体" w:cs="宋体"/>
          <w:b w:val="0"/>
          <w:bCs/>
          <w:color w:val="auto"/>
          <w:sz w:val="24"/>
          <w:highlight w:val="none"/>
        </w:rPr>
        <w:t xml:space="preserve">享受政府采购支持政策的残疾人福利性单位应当同时满足以下条件：</w:t>
      </w:r>
      <w:r/>
    </w:p>
    <w:p>
      <w:pPr>
        <w:pStyle w:val="888"/>
        <w:ind w:righ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①安置的残疾人占本单位在职职工人数的比例不低于25%（含25%），并且安置的残疾人人数不少于10人（含10人）；</w:t>
      </w:r>
      <w:r/>
    </w:p>
    <w:p>
      <w:pPr>
        <w:pStyle w:val="888"/>
        <w:ind w:righ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②依法与安置的每位残疾人签订了一年以上（含一年）的劳动合同或服务协议；</w:t>
      </w:r>
      <w:r/>
    </w:p>
    <w:p>
      <w:pPr>
        <w:pStyle w:val="888"/>
        <w:ind w:righ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③为安置的每位残疾人按月足额缴纳了基本养老保险、基本医疗保险、失业保险、工伤保险和生育保险等社会保险费；</w:t>
      </w:r>
      <w:r/>
    </w:p>
    <w:p>
      <w:pPr>
        <w:pStyle w:val="888"/>
        <w:ind w:righ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④通过银行等金融机构向安置的每位残疾人，按月支付了不低于单位所在区县适用的经省级人民政府批准的月最低工资标准的工资；</w:t>
      </w:r>
      <w:r/>
    </w:p>
    <w:p>
      <w:pPr>
        <w:pStyle w:val="888"/>
        <w:ind w:righ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888"/>
        <w:ind w:righ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8"/>
        <w:ind w:right="0"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具体以《三部门联合发布关于促进残疾人就业政府采购政策的通知》（财库〔2017〕141号）规定为准。</w:t>
      </w:r>
      <w:bookmarkEnd w:id="2"/>
      <w:r/>
      <w:r/>
    </w:p>
    <w:p>
      <w:pPr>
        <w:ind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（六）提交的首次响应文件的密封、签署、盖章要求：</w:t>
      </w:r>
      <w:r/>
    </w:p>
    <w:p>
      <w:pPr>
        <w:ind w:firstLine="480"/>
        <w:keepLines w:val="0"/>
        <w:keepNext w:val="0"/>
        <w:pageBreakBefore w:val="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1.密封（加密）要求：</w:t>
      </w:r>
      <w:r/>
    </w:p>
    <w:p>
      <w:pPr>
        <w:ind w:firstLine="480"/>
        <w:keepLines w:val="0"/>
        <w:keepNext w:val="0"/>
        <w:pageBreakBefore w:val="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jc w:val="left"/>
        <w:keepLines w:val="0"/>
        <w:keepNext w:val="0"/>
        <w:pageBreakBefore w:val="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2.签署要求：见《磋商文件》第九章附件中相关格式要求（特别提醒：竞争性磋商文件中如需“被授权代表签字或盖章”，供应商可打印成文档，签字或盖章后再扫描上传，最后再电子签章）。</w:t>
      </w:r>
      <w:r/>
    </w:p>
    <w:p>
      <w:pPr>
        <w:ind w:firstLine="480"/>
        <w:keepLines w:val="0"/>
        <w:keepNext w:val="0"/>
        <w:pageBreakBefore w:val="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3.盖章要求：见《磋商文件》第九章附件中相关格式要求。供应商须通过“苏采云”系统提供的政府采购客户端工具（使用“CA数字证书”）加盖电子签章。</w:t>
      </w:r>
      <w:r/>
    </w:p>
    <w:p>
      <w:pPr>
        <w:ind w:firstLine="480"/>
        <w:keepLines w:val="0"/>
        <w:keepNext w:val="0"/>
        <w:pageBreakBefore w:val="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（七）通过“苏采云”系统提交政府采购客户端工具导出加密的响应文件（后缀名为zip）。响应文件不得超过150M！ </w:t>
      </w:r>
      <w:r/>
    </w:p>
    <w:p>
      <w:pPr>
        <w:ind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b w:val="0"/>
          <w:bCs w:val="0"/>
          <w:color w:val="auto"/>
          <w:sz w:val="24"/>
          <w:highlight w:val="none"/>
          <w:lang w:val="en-US" w:eastAsia="zh-CN"/>
        </w:rPr>
        <w:t xml:space="preserve">注：供应商应当按照《磋商文件》的要求编制响应文件，并对其提交的响应文件的真实性、合法性承担法律责任。</w:t>
      </w:r>
      <w:r/>
    </w:p>
    <w:p>
      <w:pPr>
        <w:ind w:firstLine="480"/>
        <w:jc w:val="center"/>
        <w:keepLines w:val="0"/>
        <w:keepNext w:val="0"/>
        <w:pageBreakBefore w:val="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第四章 磋商相关说明</w:t>
      </w:r>
      <w:r/>
    </w:p>
    <w:p>
      <w:pPr>
        <w:ind w:firstLine="480"/>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十四、磋商相关说明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(一)磋商要求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1.被邀请参与磋商的供应商需按本竞争性磋商文件要求的截止时间、方式（地点）提交首次响应文件，同时由法人或法人授权代表通过“苏采云”系统（开标大厅）等待磋商。</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2.供应商可通过CA数字证书，在首次响应文件开启时间后，使用CA数字证书在规定时间内解密各自响应文件。</w:t>
      </w:r>
      <w:r/>
    </w:p>
    <w:p>
      <w:pPr>
        <w:ind w:firstLine="482"/>
        <w:keepLines w:val="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3.供应商的授权代表或</w:t>
      </w:r>
      <w:r>
        <w:rPr>
          <w:rFonts w:hint="eastAsia" w:ascii="宋体" w:hAnsi="宋体" w:eastAsia="宋体" w:cs="宋体"/>
          <w:b w:val="0"/>
          <w:bCs w:val="0"/>
          <w:color w:val="auto"/>
          <w:sz w:val="24"/>
          <w:highlight w:val="none"/>
          <w:lang w:eastAsia="zh-CN"/>
        </w:rPr>
        <w:t xml:space="preserve">法定代表人</w:t>
      </w:r>
      <w:r>
        <w:rPr>
          <w:rFonts w:hint="eastAsia" w:ascii="宋体" w:hAnsi="宋体" w:eastAsia="宋体" w:cs="宋体"/>
          <w:b w:val="0"/>
          <w:bCs w:val="0"/>
          <w:color w:val="auto"/>
          <w:sz w:val="24"/>
          <w:highlight w:val="none"/>
        </w:rPr>
        <w:t xml:space="preserve">须全程守候在“苏采云”系统开标大厅，并确保视频设备正常使用。授权代表或</w:t>
      </w:r>
      <w:r>
        <w:rPr>
          <w:rFonts w:hint="eastAsia" w:ascii="宋体" w:hAnsi="宋体" w:eastAsia="宋体" w:cs="宋体"/>
          <w:b w:val="0"/>
          <w:bCs w:val="0"/>
          <w:color w:val="auto"/>
          <w:sz w:val="24"/>
          <w:highlight w:val="none"/>
          <w:lang w:eastAsia="zh-CN"/>
        </w:rPr>
        <w:t xml:space="preserve">法定代表人</w:t>
      </w:r>
      <w:r>
        <w:rPr>
          <w:rFonts w:hint="eastAsia" w:ascii="宋体" w:hAnsi="宋体" w:eastAsia="宋体" w:cs="宋体"/>
          <w:b w:val="0"/>
          <w:bCs w:val="0"/>
          <w:color w:val="auto"/>
          <w:sz w:val="24"/>
          <w:highlight w:val="none"/>
        </w:rPr>
        <w:t xml:space="preserve">须携带授权委托书原件及身份证原件，经磋商小组核查后参与磋商活动。</w:t>
      </w:r>
      <w:r/>
    </w:p>
    <w:p>
      <w:pPr>
        <w:ind w:firstLine="482"/>
        <w:keepLines w:val="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4.磋商顺序按照电子标书解密先后时间进行，解密时间相同的，不分先后顺序。</w:t>
      </w:r>
      <w:r/>
    </w:p>
    <w:p>
      <w:pPr>
        <w:ind w:firstLine="482"/>
        <w:keepLines w:val="0"/>
        <w:keepNext w:val="0"/>
        <w:pageBreakBefore w:val="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6.未在规定时间内进行答疑澄清的，视同放弃澄清。</w:t>
      </w:r>
      <w:r/>
    </w:p>
    <w:p>
      <w:pPr>
        <w:ind w:firstLine="48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7.未在规定时间内进行报价的，视为响应无效。</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8.被邀请参与磋商的供应商如未按上述磋商要求执行，视同放弃磋商的权利。</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评审程序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eastAsia="宋体" w:cs="宋体"/>
          <w:color w:val="auto"/>
          <w:sz w:val="24"/>
          <w:highlight w:val="none"/>
          <w:lang w:eastAsia="zh-CN"/>
        </w:rPr>
        <w:t xml:space="preserve">服务方案</w:t>
      </w:r>
      <w:r>
        <w:rPr>
          <w:rFonts w:hint="eastAsia" w:ascii="宋体" w:hAnsi="宋体" w:eastAsia="宋体" w:cs="宋体"/>
          <w:color w:val="auto"/>
          <w:sz w:val="24"/>
          <w:highlight w:val="none"/>
        </w:rPr>
        <w:t xml:space="preserve">得分顺序推荐。</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注：实施政府采购异常低价审查的有关要求：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（一）评审过程中出现下列情形之一的，评审委员会应当启动异常低价投标（响应）审查程序：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1．投标（响应）报价低于采购项目预算50%的，即投标（响应）报价＜采购项目预算×50%；</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2．投标（呴应）报价低于采购项目最高限价45％的，即投标（响应）报价＜采购项目最高限价×45%；</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3．评审委员会认定的供应商报价过低、有可能影响产品质量或者不能诚信履约的其他情形。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（二）启动异常低价投标（响应）审查后，评审委员会应当要求相关供应商在评标现场合理的时间内，提供</w:t>
      </w:r>
      <w:r>
        <w:rPr>
          <w:rFonts w:hint="eastAsia" w:ascii="宋体" w:hAnsi="宋体" w:eastAsia="宋体" w:cs="宋体"/>
          <w:b/>
          <w:color w:val="auto"/>
          <w:sz w:val="24"/>
          <w:szCs w:val="24"/>
          <w:highlight w:val="none"/>
        </w:rPr>
        <w:t xml:space="preserve">项目具体成本测算等与报价合理性相关的书面说明及相关证明材料</w:t>
      </w:r>
      <w:r>
        <w:rPr>
          <w:rFonts w:hint="eastAsia" w:ascii="宋体" w:hAnsi="宋体" w:eastAsia="宋体" w:cs="宋体"/>
          <w:color w:val="auto"/>
          <w:sz w:val="24"/>
          <w:szCs w:val="24"/>
          <w:highlight w:val="none"/>
        </w:rPr>
        <w:t xml:space="preserve">，对投标（响应）价格作出解释，由评审委员会</w:t>
      </w:r>
      <w:r>
        <w:rPr>
          <w:rFonts w:hint="eastAsia" w:ascii="宋体" w:hAnsi="宋体" w:eastAsia="宋体" w:cs="宋体"/>
          <w:b/>
          <w:color w:val="auto"/>
          <w:sz w:val="24"/>
          <w:szCs w:val="24"/>
          <w:highlight w:val="none"/>
        </w:rPr>
        <w:t xml:space="preserve">结合同类产品在主要电商平台的价格、该行业当地薪资水平等情况</w:t>
      </w:r>
      <w:r>
        <w:rPr>
          <w:rFonts w:hint="eastAsia" w:ascii="宋体" w:hAnsi="宋体" w:eastAsia="宋体" w:cs="宋体"/>
          <w:color w:val="auto"/>
          <w:sz w:val="24"/>
          <w:szCs w:val="24"/>
          <w:highlight w:val="none"/>
        </w:rPr>
        <w:t xml:space="preserve">，依据专业经验对供应商报价合理性进行判断。投标（响应）供应商</w:t>
      </w:r>
      <w:r>
        <w:rPr>
          <w:rFonts w:hint="eastAsia" w:ascii="宋体" w:hAnsi="宋体" w:eastAsia="宋体" w:cs="宋体"/>
          <w:b/>
          <w:color w:val="auto"/>
          <w:sz w:val="24"/>
          <w:szCs w:val="24"/>
          <w:highlight w:val="none"/>
        </w:rPr>
        <w:t xml:space="preserve">不提供书面说明、证明材料，或者提供的书面说明、证明材料不能证明其报价合理性的，评审委员会应当将其作为无效投标（响应）处理。</w:t>
      </w:r>
      <w:r>
        <w:rPr>
          <w:rFonts w:hint="eastAsia" w:ascii="宋体" w:hAnsi="宋体" w:eastAsia="宋体" w:cs="宋体"/>
          <w:color w:val="auto"/>
          <w:sz w:val="24"/>
          <w:szCs w:val="24"/>
          <w:highlight w:val="none"/>
        </w:rPr>
        <w:t xml:space="preserve">审查相关情况应当在评审报告中进行记录。</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相关内容和要求见：《中华人民共和国政府采购法》、《中华人民共和国政府采购法实施条例》及《政府采购竞争性磋商采购方式管理暂行办法》。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（三）</w:t>
      </w:r>
      <w:r>
        <w:rPr>
          <w:rFonts w:hint="eastAsia" w:ascii="宋体" w:hAnsi="宋体" w:eastAsia="宋体" w:cs="宋体"/>
          <w:color w:val="auto"/>
          <w:sz w:val="24"/>
          <w:highlight w:val="none"/>
        </w:rPr>
        <w:t xml:space="preserve">查询及使用供应商信用记录</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1、由采购人查询信用信息。</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2、查询渠道包括：</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“信用中国”网（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"http://www.creditchina.gov.cn/"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www.creditchina.gov.cn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中国政府采购网（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"http://www.ccgp.gov.cn/"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www.ccgp.gov.cn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“信用江苏”网（http://www.jscredit.gov.cn/）；</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“信用徐州”网（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"http://www.xuzhoucredit.gov.cn）；"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http://www.xuzhoucredit.gov.cn）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fldChar w:fldCharType="end"/>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3、截止时点（查询环节）：评审结束前。</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4、信用信息查询记录和证据留存的具体方式：</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网页截屏打印，与其他采购文件一并保存。</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5、信用信息的使用规则：</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十五、评审方法和评审标准</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1、评审方法：综合评分法</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2、评审标准：详见《磋商文件》附件1、《评分细则》</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十六、磋商过程中可能实质性变动的内容：在磋商过程中，磋商小组可以根据《磋商文件》和磋商情况实质性变动采购需求中的技术、服务要求以及合同草案条款。</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十七、采购人有权对供应商的响应文件的真实性进行核实，如供应商不能在采购人规定的时间内向采购人提供有效的证明文件，</w:t>
      </w:r>
      <w:r>
        <w:rPr>
          <w:rFonts w:hint="eastAsia" w:ascii="宋体" w:hAnsi="宋体" w:cs="宋体"/>
          <w:color w:val="auto"/>
          <w:sz w:val="24"/>
          <w:highlight w:val="none"/>
        </w:rPr>
        <w:t xml:space="preserve">将被采购人视为放弃中标（成交）资格。</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第五章 确定成交供应商及合同签订等</w:t>
      </w:r>
      <w:r/>
    </w:p>
    <w:p>
      <w:pPr>
        <w:ind w:firstLine="480"/>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十八、采购人应当在收到评审报告后5个工作日内，从评审报告提出的成交候选供应商中，按照排序由高到低的原则确定成交供应商</w:t>
      </w:r>
      <w:r>
        <w:rPr>
          <w:rFonts w:hint="eastAsia" w:ascii="宋体" w:hAnsi="宋体" w:cs="宋体"/>
          <w:color w:val="auto"/>
          <w:sz w:val="24"/>
          <w:highlight w:val="none"/>
        </w:rPr>
        <w:t xml:space="preserve">，如排序相同的，由采购人确定成交供应商</w:t>
      </w:r>
      <w:r>
        <w:rPr>
          <w:rFonts w:hint="eastAsia" w:ascii="宋体" w:hAnsi="宋体" w:eastAsia="宋体" w:cs="宋体"/>
          <w:color w:val="auto"/>
          <w:sz w:val="24"/>
          <w:highlight w:val="none"/>
        </w:rPr>
        <w:t xml:space="preserve">。在省级以上财政部门指定的政府采购信息发布媒体上公告成交结果，公告标的的基本概况为成交供应商的《磋商报价表》（最后报价）。</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3"/>
        </w:numPr>
        <w:ind w:firstLine="480"/>
        <w:jc w:val="lef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列入政府采购严重违法失信行为记录名单。</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二十、成交供应商在收到成交通知书时，须向</w:t>
      </w:r>
      <w:r>
        <w:rPr>
          <w:rFonts w:hint="eastAsia" w:ascii="宋体" w:hAnsi="宋体" w:cs="宋体"/>
          <w:color w:val="auto"/>
          <w:sz w:val="24"/>
          <w:highlight w:val="none"/>
          <w:lang w:eastAsia="zh-CN"/>
        </w:rPr>
        <w:t xml:space="preserve">徐州迈迅项目管理咨询有限公司</w:t>
      </w:r>
      <w:r>
        <w:rPr>
          <w:rFonts w:hint="eastAsia" w:ascii="宋体" w:hAnsi="宋体" w:eastAsia="宋体" w:cs="宋体"/>
          <w:color w:val="auto"/>
          <w:sz w:val="24"/>
          <w:highlight w:val="none"/>
        </w:rPr>
        <w:t xml:space="preserve">提交《磋商报价表》（首次响应文件）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《分项价格表》（首次响应文件）的数据文件（WORD格式）</w:t>
      </w:r>
      <w:r>
        <w:rPr>
          <w:rFonts w:hint="eastAsia" w:ascii="宋体" w:hAnsi="宋体" w:eastAsia="宋体" w:cs="宋体"/>
          <w:color w:val="auto"/>
          <w:sz w:val="24"/>
          <w:highlight w:val="none"/>
          <w:lang w:eastAsia="zh-CN"/>
        </w:rPr>
        <w:t xml:space="preserve">及与电子响应文件（首次）一致的纸质响应文件正、副本各一套，正本逐页加盖公章，副本可以是正本的复印件</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ind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二十一、</w:t>
      </w:r>
      <w:r>
        <w:rPr>
          <w:rFonts w:hint="eastAsia" w:ascii="宋体" w:hAnsi="宋体" w:eastAsia="宋体" w:cs="宋体"/>
          <w:b w:val="0"/>
          <w:bCs w:val="0"/>
          <w:color w:val="auto"/>
          <w:sz w:val="24"/>
          <w:highlight w:val="none"/>
          <w:lang w:val="en-US" w:eastAsia="zh-CN"/>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center"/>
        <w:keepLines w:val="0"/>
        <w:keepNext w:val="0"/>
        <w:pageBreakBefore w:val="0"/>
        <w:spacing w:line="360" w:lineRule="auto"/>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第六章 磋商文件的澄清或者修改</w:t>
      </w:r>
      <w:r/>
    </w:p>
    <w:p>
      <w:pPr>
        <w:ind w:firstLine="480"/>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二十二、《磋商文件》的澄清或者修改</w:t>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澄清）公告”的附件的形式通知所有获取《磋商文件》的供应商。发布本项目的“更正（澄清）公告”后采购代理机构已尽通知义务。敬请各所有获取《磋商文件》的供应商关注本项目的“更正（澄清）公告”及附件，否则，将自行承担相应的风险。</w:t>
      </w:r>
      <w:r/>
    </w:p>
    <w:p>
      <w:pPr>
        <w:ind w:firstLine="480"/>
        <w:jc w:val="center"/>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jc w:val="center"/>
        <w:keepLines w:val="0"/>
        <w:keepNext w:val="0"/>
        <w:pageBreakBefore w:val="0"/>
        <w:spacing w:line="360" w:lineRule="auto"/>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第七章 询问和质疑</w:t>
      </w:r>
      <w:r/>
    </w:p>
    <w:p>
      <w:pPr>
        <w:ind w:firstLine="480"/>
        <w:jc w:val="center"/>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二十三、询问和质疑</w:t>
      </w:r>
      <w:r/>
    </w:p>
    <w:p>
      <w:pPr>
        <w:numPr>
          <w:ilvl w:val="0"/>
          <w:numId w:val="4"/>
        </w:num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政府采购活动事项有疑问的，向采购代理机构提出询问；供应商认为采购文件、采购过程、中标或成交结果使自己的权益受到损害的，可以在知道或者应知其权益受到损害之日起七个工作日内，以书面形式向采购代理机构提出质疑，由采购代理机构依法处理。询问和质疑由采购代理机构依法处理。</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2、供应商对同一采购程序环节的质疑应在法定质疑期内一次性提出。</w:t>
      </w:r>
      <w:r/>
    </w:p>
    <w:p>
      <w:pPr>
        <w:ind w:firstLine="480"/>
        <w:jc w:val="left"/>
        <w:keepLines w:val="0"/>
        <w:keepNext w:val="0"/>
        <w:pageBreakBefore w:val="0"/>
        <w:spacing w:line="360" w:lineRule="auto"/>
        <w:widowControl/>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质疑接收人：</w:t>
      </w:r>
      <w:r>
        <w:rPr>
          <w:rFonts w:hint="eastAsia" w:ascii="宋体" w:hAnsi="宋体" w:eastAsia="宋体" w:cs="宋体"/>
          <w:color w:val="auto"/>
          <w:sz w:val="24"/>
          <w:szCs w:val="24"/>
          <w:highlight w:val="none"/>
          <w:lang w:eastAsia="zh-CN"/>
        </w:rPr>
        <w:t xml:space="preserve">刘工</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szCs w:val="24"/>
          <w:highlight w:val="none"/>
          <w:lang w:eastAsia="zh-CN"/>
        </w:rPr>
        <w:t xml:space="preserve">13775805073</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szCs w:val="24"/>
          <w:highlight w:val="none"/>
          <w:lang w:eastAsia="zh-CN"/>
        </w:rPr>
        <w:t xml:space="preserve">江苏省徐州市丰县赵庄镇聚源路Z-083号</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center"/>
        <w:keepLines w:val="0"/>
        <w:keepNext w:val="0"/>
        <w:pageBreakBefore w:val="0"/>
        <w:spacing w:line="360" w:lineRule="auto"/>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ind w:firstLine="480"/>
        <w:jc w:val="center"/>
        <w:keepLines w:val="0"/>
        <w:keepNext w:val="0"/>
        <w:pageBreakBefore w:val="0"/>
        <w:spacing w:line="360" w:lineRule="auto"/>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ind w:firstLine="480"/>
        <w:jc w:val="center"/>
        <w:keepLines w:val="0"/>
        <w:keepNext w:val="0"/>
        <w:pageBreakBefore w:val="0"/>
        <w:spacing w:line="360" w:lineRule="auto"/>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ind w:firstLine="480"/>
        <w:jc w:val="center"/>
        <w:keepLines w:val="0"/>
        <w:keepNext w:val="0"/>
        <w:pageBreakBefore w:val="0"/>
        <w:spacing w:line="360" w:lineRule="auto"/>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第八章 其他</w:t>
      </w:r>
      <w:r/>
    </w:p>
    <w:p>
      <w:pPr>
        <w:ind w:firstLine="480"/>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二十四、代理服务费</w:t>
      </w:r>
      <w:r/>
    </w:p>
    <w:p>
      <w:pPr>
        <w:ind w:firstLine="480"/>
        <w:keepLines w:val="0"/>
        <w:keepNext w:val="0"/>
        <w:pageBreakBefore w:val="0"/>
        <w:spacing w:line="360" w:lineRule="auto"/>
        <w:rPr>
          <w:rFonts w:hint="eastAsia" w:ascii="宋体" w:hAnsi="宋体" w:eastAsia="宋体" w:cs="宋体"/>
          <w:color w:val="auto"/>
          <w:sz w:val="24"/>
          <w:highlight w:val="none"/>
        </w:rPr>
      </w:pPr>
      <w:r/>
      <w:bookmarkStart w:id="3" w:name="OLE_LINK16"/>
      <w:r>
        <w:rPr>
          <w:rFonts w:hint="eastAsia" w:ascii="宋体" w:hAnsi="宋体" w:eastAsia="宋体" w:cs="宋体"/>
          <w:color w:val="auto"/>
          <w:sz w:val="24"/>
          <w:highlight w:val="none"/>
        </w:rPr>
        <w:t xml:space="preserve">成交供应商在领取中标（成交）通知书</w:t>
      </w:r>
      <w:r>
        <w:rPr>
          <w:rFonts w:hint="eastAsia" w:ascii="宋体" w:hAnsi="宋体" w:eastAsia="宋体" w:cs="宋体"/>
          <w:color w:val="auto"/>
          <w:sz w:val="24"/>
          <w:highlight w:val="none"/>
          <w:lang w:val="en-US" w:eastAsia="zh-CN"/>
        </w:rPr>
        <w:t xml:space="preserve">前</w:t>
      </w:r>
      <w:r>
        <w:rPr>
          <w:rFonts w:hint="eastAsia" w:ascii="宋体" w:hAnsi="宋体" w:eastAsia="宋体" w:cs="宋体"/>
          <w:color w:val="auto"/>
          <w:sz w:val="24"/>
          <w:highlight w:val="none"/>
        </w:rPr>
        <w:t xml:space="preserve">，向</w:t>
      </w:r>
      <w:r>
        <w:rPr>
          <w:rFonts w:hint="eastAsia" w:ascii="宋体" w:hAnsi="宋体" w:cs="宋体"/>
          <w:color w:val="auto"/>
          <w:sz w:val="24"/>
          <w:highlight w:val="none"/>
          <w:lang w:eastAsia="zh-CN"/>
        </w:rPr>
        <w:t xml:space="preserve">徐州迈迅项目管理咨询有限公司</w:t>
      </w:r>
      <w:r>
        <w:rPr>
          <w:rFonts w:hint="eastAsia" w:ascii="宋体" w:hAnsi="宋体" w:eastAsia="宋体" w:cs="宋体"/>
          <w:color w:val="auto"/>
          <w:sz w:val="24"/>
          <w:highlight w:val="none"/>
        </w:rPr>
        <w:t xml:space="preserve">缴纳招标代理服务费，收取标准见附件。</w:t>
      </w:r>
      <w:bookmarkEnd w:id="3"/>
      <w:r/>
      <w:r/>
    </w:p>
    <w:p>
      <w:pPr>
        <w:ind w:firstLine="480"/>
        <w:jc w:val="center"/>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firstLine="480"/>
        <w:jc w:val="center"/>
        <w:keepLines w:val="0"/>
        <w:keepNext w:val="0"/>
        <w:pageBreakBefore w:val="0"/>
        <w:spacing w:line="360" w:lineRule="auto"/>
        <w:widowControl/>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第九章 附件</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eastAsia="zh-CN"/>
        </w:rPr>
        <w:t xml:space="preserve">五</w:t>
      </w:r>
      <w:r>
        <w:rPr>
          <w:rFonts w:hint="eastAsia" w:ascii="宋体" w:hAnsi="宋体" w:eastAsia="宋体" w:cs="宋体"/>
          <w:color w:val="auto"/>
          <w:sz w:val="24"/>
          <w:highlight w:val="none"/>
        </w:rPr>
        <w:t xml:space="preserve">、附件：附后。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1、《评分细则》</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2、《项目要求》（采购需求）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4、《分项价格表》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5、《偏离表》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6、《合同草案条款》</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7、《承诺书》</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8、《授权委托书》</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9、《中小企业声明函》</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10、《供应商参加政府采购活动前3年内在经营活动中没有重大违法记录的书面声明》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11、《残疾人福利性单位声明函》</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12、《具备履行合同所必需的设备和专业技术能力的书面声明》</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、《项目组人员一览表》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《代理服务收费标准》</w:t>
      </w:r>
      <w:r/>
    </w:p>
    <w:p>
      <w:pPr>
        <w:ind w:firstLine="600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pStyle w:val="896"/>
        <w:jc w:val="center"/>
        <w:keepLines w:val="0"/>
        <w:keepNext w:val="0"/>
        <w:pageBreakBefore w:val="0"/>
        <w:spacing w:line="240" w:lineRule="auto"/>
        <w:rPr>
          <w:rFonts w:hint="eastAsia" w:ascii="宋体" w:hAnsi="宋体" w:eastAsia="宋体"/>
          <w:b/>
          <w:bCs/>
          <w:color w:val="auto"/>
          <w:sz w:val="32"/>
          <w:szCs w:val="32"/>
          <w:highlight w:val="none"/>
          <w:lang w:eastAsia="zh-CN"/>
        </w:rPr>
      </w:pPr>
      <w:r>
        <w:rPr>
          <w:rFonts w:ascii="宋体" w:hAnsi="宋体"/>
          <w:b/>
          <w:bCs/>
          <w:color w:val="auto"/>
          <w:sz w:val="32"/>
          <w:szCs w:val="32"/>
          <w:highlight w:val="none"/>
        </w:rPr>
        <w:t xml:space="preserve">1.评分细则</w:t>
      </w:r>
      <w:r/>
    </w:p>
    <w:tbl>
      <w:tblPr>
        <w:tblStyle w:val="844"/>
        <w:tblpPr w:horzAnchor="page" w:tblpX="669" w:vertAnchor="text" w:tblpY="670" w:leftFromText="180" w:topFromText="0" w:rightFromText="180" w:bottomFromText="0"/>
        <w:tblW w:w="10936" w:type="dxa"/>
        <w:tblInd w:w="0" w:type="dxa"/>
        <w:tblLayout w:type="fixed"/>
        <w:tblCellMar>
          <w:left w:w="108" w:type="dxa"/>
          <w:top w:w="0" w:type="dxa"/>
          <w:right w:w="108" w:type="dxa"/>
          <w:bottom w:w="0" w:type="dxa"/>
        </w:tblCellMar>
        <w:tblLook w:val="04A0" w:firstRow="1" w:lastRow="0" w:firstColumn="1" w:lastColumn="0" w:noHBand="0" w:noVBand="1"/>
      </w:tblPr>
      <w:tblGrid>
        <w:gridCol w:w="1436"/>
        <w:gridCol w:w="1632"/>
        <w:gridCol w:w="7868"/>
      </w:tblGrid>
      <w:tr>
        <w:trPr>
          <w:trHeight w:val="91"/>
        </w:trPr>
        <w:tc>
          <w:tcPr>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项目</w:t>
            </w:r>
            <w:r/>
          </w:p>
        </w:tc>
        <w:tc>
          <w:tcPr>
            <w:tcBorders>
              <w:top w:val="single" w:color="000000" w:sz="4" w:space="0"/>
              <w:left w:val="none" w:color="000000" w:sz="4" w:space="0"/>
              <w:bottom w:val="single" w:color="000000" w:sz="4" w:space="0"/>
              <w:right w:val="single" w:color="000000" w:sz="4" w:space="0"/>
            </w:tcBorders>
            <w:tcW w:w="1632"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评审因素</w:t>
            </w:r>
            <w:r/>
          </w:p>
        </w:tc>
        <w:tc>
          <w:tcPr>
            <w:tcBorders>
              <w:top w:val="single" w:color="000000" w:sz="4" w:space="0"/>
              <w:left w:val="none" w:color="000000" w:sz="4" w:space="0"/>
              <w:bottom w:val="single" w:color="000000" w:sz="4" w:space="0"/>
              <w:right w:val="single" w:color="000000" w:sz="4" w:space="0"/>
            </w:tcBorders>
            <w:tcW w:w="786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评分依据</w:t>
            </w:r>
            <w:r/>
          </w:p>
        </w:tc>
      </w:tr>
      <w:tr>
        <w:trPr>
          <w:trHeight w:val="1426"/>
        </w:trPr>
        <w:tc>
          <w:tcPr>
            <w:tcBorders>
              <w:top w:val="non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价格部分</w:t>
            </w:r>
            <w:r/>
          </w:p>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（10分）</w:t>
            </w:r>
            <w:r/>
          </w:p>
        </w:tc>
        <w:tc>
          <w:tcPr>
            <w:tcBorders>
              <w:top w:val="single" w:color="000000" w:sz="4" w:space="0"/>
              <w:left w:val="none" w:color="000000" w:sz="4" w:space="0"/>
              <w:bottom w:val="single" w:color="000000" w:sz="4" w:space="0"/>
              <w:right w:val="single" w:color="000000" w:sz="4" w:space="0"/>
            </w:tcBorders>
            <w:tcW w:w="1632"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价格</w:t>
            </w:r>
            <w:r/>
          </w:p>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（10分）</w:t>
            </w:r>
            <w:r/>
          </w:p>
        </w:tc>
        <w:tc>
          <w:tcPr>
            <w:tcBorders>
              <w:top w:val="none" w:color="000000" w:sz="4" w:space="0"/>
              <w:left w:val="none" w:color="000000" w:sz="4" w:space="0"/>
              <w:bottom w:val="single" w:color="000000" w:sz="4" w:space="0"/>
              <w:right w:val="single" w:color="000000" w:sz="4" w:space="0"/>
            </w:tcBorders>
            <w:tcW w:w="786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磋商报价得分=（磋商基准价/最后磋商报价）×10</w:t>
            </w:r>
            <w:r/>
          </w:p>
        </w:tc>
      </w:tr>
      <w:tr>
        <w:trPr>
          <w:cantSplit/>
          <w:trHeight w:val="1968"/>
        </w:trPr>
        <w:tc>
          <w:tcPr>
            <w:tcBorders>
              <w:top w:val="single" w:color="000000" w:sz="4" w:space="0"/>
              <w:left w:val="single" w:color="000000" w:sz="4" w:space="0"/>
              <w:bottom w:val="single" w:color="000000" w:sz="4" w:space="0"/>
              <w:right w:val="single" w:color="000000" w:sz="4" w:space="0"/>
            </w:tcBorders>
            <w:tcW w:w="1436"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实验室能力</w:t>
            </w:r>
            <w:r/>
          </w:p>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（40分）</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实验室实力</w:t>
            </w:r>
            <w:r/>
          </w:p>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（13分）</w:t>
            </w:r>
            <w:r/>
          </w:p>
        </w:tc>
        <w:tc>
          <w:tcPr>
            <w:tcBorders>
              <w:top w:val="none" w:color="000000" w:sz="4" w:space="0"/>
              <w:left w:val="none" w:color="000000" w:sz="4" w:space="0"/>
              <w:bottom w:val="single" w:color="000000" w:sz="4" w:space="0"/>
              <w:right w:val="single" w:color="000000" w:sz="4" w:space="0"/>
            </w:tcBorders>
            <w:tcW w:w="7868" w:type="dxa"/>
            <w:vAlign w:val="center"/>
            <w:textDirection w:val="lrTb"/>
            <w:noWrap w:val="false"/>
          </w:tcPr>
          <w:p>
            <w:pPr>
              <w:numPr>
                <w:ilvl w:val="0"/>
                <w:numId w:val="5"/>
              </w:numPr>
              <w:jc w:val="both"/>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投标人需获得CNAS实验室认可证书的得2分，没有不得分，最高得2分。</w:t>
            </w:r>
            <w:r/>
          </w:p>
          <w:p>
            <w:pPr>
              <w:numPr>
                <w:ilvl w:val="0"/>
                <w:numId w:val="5"/>
              </w:numPr>
              <w:ind w:left="0" w:firstLine="0"/>
              <w:jc w:val="both"/>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同时获得ISO 9001质量管理体系证书、ISO45001职业健康安全管理体系证书、ISO14001环境管理体系证书3个体系证书的得1分，获得名特优新农产品品质鉴定机构资质的得1分，获得绿色食品检测机构资质的得1分，最高得3分。</w:t>
            </w:r>
            <w:r/>
          </w:p>
          <w:p>
            <w:pPr>
              <w:numPr>
                <w:ilvl w:val="0"/>
                <w:numId w:val="5"/>
              </w:numPr>
              <w:ind w:left="0" w:firstLine="0"/>
              <w:jc w:val="both"/>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参与过与食品相关标准制定的每提供一个得1分，最高得2分。</w:t>
            </w:r>
            <w:r/>
          </w:p>
          <w:p>
            <w:pPr>
              <w:numPr>
                <w:ilvl w:val="0"/>
                <w:numId w:val="0"/>
              </w:numPr>
              <w:jc w:val="both"/>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注：须提供相关证明材料扫描件加盖电子签章，未提供或未按要求提供不得分</w:t>
            </w:r>
            <w:r/>
          </w:p>
          <w:p>
            <w:pPr>
              <w:numPr>
                <w:ilvl w:val="0"/>
                <w:numId w:val="5"/>
              </w:numPr>
              <w:ind w:left="0" w:firstLine="0"/>
              <w:jc w:val="both"/>
              <w:keepLines w:val="0"/>
              <w:keepNext w:val="0"/>
              <w:pageBreakBefore w:val="0"/>
              <w:spacing w:line="24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对比投标人获得资格认定的CATL检测能力列表，本次检测项目参数全覆盖的得6分，每少一个参数扣0.5分。最高得6分。</w:t>
            </w:r>
            <w:r/>
          </w:p>
          <w:p>
            <w:pPr>
              <w:numPr>
                <w:ilvl w:val="0"/>
                <w:numId w:val="0"/>
              </w:num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numPr>
                <w:ilvl w:val="0"/>
                <w:numId w:val="0"/>
              </w:numPr>
              <w:jc w:val="both"/>
              <w:keepLines w:val="0"/>
              <w:keepNext w:val="0"/>
              <w:pageBreakBefore w:val="0"/>
              <w:spacing w:line="240" w:lineRule="auto"/>
              <w:widowControl w:val="off"/>
              <w:rPr>
                <w:rFonts w:hint="eastAsia" w:ascii="仿宋" w:hAnsi="仿宋" w:eastAsia="仿宋" w:cs="仿宋"/>
                <w:strike w:val="0"/>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注：（投标人根据CATL资质附表中的检测参数，对照本次招标检测项目参数，制作检测参数覆盖表（偏移表），并出具检测参数覆盖表真实性保证书加盖电子签章）。</w:t>
            </w:r>
            <w:r/>
          </w:p>
        </w:tc>
      </w:tr>
      <w:tr>
        <w:trPr>
          <w:cantSplit/>
          <w:trHeight w:val="485"/>
        </w:trPr>
        <w:tc>
          <w:tcPr>
            <w:tcBorders>
              <w:top w:val="singl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仪器设备、实场地（12分）</w:t>
            </w:r>
            <w:r/>
          </w:p>
          <w:p>
            <w:pPr>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68" w:type="dxa"/>
            <w:vAlign w:val="center"/>
            <w:textDirection w:val="lrTb"/>
            <w:noWrap w:val="false"/>
          </w:tcPr>
          <w:p>
            <w:pPr>
              <w:keepLines w:val="0"/>
              <w:keepNext w:val="0"/>
              <w:pageBreakBefore w:val="0"/>
              <w:spacing w:line="24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根据投标人投标文件中提供的</w:t>
            </w:r>
            <w:bookmarkStart w:id="4" w:name="OLE_LINK8"/>
            <w:r>
              <w:rPr>
                <w:rFonts w:hint="eastAsia" w:ascii="仿宋" w:hAnsi="仿宋" w:eastAsia="仿宋" w:cs="仿宋"/>
                <w:color w:val="auto"/>
                <w:sz w:val="24"/>
                <w:szCs w:val="24"/>
                <w:highlight w:val="none"/>
              </w:rPr>
              <w:t xml:space="preserve">设备、仪器</w:t>
            </w:r>
            <w:bookmarkEnd w:id="4"/>
            <w:r>
              <w:rPr>
                <w:rFonts w:hint="eastAsia" w:ascii="仿宋" w:hAnsi="仿宋" w:eastAsia="仿宋" w:cs="仿宋"/>
                <w:color w:val="auto"/>
                <w:sz w:val="24"/>
                <w:szCs w:val="24"/>
                <w:highlight w:val="none"/>
                <w:lang w:val="en-US" w:eastAsia="zh-CN"/>
              </w:rPr>
              <w:t xml:space="preserve">方案进行评价(</w:t>
            </w:r>
            <w:r>
              <w:rPr>
                <w:rFonts w:hint="eastAsia" w:ascii="仿宋" w:hAnsi="仿宋" w:eastAsia="仿宋" w:cs="仿宋"/>
                <w:color w:val="auto"/>
                <w:sz w:val="24"/>
                <w:szCs w:val="24"/>
                <w:highlight w:val="none"/>
                <w:lang w:val="en-US" w:eastAsia="zh-CN" w:bidi="ar-SA"/>
              </w:rPr>
              <w:t xml:space="preserve">包括但不限于以下设备：液质联用仪、气质联用仪、液相色谱仪、气相色谱仪、离子色谱仪、原子吸收光谱仪、原子荧光光谱仪等</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(1)以上内容不存在瑕疵：9分；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(2)以上内容存在1处瑕疵:7分；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(3)以上内容存在2处瑕疵:5分；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(4)以上内容存在3处瑕疵:3分；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(5)以上内容存在4处瑕疵:1分；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(6)未提供方案或不满足施工要求或内容存在5处及以上瑕疵:0 分。</w:t>
            </w:r>
            <w:r/>
          </w:p>
          <w:p>
            <w:pP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性目标的实现、现有技术条件下不可能出现的情形等任意一种情形)。</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2、批量样品保存能力。投标人自建或租赁冷藏保存专用冷库得3分，没有或不提供不得分。</w:t>
            </w:r>
            <w:r>
              <w:rPr>
                <w:rFonts w:hint="eastAsia" w:ascii="仿宋" w:hAnsi="仿宋" w:eastAsia="仿宋"/>
                <w:color w:val="auto"/>
                <w:sz w:val="24"/>
                <w:highlight w:val="none"/>
              </w:rPr>
              <w:t xml:space="preserve">本项最高得</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注：（1.投标人须提供相关设备、仪器清单及购置发票或采购合同等证明材料，证明资料不完整或不一致的不得分。2.投标人须提供冷库照片、平面图等证明材料及装修合同或有效期内租赁合同等扫描件加盖电子签章）</w:t>
            </w:r>
            <w:r/>
          </w:p>
        </w:tc>
      </w:tr>
      <w:tr>
        <w:trPr>
          <w:cantSplit/>
          <w:trHeight w:val="4027"/>
        </w:trPr>
        <w:tc>
          <w:tcPr>
            <w:tcBorders>
              <w:top w:val="singl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人员配备与运能力（15分）</w:t>
            </w:r>
            <w:r/>
          </w:p>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000000" w:sz="4" w:space="0"/>
              <w:left w:val="single" w:color="000000" w:sz="4" w:space="0"/>
              <w:right w:val="single" w:color="000000" w:sz="4" w:space="0"/>
            </w:tcBorders>
            <w:tcW w:w="7868" w:type="dxa"/>
            <w:vAlign w:val="center"/>
            <w:textDirection w:val="lrTb"/>
            <w:noWrap w:val="false"/>
          </w:tcPr>
          <w:p>
            <w:pPr>
              <w:ind w:firstLine="480"/>
              <w:jc w:val="both"/>
              <w:keepLines w:val="0"/>
              <w:keepNext w:val="0"/>
              <w:pageBreakBefore w:val="0"/>
              <w:spacing w:line="240" w:lineRule="auto"/>
              <w:widowControl w:val="off"/>
              <w:rPr>
                <w:rFonts w:hint="eastAsia" w:ascii="仿宋" w:hAnsi="仿宋" w:eastAsia="仿宋" w:cs="仿宋"/>
                <w:strike w:val="0"/>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1.投标人针对本项目专门制定抽检方案，配备的专业检验人员、抽样人员和分配采样车辆是否合理，相关人员培训、上岗证等相关证明材料是否齐全，</w:t>
            </w:r>
            <w:r>
              <w:rPr>
                <w:rFonts w:hint="eastAsia" w:ascii="仿宋" w:hAnsi="仿宋" w:eastAsia="仿宋" w:cs="仿宋"/>
                <w:strike w:val="0"/>
                <w:color w:val="auto"/>
                <w:sz w:val="24"/>
                <w:szCs w:val="24"/>
                <w:highlight w:val="none"/>
                <w:lang w:val="en-US" w:eastAsia="zh-CN" w:bidi="ar-SA"/>
              </w:rPr>
              <w:t xml:space="preserve">对方案的全面性、可行性、针对性进行综合评价：</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bookmarkStart w:id="5" w:name="OLE_LINK9"/>
            <w:r/>
            <w:bookmarkStart w:id="6" w:name="OLE_LINK11"/>
            <w:r>
              <w:rPr>
                <w:rFonts w:hint="eastAsia" w:ascii="仿宋" w:hAnsi="仿宋" w:eastAsia="仿宋" w:cs="仿宋"/>
                <w:color w:val="auto"/>
                <w:sz w:val="24"/>
                <w:szCs w:val="24"/>
                <w:highlight w:val="none"/>
                <w:lang w:val="en-US" w:eastAsia="zh-CN" w:bidi="ar-SA"/>
              </w:rPr>
              <w:t xml:space="preserve">(1)以上内容不存在瑕疵：9分；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(2)以上内容存在1处瑕疵:7分；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(3)以上内容存在2处瑕疵:5分；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(4)以上内容存在3处瑕疵:3分；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(5)以上内容存在4处瑕疵:1分；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(6)未提供方案或不满足施工要求或内容存在5处及以上瑕疵:0 分。</w:t>
            </w:r>
            <w:bookmarkEnd w:id="5"/>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性目标的实现、现有技术条件下不可能出现的情形等任意一种情形)。</w:t>
            </w:r>
            <w:bookmarkEnd w:id="6"/>
            <w:r/>
            <w:r/>
          </w:p>
          <w:p>
            <w:pPr>
              <w:ind w:firstLine="48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2.其中，</w:t>
            </w:r>
            <w:r>
              <w:rPr>
                <w:rFonts w:hint="eastAsia" w:ascii="仿宋" w:hAnsi="仿宋" w:eastAsia="仿宋" w:cs="仿宋"/>
                <w:color w:val="auto"/>
                <w:sz w:val="24"/>
                <w:szCs w:val="24"/>
                <w:highlight w:val="none"/>
                <w:lang w:val="en-US" w:eastAsia="zh-CN" w:bidi="ar-SA"/>
              </w:rPr>
              <w:t xml:space="preserve">拟派项目负责人承担过同类项目且具有正高级职称的得3分。检验人员中，具中高级以上职称的每人加0.5分，最高得3分。此项最高得6分。</w:t>
            </w:r>
            <w:r/>
          </w:p>
          <w:p>
            <w:pPr>
              <w:ind w:firstLine="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    </w:t>
            </w:r>
            <w:r/>
          </w:p>
          <w:p>
            <w:pPr>
              <w:ind w:firstLine="0"/>
              <w:jc w:val="both"/>
              <w:keepLines w:val="0"/>
              <w:keepNext w:val="0"/>
              <w:pageBreakBefore w:val="0"/>
              <w:spacing w:line="240" w:lineRule="auto"/>
              <w:widowControl w:val="off"/>
              <w:rPr>
                <w:rFonts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注：投标人须提供抽检方案及人员名单，劳动合同、职称证书等证明材料。抽样人员与检验人员不得重复。采样车辆须提供行驶证、登记证，若为租赁的，还须提供有效期内租赁协议扫描件。投标人证明资料不完整或不一致的不计分。</w:t>
            </w:r>
            <w:r/>
          </w:p>
        </w:tc>
      </w:tr>
      <w:tr>
        <w:trPr>
          <w:cantSplit/>
          <w:trHeight w:val="646"/>
        </w:trPr>
        <w:tc>
          <w:tcPr>
            <w:tcBorders>
              <w:top w:val="single" w:color="000000" w:sz="4" w:space="0"/>
              <w:left w:val="single" w:color="000000" w:sz="4" w:space="0"/>
              <w:bottom w:val="single" w:color="000000" w:sz="4" w:space="0"/>
              <w:right w:val="single" w:color="000000" w:sz="4" w:space="0"/>
            </w:tcBorders>
            <w:tcW w:w="1436"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业绩与能力验证（14分）</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ind w:firstLine="240"/>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服务业绩</w:t>
            </w:r>
            <w:r/>
          </w:p>
          <w:p>
            <w:pPr>
              <w:ind w:firstLine="240"/>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（4分）</w:t>
            </w:r>
            <w:r/>
          </w:p>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6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投标人自2022年1月1日以来（以合同签订时间为准），承担过类似项目（承担过农业部门农产品质量安全监测类业绩优先选择），每有一个得2分，最高得4分。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注：投标人须提供合同及中标通知书扫描件加盖电子签章。</w:t>
            </w:r>
            <w:r/>
          </w:p>
        </w:tc>
      </w:tr>
      <w:tr>
        <w:trPr>
          <w:cantSplit/>
          <w:trHeight w:val="662"/>
        </w:trPr>
        <w:tc>
          <w:tcPr>
            <w:tcBorders>
              <w:top w:val="singl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能力验证</w:t>
            </w:r>
            <w:r/>
          </w:p>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W w:w="786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投标人2022年1月1日至今，参加过农业部门组织的农畜水产品能力验证（种植业产品中农药残留；畜禽产品中兽药残留；水产品中兽药残留），且结果全部满意（合格）的，提供1个年度得5分，最高得10分。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注：投标人同一年度同时参加多个能力验证的，只计一次。须提供相关证明材料扫描件加盖电子签章。</w:t>
            </w:r>
            <w:r/>
          </w:p>
        </w:tc>
      </w:tr>
      <w:tr>
        <w:trPr>
          <w:cantSplit/>
          <w:trHeight w:val="644"/>
        </w:trPr>
        <w:tc>
          <w:tcPr>
            <w:tcBorders>
              <w:top w:val="single" w:color="000000" w:sz="4" w:space="0"/>
              <w:left w:val="single" w:color="000000" w:sz="4" w:space="0"/>
              <w:bottom w:val="single" w:color="000000" w:sz="4" w:space="0"/>
              <w:right w:val="single" w:color="000000" w:sz="4" w:space="0"/>
            </w:tcBorders>
            <w:tcW w:w="1436" w:type="dxa"/>
            <w:vAlign w:val="center"/>
            <w:vMerge w:val="restart"/>
            <w:textDirection w:val="lrTb"/>
            <w:noWrap w:val="false"/>
          </w:tcPr>
          <w:p>
            <w:pPr>
              <w:pStyle w:val="875"/>
              <w:ind w:left="0" w:firstLine="0"/>
              <w:keepLines w:val="0"/>
              <w:keepNext w:val="0"/>
              <w:pageBreakBefore w:val="0"/>
              <w:spacing w:after="120" w:line="240" w:lineRule="auto"/>
              <w:rPr>
                <w:rFonts w:ascii="宋体" w:hAnsi="宋体" w:eastAsia="宋体" w:cs="Times New Roman"/>
                <w:color w:val="auto"/>
                <w:sz w:val="20"/>
                <w:szCs w:val="20"/>
                <w:highlight w:val="none"/>
                <w:lang w:val="en-US" w:eastAsia="zh-CN" w:bidi="ar-SA"/>
              </w:rPr>
            </w:pPr>
            <w:r>
              <w:rPr>
                <w:rFonts w:hint="eastAsia" w:ascii="仿宋" w:hAnsi="仿宋" w:eastAsia="仿宋" w:cs="仿宋"/>
                <w:color w:val="auto"/>
                <w:sz w:val="24"/>
                <w:szCs w:val="24"/>
                <w:highlight w:val="none"/>
                <w:lang w:val="en-US" w:eastAsia="zh-CN" w:bidi="ar-SA"/>
              </w:rPr>
              <w:t xml:space="preserve">服务方案（36分）</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总体技术实施方案（16分）</w:t>
            </w:r>
            <w:r/>
          </w:p>
        </w:tc>
        <w:tc>
          <w:tcPr>
            <w:tcBorders>
              <w:top w:val="single" w:color="000000" w:sz="4" w:space="0"/>
              <w:left w:val="none" w:color="000000" w:sz="4" w:space="0"/>
              <w:bottom w:val="single" w:color="000000" w:sz="4" w:space="0"/>
              <w:right w:val="single" w:color="000000" w:sz="4" w:space="0"/>
            </w:tcBorders>
            <w:tcW w:w="786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strike w:val="0"/>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根据投标人提供的项目总体技术实施方案的科学性、合理性、可操作性、完整性等进行综合评分，实施方案应包括但不限于抽样、检验、数据上报、分析汇总等各项内容。</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(1)以上内容不存在瑕疵：16分；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(2)以上内容存在1处瑕疵:14分；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(3)以上内容存在2处瑕疵:12分；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(4)以上内容存在3处瑕疵:10分；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bookmarkStart w:id="7" w:name="OLE_LINK12"/>
            <w:r>
              <w:rPr>
                <w:rFonts w:hint="eastAsia" w:ascii="仿宋" w:hAnsi="仿宋" w:eastAsia="仿宋" w:cs="仿宋"/>
                <w:color w:val="auto"/>
                <w:sz w:val="24"/>
                <w:szCs w:val="24"/>
                <w:highlight w:val="none"/>
                <w:lang w:val="en-US" w:eastAsia="zh-CN" w:bidi="ar-SA"/>
              </w:rPr>
              <w:t xml:space="preserve">(5)以上内容存在4处瑕疵:8分；</w:t>
            </w:r>
            <w:bookmarkEnd w:id="7"/>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(6)以上内容存在5处瑕疵:6分；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(7)以上内容存在6处瑕疵:4分；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(8)以上内容存在7处瑕疵:2分；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(9)未提供方案或不满足施工要求或内容存在8处及以上瑕疵:0 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性目标的实现、现有技术条件下不可能出现的情形等任意一种情形)。</w:t>
            </w:r>
            <w:r/>
          </w:p>
        </w:tc>
      </w:tr>
      <w:tr>
        <w:trPr>
          <w:cantSplit/>
          <w:trHeight w:val="1000"/>
        </w:trPr>
        <w:tc>
          <w:tcPr>
            <w:tcBorders>
              <w:top w:val="singl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检测质量控制方案（10分）</w:t>
            </w:r>
            <w:r/>
          </w:p>
        </w:tc>
        <w:tc>
          <w:tcPr>
            <w:tcBorders>
              <w:top w:val="single" w:color="000000" w:sz="4" w:space="0"/>
              <w:left w:val="none" w:color="000000" w:sz="4" w:space="0"/>
              <w:bottom w:val="single" w:color="000000" w:sz="4" w:space="0"/>
              <w:right w:val="single" w:color="000000" w:sz="4" w:space="0"/>
            </w:tcBorders>
            <w:tcW w:w="786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strike w:val="0"/>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评委会根据投标人质量控制方案的内容全面性、科学性、可操作性等进行综合评分。质量控制方案应包括但不限于采样、抽检、检验、复核、报告签署等各环节内容。</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bookmarkStart w:id="8" w:name="OLE_LINK15"/>
            <w:r>
              <w:rPr>
                <w:rFonts w:hint="eastAsia" w:ascii="仿宋" w:hAnsi="仿宋" w:eastAsia="仿宋" w:cs="仿宋"/>
                <w:color w:val="auto"/>
                <w:sz w:val="24"/>
                <w:szCs w:val="24"/>
                <w:highlight w:val="none"/>
                <w:lang w:val="en-US" w:eastAsia="zh-CN" w:bidi="ar-SA"/>
              </w:rPr>
              <w:t xml:space="preserve">(1)以上内容不存在瑕疵：10分；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(2)以上内容存在1处瑕疵:8分；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(3)以上内容存在2处瑕疵:6分；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(4)以上内容存在3处瑕疵:4分；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(5)以上内容存在4处瑕疵:2分；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(6)未提供方案或不满足施工要求或内容存在5处及以上瑕疵:0 分。</w:t>
            </w:r>
            <w:r/>
          </w:p>
          <w:p>
            <w:pPr>
              <w:ind w:firstLine="480"/>
              <w:jc w:val="both"/>
              <w:keepLines w:val="0"/>
              <w:keepNext w:val="0"/>
              <w:pageBreakBefore w:val="0"/>
              <w:spacing w:line="240" w:lineRule="auto"/>
              <w:widowControl w:val="off"/>
              <w:rPr>
                <w:rFonts w:ascii="仿宋" w:hAnsi="仿宋" w:eastAsia="仿宋" w:cs="仿宋"/>
                <w:strike w:val="0"/>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性目标的实现、现有技术条件下不可能出现的情形等任意一种情形)。</w:t>
            </w:r>
            <w:bookmarkEnd w:id="8"/>
            <w:r/>
            <w:r/>
          </w:p>
        </w:tc>
      </w:tr>
      <w:tr>
        <w:trPr>
          <w:cantSplit/>
          <w:trHeight w:val="555"/>
        </w:trPr>
        <w:tc>
          <w:tcPr>
            <w:tcBorders>
              <w:top w:val="single" w:color="000000" w:sz="4" w:space="0"/>
              <w:left w:val="single" w:color="000000" w:sz="4" w:space="0"/>
              <w:bottom w:val="single" w:color="000000" w:sz="4" w:space="0"/>
              <w:right w:val="single" w:color="000000" w:sz="4" w:space="0"/>
            </w:tcBorders>
            <w:tcW w:w="1436"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服务保障及突发事件应急措施（10分）</w:t>
            </w:r>
            <w:r/>
          </w:p>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786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strike w:val="0"/>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根据投标人服务保障及突发事件应急措施内容的全面性、处置应对措施的科学性及可操作性进行综合评分，突发事件应急处置预案至少包括抽检、检测过程中可能遇到的各类突发情况，以及对应的应急解决处置措施。</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(1)以上内容不存在瑕疵：10分；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(2)以上内容存在1处瑕疵:8分；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(3)以上内容存在2处瑕疵:6分；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(4)以上内容存在3处瑕疵:4分；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(5)以上内容存在4处瑕疵:2分；</w:t>
            </w:r>
            <w:r/>
          </w:p>
          <w:p>
            <w:pPr>
              <w:ind w:firstLine="480"/>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(6)未提供方案或不满足施工要求或内容存在5处及以上瑕疵:0 分。</w:t>
            </w:r>
            <w:r/>
          </w:p>
          <w:p>
            <w:pPr>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本项所称“瑕疵”是指内容缺项、不完整或缺少关键点；非专门针对本项目或不适用本项目特性、套用其他项目内容；对同一问题前后表述矛盾；存在逻辑漏洞、科学原理或常识错误；不利于本性目标的实现、现有技术条件下不可能出现的情形等任意一种情形)。</w:t>
            </w:r>
            <w:r/>
          </w:p>
        </w:tc>
      </w:tr>
    </w:tbl>
    <w:p>
      <w:pPr>
        <w:pStyle w:val="1107"/>
        <w:ind w:firstLine="480"/>
        <w:keepLines w:val="0"/>
        <w:keepNext w:val="0"/>
        <w:pageBreakBefore w:val="0"/>
        <w:spacing w:before="120" w:line="360" w:lineRule="auto"/>
        <w:rPr>
          <w:rFonts w:ascii="宋体" w:hAnsi="宋体"/>
          <w:color w:val="auto"/>
          <w:sz w:val="24"/>
          <w:highlight w:val="none"/>
        </w:rPr>
      </w:pPr>
      <w:r>
        <w:rPr>
          <w:rFonts w:ascii="宋体" w:hAnsi="宋体"/>
          <w:color w:val="auto"/>
          <w:sz w:val="24"/>
          <w:highlight w:val="none"/>
        </w:rPr>
        <w:t xml:space="preserve">注：本项目采用综合评分法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评审结果</w:t>
      </w:r>
      <w:r>
        <w:rPr>
          <w:rFonts w:ascii="宋体" w:hAnsi="宋体"/>
          <w:color w:val="auto"/>
          <w:sz w:val="24"/>
          <w:highlight w:val="none"/>
        </w:rPr>
        <w:t xml:space="preserve">保留小数点后二位。</w:t>
      </w:r>
      <w:r/>
    </w:p>
    <w:p>
      <w:pPr>
        <w:pStyle w:val="896"/>
        <w:ind w:right="-199"/>
        <w:jc w:val="center"/>
        <w:keepLines w:val="0"/>
        <w:keepNext w:val="0"/>
        <w:pageBreakBefore w:val="0"/>
        <w:spacing w:before="120" w:after="120" w:line="360" w:lineRule="auto"/>
        <w:rPr>
          <w:rFonts w:hint="eastAsia" w:ascii="宋体" w:hAnsi="宋体"/>
          <w:b/>
          <w:bCs/>
          <w:color w:val="auto"/>
          <w:sz w:val="28"/>
          <w:szCs w:val="28"/>
          <w:highlight w:val="none"/>
          <w:lang w:val="en-US" w:eastAsia="zh-CN"/>
        </w:rPr>
      </w:pPr>
      <w:r/>
      <w:bookmarkStart w:id="9" w:name="_Toc7207"/>
      <w:r/>
      <w:bookmarkEnd w:id="9"/>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r/>
    </w:p>
    <w:p>
      <w:pPr>
        <w:jc w:val="center"/>
        <w:keepLines w:val="0"/>
        <w:keepNext w:val="0"/>
        <w:pageBreakBefore w:val="0"/>
        <w:spacing w:line="360" w:lineRule="auto"/>
        <w:rPr>
          <w:rFonts w:hint="eastAsia" w:ascii="宋体" w:hAnsi="宋体" w:eastAsia="宋体" w:cs="宋体"/>
          <w:b/>
          <w:color w:val="auto"/>
          <w:sz w:val="24"/>
          <w:highlight w:val="none"/>
        </w:rPr>
        <w:outlineLvl w:val="0"/>
      </w:pPr>
      <w:r>
        <w:rPr>
          <w:rFonts w:hint="eastAsia" w:ascii="宋体" w:hAnsi="宋体" w:eastAsia="宋体" w:cs="宋体"/>
          <w:b/>
          <w:bCs/>
          <w:color w:val="auto"/>
          <w:sz w:val="36"/>
          <w:szCs w:val="36"/>
          <w:highlight w:val="none"/>
        </w:rPr>
        <w:t xml:space="preserve">2、项目要求（采购需求）</w:t>
      </w:r>
      <w:r/>
    </w:p>
    <w:p>
      <w:pPr>
        <w:ind w:firstLine="482"/>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一、采购标的</w:t>
      </w:r>
      <w:r/>
    </w:p>
    <w:p>
      <w:pPr>
        <w:ind w:firstLine="280"/>
        <w:jc w:val="both"/>
        <w:spacing w:line="520" w:lineRule="exact"/>
        <w:widowControl w:val="off"/>
        <w:rPr>
          <w:rFonts w:hint="eastAsia" w:ascii="仿宋" w:hAnsi="仿宋" w:eastAsia="仿宋" w:cs="仿宋"/>
          <w:bCs/>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（一）采购人：新沂市农业农村局。</w:t>
      </w:r>
      <w:r/>
    </w:p>
    <w:p>
      <w:pPr>
        <w:ind w:firstLine="280"/>
        <w:jc w:val="both"/>
        <w:spacing w:line="52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（二）项目名称：新沂市2025年农产品质量安全风险监测</w:t>
      </w:r>
      <w:r/>
    </w:p>
    <w:p>
      <w:pPr>
        <w:ind w:firstLine="280"/>
        <w:jc w:val="both"/>
        <w:spacing w:line="52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（三）此项目属于专门面向中小微企业采购的项目。</w:t>
      </w:r>
      <w:r/>
    </w:p>
    <w:p>
      <w:pPr>
        <w:ind w:firstLine="280"/>
        <w:jc w:val="both"/>
        <w:spacing w:line="52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（四）服务期限：</w:t>
      </w:r>
      <w:bookmarkStart w:id="10" w:name="OLE_LINK17"/>
      <w:r>
        <w:rPr>
          <w:rFonts w:hint="eastAsia" w:ascii="宋体" w:hAnsi="宋体" w:eastAsia="宋体" w:cs="Times New Roman"/>
          <w:color w:val="auto"/>
          <w:sz w:val="24"/>
          <w:szCs w:val="24"/>
          <w:highlight w:val="none"/>
          <w:lang w:val="en-US" w:eastAsia="zh-CN" w:bidi="ar-SA"/>
        </w:rPr>
        <w:t xml:space="preserve">自合同签定之日起至202</w:t>
      </w:r>
      <w:r>
        <w:rPr>
          <w:rFonts w:hint="eastAsia" w:ascii="宋体" w:hAnsi="宋体" w:cs="Times New Roman"/>
          <w:color w:val="auto"/>
          <w:sz w:val="24"/>
          <w:szCs w:val="24"/>
          <w:highlight w:val="none"/>
          <w:lang w:val="en-US" w:eastAsia="zh-CN" w:bidi="ar-SA"/>
        </w:rPr>
        <w:t xml:space="preserve">6</w:t>
      </w:r>
      <w:r>
        <w:rPr>
          <w:rFonts w:hint="eastAsia" w:ascii="宋体" w:hAnsi="宋体" w:eastAsia="宋体" w:cs="Times New Roman"/>
          <w:color w:val="auto"/>
          <w:sz w:val="24"/>
          <w:szCs w:val="24"/>
          <w:highlight w:val="none"/>
          <w:lang w:val="en-US" w:eastAsia="zh-CN" w:bidi="ar-SA"/>
        </w:rPr>
        <w:t xml:space="preserve">年12月30日</w:t>
      </w:r>
      <w:bookmarkEnd w:id="10"/>
      <w:r>
        <w:rPr>
          <w:rFonts w:hint="eastAsia" w:ascii="宋体" w:hAnsi="宋体" w:eastAsia="宋体" w:cs="Times New Roman"/>
          <w:color w:val="auto"/>
          <w:sz w:val="24"/>
          <w:szCs w:val="24"/>
          <w:highlight w:val="none"/>
          <w:lang w:val="en-US" w:eastAsia="zh-CN" w:bidi="ar-SA"/>
        </w:rPr>
        <w:t xml:space="preserve">。</w:t>
      </w:r>
      <w:r/>
    </w:p>
    <w:p>
      <w:pPr>
        <w:ind w:firstLine="280"/>
        <w:jc w:val="both"/>
        <w:spacing w:line="520" w:lineRule="exact"/>
        <w:widowControl w:val="off"/>
        <w:rPr>
          <w:rFonts w:hint="default" w:ascii="仿宋" w:hAnsi="仿宋" w:eastAsia="仿宋" w:cs="仿宋"/>
          <w:bCs/>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（五）采购预算金额：本项目采购预算金额为150万元人民币（采购包一：</w:t>
      </w:r>
      <w:r>
        <w:rPr>
          <w:rFonts w:hint="eastAsia" w:ascii="宋体" w:hAnsi="宋体" w:cs="Times New Roman"/>
          <w:color w:val="auto"/>
          <w:sz w:val="24"/>
          <w:szCs w:val="24"/>
          <w:highlight w:val="none"/>
          <w:lang w:val="en-US" w:eastAsia="zh-CN" w:bidi="ar-SA"/>
        </w:rPr>
        <w:t xml:space="preserve">90</w:t>
      </w:r>
      <w:r>
        <w:rPr>
          <w:rFonts w:hint="eastAsia" w:ascii="宋体" w:hAnsi="宋体" w:eastAsia="宋体" w:cs="Times New Roman"/>
          <w:color w:val="auto"/>
          <w:sz w:val="24"/>
          <w:szCs w:val="24"/>
          <w:highlight w:val="none"/>
          <w:lang w:val="en-US" w:eastAsia="zh-CN" w:bidi="ar-SA"/>
        </w:rPr>
        <w:t xml:space="preserve">万元、采购包二：</w:t>
      </w:r>
      <w:r>
        <w:rPr>
          <w:rFonts w:hint="eastAsia" w:ascii="宋体" w:hAnsi="宋体" w:cs="Times New Roman"/>
          <w:color w:val="auto"/>
          <w:sz w:val="24"/>
          <w:szCs w:val="24"/>
          <w:highlight w:val="none"/>
          <w:lang w:val="en-US" w:eastAsia="zh-CN" w:bidi="ar-SA"/>
        </w:rPr>
        <w:t xml:space="preserve">35</w:t>
      </w:r>
      <w:r>
        <w:rPr>
          <w:rFonts w:hint="eastAsia" w:ascii="宋体" w:hAnsi="宋体" w:eastAsia="宋体" w:cs="Times New Roman"/>
          <w:color w:val="auto"/>
          <w:sz w:val="24"/>
          <w:szCs w:val="24"/>
          <w:highlight w:val="none"/>
          <w:lang w:val="en-US" w:eastAsia="zh-CN" w:bidi="ar-SA"/>
        </w:rPr>
        <w:t xml:space="preserve">万元、采购包三：</w:t>
      </w:r>
      <w:r>
        <w:rPr>
          <w:rFonts w:hint="eastAsia" w:ascii="宋体" w:hAnsi="宋体" w:cs="Times New Roman"/>
          <w:color w:val="auto"/>
          <w:sz w:val="24"/>
          <w:szCs w:val="24"/>
          <w:highlight w:val="none"/>
          <w:lang w:val="en-US" w:eastAsia="zh-CN" w:bidi="ar-SA"/>
        </w:rPr>
        <w:t xml:space="preserve">25</w:t>
      </w:r>
      <w:r>
        <w:rPr>
          <w:rFonts w:hint="eastAsia" w:ascii="宋体" w:hAnsi="宋体" w:eastAsia="宋体" w:cs="Times New Roman"/>
          <w:color w:val="auto"/>
          <w:sz w:val="24"/>
          <w:szCs w:val="24"/>
          <w:highlight w:val="none"/>
          <w:lang w:val="en-US" w:eastAsia="zh-CN" w:bidi="ar-SA"/>
        </w:rPr>
        <w:t xml:space="preserve">万元）。</w:t>
      </w:r>
      <w:r/>
    </w:p>
    <w:p>
      <w:pPr>
        <w:ind w:firstLine="280"/>
        <w:jc w:val="both"/>
        <w:spacing w:line="520" w:lineRule="exact"/>
        <w:widowControl w:val="off"/>
        <w:rPr>
          <w:rFonts w:hint="eastAsia" w:ascii="仿宋" w:hAnsi="仿宋" w:eastAsia="仿宋" w:cs="仿宋"/>
          <w:bCs/>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（六）最高限价：150万元。</w:t>
      </w:r>
      <w:r/>
    </w:p>
    <w:p>
      <w:pPr>
        <w:jc w:val="both"/>
        <w:spacing w:line="52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其中：</w:t>
      </w:r>
      <w:r/>
    </w:p>
    <w:p>
      <w:pPr>
        <w:ind w:firstLine="480"/>
        <w:jc w:val="both"/>
        <w:spacing w:line="52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采购包一不接受超过</w:t>
      </w:r>
      <w:r>
        <w:rPr>
          <w:rFonts w:hint="eastAsia" w:ascii="宋体" w:hAnsi="宋体" w:cs="Times New Roman"/>
          <w:color w:val="auto"/>
          <w:sz w:val="24"/>
          <w:szCs w:val="24"/>
          <w:highlight w:val="none"/>
          <w:lang w:val="en-US" w:eastAsia="zh-CN" w:bidi="ar-SA"/>
        </w:rPr>
        <w:t xml:space="preserve">90</w:t>
      </w:r>
      <w:r>
        <w:rPr>
          <w:rFonts w:hint="eastAsia" w:ascii="宋体" w:hAnsi="宋体" w:eastAsia="宋体" w:cs="Times New Roman"/>
          <w:color w:val="auto"/>
          <w:sz w:val="24"/>
          <w:szCs w:val="24"/>
          <w:highlight w:val="none"/>
          <w:lang w:val="en-US" w:eastAsia="zh-CN" w:bidi="ar-SA"/>
        </w:rPr>
        <w:t xml:space="preserve">万元人民币的投标报价；</w:t>
      </w:r>
      <w:r/>
    </w:p>
    <w:p>
      <w:pPr>
        <w:ind w:firstLine="480"/>
        <w:jc w:val="both"/>
        <w:spacing w:line="520" w:lineRule="exact"/>
        <w:widowControl w:val="off"/>
        <w:rPr>
          <w:rFonts w:hint="eastAsia" w:ascii="仿宋" w:hAnsi="仿宋" w:eastAsia="仿宋" w:cs="仿宋"/>
          <w:bCs/>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采购包二不接受超过</w:t>
      </w:r>
      <w:r>
        <w:rPr>
          <w:rFonts w:hint="eastAsia" w:ascii="宋体" w:hAnsi="宋体" w:cs="Times New Roman"/>
          <w:color w:val="auto"/>
          <w:sz w:val="24"/>
          <w:szCs w:val="24"/>
          <w:highlight w:val="none"/>
          <w:lang w:val="en-US" w:eastAsia="zh-CN" w:bidi="ar-SA"/>
        </w:rPr>
        <w:t xml:space="preserve">35</w:t>
      </w:r>
      <w:r>
        <w:rPr>
          <w:rFonts w:hint="eastAsia" w:ascii="宋体" w:hAnsi="宋体" w:eastAsia="宋体" w:cs="Times New Roman"/>
          <w:color w:val="auto"/>
          <w:sz w:val="24"/>
          <w:szCs w:val="24"/>
          <w:highlight w:val="none"/>
          <w:lang w:val="en-US" w:eastAsia="zh-CN" w:bidi="ar-SA"/>
        </w:rPr>
        <w:t xml:space="preserve">万元人民币的投标报价；</w:t>
      </w:r>
      <w:r/>
    </w:p>
    <w:p>
      <w:pPr>
        <w:ind w:firstLine="480"/>
        <w:jc w:val="both"/>
        <w:spacing w:line="52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采购包三不接受超过</w:t>
      </w:r>
      <w:r>
        <w:rPr>
          <w:rFonts w:hint="eastAsia" w:ascii="宋体" w:hAnsi="宋体" w:cs="Times New Roman"/>
          <w:color w:val="auto"/>
          <w:sz w:val="24"/>
          <w:szCs w:val="24"/>
          <w:highlight w:val="none"/>
          <w:lang w:val="en-US" w:eastAsia="zh-CN" w:bidi="ar-SA"/>
        </w:rPr>
        <w:t xml:space="preserve">25</w:t>
      </w:r>
      <w:r>
        <w:rPr>
          <w:rFonts w:hint="eastAsia" w:ascii="宋体" w:hAnsi="宋体" w:eastAsia="宋体" w:cs="Times New Roman"/>
          <w:color w:val="auto"/>
          <w:sz w:val="24"/>
          <w:szCs w:val="24"/>
          <w:highlight w:val="none"/>
          <w:lang w:val="en-US" w:eastAsia="zh-CN" w:bidi="ar-SA"/>
        </w:rPr>
        <w:t xml:space="preserve">万元人民币的投标报价；</w:t>
      </w:r>
      <w:r/>
    </w:p>
    <w:p>
      <w:pPr>
        <w:ind w:firstLine="480"/>
        <w:jc w:val="both"/>
        <w:spacing w:line="52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（报价包含</w:t>
      </w:r>
      <w:r>
        <w:rPr>
          <w:rFonts w:hint="eastAsia" w:ascii="宋体" w:hAnsi="宋体" w:cs="Times New Roman"/>
          <w:color w:val="auto"/>
          <w:sz w:val="24"/>
          <w:szCs w:val="24"/>
          <w:highlight w:val="none"/>
          <w:lang w:val="en-US" w:eastAsia="zh-CN" w:bidi="ar-SA"/>
        </w:rPr>
        <w:t xml:space="preserve">代理费及</w:t>
      </w:r>
      <w:r>
        <w:rPr>
          <w:rFonts w:hint="eastAsia" w:ascii="宋体" w:hAnsi="宋体" w:eastAsia="宋体" w:cs="Times New Roman"/>
          <w:color w:val="auto"/>
          <w:sz w:val="24"/>
          <w:szCs w:val="24"/>
          <w:highlight w:val="none"/>
          <w:lang w:val="en-US" w:eastAsia="zh-CN" w:bidi="ar-SA"/>
        </w:rPr>
        <w:t xml:space="preserve">项目完成所需全部费用（含支付现场抽样样品费），采购人不再支付报价以外的任何费用。）</w:t>
      </w:r>
      <w:r/>
    </w:p>
    <w:p>
      <w:pPr>
        <w:jc w:val="both"/>
        <w:spacing w:line="520" w:lineRule="exact"/>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注：</w:t>
      </w:r>
      <w:r/>
    </w:p>
    <w:p>
      <w:pPr>
        <w:ind w:firstLine="482"/>
        <w:jc w:val="both"/>
        <w:spacing w:line="520" w:lineRule="exact"/>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各投标人可以对其中任</w:t>
      </w:r>
      <w:r>
        <w:rPr>
          <w:rFonts w:hint="eastAsia" w:ascii="宋体" w:hAnsi="宋体" w:eastAsia="宋体" w:cs="宋体"/>
          <w:b/>
          <w:bCs/>
          <w:color w:val="auto"/>
          <w:sz w:val="24"/>
          <w:szCs w:val="24"/>
          <w:highlight w:val="none"/>
          <w:lang w:val="en-US" w:eastAsia="zh-CN" w:bidi="ar-SA"/>
        </w:rPr>
        <w:t xml:space="preserve">意一个或多个采购包进行投标报价，但只能中标一个采购包，评审（中标）顺序为采购包1至采购</w:t>
      </w:r>
      <w:r>
        <w:rPr>
          <w:rFonts w:hint="eastAsia" w:ascii="宋体" w:hAnsi="宋体" w:eastAsia="宋体" w:cs="Times New Roman"/>
          <w:b/>
          <w:bCs/>
          <w:color w:val="auto"/>
          <w:sz w:val="24"/>
          <w:szCs w:val="24"/>
          <w:highlight w:val="none"/>
          <w:lang w:val="en-US" w:eastAsia="zh-CN" w:bidi="ar-SA"/>
        </w:rPr>
        <w:t xml:space="preserve">包3（中标后可参加下一采购包的评审但不得被推荐为中标人）。</w:t>
      </w:r>
      <w:r/>
    </w:p>
    <w:p>
      <w:pPr>
        <w:ind w:firstLine="482"/>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二、项目内容</w:t>
      </w:r>
      <w:r/>
    </w:p>
    <w:p>
      <w:pPr>
        <w:ind w:firstLine="480"/>
        <w:jc w:val="both"/>
        <w:spacing w:line="52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为更加全面掌握我市地产农产品质量安全状况，强化农产品质量安全风险预警，依法规范农产品质量安全生产行为，保障农产品质量安全，在新沂市辖区开展县级农产品质量安全定量检测2500批次工作。包括蔬果、粮油、水产品和畜禽等农产品的风险监测和监督抽查检测服务。根据省市2025年农产品质量安全监测工作通知等文件要求，现采购新沂市2025年农产品质量安全风险监测项目。监测抽检任务划分如下（单位：批次）：</w:t>
      </w:r>
      <w:r/>
    </w:p>
    <w:p>
      <w:pPr>
        <w:ind w:firstLine="480"/>
        <w:jc w:val="both"/>
        <w:spacing w:line="52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（一）</w:t>
      </w:r>
      <w:r>
        <w:rPr>
          <w:rFonts w:hint="eastAsia" w:ascii="宋体" w:hAnsi="宋体" w:eastAsia="宋体" w:cs="Times New Roman"/>
          <w:color w:val="auto"/>
          <w:sz w:val="24"/>
          <w:szCs w:val="24"/>
          <w:highlight w:val="none"/>
          <w:lang w:val="en-US" w:eastAsia="zh-CN" w:bidi="ar-SA"/>
        </w:rPr>
        <w:t xml:space="preserve">采购包1：种植</w:t>
      </w:r>
      <w:r>
        <w:rPr>
          <w:rFonts w:hint="eastAsia" w:ascii="宋体" w:hAnsi="宋体" w:cs="Times New Roman"/>
          <w:color w:val="auto"/>
          <w:sz w:val="24"/>
          <w:szCs w:val="24"/>
          <w:highlight w:val="none"/>
          <w:lang w:val="en-US" w:eastAsia="zh-CN" w:bidi="ar-SA"/>
        </w:rPr>
        <w:t xml:space="preserve">1500</w:t>
      </w:r>
      <w:r>
        <w:rPr>
          <w:rFonts w:hint="eastAsia" w:ascii="宋体" w:hAnsi="宋体" w:eastAsia="宋体" w:cs="Times New Roman"/>
          <w:color w:val="auto"/>
          <w:sz w:val="24"/>
          <w:szCs w:val="24"/>
          <w:highlight w:val="none"/>
          <w:lang w:val="en-US" w:eastAsia="zh-CN" w:bidi="ar-SA"/>
        </w:rPr>
        <w:t xml:space="preserve">批次（含粮食）（例行监测）</w:t>
      </w:r>
      <w:r/>
    </w:p>
    <w:p>
      <w:pPr>
        <w:ind w:firstLine="480"/>
        <w:jc w:val="both"/>
        <w:spacing w:line="52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（二）采购包2：种植、畜禽、水产600批次（监督抽查）</w:t>
      </w:r>
      <w:r/>
    </w:p>
    <w:p>
      <w:pPr>
        <w:ind w:firstLine="480"/>
        <w:jc w:val="both"/>
        <w:spacing w:line="52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（三）采购包3：畜禽、水产</w:t>
      </w:r>
      <w:r>
        <w:rPr>
          <w:rFonts w:hint="eastAsia" w:ascii="宋体" w:hAnsi="宋体" w:cs="Times New Roman"/>
          <w:color w:val="auto"/>
          <w:sz w:val="24"/>
          <w:szCs w:val="24"/>
          <w:highlight w:val="none"/>
          <w:lang w:val="en-US" w:eastAsia="zh-CN" w:bidi="ar-SA"/>
        </w:rPr>
        <w:t xml:space="preserve">400</w:t>
      </w:r>
      <w:r>
        <w:rPr>
          <w:rFonts w:hint="eastAsia" w:ascii="宋体" w:hAnsi="宋体" w:eastAsia="宋体" w:cs="Times New Roman"/>
          <w:color w:val="auto"/>
          <w:sz w:val="24"/>
          <w:szCs w:val="24"/>
          <w:highlight w:val="none"/>
          <w:lang w:val="en-US" w:eastAsia="zh-CN" w:bidi="ar-SA"/>
        </w:rPr>
        <w:t xml:space="preserve">批次（例行监测）</w:t>
      </w:r>
      <w:r/>
    </w:p>
    <w:p>
      <w:pPr>
        <w:ind w:firstLine="480"/>
        <w:jc w:val="both"/>
        <w:spacing w:line="52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三、采购要求</w:t>
      </w:r>
      <w:r/>
    </w:p>
    <w:p>
      <w:pPr>
        <w:ind w:firstLine="432"/>
        <w:jc w:val="both"/>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（一）监测项目、检测方法和判定依据</w:t>
      </w:r>
      <w:r/>
    </w:p>
    <w:p>
      <w:pPr>
        <w:ind w:firstLine="432"/>
        <w:jc w:val="both"/>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蔬果产品、畜禽产品、水产品的监测项目、检测方法和判定依据参照《关于开展202</w:t>
      </w:r>
      <w:r>
        <w:rPr>
          <w:rFonts w:hint="eastAsia" w:ascii="宋体" w:hAnsi="宋体" w:cs="Times New Roman"/>
          <w:color w:val="auto"/>
          <w:sz w:val="24"/>
          <w:szCs w:val="24"/>
          <w:highlight w:val="none"/>
          <w:lang w:val="en-US" w:eastAsia="zh-CN" w:bidi="ar-SA"/>
        </w:rPr>
        <w:t xml:space="preserve">6</w:t>
      </w:r>
      <w:r>
        <w:rPr>
          <w:rFonts w:hint="eastAsia" w:ascii="宋体" w:hAnsi="宋体" w:eastAsia="宋体" w:cs="Times New Roman"/>
          <w:color w:val="auto"/>
          <w:sz w:val="24"/>
          <w:szCs w:val="24"/>
          <w:highlight w:val="none"/>
          <w:lang w:val="en-US" w:eastAsia="zh-CN" w:bidi="ar-SA"/>
        </w:rPr>
        <w:t xml:space="preserve">年农产品质量安全监测工作的通知》苏农</w:t>
      </w:r>
      <w:r>
        <w:rPr>
          <w:rFonts w:hint="eastAsia" w:ascii="宋体" w:hAnsi="宋体" w:cs="Times New Roman"/>
          <w:color w:val="auto"/>
          <w:sz w:val="24"/>
          <w:szCs w:val="24"/>
          <w:highlight w:val="none"/>
          <w:lang w:val="en-US" w:eastAsia="zh-CN" w:bidi="ar-SA"/>
        </w:rPr>
        <w:t xml:space="preserve">办</w:t>
      </w:r>
      <w:r>
        <w:rPr>
          <w:rFonts w:hint="eastAsia" w:ascii="宋体" w:hAnsi="宋体" w:eastAsia="宋体" w:cs="Times New Roman"/>
          <w:color w:val="auto"/>
          <w:sz w:val="24"/>
          <w:szCs w:val="24"/>
          <w:highlight w:val="none"/>
          <w:lang w:val="en-US" w:eastAsia="zh-CN" w:bidi="ar-SA"/>
        </w:rPr>
        <w:t xml:space="preserve">质[2026]2号文</w:t>
      </w:r>
      <w:r>
        <w:rPr>
          <w:rFonts w:hint="eastAsia" w:ascii="宋体" w:hAnsi="宋体" w:cs="Times New Roman"/>
          <w:color w:val="auto"/>
          <w:sz w:val="24"/>
          <w:szCs w:val="24"/>
          <w:highlight w:val="none"/>
          <w:lang w:val="en-US" w:eastAsia="zh-CN" w:bidi="ar-SA"/>
        </w:rPr>
        <w:t xml:space="preserve">的</w:t>
      </w:r>
      <w:r>
        <w:rPr>
          <w:rFonts w:hint="eastAsia" w:ascii="宋体" w:hAnsi="宋体" w:eastAsia="宋体" w:cs="Times New Roman"/>
          <w:color w:val="auto"/>
          <w:sz w:val="24"/>
          <w:szCs w:val="24"/>
          <w:highlight w:val="none"/>
          <w:lang w:val="en-US" w:eastAsia="zh-CN" w:bidi="ar-SA"/>
        </w:rPr>
        <w:t xml:space="preserve">附件1附表2、3、4（</w:t>
      </w:r>
      <w:r>
        <w:rPr>
          <w:rFonts w:hint="eastAsia" w:ascii="宋体" w:hAnsi="宋体" w:cs="Times New Roman"/>
          <w:color w:val="auto"/>
          <w:sz w:val="24"/>
          <w:szCs w:val="24"/>
          <w:highlight w:val="none"/>
          <w:lang w:val="en-US" w:eastAsia="zh-CN" w:bidi="ar-SA"/>
        </w:rPr>
        <w:t xml:space="preserve">例行监测</w:t>
      </w:r>
      <w:r>
        <w:rPr>
          <w:rFonts w:hint="eastAsia" w:ascii="宋体" w:hAnsi="宋体" w:eastAsia="宋体" w:cs="Times New Roman"/>
          <w:color w:val="auto"/>
          <w:sz w:val="24"/>
          <w:szCs w:val="24"/>
          <w:highlight w:val="none"/>
          <w:lang w:val="en-US" w:eastAsia="zh-CN" w:bidi="ar-SA"/>
        </w:rPr>
        <w:t xml:space="preserve">种植业产品75项，畜禽产品38项，水产品34项）</w:t>
      </w:r>
      <w:r>
        <w:rPr>
          <w:rFonts w:hint="eastAsia" w:ascii="宋体" w:hAnsi="宋体" w:cs="Times New Roman"/>
          <w:color w:val="auto"/>
          <w:sz w:val="24"/>
          <w:szCs w:val="24"/>
          <w:highlight w:val="none"/>
          <w:lang w:val="en-US" w:eastAsia="zh-CN" w:bidi="ar-SA"/>
        </w:rPr>
        <w:t xml:space="preserve">（监督抽查</w:t>
      </w:r>
      <w:r>
        <w:rPr>
          <w:rFonts w:hint="eastAsia" w:ascii="宋体" w:hAnsi="宋体" w:eastAsia="宋体" w:cs="Times New Roman"/>
          <w:color w:val="auto"/>
          <w:sz w:val="24"/>
          <w:szCs w:val="24"/>
          <w:highlight w:val="none"/>
          <w:lang w:val="en-US" w:eastAsia="zh-CN" w:bidi="ar-SA"/>
        </w:rPr>
        <w:t xml:space="preserve">种植业产品</w:t>
      </w:r>
      <w:r>
        <w:rPr>
          <w:rFonts w:hint="eastAsia" w:ascii="宋体" w:hAnsi="宋体" w:cs="Times New Roman"/>
          <w:color w:val="auto"/>
          <w:sz w:val="24"/>
          <w:szCs w:val="24"/>
          <w:highlight w:val="none"/>
          <w:lang w:val="en-US" w:eastAsia="zh-CN" w:bidi="ar-SA"/>
        </w:rPr>
        <w:t xml:space="preserve">28</w:t>
      </w:r>
      <w:r>
        <w:rPr>
          <w:rFonts w:hint="eastAsia" w:ascii="宋体" w:hAnsi="宋体" w:eastAsia="宋体" w:cs="Times New Roman"/>
          <w:color w:val="auto"/>
          <w:sz w:val="24"/>
          <w:szCs w:val="24"/>
          <w:highlight w:val="none"/>
          <w:lang w:val="en-US" w:eastAsia="zh-CN" w:bidi="ar-SA"/>
        </w:rPr>
        <w:t xml:space="preserve">项，畜禽产品</w:t>
      </w:r>
      <w:r>
        <w:rPr>
          <w:rFonts w:hint="eastAsia" w:ascii="宋体" w:hAnsi="宋体" w:cs="Times New Roman"/>
          <w:color w:val="auto"/>
          <w:sz w:val="24"/>
          <w:szCs w:val="24"/>
          <w:highlight w:val="none"/>
          <w:lang w:val="en-US" w:eastAsia="zh-CN" w:bidi="ar-SA"/>
        </w:rPr>
        <w:t xml:space="preserve">22</w:t>
      </w:r>
      <w:r>
        <w:rPr>
          <w:rFonts w:hint="eastAsia" w:ascii="宋体" w:hAnsi="宋体" w:eastAsia="宋体" w:cs="Times New Roman"/>
          <w:color w:val="auto"/>
          <w:sz w:val="24"/>
          <w:szCs w:val="24"/>
          <w:highlight w:val="none"/>
          <w:lang w:val="en-US" w:eastAsia="zh-CN" w:bidi="ar-SA"/>
        </w:rPr>
        <w:t xml:space="preserve">项，水产品</w:t>
      </w:r>
      <w:r>
        <w:rPr>
          <w:rFonts w:hint="eastAsia" w:ascii="宋体" w:hAnsi="宋体" w:cs="Times New Roman"/>
          <w:color w:val="auto"/>
          <w:sz w:val="24"/>
          <w:szCs w:val="24"/>
          <w:highlight w:val="none"/>
          <w:lang w:val="en-US" w:eastAsia="zh-CN" w:bidi="ar-SA"/>
        </w:rPr>
        <w:t xml:space="preserve">10</w:t>
      </w:r>
      <w:r>
        <w:rPr>
          <w:rFonts w:hint="eastAsia" w:ascii="宋体" w:hAnsi="宋体" w:eastAsia="宋体" w:cs="Times New Roman"/>
          <w:color w:val="auto"/>
          <w:sz w:val="24"/>
          <w:szCs w:val="24"/>
          <w:highlight w:val="none"/>
          <w:lang w:val="en-US" w:eastAsia="zh-CN" w:bidi="ar-SA"/>
        </w:rPr>
        <w:t xml:space="preserve">项</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；小麦、水稻、玉米、大豆的监测项目、检测方法和判定依据参照《关于开展2024年徐州市专项风险监测工作的通知》（徐农办[2024]10号）（重金属7项，农残33项）。</w:t>
      </w:r>
      <w:r/>
    </w:p>
    <w:p>
      <w:pPr>
        <w:ind w:firstLine="432"/>
        <w:jc w:val="both"/>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1.例行监测抽检参数:</w:t>
      </w:r>
      <w:r/>
    </w:p>
    <w:p>
      <w:pPr>
        <w:ind w:left="0" w:right="0" w:firstLine="482"/>
        <w:jc w:val="both"/>
        <w:keepLines w:val="0"/>
        <w:keepNext w:val="0"/>
        <w:pageBreakBefore w:val="0"/>
        <w:spacing w:before="0" w:after="0" w:line="36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蔬果</w:t>
      </w:r>
      <w:r>
        <w:rPr>
          <w:rFonts w:hint="eastAsia" w:ascii="宋体" w:hAnsi="宋体" w:cs="宋体"/>
          <w:b/>
          <w:bCs/>
          <w:color w:val="auto"/>
          <w:sz w:val="24"/>
          <w:szCs w:val="24"/>
          <w:highlight w:val="none"/>
          <w:lang w:val="en-US" w:eastAsia="zh-CN"/>
        </w:rPr>
        <w:t xml:space="preserve">类：</w:t>
      </w:r>
      <w:r>
        <w:rPr>
          <w:rFonts w:hint="eastAsia" w:ascii="宋体" w:hAnsi="宋体" w:cs="Times New Roman"/>
          <w:color w:val="auto"/>
          <w:sz w:val="24"/>
          <w:szCs w:val="24"/>
          <w:highlight w:val="none"/>
          <w:lang w:val="en-US" w:eastAsia="zh-CN" w:bidi="ar-SA"/>
        </w:rPr>
        <w:t xml:space="preserve">甲胺磷、对硫磷、三氯杀螨醇、甲拌磷（包括甲拌磷砜和甲拌磷亚砜）、水胺硫磷、甲基异柳磷，氧乐果、克百威（包括3-羟基克百威）、涕灭威（包括涕灭威砜和涕灭威亚砜）、灭多威、灭线磷、氟虫腈（包括氟甲腈、氟虫腈硫醚、氟虫腈砜）、毒死蜱、三唑磷、乐果、乙酰甲胺磷、硫环磷、氯唑磷、丁硫克百威、敌敌畏、</w:t>
      </w:r>
      <w:r>
        <w:rPr>
          <w:rFonts w:hint="eastAsia" w:ascii="宋体" w:hAnsi="宋体" w:cs="Times New Roman"/>
          <w:color w:val="auto"/>
          <w:sz w:val="24"/>
          <w:szCs w:val="24"/>
          <w:highlight w:val="none"/>
          <w:lang w:val="en-US" w:eastAsia="zh-CN" w:bidi="ar-SA"/>
        </w:rPr>
        <w:t xml:space="preserve">丙溴磷、倍硫磷、辛硫磷、氯氰菊酯、氰戊菊酯、溴氰菊酯、甲氰菊酯、联苯菊酯、氯氟氰菊酯、氟氯氰菊酯、氯吡脲、除虫脲、灭幼脲、吡虫啉、啶虫脒、哒螨灵、阿维菌素、甲氨基阿维菌素苯甲酸盐、虫螨腈、噻虫嗪、氟啶脲、异菌脲、五氯硝基苯、三唑酮、百菌清、腐霉利、多菌灵、苯醚甲环唑、嘧霉胺、烯酰吗啉、咪鲜胺、嘧菌酯、二甲戊灵、甲霜灵、霜霉威、乙基多杀菌素、氯虫苯甲酰胺、氯菊酯、醚菊酯、虫酰肼、吡唑醚菌酯、戊唑醇、抑霉唑，敌百虫、多效唑、丙环唑、灭蝇胺、多杀霉素、噻苯隆、噻虫胺、甲萘威、茚虫威、噻嗪酮、氟氰戊菊酯、啶氧菌酯。</w:t>
      </w:r>
      <w:r/>
    </w:p>
    <w:p>
      <w:pPr>
        <w:pStyle w:val="1109"/>
        <w:ind w:firstLine="482"/>
        <w:jc w:val="both"/>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4"/>
          <w:szCs w:val="24"/>
          <w:highlight w:val="none"/>
          <w:lang w:val="en-US" w:eastAsia="zh-CN"/>
        </w:rPr>
        <w:t xml:space="preserve">粮食类</w:t>
      </w:r>
      <w:r>
        <w:rPr>
          <w:rFonts w:hint="eastAsia" w:ascii="宋体" w:hAnsi="宋体" w:eastAsia="宋体" w:cs="Times New Roman"/>
          <w:color w:val="auto"/>
          <w:sz w:val="24"/>
          <w:szCs w:val="24"/>
          <w:highlight w:val="none"/>
          <w:lang w:val="en-US" w:eastAsia="zh-CN" w:bidi="ar-SA"/>
        </w:rPr>
        <w:t xml:space="preserve">（小麦、水稻、玉米、大豆）：镉、铅、铬、汞、镍、铜、总砷、甲胺磷、氟虫腈、三唑磷、毒死蜱、克百威、稻瘟灵、氯虫苯甲酰胺、苯醚甲环唑、吡蚜酮、嘧菌酯、丙环唑、戊唑醇、吡虫啉、噻虫嗪、多菌灵、啶虫脒、噻虫胺、仲丁威、咪鲜胺、水胺硫磷、噻嗪酮、烯啶虫胺、异丙威、三唑酮、乐果、三环唑、肟菌酯、辛硫磷、杀螟丹、茚虫威、稻瘟酰胺、吡唑醚菌酯、噻呋酰胺。</w:t>
      </w:r>
      <w:r/>
    </w:p>
    <w:p>
      <w:pPr>
        <w:ind w:left="0" w:right="0" w:firstLine="482"/>
        <w:jc w:val="both"/>
        <w:keepLines w:val="0"/>
        <w:keepNext w:val="0"/>
        <w:pageBreakBefore w:val="0"/>
        <w:spacing w:before="0" w:after="0" w:line="360" w:lineRule="auto"/>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bookmarkStart w:id="11" w:name="OLE_LINK10"/>
      <w:r>
        <w:rPr>
          <w:rFonts w:hint="eastAsia" w:ascii="宋体" w:hAnsi="宋体" w:eastAsia="宋体" w:cs="宋体"/>
          <w:b/>
          <w:bCs/>
          <w:color w:val="auto"/>
          <w:sz w:val="24"/>
          <w:szCs w:val="24"/>
          <w:highlight w:val="none"/>
          <w:lang w:val="en-US" w:eastAsia="zh-CN"/>
        </w:rPr>
        <w:t xml:space="preserve">畜禽类</w:t>
      </w:r>
      <w:bookmarkEnd w:id="11"/>
      <w:r>
        <w:rPr>
          <w:rFonts w:hint="eastAsia" w:ascii="宋体" w:hAnsi="宋体" w:eastAsia="宋体" w:cs="Times New Roman"/>
          <w:color w:val="auto"/>
          <w:sz w:val="24"/>
          <w:szCs w:val="24"/>
          <w:highlight w:val="none"/>
          <w:lang w:val="en-US" w:eastAsia="zh-CN" w:bidi="ar-SA"/>
        </w:rPr>
        <w:t xml:space="preserve">（1）猪肉、猪肝、牛肉、羊肉：9种β-受体激动剂类（克伦特罗、莱克多巴胺、沙丁胺醇、特布他林、西马特罗、非诺特罗、氯丙那林、妥布特罗、喷</w:t>
      </w:r>
      <w:r>
        <w:rPr>
          <w:rFonts w:hint="eastAsia" w:ascii="宋体" w:hAnsi="宋体" w:eastAsia="宋体" w:cs="Times New Roman"/>
          <w:color w:val="auto"/>
          <w:sz w:val="24"/>
          <w:szCs w:val="24"/>
          <w:highlight w:val="none"/>
          <w:lang w:val="en-US" w:eastAsia="zh-CN" w:bidi="ar-SA"/>
        </w:rPr>
        <w:t xml:space="preserve">布特罗）、氟喹诺酮类（恩诺沙星、环丙沙星）（不含猪肝）、磺胺类（磺胺间甲氧嘧啶、磺胺二甲嘧啶、磺胺甲噁唑、磺胺（间）二甲氧嘧啶、磺胺喹噁啉，甲氧苄啶）、四环素类（金霉素、土霉素、四环素、多西环素）（不含猪肝）、糖皮质激素类（地塞米松、倍他米松）（仅牛肉）（2）禽肉、禽蛋：酰胺醇类(氯霉素，氟苯尼考、 氟苯尼考胺、甲砜霉素)、氟喹诺酮类(氧氟沙星、培氟沙星、 诺氟沙星、洛美沙星，恩诺沙星、 环丙沙星、沙拉沙星、达氟沙星)、抗菌增效剂(甲氧苄啶)、金刚烷胺、四环素类(多西环素)、硝基咪唑类（甲硝唑、地美硝唑）。</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水产品：</w:t>
      </w:r>
      <w:r>
        <w:rPr>
          <w:rFonts w:hint="eastAsia" w:ascii="宋体" w:hAnsi="宋体" w:eastAsia="宋体" w:cs="Times New Roman"/>
          <w:color w:val="auto"/>
          <w:sz w:val="24"/>
          <w:szCs w:val="24"/>
          <w:highlight w:val="none"/>
          <w:lang w:val="en-US" w:eastAsia="zh-CN" w:bidi="ar-SA"/>
        </w:rPr>
        <w:t xml:space="preserve">孔雀石绿（包括有色孔雀石绿和无色孔雀石绿）、硝基呋喃类代谢物（呋喃唑酮代谢物、呋喃它酮代谢物、呋喃西林代谢物、呋喃妥因代谢物）、地西泮（仅淡水鱼）、酰胺醇类（氯霉素，甲砜霉素、氟苯尼考、氟苯尼考胺）、喹诺酮类（诺氟沙星、氧氟沙星、培氟沙星、洛美沙星，恩诺沙星、环丙沙星）、磺胺类（磺胺嘧啶、磺胺二甲基嘧啶、磺胺甲基异噁唑、磺胺异噁唑、磺胺间二甲氧嘧啶、磺胺噻唑、磺胺甲基嘧啶、磺胺多辛、磺胺喹噁啉、磺胺间甲氧嘧啶、磺胺氯哒嗪、磺胺甲噻二唑，甲氧苄啶）、四环素类（四环素、土霉素、金霉素、多西环素）。</w:t>
      </w:r>
      <w:r/>
    </w:p>
    <w:p>
      <w:pPr>
        <w:numPr>
          <w:ilvl w:val="0"/>
          <w:numId w:val="6"/>
        </w:numPr>
        <w:ind w:firstLine="480"/>
        <w:jc w:val="both"/>
        <w:keepLines w:val="0"/>
        <w:keepNext w:val="0"/>
        <w:pageBreakBefore w:val="0"/>
        <w:spacing w:line="360" w:lineRule="auto"/>
        <w:widowControl/>
        <w:rPr>
          <w:rFonts w:hint="default"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监督抽查</w:t>
      </w:r>
      <w:r>
        <w:rPr>
          <w:rFonts w:hint="eastAsia" w:ascii="宋体" w:hAnsi="宋体" w:eastAsia="宋体" w:cs="Times New Roman"/>
          <w:color w:val="auto"/>
          <w:sz w:val="24"/>
          <w:szCs w:val="24"/>
          <w:highlight w:val="none"/>
          <w:lang w:val="en-US" w:eastAsia="zh-CN" w:bidi="ar-SA"/>
        </w:rPr>
        <w:t xml:space="preserve">抽检参数</w:t>
      </w:r>
      <w:r>
        <w:rPr>
          <w:rFonts w:hint="eastAsia" w:ascii="宋体" w:hAnsi="宋体" w:cs="Times New Roman"/>
          <w:color w:val="auto"/>
          <w:sz w:val="24"/>
          <w:szCs w:val="24"/>
          <w:highlight w:val="none"/>
          <w:lang w:val="en-US" w:eastAsia="zh-CN" w:bidi="ar-SA"/>
        </w:rPr>
        <w:t xml:space="preserve">:</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蔬果</w:t>
      </w:r>
      <w:r>
        <w:rPr>
          <w:rFonts w:hint="eastAsia" w:ascii="宋体" w:hAnsi="宋体" w:cs="宋体"/>
          <w:b/>
          <w:bCs/>
          <w:color w:val="auto"/>
          <w:sz w:val="24"/>
          <w:szCs w:val="24"/>
          <w:highlight w:val="none"/>
          <w:lang w:val="en-US" w:eastAsia="zh-CN"/>
        </w:rPr>
        <w:t xml:space="preserve">类:</w:t>
      </w:r>
      <w:r>
        <w:rPr>
          <w:rFonts w:hint="eastAsia" w:ascii="宋体" w:hAnsi="宋体" w:eastAsia="宋体" w:cs="Times New Roman"/>
          <w:color w:val="auto"/>
          <w:sz w:val="24"/>
          <w:szCs w:val="24"/>
          <w:highlight w:val="none"/>
          <w:lang w:val="en-US" w:eastAsia="zh-CN" w:bidi="ar-SA"/>
        </w:rPr>
        <w:t xml:space="preserve">甲胺磷、甲拌磷（包括甲拌磷砜和甲拌磷亚砜）、氧乐果、水胺硫磷、甲基异柳磷、克百威（包括3-羟基克百威）、涕灭威（包括涕灭威砜和涕灭威亚砜）、毒死蜱、三唑磷、 乐果、乙酰甲胺磷、灭多威、腐霉利、多菌灵、吡虫啉、辛硫磷、氯氟氰菊酯、氟虫腈（包括氟甲腈、氟虫腈硫醚、氟虫腈砜）、啶虫脒、嘧霉胺、烯酰吗啉、噻虫嗪、噻虫胺、甲氨基阿维菌素苯甲酸盐、哒螨灵、吡唑醚菌酯、灭蝇胺、阿维菌素。</w:t>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畜禽类：</w:t>
      </w:r>
      <w:r>
        <w:rPr>
          <w:rFonts w:hint="eastAsia" w:ascii="宋体" w:hAnsi="宋体" w:eastAsia="宋体" w:cs="宋体"/>
          <w:sz w:val="24"/>
          <w:szCs w:val="24"/>
          <w:highlight w:val="none"/>
        </w:rPr>
        <w:t xml:space="preserve">克伦特罗、沙丁胺醇、莱克多巴胺</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氯霉素、甲砜霉素、氟苯尼考和氟苯尼考胺、恩诺沙星、环丙沙星、诺氟沙星、氧氟沙星、培氟沙星、洛美沙星、金刚烷胺、硝基呋喃类代谢物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AOZ、SEM、AMOZ和 AHD</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、多西环素、磺胺类</w:t>
      </w:r>
      <w:r>
        <w:rPr>
          <w:rFonts w:hint="eastAsia" w:ascii="宋体" w:hAnsi="宋体" w:eastAsia="宋体" w:cs="宋体"/>
          <w:sz w:val="24"/>
          <w:szCs w:val="24"/>
          <w:highlight w:val="none"/>
          <w:lang w:eastAsia="zh-CN"/>
        </w:rPr>
        <w:t xml:space="preserve">（磺胺</w:t>
      </w:r>
      <w:r>
        <w:rPr>
          <w:rFonts w:hint="eastAsia" w:ascii="宋体" w:hAnsi="宋体" w:eastAsia="宋体" w:cs="宋体"/>
          <w:sz w:val="24"/>
          <w:szCs w:val="24"/>
          <w:highlight w:val="none"/>
        </w:rPr>
        <w:t xml:space="preserve">间甲氧嘧啶、磺胺二甲嘧啶、</w:t>
      </w:r>
      <w:r>
        <w:rPr>
          <w:rFonts w:hint="eastAsia" w:ascii="宋体" w:hAnsi="宋体" w:eastAsia="宋体" w:cs="宋体"/>
          <w:sz w:val="24"/>
          <w:szCs w:val="24"/>
          <w:highlight w:val="none"/>
          <w:lang w:eastAsia="zh-CN"/>
        </w:rPr>
        <w:t xml:space="preserve">磺胺</w:t>
      </w:r>
      <w:r>
        <w:rPr>
          <w:rFonts w:hint="eastAsia" w:ascii="宋体" w:hAnsi="宋体" w:eastAsia="宋体" w:cs="宋体"/>
          <w:sz w:val="24"/>
          <w:szCs w:val="24"/>
          <w:highlight w:val="none"/>
        </w:rPr>
        <w:t xml:space="preserve">甲噁唑、磺胺(间)二甲氧嘧啶、磺胺喹噁</w:t>
      </w:r>
      <w:r>
        <w:rPr>
          <w:rFonts w:hint="eastAsia" w:ascii="宋体" w:hAnsi="宋体" w:eastAsia="宋体" w:cs="宋体"/>
          <w:sz w:val="24"/>
          <w:szCs w:val="24"/>
          <w:highlight w:val="none"/>
          <w:lang w:val="en-US" w:eastAsia="zh-CN"/>
        </w:rPr>
        <w:t xml:space="preserve">啉、</w:t>
      </w:r>
      <w:r>
        <w:rPr>
          <w:rFonts w:hint="eastAsia" w:ascii="宋体" w:hAnsi="宋体" w:eastAsia="宋体" w:cs="宋体"/>
          <w:sz w:val="24"/>
          <w:szCs w:val="24"/>
          <w:highlight w:val="none"/>
        </w:rPr>
        <w:t xml:space="preserve">甲氧苄啶</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480"/>
        <w:jc w:val="both"/>
        <w:keepLines w:val="0"/>
        <w:keepNext w:val="0"/>
        <w:pageBreakBefore w:val="0"/>
        <w:spacing w:line="360" w:lineRule="auto"/>
        <w:widowControl/>
        <w:rPr>
          <w:rFonts w:hint="eastAsia" w:ascii="仿宋" w:hAnsi="仿宋" w:eastAsia="仿宋" w:cs="仿宋"/>
          <w:bCs/>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水产品：</w:t>
      </w:r>
      <w:r>
        <w:rPr>
          <w:rFonts w:hint="eastAsia" w:ascii="宋体" w:hAnsi="宋体" w:eastAsia="宋体" w:cs="宋体"/>
          <w:sz w:val="24"/>
          <w:szCs w:val="24"/>
          <w:highlight w:val="none"/>
        </w:rPr>
        <w:t xml:space="preserve">氯霉素、孔雀石绿、硝基呋喃类代谢物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AOZ</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SEM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AMOZ、AHD</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、地西泮、诺氟沙星、氧氟  沙星、培氟沙星、 洛美沙星、 恩诺沙星和环丙沙星</w:t>
      </w:r>
      <w:r>
        <w:rPr>
          <w:rFonts w:hint="eastAsia" w:ascii="宋体" w:hAnsi="宋体" w:eastAsia="宋体" w:cs="宋体"/>
          <w:sz w:val="24"/>
          <w:szCs w:val="24"/>
          <w:highlight w:val="none"/>
          <w:lang w:val="en-US" w:eastAsia="zh-CN"/>
        </w:rPr>
        <w:t xml:space="preserve">。</w:t>
      </w:r>
      <w:r>
        <w:rPr>
          <w:rFonts w:hint="eastAsia"/>
          <w:highlight w:val="none"/>
          <w:lang w:val="en-US" w:eastAsia="zh-CN"/>
        </w:rPr>
        <w:tab/>
      </w:r>
      <w:r/>
    </w:p>
    <w:p>
      <w:pPr>
        <w:ind w:firstLine="43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（二）检测时间要求</w:t>
      </w:r>
      <w:r/>
    </w:p>
    <w:p>
      <w:pPr>
        <w:ind w:firstLine="43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具体抽样时间由承检单位与</w:t>
      </w:r>
      <w:r>
        <w:rPr>
          <w:rFonts w:hint="eastAsia" w:ascii="宋体" w:hAnsi="宋体" w:cs="宋体"/>
          <w:b w:val="0"/>
          <w:bCs/>
          <w:color w:val="auto"/>
          <w:sz w:val="24"/>
          <w:szCs w:val="24"/>
          <w:highlight w:val="none"/>
          <w:lang w:val="en-US" w:eastAsia="zh-CN"/>
        </w:rPr>
        <w:t xml:space="preserve">新沂市农业农村局</w:t>
      </w:r>
      <w:r>
        <w:rPr>
          <w:rFonts w:hint="eastAsia" w:ascii="宋体" w:hAnsi="宋体" w:eastAsia="宋体" w:cs="宋体"/>
          <w:b w:val="0"/>
          <w:bCs/>
          <w:color w:val="auto"/>
          <w:sz w:val="24"/>
          <w:szCs w:val="24"/>
          <w:highlight w:val="none"/>
        </w:rPr>
        <w:t xml:space="preserve">商定。检测方应从采集完样品之日起</w:t>
      </w:r>
      <w:r>
        <w:rPr>
          <w:rFonts w:hint="eastAsia" w:ascii="宋体" w:hAnsi="宋体" w:eastAsia="宋体" w:cs="宋体"/>
          <w:b w:val="0"/>
          <w:bCs/>
          <w:color w:val="auto"/>
          <w:sz w:val="24"/>
          <w:szCs w:val="24"/>
          <w:highlight w:val="none"/>
          <w:lang w:val="en-US" w:eastAsia="zh-CN"/>
        </w:rPr>
        <w:t xml:space="preserve">20个工作</w:t>
      </w:r>
      <w:r>
        <w:rPr>
          <w:rFonts w:hint="eastAsia" w:ascii="宋体" w:hAnsi="宋体" w:eastAsia="宋体" w:cs="宋体"/>
          <w:b w:val="0"/>
          <w:bCs/>
          <w:color w:val="auto"/>
          <w:sz w:val="24"/>
          <w:szCs w:val="24"/>
          <w:highlight w:val="none"/>
        </w:rPr>
        <w:t xml:space="preserve">日内完成样品检测</w:t>
      </w:r>
      <w:r>
        <w:rPr>
          <w:rFonts w:hint="eastAsia" w:ascii="宋体" w:hAnsi="宋体" w:eastAsia="宋体" w:cs="宋体"/>
          <w:b w:val="0"/>
          <w:bCs/>
          <w:color w:val="auto"/>
          <w:sz w:val="24"/>
          <w:szCs w:val="24"/>
          <w:highlight w:val="none"/>
          <w:lang w:val="en-US" w:eastAsia="zh-CN"/>
        </w:rPr>
        <w:t xml:space="preserve">并反馈检测结果</w:t>
      </w:r>
      <w:r>
        <w:rPr>
          <w:rFonts w:hint="eastAsia" w:ascii="宋体" w:hAnsi="宋体" w:eastAsia="宋体" w:cs="宋体"/>
          <w:b w:val="0"/>
          <w:bCs/>
          <w:color w:val="auto"/>
          <w:sz w:val="24"/>
          <w:szCs w:val="24"/>
          <w:highlight w:val="none"/>
        </w:rPr>
        <w:t xml:space="preserve">。</w:t>
      </w:r>
      <w:r/>
    </w:p>
    <w:p>
      <w:pPr>
        <w:ind w:firstLine="432"/>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供应商须具有检验检测机构资质认定证书（CMA）和农产品质量安全检测机构考核合格证书（CATL）</w:t>
      </w:r>
      <w:r>
        <w:rPr>
          <w:rFonts w:hint="eastAsia" w:ascii="宋体" w:hAnsi="宋体" w:eastAsia="宋体" w:cs="宋体"/>
          <w:b w:val="0"/>
          <w:bCs/>
          <w:color w:val="auto"/>
          <w:sz w:val="24"/>
          <w:szCs w:val="24"/>
          <w:highlight w:val="none"/>
          <w:lang w:val="en-US" w:eastAsia="zh-CN"/>
        </w:rPr>
        <w:t xml:space="preserve">。</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四、服务要求</w:t>
      </w:r>
      <w:r/>
    </w:p>
    <w:p>
      <w:pPr>
        <w:numPr>
          <w:ilvl w:val="0"/>
          <w:numId w:val="0"/>
        </w:numPr>
        <w:ind w:firstLine="24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（一）基本要求</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.1抽样时间：本项目自合同签定之日起至项目结束，按照采购人实际需求确定时间。</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.2抽样地点：根据实际工作要求，由采购人确定具体抽样地点。</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.3抽样人员：每次抽样须派出2名以上专业抽样人员进行抽样。</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.4抽样办法：根据检验项目及国家标准中规定的采样方法及采样数量抽取样品。</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.5样品运输：由供应商负责，并确保样品贮存、运输符合国家相关规定和包装标示的要求，不发生影响检验结论的变化。</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.6样品检验：由供应商负责，并对样品检验结果负责。</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工作要求</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成交供应商要严格按照采购人的具体要求，细化采样方案，建立工作档案，确保工作质量和工作进度。</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本检测工作方案所涉及的内容、监测数据、原始记录及问题样品报告等工作文件，作为内部资料妥善保管。未经采购人批准，任何单位和个人不得擅自泄露和对外发布相关数据和信息。</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.3供应商应具备高效液相色谱仪、气相色谱仪、液相色谱/串联质谱联用仪、气相色谱/质谱联用仪等所必须的实验室检验设备，具有与承检项目相适应的独立的检验实验室，能满足农产品检验的特殊要求。</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.4供应商技术服务水平高，采样操作规范，实验室质量控制严格。</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.5按照专业操守尽职尽责，根据国际国内的相关标准进行样品的抽样、检验及判定工作，并且按当次抽检方案约定日期出具检验报告；</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6对抽检程序及检验结果的规范性、真实性负责，由于抽检程序操作违法违规或虚假、错误检验数据和结论而给被检人造成损失的，或者给社会带来不良影响的，取消其抽检资格，并承担赔偿责任及相应法律责任。</w:t>
      </w:r>
      <w:r/>
    </w:p>
    <w:p>
      <w:pPr>
        <w:ind w:left="0" w:firstLine="240"/>
        <w:jc w:val="both"/>
        <w:keepLines w:val="0"/>
        <w:keepNext w:val="0"/>
        <w:pageBreakBefore w:val="0"/>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（三）其他：</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.成交供应商在开展检验活动时，应遵守以下规定：</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3.1.1</w:t>
      </w:r>
      <w:r>
        <w:rPr>
          <w:rFonts w:hint="eastAsia" w:ascii="宋体" w:hAnsi="宋体" w:eastAsia="宋体" w:cs="宋体"/>
          <w:color w:val="auto"/>
          <w:sz w:val="24"/>
          <w:szCs w:val="24"/>
          <w:highlight w:val="none"/>
        </w:rPr>
        <w:t xml:space="preserve"> 遵守关于检验检测的法律、法规、规章和规范；</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3.1.2</w:t>
      </w:r>
      <w:r>
        <w:rPr>
          <w:rFonts w:hint="eastAsia" w:ascii="宋体" w:hAnsi="宋体" w:eastAsia="宋体" w:cs="宋体"/>
          <w:color w:val="auto"/>
          <w:sz w:val="24"/>
          <w:szCs w:val="24"/>
          <w:highlight w:val="none"/>
        </w:rPr>
        <w:t xml:space="preserve"> 按照委托合同的约定开展相关检验检测工作；</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3.1.3</w:t>
      </w:r>
      <w:r>
        <w:rPr>
          <w:rFonts w:hint="eastAsia" w:ascii="宋体" w:hAnsi="宋体" w:eastAsia="宋体" w:cs="宋体"/>
          <w:color w:val="auto"/>
          <w:sz w:val="24"/>
          <w:szCs w:val="24"/>
          <w:highlight w:val="none"/>
        </w:rPr>
        <w:t xml:space="preserve">未经采购人同意，不得将检验检测任务分包或转包给其他检验机构。</w:t>
      </w:r>
      <w:r/>
    </w:p>
    <w:p>
      <w:pPr>
        <w:ind w:firstLine="2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出具检测报告</w:t>
      </w:r>
      <w:r/>
    </w:p>
    <w:p>
      <w:pPr>
        <w:ind w:firstLine="43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（1）检验报告出来后，供应商应将不合格报告于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个工作日内及时送达采购人，合格报告5个工作日内送达。当月实施抽检的结果汇总表（电子版及文字版）等相关材料，供应商于收集完全后2 个工作日内统一提交采购人。</w:t>
      </w:r>
      <w:r/>
    </w:p>
    <w:p>
      <w:pPr>
        <w:ind w:left="0" w:firstLine="24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（2）供应商需提供PDF版检验报告，纸质版检测报告根据采购人要求按需提供。</w:t>
      </w:r>
      <w:r/>
    </w:p>
    <w:p>
      <w:pPr>
        <w:ind w:firstLine="240"/>
        <w:jc w:val="both"/>
        <w:keepLines w:val="0"/>
        <w:keepNext w:val="0"/>
        <w:pageBreakBefore w:val="0"/>
        <w:spacing w:line="360" w:lineRule="auto"/>
        <w:rPr>
          <w:rFonts w:hint="default" w:eastAsia="宋体"/>
          <w:color w:val="auto"/>
          <w:highlight w:val="none"/>
        </w:rPr>
      </w:pPr>
      <w:r>
        <w:rPr>
          <w:rFonts w:hint="eastAsia" w:ascii="宋体" w:hAnsi="宋体" w:eastAsia="宋体" w:cs="宋体"/>
          <w:color w:val="auto"/>
          <w:sz w:val="24"/>
          <w:szCs w:val="24"/>
          <w:highlight w:val="none"/>
          <w:lang w:eastAsia="zh-CN"/>
        </w:rPr>
        <w:t xml:space="preserve">（五）人员配备要求：成交供应商应</w:t>
      </w:r>
      <w:r>
        <w:rPr>
          <w:rFonts w:hint="eastAsia" w:ascii="宋体" w:hAnsi="宋体" w:eastAsia="宋体" w:cs="宋体"/>
          <w:color w:val="auto"/>
          <w:sz w:val="24"/>
          <w:szCs w:val="24"/>
          <w:highlight w:val="none"/>
          <w:lang w:val="en-US" w:eastAsia="zh-CN"/>
        </w:rPr>
        <w:t xml:space="preserve">根据检测任务配备相应人员</w:t>
      </w:r>
      <w:r>
        <w:rPr>
          <w:rFonts w:hint="eastAsia" w:ascii="宋体" w:hAnsi="宋体" w:eastAsia="宋体" w:cs="宋体"/>
          <w:color w:val="auto"/>
          <w:sz w:val="24"/>
          <w:szCs w:val="24"/>
          <w:highlight w:val="none"/>
          <w:lang w:eastAsia="zh-CN"/>
        </w:rPr>
        <w:t xml:space="preserve">成立项目工作组，项目</w:t>
      </w:r>
      <w:r>
        <w:rPr>
          <w:rFonts w:hint="eastAsia" w:ascii="宋体" w:hAnsi="宋体" w:eastAsia="宋体" w:cs="宋体"/>
          <w:color w:val="auto"/>
          <w:sz w:val="24"/>
          <w:szCs w:val="24"/>
          <w:highlight w:val="none"/>
          <w:lang w:val="en-US" w:eastAsia="zh-CN"/>
        </w:rPr>
        <w:t xml:space="preserve">组</w:t>
      </w:r>
      <w:r>
        <w:rPr>
          <w:rFonts w:hint="eastAsia" w:ascii="宋体" w:hAnsi="宋体" w:eastAsia="宋体" w:cs="宋体"/>
          <w:color w:val="auto"/>
          <w:sz w:val="24"/>
          <w:szCs w:val="24"/>
          <w:highlight w:val="none"/>
          <w:lang w:eastAsia="zh-CN"/>
        </w:rPr>
        <w:t xml:space="preserve">负责人应具有丰富的相关研究经验并在本项目中担负实质性研究工作，挂名或不担负实质性研究工作的不得作为本项目的项目负责人。</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五、其他要求：见竞争性磋商文件《拟签订的合同文本》。</w:t>
      </w:r>
      <w:r/>
    </w:p>
    <w:p>
      <w:pPr>
        <w:keepLines w:val="0"/>
        <w:keepNext w:val="0"/>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color w:val="auto"/>
          <w:sz w:val="36"/>
          <w:highlight w:val="none"/>
        </w:rPr>
        <w:outlineLvl w:val="0"/>
      </w:pPr>
      <w:r>
        <w:rPr>
          <w:rFonts w:hint="eastAsia" w:ascii="宋体" w:hAnsi="宋体" w:eastAsia="宋体" w:cs="宋体"/>
          <w:b/>
          <w:color w:val="auto"/>
          <w:sz w:val="36"/>
          <w:highlight w:val="none"/>
        </w:rPr>
        <w:t xml:space="preserve">3、磋商</w:t>
      </w:r>
      <w:r>
        <w:rPr>
          <w:rFonts w:hint="eastAsia" w:ascii="宋体" w:hAnsi="宋体" w:eastAsia="宋体" w:cs="宋体"/>
          <w:b/>
          <w:bCs/>
          <w:color w:val="auto"/>
          <w:sz w:val="36"/>
          <w:highlight w:val="none"/>
        </w:rPr>
        <w:t xml:space="preserve">报价表</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新沂市2025年农产品质量安全风险监测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4"/>
          <w:highlight w:val="none"/>
          <w:lang w:eastAsia="zh-CN"/>
        </w:rPr>
        <w:t xml:space="preserve">JSZC-320381-XZMX-C2026-0007</w:t>
      </w:r>
      <w:r/>
    </w:p>
    <w:p>
      <w:pPr>
        <w:keepLines w:val="0"/>
        <w:keepNext w:val="0"/>
        <w:pageBreakBefore w:val="0"/>
        <w:spacing w:line="360" w:lineRule="auto"/>
        <w:rPr>
          <w:rFonts w:hint="default" w:ascii="宋体" w:hAnsi="宋体" w:eastAsia="宋体" w:cs="宋体"/>
          <w:color w:val="auto"/>
          <w:sz w:val="24"/>
          <w:highlight w:val="none"/>
          <w:lang w:val="en-US" w:eastAsia="zh-CN"/>
        </w:rPr>
      </w:pPr>
      <w:r/>
      <w:bookmarkStart w:id="12" w:name="OLE_LINK4"/>
      <w:r>
        <w:rPr>
          <w:rFonts w:hint="eastAsia" w:ascii="宋体" w:hAnsi="宋体" w:cs="宋体"/>
          <w:color w:val="auto"/>
          <w:sz w:val="24"/>
          <w:highlight w:val="none"/>
          <w:lang w:val="en-US" w:eastAsia="zh-CN"/>
        </w:rPr>
        <w:t xml:space="preserve">采购包：</w:t>
      </w:r>
      <w:bookmarkEnd w:id="12"/>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ind w:firstLine="3360"/>
        <w:jc w:val="righ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tbl>
      <w:tblPr>
        <w:tblStyle w:val="844"/>
        <w:tblW w:w="9334" w:type="dxa"/>
        <w:jc w:val="center"/>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3641"/>
        <w:gridCol w:w="2700"/>
        <w:gridCol w:w="2993"/>
      </w:tblGrid>
      <w:tr>
        <w:trPr>
          <w:cantSplit/>
          <w:jc w:val="center"/>
          <w:trHeight w:val="752"/>
        </w:trPr>
        <w:tc>
          <w:tcPr>
            <w:tcBorders>
              <w:top w:val="single" w:color="000000" w:sz="6" w:space="0"/>
              <w:left w:val="single" w:color="000000" w:sz="6" w:space="0"/>
              <w:bottom w:val="single" w:color="000000" w:sz="2" w:space="0"/>
              <w:right w:val="single" w:color="000000" w:sz="2" w:space="0"/>
            </w:tcBorders>
            <w:tcW w:w="3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7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299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总价（小写）</w:t>
            </w:r>
            <w:r/>
          </w:p>
        </w:tc>
      </w:tr>
      <w:tr>
        <w:trPr>
          <w:cantSplit/>
          <w:jc w:val="center"/>
          <w:trHeight w:val="899"/>
        </w:trPr>
        <w:tc>
          <w:tcPr>
            <w:tcBorders>
              <w:top w:val="single" w:color="000000" w:sz="2" w:space="0"/>
              <w:left w:val="single" w:color="000000" w:sz="6" w:space="0"/>
              <w:right w:val="single" w:color="000000" w:sz="2" w:space="0"/>
            </w:tcBorders>
            <w:tcW w:w="3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新沂市2025年农产品质量安全风险监测</w:t>
            </w:r>
            <w:r/>
          </w:p>
        </w:tc>
        <w:tc>
          <w:tcPr>
            <w:tcBorders>
              <w:top w:val="single" w:color="000000" w:sz="2" w:space="0"/>
              <w:left w:val="single" w:color="000000" w:sz="2" w:space="0"/>
              <w:right w:val="single" w:color="000000" w:sz="2" w:space="0"/>
            </w:tcBorders>
            <w:tcW w:w="270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w:t>
            </w:r>
            <w:r>
              <w:rPr>
                <w:rFonts w:hint="eastAsia" w:ascii="宋体" w:hAnsi="宋体" w:eastAsia="宋体" w:cs="宋体"/>
                <w:bCs/>
                <w:color w:val="auto"/>
                <w:sz w:val="24"/>
                <w:highlight w:val="none"/>
              </w:rPr>
              <w:t xml:space="preserve">响应文件</w:t>
            </w:r>
            <w:r/>
          </w:p>
        </w:tc>
        <w:tc>
          <w:tcPr>
            <w:tcBorders>
              <w:top w:val="single" w:color="000000" w:sz="2" w:space="0"/>
              <w:left w:val="single" w:color="000000" w:sz="2" w:space="0"/>
              <w:right w:val="single" w:color="000000" w:sz="2" w:space="0"/>
            </w:tcBorders>
            <w:tcW w:w="299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364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693"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874"/>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34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供应商承诺：本项目由供应商本</w:t>
      </w:r>
      <w:r>
        <w:rPr>
          <w:rFonts w:hint="eastAsia" w:ascii="宋体" w:hAnsi="宋体" w:cs="宋体"/>
          <w:color w:val="auto"/>
          <w:sz w:val="24"/>
          <w:highlight w:val="none"/>
          <w:lang w:val="en-US" w:eastAsia="zh-CN"/>
        </w:rPr>
        <w:t xml:space="preserve">单位</w:t>
      </w:r>
      <w:r>
        <w:rPr>
          <w:rFonts w:hint="eastAsia" w:ascii="宋体" w:hAnsi="宋体" w:eastAsia="宋体" w:cs="宋体"/>
          <w:color w:val="auto"/>
          <w:sz w:val="24"/>
          <w:highlight w:val="none"/>
        </w:rPr>
        <w:t xml:space="preserve">提供服务。</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供应商报价说明：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1、报价包括完成项目的所有费用。采购人不再支付报价以外的任何费用。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2、偏离说明：详见《偏离表》。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3、报价大小写不一致以大写为准。</w:t>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4、如最后报价未列明单价，则最后所报各项单价计算方法为：（最后总价/最初总价）* 各项最初报价的单价。</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eastAsia="zh-CN"/>
        </w:rPr>
        <w:t xml:space="preserve">电子签章</w:t>
      </w:r>
      <w:r>
        <w:rPr>
          <w:rFonts w:hint="eastAsia" w:ascii="宋体" w:hAnsi="宋体" w:eastAsia="宋体" w:cs="宋体"/>
          <w:color w:val="auto"/>
          <w:sz w:val="24"/>
          <w:highlight w:val="none"/>
        </w:rPr>
        <w:t xml:space="preserve">）：</w:t>
      </w:r>
      <w:r/>
    </w:p>
    <w:p>
      <w:pPr>
        <w:ind w:right="29"/>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日期：</w:t>
      </w:r>
      <w:r/>
    </w:p>
    <w:p>
      <w:pPr>
        <w:keepLines w:val="0"/>
        <w:keepNext w:val="0"/>
        <w:pageBreakBefore w:val="0"/>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color w:val="auto"/>
          <w:sz w:val="36"/>
          <w:highlight w:val="none"/>
        </w:rPr>
        <w:outlineLvl w:val="0"/>
      </w:pPr>
      <w:r>
        <w:rPr>
          <w:rFonts w:hint="eastAsia" w:ascii="宋体" w:hAnsi="宋体" w:eastAsia="宋体" w:cs="宋体"/>
          <w:b/>
          <w:bCs/>
          <w:color w:val="auto"/>
          <w:sz w:val="36"/>
          <w:highlight w:val="none"/>
        </w:rPr>
        <w:t xml:space="preserve">4、分项价格表</w:t>
      </w:r>
      <w:r/>
    </w:p>
    <w:p>
      <w:pPr>
        <w:keepLines w:val="0"/>
        <w:keepNext w:val="0"/>
        <w:pageBreakBefore w:val="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新沂市2025年农产品质量安全风险监测</w:t>
      </w:r>
      <w:r/>
    </w:p>
    <w:p>
      <w:pPr>
        <w:keepLines w:val="0"/>
        <w:keepNext w:val="0"/>
        <w:pageBreakBefore w:val="0"/>
        <w:spacing w:line="360" w:lineRule="auto"/>
        <w:rPr>
          <w:rFonts w:hint="eastAsia" w:ascii="宋体" w:hAnsi="宋体" w:eastAsia="宋体" w:cs="宋体"/>
          <w:color w:val="auto"/>
          <w:sz w:val="24"/>
          <w:highlight w:val="none"/>
          <w:u w:val="single"/>
          <w:lang w:val="en-US" w:eastAsia="zh-CN"/>
        </w:rPr>
        <w:outlineLvl w:val="9"/>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4"/>
          <w:highlight w:val="none"/>
          <w:lang w:eastAsia="zh-CN"/>
        </w:rPr>
        <w:t xml:space="preserve">JSZC-320381-XZMX-C2026-0007</w:t>
      </w:r>
      <w:r>
        <w:rPr>
          <w:rFonts w:hint="eastAsia" w:ascii="宋体" w:hAnsi="宋体" w:eastAsia="宋体" w:cs="宋体"/>
          <w:color w:val="auto"/>
          <w:sz w:val="24"/>
          <w:highlight w:val="none"/>
        </w:rPr>
        <w:t xml:space="preserve">           </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采购包：</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ind w:firstLine="600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货币单位：人民币元</w:t>
      </w:r>
      <w:r/>
    </w:p>
    <w:p>
      <w:pPr>
        <w:ind w:right="29"/>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right="29"/>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详细分项报价内容</w:t>
      </w:r>
      <w:r>
        <w:rPr>
          <w:rFonts w:hint="eastAsia" w:ascii="宋体" w:hAnsi="宋体" w:eastAsia="宋体" w:cs="宋体"/>
          <w:color w:val="auto"/>
          <w:sz w:val="24"/>
          <w:highlight w:val="none"/>
          <w:lang w:eastAsia="zh-CN"/>
        </w:rPr>
        <w:t xml:space="preserve">及格式</w:t>
      </w:r>
      <w:r>
        <w:rPr>
          <w:rFonts w:hint="eastAsia" w:ascii="宋体" w:hAnsi="宋体" w:eastAsia="宋体" w:cs="宋体"/>
          <w:color w:val="auto"/>
          <w:sz w:val="24"/>
          <w:highlight w:val="none"/>
        </w:rPr>
        <w:t xml:space="preserve">自制</w:t>
      </w:r>
      <w:r>
        <w:rPr>
          <w:rFonts w:hint="eastAsia" w:ascii="宋体" w:hAnsi="宋体" w:eastAsia="宋体" w:cs="宋体"/>
          <w:color w:val="auto"/>
          <w:sz w:val="24"/>
          <w:highlight w:val="none"/>
          <w:lang w:eastAsia="zh-CN"/>
        </w:rPr>
        <w:t xml:space="preserve">）</w:t>
      </w:r>
      <w:r/>
    </w:p>
    <w:p>
      <w:pPr>
        <w:ind w:right="29"/>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firstLine="31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eastAsia="zh-CN"/>
        </w:rPr>
        <w:t xml:space="preserve">电子签章</w:t>
      </w:r>
      <w:r>
        <w:rPr>
          <w:rFonts w:hint="eastAsia" w:ascii="宋体" w:hAnsi="宋体" w:eastAsia="宋体" w:cs="宋体"/>
          <w:color w:val="auto"/>
          <w:sz w:val="24"/>
          <w:highlight w:val="none"/>
        </w:rPr>
        <w:t xml:space="preserve">）：</w:t>
      </w:r>
      <w:r/>
    </w:p>
    <w:p>
      <w:pPr>
        <w:ind w:right="29"/>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注：1．如果按单价计算的结果与总价不一致，以总价为准。</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2．如果不提供详细分项报价将视为没有实质性响应。</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供应商对以上数据的真实性负责。</w:t>
      </w:r>
      <w:r/>
    </w:p>
    <w:p>
      <w:pPr>
        <w:ind w:firstLine="48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b/>
          <w:iCs/>
          <w:color w:val="auto"/>
          <w:sz w:val="24"/>
          <w:highlight w:val="none"/>
          <w:u w:val="single"/>
          <w:lang w:eastAsia="zh-CN"/>
        </w:rPr>
        <w:t xml:space="preserve">徐州迈迅项目管理咨询有限公司</w:t>
      </w:r>
      <w:r>
        <w:rPr>
          <w:rFonts w:hint="eastAsia" w:ascii="宋体" w:hAnsi="宋体" w:eastAsia="宋体" w:cs="宋体"/>
          <w:b/>
          <w:iCs/>
          <w:color w:val="auto"/>
          <w:sz w:val="24"/>
          <w:highlight w:val="none"/>
          <w:u w:val="single"/>
        </w:rPr>
        <w:t xml:space="preserve">有权将以上内容进行公示。</w:t>
      </w:r>
      <w:r/>
    </w:p>
    <w:p>
      <w:pPr>
        <w:keepLines w:val="0"/>
        <w:keepNext w:val="0"/>
        <w:pageBreakBefore w:val="0"/>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jc w:val="center"/>
        <w:keepLines w:val="0"/>
        <w:keepNext w:val="0"/>
        <w:pageBreakBefore w:val="0"/>
        <w:spacing w:line="360" w:lineRule="auto"/>
        <w:widowControl w:val="off"/>
        <w:rPr>
          <w:rFonts w:hint="eastAsia" w:ascii="宋体" w:hAnsi="宋体" w:eastAsia="宋体" w:cs="宋体"/>
          <w:b/>
          <w:bCs/>
          <w:color w:val="auto"/>
          <w:sz w:val="36"/>
          <w:highlight w:val="none"/>
        </w:rPr>
        <w:outlineLvl w:val="0"/>
      </w:pPr>
      <w:r>
        <w:rPr>
          <w:rFonts w:hint="eastAsia" w:ascii="宋体" w:hAnsi="宋体" w:eastAsia="宋体" w:cs="宋体"/>
          <w:b/>
          <w:bCs/>
          <w:color w:val="auto"/>
          <w:sz w:val="36"/>
          <w:highlight w:val="none"/>
        </w:rPr>
        <w:t xml:space="preserve">5、偏离表</w:t>
      </w:r>
      <w:r/>
    </w:p>
    <w:p>
      <w:pPr>
        <w:jc w:val="center"/>
        <w:keepLines w:val="0"/>
        <w:keepNext w:val="0"/>
        <w:pageBreakBefore w:val="0"/>
        <w:spacing w:line="360" w:lineRule="auto"/>
        <w:widowControl w:val="off"/>
        <w:rPr>
          <w:rFonts w:hint="eastAsia" w:ascii="宋体" w:hAnsi="宋体" w:eastAsia="宋体" w:cs="宋体"/>
          <w:b/>
          <w:bCs/>
          <w:color w:val="auto"/>
          <w:sz w:val="36"/>
          <w:highlight w:val="none"/>
        </w:rPr>
        <w:outlineLvl w:val="9"/>
      </w:pPr>
      <w:r>
        <w:rPr>
          <w:rFonts w:hint="eastAsia" w:ascii="宋体" w:hAnsi="宋体" w:eastAsia="宋体" w:cs="宋体"/>
          <w:color w:val="auto"/>
          <w:sz w:val="24"/>
          <w:highlight w:val="none"/>
        </w:rPr>
        <w:t xml:space="preserve">（首次报价）</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bookmarkStart w:id="13" w:name="OLE_LINK7"/>
      <w:r>
        <w:rPr>
          <w:rFonts w:hint="eastAsia" w:ascii="宋体" w:hAnsi="宋体" w:cs="宋体"/>
          <w:color w:val="auto"/>
          <w:sz w:val="24"/>
          <w:highlight w:val="none"/>
          <w:lang w:eastAsia="zh-CN"/>
        </w:rPr>
        <w:t xml:space="preserve">新沂市2025年农产品质量安全风险监测</w:t>
      </w:r>
      <w:bookmarkEnd w:id="13"/>
      <w:r/>
      <w:r/>
    </w:p>
    <w:p>
      <w:pPr>
        <w:keepLines w:val="0"/>
        <w:keepNext w:val="0"/>
        <w:pageBreakBefore w:val="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4"/>
          <w:highlight w:val="none"/>
          <w:lang w:eastAsia="zh-CN"/>
        </w:rPr>
        <w:t xml:space="preserve">JSZC-320381-XZMX-C2026-0007</w:t>
      </w:r>
      <w:r>
        <w:rPr>
          <w:rFonts w:hint="eastAsia" w:ascii="宋体" w:hAnsi="宋体" w:eastAsia="宋体" w:cs="宋体"/>
          <w:color w:val="auto"/>
          <w:sz w:val="24"/>
          <w:highlight w:val="none"/>
        </w:rPr>
        <w:t xml:space="preserve">  </w:t>
      </w:r>
      <w:r/>
    </w:p>
    <w:p>
      <w:pPr>
        <w:jc w:val="left"/>
        <w:keepLines w:val="0"/>
        <w:keepNext w:val="0"/>
        <w:pageBreakBefore w:val="0"/>
        <w:spacing w:line="360" w:lineRule="auto"/>
        <w:rPr>
          <w:rFonts w:hint="default" w:ascii="宋体" w:hAnsi="宋体" w:eastAsia="宋体" w:cs="宋体"/>
          <w:color w:val="auto"/>
          <w:sz w:val="24"/>
          <w:highlight w:val="none"/>
          <w:lang w:val="en-US" w:eastAsia="zh-CN"/>
        </w:rPr>
      </w:pPr>
      <w:r/>
      <w:bookmarkStart w:id="14" w:name="OLE_LINK5"/>
      <w:r>
        <w:rPr>
          <w:rFonts w:hint="eastAsia" w:ascii="宋体" w:hAnsi="宋体" w:cs="宋体"/>
          <w:color w:val="auto"/>
          <w:sz w:val="24"/>
          <w:highlight w:val="none"/>
          <w:lang w:val="en-US" w:eastAsia="zh-CN"/>
        </w:rPr>
        <w:t xml:space="preserve">采购包：</w:t>
      </w:r>
      <w:bookmarkEnd w:id="14"/>
      <w:r/>
      <w:r/>
    </w:p>
    <w:tbl>
      <w:tblPr>
        <w:tblStyle w:val="844"/>
        <w:tblW w:w="8928"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keepLines w:val="0"/>
              <w:keepNext w:val="0"/>
              <w:pageBreakBefore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keepLines w:val="0"/>
              <w:keepNext w:val="0"/>
              <w:pageBreakBefore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jc w:val="center"/>
              <w:keepLines w:val="0"/>
              <w:keepNext w:val="0"/>
              <w:pageBreakBefore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jc w:val="center"/>
              <w:keepLines w:val="0"/>
              <w:keepNext w:val="0"/>
              <w:pageBreakBefore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keepLines w:val="0"/>
              <w:keepNext w:val="0"/>
              <w:pageBreakBefore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keepLines w:val="0"/>
              <w:keepNext w:val="0"/>
              <w:pageBreakBefore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keepLines w:val="0"/>
              <w:keepNext w:val="0"/>
              <w:pageBreakBefore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keepLines w:val="0"/>
              <w:keepNext w:val="0"/>
              <w:pageBreakBefore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keepLines w:val="0"/>
              <w:keepNext w:val="0"/>
              <w:pageBreakBefore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keepLines w:val="0"/>
              <w:keepNext w:val="0"/>
              <w:pageBreakBefore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keepLines w:val="0"/>
              <w:keepNext w:val="0"/>
              <w:pageBreakBefore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keepLines w:val="0"/>
              <w:keepNext w:val="0"/>
              <w:pageBreakBefore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eastAsia="zh-CN"/>
        </w:rPr>
        <w:t xml:space="preserve">电子签章</w:t>
      </w:r>
      <w:r>
        <w:rPr>
          <w:rFonts w:hint="eastAsia" w:ascii="宋体" w:hAnsi="宋体" w:eastAsia="宋体" w:cs="宋体"/>
          <w:color w:val="auto"/>
          <w:sz w:val="24"/>
          <w:highlight w:val="none"/>
        </w:rPr>
        <w:t xml:space="preserve">）：</w:t>
      </w:r>
      <w:r/>
    </w:p>
    <w:p>
      <w:pPr>
        <w:ind w:right="29"/>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keepLines w:val="0"/>
        <w:keepNext w:val="0"/>
        <w:pageBreakBefore w:val="0"/>
        <w:spacing w:line="360" w:lineRule="auto"/>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b/>
          <w:bCs/>
          <w:color w:val="auto"/>
          <w:sz w:val="36"/>
          <w:szCs w:val="36"/>
          <w:highlight w:val="none"/>
          <w:lang w:val="en-US" w:eastAsia="zh-CN" w:bidi="ar-SA"/>
        </w:rPr>
        <w:br w:type="page" w:clear="all"/>
      </w:r>
      <w:r/>
    </w:p>
    <w:p>
      <w:pPr>
        <w:numPr>
          <w:ilvl w:val="0"/>
          <w:numId w:val="0"/>
        </w:numPr>
        <w:jc w:val="center"/>
        <w:keepLines w:val="0"/>
        <w:keepNext w:val="0"/>
        <w:pageBreakBefore w:val="0"/>
        <w:spacing w:line="360" w:lineRule="auto"/>
        <w:widowControl w:val="off"/>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lang w:val="en-US" w:eastAsia="zh-CN" w:bidi="ar-SA"/>
        </w:rPr>
        <w:t xml:space="preserve">6、</w:t>
      </w:r>
      <w:r>
        <w:rPr>
          <w:rFonts w:hint="eastAsia" w:ascii="宋体" w:hAnsi="宋体" w:eastAsia="宋体" w:cs="宋体"/>
          <w:b/>
          <w:bCs/>
          <w:color w:val="auto"/>
          <w:sz w:val="36"/>
          <w:szCs w:val="36"/>
          <w:highlight w:val="none"/>
        </w:rPr>
        <w:t xml:space="preserve">合同草案条款</w:t>
      </w:r>
      <w:r/>
    </w:p>
    <w:p>
      <w:pPr>
        <w:pStyle w:val="851"/>
        <w:jc w:val="center"/>
        <w:keepLines w:val="0"/>
        <w:keepNext w:val="0"/>
        <w:pageBreakBefore w:val="0"/>
        <w:spacing w:after="100" w:line="360" w:lineRule="auto"/>
        <w:shd w:val="clear" w:color="auto"/>
        <w:rPr>
          <w:rFonts w:hint="eastAsia" w:ascii="宋体" w:hAnsi="宋体" w:eastAsia="宋体" w:cs="宋体"/>
          <w:b/>
          <w:color w:val="auto"/>
          <w:sz w:val="80"/>
          <w:szCs w:val="80"/>
          <w:highlight w:val="none"/>
          <w:shd w:val="clear" w:color="auto" w:fill="auto"/>
        </w:rPr>
      </w:pPr>
      <w:r>
        <w:rPr>
          <w:rFonts w:hint="eastAsia" w:ascii="宋体" w:hAnsi="宋体" w:eastAsia="宋体" w:cs="宋体"/>
          <w:b/>
          <w:color w:val="auto"/>
          <w:sz w:val="80"/>
          <w:szCs w:val="80"/>
          <w:highlight w:val="none"/>
          <w:shd w:val="clear" w:color="auto" w:fill="auto"/>
        </w:rPr>
        <w:t xml:space="preserve">政</w:t>
      </w:r>
      <w:r/>
    </w:p>
    <w:p>
      <w:pPr>
        <w:pStyle w:val="851"/>
        <w:jc w:val="center"/>
        <w:keepLines w:val="0"/>
        <w:keepNext w:val="0"/>
        <w:pageBreakBefore w:val="0"/>
        <w:spacing w:after="100" w:line="360" w:lineRule="auto"/>
        <w:shd w:val="clear" w:color="auto"/>
        <w:rPr>
          <w:rFonts w:hint="eastAsia" w:ascii="宋体" w:hAnsi="宋体" w:eastAsia="宋体" w:cs="宋体"/>
          <w:b/>
          <w:color w:val="auto"/>
          <w:sz w:val="80"/>
          <w:szCs w:val="80"/>
          <w:highlight w:val="none"/>
          <w:shd w:val="clear" w:color="auto" w:fill="auto"/>
        </w:rPr>
      </w:pPr>
      <w:r>
        <w:rPr>
          <w:rFonts w:hint="eastAsia" w:ascii="宋体" w:hAnsi="宋体" w:eastAsia="宋体" w:cs="宋体"/>
          <w:b/>
          <w:color w:val="auto"/>
          <w:sz w:val="80"/>
          <w:szCs w:val="80"/>
          <w:highlight w:val="none"/>
          <w:shd w:val="clear" w:color="auto" w:fill="auto"/>
        </w:rPr>
        <w:t xml:space="preserve">府</w:t>
      </w:r>
      <w:r/>
    </w:p>
    <w:p>
      <w:pPr>
        <w:pStyle w:val="851"/>
        <w:jc w:val="center"/>
        <w:keepLines w:val="0"/>
        <w:keepNext w:val="0"/>
        <w:pageBreakBefore w:val="0"/>
        <w:spacing w:after="100" w:line="360" w:lineRule="auto"/>
        <w:shd w:val="clear" w:color="auto"/>
        <w:rPr>
          <w:rFonts w:hint="eastAsia" w:ascii="宋体" w:hAnsi="宋体" w:eastAsia="宋体" w:cs="宋体"/>
          <w:b/>
          <w:color w:val="auto"/>
          <w:sz w:val="80"/>
          <w:szCs w:val="80"/>
          <w:highlight w:val="none"/>
          <w:shd w:val="clear" w:color="auto" w:fill="auto"/>
        </w:rPr>
      </w:pPr>
      <w:r>
        <w:rPr>
          <w:rFonts w:hint="eastAsia" w:ascii="宋体" w:hAnsi="宋体" w:eastAsia="宋体" w:cs="宋体"/>
          <w:b/>
          <w:color w:val="auto"/>
          <w:sz w:val="80"/>
          <w:szCs w:val="80"/>
          <w:highlight w:val="none"/>
          <w:shd w:val="clear" w:color="auto" w:fill="auto"/>
        </w:rPr>
        <w:t xml:space="preserve">采</w:t>
      </w:r>
      <w:r/>
    </w:p>
    <w:p>
      <w:pPr>
        <w:pStyle w:val="851"/>
        <w:jc w:val="center"/>
        <w:keepLines w:val="0"/>
        <w:keepNext w:val="0"/>
        <w:pageBreakBefore w:val="0"/>
        <w:spacing w:after="100" w:line="360" w:lineRule="auto"/>
        <w:shd w:val="clear" w:color="auto"/>
        <w:rPr>
          <w:rFonts w:hint="eastAsia" w:ascii="宋体" w:hAnsi="宋体" w:eastAsia="宋体" w:cs="宋体"/>
          <w:b/>
          <w:color w:val="auto"/>
          <w:sz w:val="80"/>
          <w:szCs w:val="80"/>
          <w:highlight w:val="none"/>
          <w:shd w:val="clear" w:color="auto" w:fill="auto"/>
        </w:rPr>
      </w:pPr>
      <w:r>
        <w:rPr>
          <w:rFonts w:hint="eastAsia" w:ascii="宋体" w:hAnsi="宋体" w:eastAsia="宋体" w:cs="宋体"/>
          <w:b/>
          <w:color w:val="auto"/>
          <w:sz w:val="80"/>
          <w:szCs w:val="80"/>
          <w:highlight w:val="none"/>
          <w:shd w:val="clear" w:color="auto" w:fill="auto"/>
        </w:rPr>
        <w:t xml:space="preserve">购</w:t>
      </w:r>
      <w:r/>
    </w:p>
    <w:p>
      <w:pPr>
        <w:pStyle w:val="851"/>
        <w:jc w:val="center"/>
        <w:keepLines w:val="0"/>
        <w:keepNext w:val="0"/>
        <w:pageBreakBefore w:val="0"/>
        <w:spacing w:after="100" w:line="360" w:lineRule="auto"/>
        <w:shd w:val="clear" w:color="auto"/>
        <w:rPr>
          <w:rFonts w:hint="eastAsia" w:ascii="宋体" w:hAnsi="宋体" w:eastAsia="宋体" w:cs="宋体"/>
          <w:b/>
          <w:color w:val="auto"/>
          <w:sz w:val="80"/>
          <w:szCs w:val="80"/>
          <w:highlight w:val="none"/>
          <w:shd w:val="clear" w:color="auto" w:fill="auto"/>
        </w:rPr>
      </w:pPr>
      <w:r>
        <w:rPr>
          <w:rFonts w:hint="eastAsia" w:ascii="宋体" w:hAnsi="宋体" w:eastAsia="宋体" w:cs="宋体"/>
          <w:b/>
          <w:color w:val="auto"/>
          <w:sz w:val="80"/>
          <w:szCs w:val="80"/>
          <w:highlight w:val="none"/>
          <w:shd w:val="clear" w:color="auto" w:fill="auto"/>
        </w:rPr>
        <w:t xml:space="preserve">合</w:t>
      </w:r>
      <w:r/>
    </w:p>
    <w:p>
      <w:pPr>
        <w:pStyle w:val="851"/>
        <w:jc w:val="center"/>
        <w:keepLines w:val="0"/>
        <w:keepNext w:val="0"/>
        <w:pageBreakBefore w:val="0"/>
        <w:spacing w:after="100" w:line="360" w:lineRule="auto"/>
        <w:shd w:val="clear" w:color="auto"/>
        <w:rPr>
          <w:rFonts w:hint="eastAsia" w:ascii="宋体" w:hAnsi="宋体" w:eastAsia="宋体" w:cs="宋体"/>
          <w:b/>
          <w:color w:val="auto"/>
          <w:sz w:val="80"/>
          <w:szCs w:val="80"/>
          <w:highlight w:val="none"/>
          <w:shd w:val="clear" w:color="auto" w:fill="auto"/>
        </w:rPr>
      </w:pPr>
      <w:r>
        <w:rPr>
          <w:rFonts w:hint="eastAsia" w:ascii="宋体" w:hAnsi="宋体" w:eastAsia="宋体" w:cs="宋体"/>
          <w:b/>
          <w:color w:val="auto"/>
          <w:sz w:val="80"/>
          <w:szCs w:val="80"/>
          <w:highlight w:val="none"/>
          <w:shd w:val="clear" w:color="auto" w:fill="auto"/>
        </w:rPr>
        <w:t xml:space="preserve">同</w:t>
      </w:r>
      <w:r/>
    </w:p>
    <w:p>
      <w:pPr>
        <w:pStyle w:val="900"/>
        <w:keepLines w:val="0"/>
        <w:keepNext w:val="0"/>
        <w:pageBreakBefore w:val="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keepLines w:val="0"/>
        <w:keepNext w:val="0"/>
        <w:pageBreakBefore w:val="0"/>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clear="all"/>
      </w:r>
      <w:r/>
    </w:p>
    <w:p>
      <w:pPr>
        <w:pStyle w:val="902"/>
        <w:jc w:val="center"/>
        <w:keepLines w:val="0"/>
        <w:keepNext w:val="0"/>
        <w:pageBreakBefore w:val="0"/>
        <w:spacing w:line="360" w:lineRule="auto"/>
        <w:rPr>
          <w:rFonts w:hint="default" w:ascii="Times New Roman" w:hAnsi="Times New Roman" w:eastAsia="方正小标宋_GBK" w:cs="Times New Roman"/>
          <w:b w:val="0"/>
          <w:bCs w:val="0"/>
          <w:color w:val="auto"/>
          <w:sz w:val="42"/>
          <w:szCs w:val="42"/>
          <w:highlight w:val="none"/>
          <w:lang w:val="en-US" w:eastAsia="zh-CN" w:bidi="ar-SA"/>
        </w:rPr>
      </w:pPr>
      <w:r>
        <w:rPr>
          <w:rFonts w:hint="default" w:ascii="Times New Roman" w:hAnsi="Times New Roman" w:eastAsia="方正小标宋_GBK" w:cs="Times New Roman"/>
          <w:b w:val="0"/>
          <w:bCs w:val="0"/>
          <w:color w:val="auto"/>
          <w:sz w:val="42"/>
          <w:szCs w:val="42"/>
          <w:highlight w:val="none"/>
          <w:lang w:val="en-US" w:eastAsia="zh-CN" w:bidi="ar-SA"/>
        </w:rPr>
        <w:t xml:space="preserve">新沂市2025年农产品质量安全风险监测</w:t>
      </w:r>
      <w:r/>
    </w:p>
    <w:p>
      <w:pPr>
        <w:pStyle w:val="902"/>
        <w:jc w:val="center"/>
        <w:keepLines w:val="0"/>
        <w:keepNext w:val="0"/>
        <w:pageBreakBefore w:val="0"/>
        <w:spacing w:line="360" w:lineRule="auto"/>
        <w:rPr>
          <w:rFonts w:hint="default" w:ascii="Times New Roman" w:hAnsi="Times New Roman" w:cs="Times New Roman"/>
          <w:color w:val="auto"/>
          <w:highlight w:val="none"/>
          <w:lang w:val="en-US"/>
        </w:rPr>
      </w:pPr>
      <w:r>
        <w:rPr>
          <w:rFonts w:hint="default" w:ascii="Times New Roman" w:hAnsi="Times New Roman" w:eastAsia="方正小标宋_GBK" w:cs="Times New Roman"/>
          <w:b w:val="0"/>
          <w:bCs w:val="0"/>
          <w:color w:val="auto"/>
          <w:sz w:val="42"/>
          <w:szCs w:val="42"/>
          <w:highlight w:val="none"/>
          <w:lang w:val="en-US" w:eastAsia="zh-CN" w:bidi="ar-SA"/>
        </w:rPr>
        <w:t xml:space="preserve">项目</w:t>
      </w:r>
      <w:r>
        <w:rPr>
          <w:rFonts w:hint="eastAsia" w:eastAsia="方正小标宋_GBK" w:cs="Times New Roman"/>
          <w:b w:val="0"/>
          <w:bCs w:val="0"/>
          <w:color w:val="auto"/>
          <w:sz w:val="42"/>
          <w:szCs w:val="42"/>
          <w:highlight w:val="none"/>
          <w:lang w:val="en-US" w:eastAsia="zh-CN" w:bidi="ar-SA"/>
        </w:rPr>
        <w:t xml:space="preserve">承揽</w:t>
      </w:r>
      <w:r>
        <w:rPr>
          <w:rFonts w:hint="default" w:ascii="Times New Roman" w:hAnsi="Times New Roman" w:eastAsia="方正小标宋_GBK" w:cs="Times New Roman"/>
          <w:b w:val="0"/>
          <w:bCs w:val="0"/>
          <w:color w:val="auto"/>
          <w:sz w:val="42"/>
          <w:szCs w:val="42"/>
          <w:highlight w:val="none"/>
          <w:lang w:val="en-US" w:eastAsia="zh-CN" w:bidi="ar-SA"/>
        </w:rPr>
        <w:t xml:space="preserve">合同</w:t>
      </w:r>
      <w:r/>
    </w:p>
    <w:p>
      <w:pPr>
        <w:pStyle w:val="902"/>
        <w:jc w:val="center"/>
        <w:keepLines w:val="0"/>
        <w:keepNext w:val="0"/>
        <w:pageBreakBefore w:val="0"/>
        <w:spacing w:line="360" w:lineRule="auto"/>
        <w:rPr>
          <w:rFonts w:hint="default" w:ascii="Times New Roman" w:hAnsi="Times New Roman" w:eastAsia="宋体" w:cs="Times New Roman"/>
          <w:bCs/>
          <w:color w:val="auto"/>
          <w:sz w:val="56"/>
          <w:szCs w:val="56"/>
          <w:highlight w:val="none"/>
        </w:rPr>
      </w:pPr>
      <w:r>
        <w:rPr>
          <w:rFonts w:hint="default" w:ascii="Times New Roman" w:hAnsi="Times New Roman" w:eastAsia="宋体" w:cs="Times New Roman"/>
          <w:bCs/>
          <w:color w:val="auto"/>
          <w:sz w:val="56"/>
          <w:szCs w:val="56"/>
          <w:highlight w:val="none"/>
        </w:rPr>
      </w:r>
      <w:r/>
    </w:p>
    <w:p>
      <w:pPr>
        <w:pStyle w:val="902"/>
        <w:keepLines w:val="0"/>
        <w:keepNext w:val="0"/>
        <w:pageBreakBefore w:val="0"/>
        <w:spacing w:line="360" w:lineRule="auto"/>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r>
      <w:r/>
    </w:p>
    <w:p>
      <w:pPr>
        <w:pStyle w:val="892"/>
        <w:keepLines w:val="0"/>
        <w:keepNext w:val="0"/>
        <w:pageBreakBefore w:val="0"/>
        <w:spacing w:line="360" w:lineRule="auto"/>
        <w:rPr>
          <w:rFonts w:hint="default"/>
          <w:color w:val="auto"/>
          <w:highlight w:val="none"/>
        </w:rPr>
      </w:pPr>
      <w:r>
        <w:rPr>
          <w:rFonts w:hint="default"/>
          <w:color w:val="auto"/>
          <w:highlight w:val="none"/>
        </w:rPr>
      </w:r>
      <w:r/>
    </w:p>
    <w:p>
      <w:pPr>
        <w:pStyle w:val="893"/>
        <w:keepLines w:val="0"/>
        <w:keepNext w:val="0"/>
        <w:pageBreakBefore w:val="0"/>
        <w:spacing w:line="360" w:lineRule="auto"/>
        <w:rPr>
          <w:rFonts w:hint="default"/>
          <w:color w:val="auto"/>
          <w:highlight w:val="none"/>
        </w:rPr>
      </w:pPr>
      <w:r>
        <w:rPr>
          <w:rFonts w:hint="default"/>
          <w:color w:val="auto"/>
          <w:highlight w:val="none"/>
        </w:rPr>
      </w:r>
      <w:r/>
    </w:p>
    <w:p>
      <w:pPr>
        <w:pStyle w:val="892"/>
        <w:keepLines w:val="0"/>
        <w:keepNext w:val="0"/>
        <w:pageBreakBefore w:val="0"/>
        <w:spacing w:line="360" w:lineRule="auto"/>
        <w:rPr>
          <w:rFonts w:hint="default"/>
          <w:color w:val="auto"/>
          <w:highlight w:val="none"/>
        </w:rPr>
      </w:pPr>
      <w:r>
        <w:rPr>
          <w:rFonts w:hint="default"/>
          <w:color w:val="auto"/>
          <w:highlight w:val="none"/>
        </w:rPr>
      </w:r>
      <w:r/>
    </w:p>
    <w:p>
      <w:pPr>
        <w:ind w:firstLine="321"/>
        <w:keepLines w:val="0"/>
        <w:keepNext w:val="0"/>
        <w:pageBreakBefore w:val="0"/>
        <w:spacing w:line="360" w:lineRule="auto"/>
        <w:rPr>
          <w:rStyle w:val="1095"/>
          <w:rFonts w:hint="default" w:ascii="Times New Roman" w:hAnsi="Times New Roman" w:eastAsia="宋体" w:cs="Times New Roman"/>
          <w:b/>
          <w:bCs/>
          <w:color w:val="auto"/>
          <w:sz w:val="32"/>
          <w:highlight w:val="none"/>
          <w:lang w:val="en-US" w:eastAsia="zh-CN"/>
        </w:rPr>
        <w:outlineLvl w:val="0"/>
      </w:pPr>
      <w:r/>
      <w:bookmarkStart w:id="15" w:name="_Toc358569763"/>
      <w:r/>
      <w:bookmarkStart w:id="16" w:name="_Toc498006744"/>
      <w:r/>
      <w:bookmarkStart w:id="17" w:name="_Toc498006748"/>
      <w:r>
        <w:rPr>
          <w:rFonts w:hint="default" w:ascii="Times New Roman" w:hAnsi="Times New Roman" w:eastAsia="宋体" w:cs="Times New Roman"/>
          <w:b/>
          <w:bCs/>
          <w:color w:val="auto"/>
          <w:sz w:val="32"/>
          <w:szCs w:val="32"/>
          <w:highlight w:val="none"/>
        </w:rPr>
        <w:t xml:space="preserve">项目编号：</w:t>
      </w:r>
      <w:r/>
    </w:p>
    <w:p>
      <w:pPr>
        <w:ind w:left="1925" w:hanging="1606"/>
        <w:keepLines w:val="0"/>
        <w:keepNext w:val="0"/>
        <w:pageBreakBefore w:val="0"/>
        <w:spacing w:line="360" w:lineRule="auto"/>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r>
      <w:r/>
    </w:p>
    <w:p>
      <w:pPr>
        <w:pStyle w:val="875"/>
        <w:keepLines w:val="0"/>
        <w:keepNext w:val="0"/>
        <w:pageBreakBefore w:val="0"/>
        <w:spacing w:line="360" w:lineRule="auto"/>
        <w:rPr>
          <w:rFonts w:hint="default"/>
          <w:color w:val="auto"/>
          <w:highlight w:val="none"/>
        </w:rPr>
      </w:pPr>
      <w:r>
        <w:rPr>
          <w:rFonts w:hint="default"/>
          <w:color w:val="auto"/>
          <w:highlight w:val="none"/>
        </w:rPr>
      </w:r>
      <w:r/>
    </w:p>
    <w:p>
      <w:pPr>
        <w:ind w:left="1925" w:hanging="1606"/>
        <w:keepLines w:val="0"/>
        <w:keepNext w:val="0"/>
        <w:pageBreakBefore w:val="0"/>
        <w:spacing w:line="360" w:lineRule="auto"/>
        <w:rPr>
          <w:rFonts w:hint="default" w:ascii="Times New Roman" w:hAnsi="Times New Roman" w:eastAsia="宋体" w:cs="Times New Roman"/>
          <w:b/>
          <w:bCs/>
          <w:color w:val="auto"/>
          <w:sz w:val="32"/>
          <w:szCs w:val="32"/>
          <w:highlight w:val="none"/>
          <w:lang w:val="en-US" w:eastAsia="zh-CN"/>
        </w:rPr>
      </w:pPr>
      <w:r>
        <w:rPr>
          <w:rFonts w:hint="default" w:ascii="Times New Roman" w:hAnsi="Times New Roman" w:eastAsia="宋体" w:cs="Times New Roman"/>
          <w:b/>
          <w:bCs/>
          <w:color w:val="auto"/>
          <w:sz w:val="32"/>
          <w:szCs w:val="32"/>
          <w:highlight w:val="none"/>
        </w:rPr>
        <w:t xml:space="preserve">项目名称：</w:t>
      </w:r>
      <w:r/>
    </w:p>
    <w:p>
      <w:pPr>
        <w:ind w:left="1925" w:hanging="1606"/>
        <w:keepLines w:val="0"/>
        <w:keepNext w:val="0"/>
        <w:pageBreakBefore w:val="0"/>
        <w:spacing w:line="360" w:lineRule="auto"/>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r>
      <w:r/>
    </w:p>
    <w:p>
      <w:pPr>
        <w:pStyle w:val="875"/>
        <w:keepLines w:val="0"/>
        <w:keepNext w:val="0"/>
        <w:pageBreakBefore w:val="0"/>
        <w:spacing w:line="360" w:lineRule="auto"/>
        <w:rPr>
          <w:rFonts w:hint="default"/>
          <w:color w:val="auto"/>
          <w:highlight w:val="none"/>
        </w:rPr>
      </w:pPr>
      <w:r>
        <w:rPr>
          <w:rFonts w:hint="default"/>
          <w:color w:val="auto"/>
          <w:highlight w:val="none"/>
        </w:rPr>
      </w:r>
      <w:r/>
    </w:p>
    <w:p>
      <w:pPr>
        <w:ind w:left="1925" w:hanging="1606"/>
        <w:keepLines w:val="0"/>
        <w:keepNext w:val="0"/>
        <w:pageBreakBefore w:val="0"/>
        <w:spacing w:line="360" w:lineRule="auto"/>
        <w:rPr>
          <w:rFonts w:hint="default" w:ascii="Times New Roman" w:hAnsi="Times New Roman" w:eastAsia="宋体" w:cs="Times New Roman"/>
          <w:b/>
          <w:bCs/>
          <w:color w:val="auto"/>
          <w:sz w:val="32"/>
          <w:szCs w:val="32"/>
          <w:highlight w:val="none"/>
          <w:lang w:val="en-US" w:eastAsia="zh-CN"/>
        </w:rPr>
      </w:pPr>
      <w:r>
        <w:rPr>
          <w:rFonts w:hint="eastAsia" w:ascii="Times New Roman" w:hAnsi="Times New Roman" w:eastAsia="宋体" w:cs="Times New Roman"/>
          <w:b/>
          <w:bCs/>
          <w:color w:val="auto"/>
          <w:sz w:val="32"/>
          <w:szCs w:val="32"/>
          <w:highlight w:val="none"/>
          <w:lang w:val="en-US" w:eastAsia="zh-CN"/>
        </w:rPr>
        <w:t xml:space="preserve">甲    方</w:t>
      </w:r>
      <w:r>
        <w:rPr>
          <w:rFonts w:hint="default" w:ascii="Times New Roman" w:hAnsi="Times New Roman" w:eastAsia="宋体" w:cs="Times New Roman"/>
          <w:b/>
          <w:bCs/>
          <w:color w:val="auto"/>
          <w:sz w:val="32"/>
          <w:szCs w:val="32"/>
          <w:highlight w:val="none"/>
        </w:rPr>
        <w:t xml:space="preserve">：</w:t>
      </w:r>
      <w:r/>
    </w:p>
    <w:p>
      <w:pPr>
        <w:ind w:left="1925" w:hanging="1606"/>
        <w:keepLines w:val="0"/>
        <w:keepNext w:val="0"/>
        <w:pageBreakBefore w:val="0"/>
        <w:spacing w:line="360" w:lineRule="auto"/>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r>
      <w:r/>
    </w:p>
    <w:p>
      <w:pPr>
        <w:pStyle w:val="875"/>
        <w:keepLines w:val="0"/>
        <w:keepNext w:val="0"/>
        <w:pageBreakBefore w:val="0"/>
        <w:spacing w:line="360" w:lineRule="auto"/>
        <w:rPr>
          <w:rFonts w:hint="default"/>
          <w:color w:val="auto"/>
          <w:highlight w:val="none"/>
        </w:rPr>
      </w:pPr>
      <w:r>
        <w:rPr>
          <w:rFonts w:hint="default"/>
          <w:color w:val="auto"/>
          <w:highlight w:val="none"/>
        </w:rPr>
      </w:r>
      <w:r/>
    </w:p>
    <w:p>
      <w:pPr>
        <w:ind w:left="1925" w:hanging="1606"/>
        <w:keepLines w:val="0"/>
        <w:keepNext w:val="0"/>
        <w:pageBreakBefore w:val="0"/>
        <w:spacing w:line="360" w:lineRule="auto"/>
        <w:rPr>
          <w:rFonts w:hint="default"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lang w:eastAsia="zh-CN"/>
        </w:rPr>
        <w:t xml:space="preserve">乙</w:t>
      </w:r>
      <w:r>
        <w:rPr>
          <w:rFonts w:hint="eastAsia" w:ascii="Times New Roman" w:hAnsi="Times New Roman" w:eastAsia="宋体" w:cs="Times New Roman"/>
          <w:b/>
          <w:bCs/>
          <w:color w:val="auto"/>
          <w:sz w:val="32"/>
          <w:szCs w:val="32"/>
          <w:highlight w:val="none"/>
          <w:lang w:val="en-US" w:eastAsia="zh-CN"/>
        </w:rPr>
        <w:t xml:space="preserve">    </w:t>
      </w:r>
      <w:r>
        <w:rPr>
          <w:rFonts w:hint="eastAsia" w:ascii="Times New Roman" w:hAnsi="Times New Roman" w:eastAsia="宋体" w:cs="Times New Roman"/>
          <w:b/>
          <w:bCs/>
          <w:color w:val="auto"/>
          <w:sz w:val="32"/>
          <w:szCs w:val="32"/>
          <w:highlight w:val="none"/>
          <w:lang w:eastAsia="zh-CN"/>
        </w:rPr>
        <w:t xml:space="preserve">方</w:t>
      </w:r>
      <w:r>
        <w:rPr>
          <w:rFonts w:hint="default" w:ascii="Times New Roman" w:hAnsi="Times New Roman" w:eastAsia="宋体" w:cs="Times New Roman"/>
          <w:b/>
          <w:bCs/>
          <w:color w:val="auto"/>
          <w:sz w:val="32"/>
          <w:szCs w:val="32"/>
          <w:highlight w:val="none"/>
        </w:rPr>
        <w:t xml:space="preserve">：</w:t>
      </w:r>
      <w:r/>
    </w:p>
    <w:p>
      <w:pPr>
        <w:keepLines w:val="0"/>
        <w:keepNext w:val="0"/>
        <w:pageBreakBefore w:val="0"/>
        <w:spacing w:line="360" w:lineRule="auto"/>
        <w:rPr>
          <w:rFonts w:hint="eastAsia" w:ascii="Times New Roman" w:hAnsi="Times New Roman" w:eastAsia="方正仿宋_GBK" w:cs="Times New Roman"/>
          <w:b w:val="0"/>
          <w:bCs w:val="0"/>
          <w:color w:val="auto"/>
          <w:sz w:val="34"/>
          <w:szCs w:val="34"/>
          <w:highlight w:val="none"/>
          <w:lang w:val="en-US" w:eastAsia="zh-CN"/>
        </w:rPr>
      </w:pPr>
      <w:r>
        <w:rPr>
          <w:rFonts w:hint="eastAsia" w:ascii="Times New Roman" w:hAnsi="Times New Roman" w:eastAsia="方正仿宋_GBK" w:cs="Times New Roman"/>
          <w:b w:val="0"/>
          <w:bCs w:val="0"/>
          <w:color w:val="auto"/>
          <w:sz w:val="34"/>
          <w:szCs w:val="34"/>
          <w:highlight w:val="none"/>
          <w:lang w:val="en-US" w:eastAsia="zh-CN"/>
        </w:rPr>
      </w:r>
      <w:r/>
    </w:p>
    <w:p>
      <w:pPr>
        <w:pStyle w:val="875"/>
        <w:keepLines w:val="0"/>
        <w:keepNext w:val="0"/>
        <w:pageBreakBefore w:val="0"/>
        <w:spacing w:line="360" w:lineRule="auto"/>
        <w:rPr>
          <w:rFonts w:hint="default"/>
          <w:color w:val="auto"/>
          <w:highlight w:val="none"/>
        </w:rPr>
      </w:pPr>
      <w:r>
        <w:rPr>
          <w:rFonts w:hint="default"/>
          <w:color w:val="auto"/>
          <w:highlight w:val="none"/>
        </w:rPr>
      </w:r>
      <w:r/>
    </w:p>
    <w:p>
      <w:pPr>
        <w:ind w:firstLine="321"/>
        <w:keepLines w:val="0"/>
        <w:keepNext w:val="0"/>
        <w:pageBreakBefore w:val="0"/>
        <w:spacing w:line="360" w:lineRule="auto"/>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r>
      <w:bookmarkEnd w:id="15"/>
      <w:r/>
      <w:bookmarkEnd w:id="16"/>
      <w:r/>
      <w:bookmarkEnd w:id="17"/>
      <w:r/>
      <w:r/>
    </w:p>
    <w:p>
      <w:pPr>
        <w:keepLines w:val="0"/>
        <w:keepNext w:val="0"/>
        <w:pageBreakBefore w:val="0"/>
        <w:spacing w:line="360" w:lineRule="auto"/>
        <w:rPr>
          <w:rFonts w:hint="default" w:ascii="Times New Roman" w:hAnsi="Times New Roman" w:eastAsia="宋体" w:cs="Times New Roman"/>
          <w:color w:val="auto"/>
          <w:sz w:val="24"/>
          <w:highlight w:val="none"/>
        </w:rPr>
        <w:sectPr>
          <w:footerReference w:type="default" r:id="rId13"/>
          <w:footerReference w:type="first" r:id="rId14"/>
          <w:footnotePr/>
          <w:endnotePr/>
          <w:type w:val="nextPage"/>
          <w:pgSz w:w="11906" w:h="16838" w:orient="portrait"/>
          <w:pgMar w:top="1474" w:right="1531" w:bottom="1474" w:left="1531" w:header="851" w:footer="992" w:gutter="0"/>
          <w:cols w:num="1" w:sep="0" w:space="720" w:equalWidth="1"/>
          <w:docGrid w:linePitch="360"/>
        </w:sectPr>
      </w:pPr>
      <w:r>
        <w:rPr>
          <w:rFonts w:hint="default" w:ascii="Times New Roman" w:hAnsi="Times New Roman" w:eastAsia="宋体" w:cs="Times New Roman"/>
          <w:color w:val="auto"/>
          <w:sz w:val="24"/>
          <w:highlight w:val="none"/>
        </w:rPr>
      </w:r>
      <w:r/>
    </w:p>
    <w:p>
      <w:pPr>
        <w:jc w:val="center"/>
        <w:keepLines w:val="0"/>
        <w:keepNext w:val="0"/>
        <w:pageBreakBefore w:val="0"/>
        <w:spacing w:line="360" w:lineRule="auto"/>
        <w:widowControl w:val="off"/>
        <w:rPr>
          <w:rFonts w:hint="default" w:ascii="Times New Roman" w:hAnsi="Times New Roman"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合同条款</w:t>
      </w:r>
      <w:r/>
    </w:p>
    <w:p>
      <w:pPr>
        <w:ind w:firstLine="562"/>
        <w:keepLines w:val="0"/>
        <w:keepNext w:val="0"/>
        <w:pageBreakBefore w:val="0"/>
        <w:spacing w:line="360" w:lineRule="auto"/>
        <w:widowControl w:val="off"/>
        <w:rPr>
          <w:rFonts w:hint="default" w:ascii="Times New Roman" w:hAnsi="Times New Roman" w:cs="Times New Roman"/>
          <w:b/>
          <w:color w:val="auto"/>
          <w:sz w:val="21"/>
          <w:szCs w:val="21"/>
          <w:highlight w:val="none"/>
        </w:rPr>
      </w:pPr>
      <w:r/>
      <w:bookmarkStart w:id="18" w:name="OLE_LINK1"/>
      <w:r/>
      <w:bookmarkEnd w:id="18"/>
      <w:r/>
      <w:r/>
    </w:p>
    <w:p>
      <w:pPr>
        <w:ind w:firstLine="420"/>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甲方：</w:t>
      </w:r>
      <w:r/>
    </w:p>
    <w:p>
      <w:pPr>
        <w:ind w:firstLine="420"/>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乙方：</w:t>
      </w:r>
      <w:r/>
    </w:p>
    <w:p>
      <w:pPr>
        <w:ind w:firstLine="420"/>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甲、乙双方根据</w:t>
      </w:r>
      <w:r>
        <w:rPr>
          <w:rFonts w:hint="eastAsia" w:ascii="宋体" w:hAnsi="宋体" w:eastAsia="宋体" w:cs="宋体"/>
          <w:b w:val="0"/>
          <w:bCs w:val="0"/>
          <w:color w:val="auto"/>
          <w:sz w:val="21"/>
          <w:szCs w:val="21"/>
          <w:highlight w:val="none"/>
          <w:lang w:val="en-US" w:eastAsia="zh-CN"/>
        </w:rPr>
        <w:t xml:space="preserve">新沂市2025年农产品质量安全风险监测</w:t>
      </w:r>
      <w:r>
        <w:rPr>
          <w:rFonts w:hint="default" w:ascii="宋体" w:hAnsi="宋体" w:eastAsia="宋体" w:cs="宋体"/>
          <w:b w:val="0"/>
          <w:bCs w:val="0"/>
          <w:color w:val="auto"/>
          <w:sz w:val="21"/>
          <w:szCs w:val="21"/>
          <w:highlight w:val="none"/>
          <w:lang w:val="en-US" w:eastAsia="zh-CN"/>
        </w:rPr>
        <w:t xml:space="preserve">竞争性磋商成交结果，签署本合同。</w:t>
      </w:r>
      <w:r/>
    </w:p>
    <w:p>
      <w:pPr>
        <w:ind w:firstLine="480"/>
        <w:jc w:val="both"/>
        <w:keepLines w:val="0"/>
        <w:keepNext w:val="0"/>
        <w:pageBreakBefore w:val="0"/>
        <w:spacing w:line="360" w:lineRule="auto"/>
        <w:widowControl w:val="off"/>
        <w:rPr>
          <w:rFonts w:ascii="宋体" w:hAnsi="宋体" w:eastAsia="宋体" w:cs="宋体"/>
          <w:b/>
          <w:bCs/>
          <w:color w:val="auto"/>
          <w:sz w:val="21"/>
          <w:szCs w:val="21"/>
          <w:highlight w:val="none"/>
          <w:lang w:val="en-US" w:eastAsia="zh-CN"/>
        </w:rPr>
      </w:pPr>
      <w:r>
        <w:rPr>
          <w:rFonts w:ascii="宋体" w:hAnsi="宋体" w:eastAsia="宋体" w:cs="宋体"/>
          <w:b/>
          <w:bCs/>
          <w:color w:val="auto"/>
          <w:sz w:val="21"/>
          <w:szCs w:val="21"/>
          <w:highlight w:val="none"/>
          <w:lang w:val="en-US" w:eastAsia="zh-CN"/>
        </w:rPr>
        <w:t xml:space="preserve">一、项目基本情况</w:t>
      </w:r>
      <w:r/>
    </w:p>
    <w:p>
      <w:pPr>
        <w:ind w:firstLine="480"/>
        <w:jc w:val="both"/>
        <w:keepLines w:val="0"/>
        <w:keepNext w:val="0"/>
        <w:pageBreakBefore w:val="0"/>
        <w:spacing w:line="460" w:lineRule="exact"/>
        <w:widowControl w:val="off"/>
        <w:rPr>
          <w:rFonts w:ascii="宋体" w:hAnsi="宋体" w:eastAsia="宋体" w:cs="宋体"/>
          <w:b w:val="0"/>
          <w:bCs w:val="0"/>
          <w:color w:val="auto"/>
          <w:sz w:val="21"/>
          <w:szCs w:val="21"/>
          <w:highlight w:val="none"/>
          <w:lang w:val="en-US" w:eastAsia="zh-CN"/>
        </w:rPr>
        <w:outlineLvl w:val="9"/>
      </w:pPr>
      <w:r>
        <w:rPr>
          <w:rFonts w:ascii="宋体" w:hAnsi="宋体" w:eastAsia="宋体" w:cs="宋体"/>
          <w:b w:val="0"/>
          <w:bCs w:val="0"/>
          <w:color w:val="auto"/>
          <w:sz w:val="21"/>
          <w:szCs w:val="21"/>
          <w:highlight w:val="none"/>
          <w:lang w:val="en-US" w:eastAsia="zh-CN"/>
        </w:rPr>
        <w:t xml:space="preserve">1.1项目名称：</w:t>
      </w:r>
      <w:r/>
    </w:p>
    <w:p>
      <w:pPr>
        <w:ind w:firstLine="480"/>
        <w:jc w:val="both"/>
        <w:keepLines w:val="0"/>
        <w:keepNext w:val="0"/>
        <w:pageBreakBefore w:val="0"/>
        <w:spacing w:line="460" w:lineRule="exact"/>
        <w:widowControl w:val="off"/>
        <w:rPr>
          <w:rFonts w:hint="eastAsia" w:ascii="宋体" w:hAnsi="宋体" w:eastAsia="宋体" w:cs="宋体"/>
          <w:b w:val="0"/>
          <w:bCs w:val="0"/>
          <w:color w:val="auto"/>
          <w:sz w:val="21"/>
          <w:szCs w:val="21"/>
          <w:highlight w:val="none"/>
          <w:lang w:val="en-US" w:eastAsia="zh-CN"/>
        </w:rPr>
        <w:outlineLvl w:val="9"/>
      </w:pPr>
      <w:r>
        <w:rPr>
          <w:rFonts w:ascii="宋体" w:hAnsi="宋体" w:eastAsia="宋体" w:cs="宋体"/>
          <w:b w:val="0"/>
          <w:bCs w:val="0"/>
          <w:color w:val="auto"/>
          <w:sz w:val="21"/>
          <w:szCs w:val="21"/>
          <w:highlight w:val="none"/>
          <w:lang w:val="en-US" w:eastAsia="zh-CN"/>
        </w:rPr>
        <w:t xml:space="preserve">1.2项目内容：</w:t>
      </w:r>
      <w:r>
        <w:rPr>
          <w:rFonts w:hint="eastAsia" w:ascii="宋体" w:hAnsi="宋体" w:eastAsia="宋体" w:cs="宋体"/>
          <w:color w:val="auto"/>
          <w:sz w:val="21"/>
          <w:szCs w:val="21"/>
          <w:highlight w:val="none"/>
        </w:rPr>
        <w:t xml:space="preserve">为更加全面掌握</w:t>
      </w:r>
      <w:r>
        <w:rPr>
          <w:rFonts w:hint="eastAsia" w:ascii="宋体" w:hAnsi="宋体" w:cs="宋体"/>
          <w:color w:val="auto"/>
          <w:sz w:val="21"/>
          <w:szCs w:val="21"/>
          <w:highlight w:val="none"/>
          <w:lang w:val="en-US" w:eastAsia="zh-CN"/>
        </w:rPr>
        <w:t xml:space="preserve">新沂市</w:t>
      </w:r>
      <w:r>
        <w:rPr>
          <w:rFonts w:hint="eastAsia" w:ascii="宋体" w:hAnsi="宋体" w:eastAsia="宋体" w:cs="宋体"/>
          <w:color w:val="auto"/>
          <w:sz w:val="21"/>
          <w:szCs w:val="21"/>
          <w:highlight w:val="none"/>
        </w:rPr>
        <w:t xml:space="preserve">地产农产品质量安全状况，强化农产品质量安全风险预警，依法规范农产品质量安全生产行为，保障农产品质量安全，根据</w:t>
      </w:r>
      <w:r>
        <w:rPr>
          <w:rFonts w:hint="eastAsia" w:ascii="宋体" w:hAnsi="宋体" w:cs="宋体"/>
          <w:color w:val="auto"/>
          <w:sz w:val="21"/>
          <w:szCs w:val="21"/>
          <w:highlight w:val="none"/>
          <w:lang w:val="en-US" w:eastAsia="zh-CN"/>
        </w:rPr>
        <w:t xml:space="preserve">省市级</w:t>
      </w:r>
      <w:r>
        <w:rPr>
          <w:rFonts w:hint="eastAsia" w:ascii="宋体" w:hAnsi="宋体" w:eastAsia="宋体" w:cs="宋体"/>
          <w:color w:val="auto"/>
          <w:sz w:val="21"/>
          <w:szCs w:val="21"/>
          <w:highlight w:val="none"/>
        </w:rPr>
        <w:t xml:space="preserve">文件</w:t>
      </w:r>
      <w:r>
        <w:rPr>
          <w:rFonts w:hint="eastAsia" w:ascii="宋体" w:hAnsi="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rPr>
        <w:t xml:space="preserve">，县级组织开展农产品质量安全风险监测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包含风险（例行）监测、专项监测（含二品一标、部省绿优基地）等检测服务。共计</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2500</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批次,涵盖</w:t>
      </w:r>
      <w:r>
        <w:rPr>
          <w:rFonts w:hint="eastAsia" w:ascii="宋体" w:hAnsi="宋体" w:eastAsia="宋体" w:cs="宋体"/>
          <w:color w:val="auto"/>
          <w:sz w:val="21"/>
          <w:szCs w:val="21"/>
          <w:highlight w:val="none"/>
          <w:lang w:val="en-US" w:eastAsia="zh-CN"/>
        </w:rPr>
        <w:t xml:space="preserve">粮食</w:t>
      </w:r>
      <w:r>
        <w:rPr>
          <w:rFonts w:hint="eastAsia" w:ascii="宋体" w:hAnsi="宋体" w:eastAsia="宋体" w:cs="宋体"/>
          <w:color w:val="auto"/>
          <w:sz w:val="21"/>
          <w:szCs w:val="21"/>
          <w:highlight w:val="none"/>
        </w:rPr>
        <w:t xml:space="preserve">作物、果蔬、</w:t>
      </w:r>
      <w:r>
        <w:rPr>
          <w:rFonts w:hint="eastAsia" w:ascii="宋体" w:hAnsi="宋体" w:eastAsia="宋体" w:cs="宋体"/>
          <w:color w:val="auto"/>
          <w:sz w:val="21"/>
          <w:szCs w:val="21"/>
          <w:highlight w:val="none"/>
          <w:lang w:val="en-US" w:eastAsia="zh-CN"/>
        </w:rPr>
        <w:t xml:space="preserve">禽肉</w:t>
      </w:r>
      <w:r>
        <w:rPr>
          <w:rFonts w:hint="eastAsia" w:ascii="宋体" w:hAnsi="宋体" w:eastAsia="宋体" w:cs="宋体"/>
          <w:color w:val="auto"/>
          <w:sz w:val="21"/>
          <w:szCs w:val="21"/>
          <w:highlight w:val="none"/>
        </w:rPr>
        <w:t xml:space="preserve">（蛋）、水产品</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 </w:t>
      </w:r>
      <w:r/>
    </w:p>
    <w:p>
      <w:pPr>
        <w:ind w:firstLine="432"/>
        <w:jc w:val="both"/>
        <w:keepLines w:val="0"/>
        <w:keepNext w:val="0"/>
        <w:pageBreakBefore w:val="0"/>
        <w:spacing w:line="460" w:lineRule="exact"/>
        <w:widowControl w:val="off"/>
        <w:rPr>
          <w:rFonts w:ascii="宋体" w:hAnsi="宋体" w:eastAsia="宋体" w:cs="宋体"/>
          <w:b w:val="0"/>
          <w:bCs w:val="0"/>
          <w:color w:val="auto"/>
          <w:sz w:val="21"/>
          <w:szCs w:val="21"/>
          <w:highlight w:val="none"/>
          <w:lang w:val="en-US" w:eastAsia="zh-CN"/>
        </w:rPr>
        <w:outlineLvl w:val="9"/>
      </w:pPr>
      <w:r>
        <w:rPr>
          <w:rFonts w:ascii="宋体" w:hAnsi="宋体" w:eastAsia="宋体" w:cs="宋体"/>
          <w:b w:val="0"/>
          <w:bCs w:val="0"/>
          <w:color w:val="auto"/>
          <w:sz w:val="21"/>
          <w:szCs w:val="21"/>
          <w:highlight w:val="none"/>
          <w:lang w:val="en-US" w:eastAsia="zh-CN"/>
        </w:rPr>
        <w:t xml:space="preserve">监测范围：</w:t>
      </w:r>
      <w:r>
        <w:rPr>
          <w:rFonts w:hint="eastAsia" w:ascii="宋体" w:hAnsi="宋体" w:cs="宋体"/>
          <w:b w:val="0"/>
          <w:bCs w:val="0"/>
          <w:color w:val="auto"/>
          <w:sz w:val="21"/>
          <w:szCs w:val="21"/>
          <w:highlight w:val="none"/>
          <w:lang w:val="en-US" w:eastAsia="zh-CN"/>
        </w:rPr>
        <w:t xml:space="preserve">新沂辖区内</w:t>
      </w:r>
      <w:r>
        <w:rPr>
          <w:rFonts w:ascii="宋体" w:hAnsi="宋体" w:eastAsia="宋体" w:cs="宋体"/>
          <w:b w:val="0"/>
          <w:bCs w:val="0"/>
          <w:color w:val="auto"/>
          <w:sz w:val="21"/>
          <w:szCs w:val="21"/>
          <w:highlight w:val="none"/>
          <w:lang w:val="en-US" w:eastAsia="zh-CN"/>
        </w:rPr>
        <w:t xml:space="preserve">。</w:t>
      </w:r>
      <w:r/>
    </w:p>
    <w:p>
      <w:pPr>
        <w:ind w:firstLine="432"/>
        <w:jc w:val="both"/>
        <w:keepLines w:val="0"/>
        <w:keepNext w:val="0"/>
        <w:pageBreakBefore w:val="0"/>
        <w:spacing w:line="460" w:lineRule="exact"/>
        <w:widowControl w:val="off"/>
        <w:rPr>
          <w:rFonts w:ascii="宋体" w:hAnsi="宋体" w:eastAsia="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二</w:t>
      </w:r>
      <w:r>
        <w:rPr>
          <w:rFonts w:ascii="宋体" w:hAnsi="宋体" w:eastAsia="宋体" w:cs="宋体"/>
          <w:b/>
          <w:bCs/>
          <w:color w:val="auto"/>
          <w:sz w:val="21"/>
          <w:szCs w:val="21"/>
          <w:highlight w:val="none"/>
        </w:rPr>
        <w:t xml:space="preserve">、合同金额</w:t>
      </w:r>
      <w:r/>
    </w:p>
    <w:p>
      <w:pPr>
        <w:ind w:firstLine="432"/>
        <w:jc w:val="both"/>
        <w:keepLines w:val="0"/>
        <w:keepNext w:val="0"/>
        <w:pageBreakBefore w:val="0"/>
        <w:spacing w:line="460" w:lineRule="exact"/>
        <w:widowControl w:val="off"/>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t xml:space="preserve">本合同</w:t>
      </w:r>
      <w:r>
        <w:rPr>
          <w:rFonts w:ascii="宋体" w:hAnsi="宋体" w:eastAsia="宋体" w:cs="宋体"/>
          <w:color w:val="auto"/>
          <w:sz w:val="21"/>
          <w:szCs w:val="21"/>
          <w:highlight w:val="none"/>
          <w:lang w:eastAsia="zh-CN"/>
        </w:rPr>
        <w:t xml:space="preserve">总</w:t>
      </w:r>
      <w:r>
        <w:rPr>
          <w:rFonts w:ascii="宋体" w:hAnsi="宋体" w:eastAsia="宋体" w:cs="宋体"/>
          <w:color w:val="auto"/>
          <w:sz w:val="21"/>
          <w:szCs w:val="21"/>
          <w:highlight w:val="none"/>
        </w:rPr>
        <w:t xml:space="preserve">金额为人民币</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元（大写：</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w:t>
      </w:r>
      <w:r/>
    </w:p>
    <w:p>
      <w:pPr>
        <w:ind w:firstLine="432"/>
        <w:jc w:val="both"/>
        <w:keepLines w:val="0"/>
        <w:keepNext w:val="0"/>
        <w:pageBreakBefore w:val="0"/>
        <w:spacing w:line="460" w:lineRule="exact"/>
        <w:widowControl w:val="off"/>
        <w:rPr>
          <w:rFonts w:hint="eastAsia" w:ascii="宋体" w:hAnsi="宋体" w:eastAsia="宋体" w:cs="宋体"/>
          <w:b w:val="0"/>
          <w:bCs w:val="0"/>
          <w:color w:val="auto"/>
          <w:sz w:val="21"/>
          <w:szCs w:val="21"/>
          <w:highlight w:val="none"/>
          <w:lang w:val="en-US" w:eastAsia="zh-CN"/>
        </w:rPr>
        <w:outlineLvl w:val="9"/>
      </w:pPr>
      <w:r>
        <w:rPr>
          <w:rFonts w:ascii="宋体" w:hAnsi="宋体" w:eastAsia="宋体" w:cs="宋体"/>
          <w:color w:val="auto"/>
          <w:sz w:val="21"/>
          <w:szCs w:val="21"/>
          <w:highlight w:val="none"/>
          <w:lang w:eastAsia="zh-CN"/>
        </w:rPr>
        <w:t xml:space="preserve">总金额</w:t>
      </w:r>
      <w:r>
        <w:rPr>
          <w:rFonts w:ascii="宋体" w:hAnsi="宋体" w:eastAsia="宋体" w:cs="宋体"/>
          <w:color w:val="auto"/>
          <w:sz w:val="21"/>
          <w:szCs w:val="21"/>
          <w:highlight w:val="none"/>
        </w:rPr>
        <w:t xml:space="preserve">包含项目完成所需全部费用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包含并不限于人工费、材料费、机械费、工具设备费、</w:t>
      </w:r>
      <w:r>
        <w:rPr>
          <w:rFonts w:ascii="宋体" w:hAnsi="宋体" w:eastAsia="宋体" w:cs="宋体"/>
          <w:color w:val="auto"/>
          <w:sz w:val="21"/>
          <w:szCs w:val="21"/>
          <w:highlight w:val="none"/>
        </w:rPr>
        <w:t xml:space="preserve">样品费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税费、保险、培训、售后服务、验收、利润等可能发生的相关一切费用</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甲方</w:t>
      </w:r>
      <w:r>
        <w:rPr>
          <w:rFonts w:ascii="宋体" w:hAnsi="宋体" w:eastAsia="宋体" w:cs="宋体"/>
          <w:color w:val="auto"/>
          <w:sz w:val="21"/>
          <w:szCs w:val="21"/>
          <w:highlight w:val="none"/>
        </w:rPr>
        <w:t xml:space="preserve">不再支付</w:t>
      </w:r>
      <w:r>
        <w:rPr>
          <w:rFonts w:hint="eastAsia" w:ascii="宋体" w:hAnsi="宋体" w:eastAsia="宋体" w:cs="宋体"/>
          <w:color w:val="auto"/>
          <w:sz w:val="21"/>
          <w:szCs w:val="21"/>
          <w:highlight w:val="none"/>
          <w:lang w:val="en-US" w:eastAsia="zh-CN"/>
        </w:rPr>
        <w:t xml:space="preserve">合同金额</w:t>
      </w:r>
      <w:r>
        <w:rPr>
          <w:rFonts w:ascii="宋体" w:hAnsi="宋体" w:eastAsia="宋体" w:cs="宋体"/>
          <w:color w:val="auto"/>
          <w:sz w:val="21"/>
          <w:szCs w:val="21"/>
          <w:highlight w:val="none"/>
        </w:rPr>
        <w:t xml:space="preserve">以外的任何费用</w:t>
      </w:r>
      <w:r>
        <w:rPr>
          <w:rFonts w:hint="eastAsia" w:ascii="宋体" w:hAnsi="宋体" w:eastAsia="宋体" w:cs="宋体"/>
          <w:color w:val="auto"/>
          <w:sz w:val="21"/>
          <w:szCs w:val="21"/>
          <w:highlight w:val="none"/>
          <w:lang w:eastAsia="zh-CN"/>
        </w:rPr>
        <w:t xml:space="preserve">。</w:t>
      </w:r>
      <w:r/>
    </w:p>
    <w:p>
      <w:pPr>
        <w:ind w:firstLine="432"/>
        <w:jc w:val="both"/>
        <w:keepLines w:val="0"/>
        <w:keepNext w:val="0"/>
        <w:pageBreakBefore w:val="0"/>
        <w:spacing w:line="46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、采购要求</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（一）监测项目、检测方法和判定依据</w:t>
      </w:r>
      <w:r/>
    </w:p>
    <w:p>
      <w:pPr>
        <w:ind w:firstLine="420"/>
        <w:jc w:val="left"/>
        <w:keepLines w:val="0"/>
        <w:keepNext w:val="0"/>
        <w:pageBreakBefore w:val="0"/>
        <w:spacing w:line="460" w:lineRule="exact"/>
        <w:widowControl/>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1.例行监测抽检参数:</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rPr>
        <w:outlineLvl w:val="9"/>
        <w:suppressLineNumbers w:val="0"/>
      </w:pPr>
      <w:r>
        <w:rPr>
          <w:rFonts w:hint="eastAsia" w:ascii="宋体" w:hAnsi="宋体" w:eastAsia="宋体" w:cs="宋体"/>
          <w:b w:val="0"/>
          <w:bCs w:val="0"/>
          <w:color w:val="auto"/>
          <w:sz w:val="21"/>
          <w:szCs w:val="21"/>
          <w:highlight w:val="none"/>
        </w:rPr>
        <w:t xml:space="preserve">蔬果类：甲胺磷、对硫磷、三氯杀螨醇、甲拌磷（包括甲拌磷砜和甲拌磷亚砜）、水胺硫磷、甲基异柳磷，氧乐果、克百威（包括3-羟基克百威）、涕灭威（包括涕灭威砜和涕灭威亚砜）、灭多威、灭线磷、氟虫腈（包括氟甲腈、氟虫腈硫醚、氟虫腈砜）、毒死蜱、三唑磷、乐果、乙酰甲胺磷、硫环磷、氯唑磷、丁硫克百威、敌敌畏、</w:t>
      </w:r>
      <w:r>
        <w:rPr>
          <w:rFonts w:hint="eastAsia" w:ascii="宋体" w:hAnsi="宋体" w:eastAsia="宋体" w:cs="宋体"/>
          <w:b w:val="0"/>
          <w:bCs w:val="0"/>
          <w:color w:val="auto"/>
          <w:sz w:val="21"/>
          <w:szCs w:val="21"/>
          <w:highlight w:val="none"/>
        </w:rPr>
        <w:t xml:space="preserve">丙溴磷、倍硫磷、辛硫磷、氯氰菊酯、氰戊菊酯、溴氰菊酯、甲氰菊酯、联苯菊酯、氯氟氰菊酯、氟氯氰菊酯、氯吡脲、除虫脲、灭幼脲、吡虫啉、啶虫脒、哒螨灵、阿维菌素、甲氨基阿维菌素苯甲酸盐、虫螨腈、噻虫嗪、氟啶脲、异菌脲、五氯硝基苯、三唑酮、百菌清、腐霉利、多菌灵、苯醚甲环唑、嘧霉胺、烯酰吗啉、咪鲜胺、嘧菌酯、二甲戊灵、甲霜灵、霜霉威、乙基多杀菌素、氯虫苯甲酰胺、氯菊酯、醚菊酯、虫酰肼、吡唑醚菌酯、戊唑醇、抑霉唑，敌百虫、多效唑、丙环唑、灭蝇胺、多杀霉素、噻苯隆、噻虫胺、甲萘威、茚虫威、噻嗪酮、氟氰戊菊酯、啶氧菌酯。</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rPr>
        <w:outlineLvl w:val="9"/>
        <w:suppressLineNumbers w:val="0"/>
      </w:pPr>
      <w:r>
        <w:rPr>
          <w:rFonts w:hint="eastAsia" w:ascii="宋体" w:hAnsi="宋体" w:eastAsia="宋体" w:cs="宋体"/>
          <w:b w:val="0"/>
          <w:bCs w:val="0"/>
          <w:color w:val="auto"/>
          <w:sz w:val="21"/>
          <w:szCs w:val="21"/>
          <w:highlight w:val="none"/>
        </w:rPr>
        <w:t xml:space="preserve">粮食类（小麦、水稻、玉米、大豆）：镉、铅、铬、汞、镍、铜、总砷、甲胺磷、氟虫腈、三唑磷、毒死蜱、克百威、稻瘟灵、氯虫苯甲酰胺、苯醚甲环唑、吡蚜酮、嘧菌酯、丙环唑、戊唑醇、吡虫啉、噻虫嗪、多菌灵、啶虫脒、噻虫胺、仲丁威、咪鲜胺、水胺硫磷、噻嗪酮、烯啶虫胺、异丙威、三唑酮、乐果、三环唑、肟菌酯、辛硫磷、杀螟丹、茚虫威、稻瘟酰胺、吡唑醚菌酯、噻呋酰胺。</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rPr>
        <w:outlineLvl w:val="9"/>
        <w:suppressLineNumbers w:val="0"/>
      </w:pPr>
      <w:r>
        <w:rPr>
          <w:rFonts w:hint="eastAsia" w:ascii="宋体" w:hAnsi="宋体" w:eastAsia="宋体" w:cs="宋体"/>
          <w:b w:val="0"/>
          <w:bCs w:val="0"/>
          <w:color w:val="auto"/>
          <w:sz w:val="21"/>
          <w:szCs w:val="21"/>
          <w:highlight w:val="none"/>
        </w:rPr>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rPr>
        <w:outlineLvl w:val="9"/>
        <w:suppressLineNumbers w:val="0"/>
      </w:pPr>
      <w:r>
        <w:rPr>
          <w:rFonts w:hint="eastAsia" w:ascii="宋体" w:hAnsi="宋体" w:eastAsia="宋体" w:cs="宋体"/>
          <w:b w:val="0"/>
          <w:bCs w:val="0"/>
          <w:color w:val="auto"/>
          <w:sz w:val="21"/>
          <w:szCs w:val="21"/>
          <w:highlight w:val="none"/>
        </w:rPr>
        <w:t xml:space="preserve">畜禽类：（1）猪肉、猪肝、牛肉、羊肉：9种β-受体激动剂类（克伦特罗、莱克多巴胺、沙丁胺醇、特布他林、西马特罗、非诺特罗、氯丙那林、妥布特罗、喷</w:t>
      </w:r>
      <w:r>
        <w:rPr>
          <w:rFonts w:hint="eastAsia" w:ascii="宋体" w:hAnsi="宋体" w:eastAsia="宋体" w:cs="宋体"/>
          <w:b w:val="0"/>
          <w:bCs w:val="0"/>
          <w:color w:val="auto"/>
          <w:sz w:val="21"/>
          <w:szCs w:val="21"/>
          <w:highlight w:val="none"/>
        </w:rPr>
        <w:t xml:space="preserve">布特罗）、氟喹诺酮类（恩诺沙星、环丙沙星）（不含猪肝）、磺胺类（磺胺间甲氧嘧啶、磺胺二甲嘧啶、磺胺甲噁唑、磺胺（间）二甲氧嘧啶、磺胺喹噁啉，甲氧苄啶）、四环素类（金霉素、土霉素、四环素、多西环素）（不含猪肝）、糖皮质激素类（地塞米松、倍他米松）（仅牛肉）（2）禽肉、禽蛋：酰胺醇类(氯霉素，氟苯尼考、 氟苯尼考胺、甲砜霉素)、氟喹诺酮类(氧氟沙星、培氟沙星、 诺氟沙星、洛美沙星，恩诺沙星、 环丙沙星、沙拉沙星、达氟沙星)、抗菌增效剂(甲氧苄啶)、金刚烷胺、四环素类(多西环素)、硝基咪唑类（甲硝唑、地美硝唑）。</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rPr>
        <w:outlineLvl w:val="9"/>
        <w:suppressLineNumbers w:val="0"/>
      </w:pPr>
      <w:r>
        <w:rPr>
          <w:rFonts w:hint="eastAsia" w:ascii="宋体" w:hAnsi="宋体" w:eastAsia="宋体" w:cs="宋体"/>
          <w:b w:val="0"/>
          <w:bCs w:val="0"/>
          <w:color w:val="auto"/>
          <w:sz w:val="21"/>
          <w:szCs w:val="21"/>
          <w:highlight w:val="none"/>
        </w:rPr>
        <w:t xml:space="preserve">水产品：孔雀石绿（包括有色孔雀石绿和无色孔雀石绿）、硝基呋喃类代谢物（呋喃唑酮代谢物、呋喃它酮代谢物、呋喃西林代谢物、呋喃妥因代谢物）、地西泮（仅淡水鱼）、酰胺醇类（氯霉素，甲砜霉素、氟苯尼考、氟苯尼考胺）、喹诺酮类（诺氟沙星、氧氟沙星、培氟沙星、洛美沙星，恩诺沙星、环丙沙星）、磺胺类（磺胺嘧啶、磺胺二甲基嘧啶、磺胺甲基异噁唑、磺胺异噁唑、磺胺间二甲氧嘧啶、磺胺噻唑、磺胺甲基嘧啶、磺胺多辛、磺胺喹噁啉、磺胺间甲氧嘧啶、磺胺氯哒嗪、磺胺甲噻二唑，甲氧苄啶）、四环素类（四环素、土霉素、金霉素、多西环素）。</w:t>
      </w:r>
      <w:r/>
    </w:p>
    <w:p>
      <w:pPr>
        <w:ind w:firstLine="420"/>
        <w:jc w:val="left"/>
        <w:keepLines w:val="0"/>
        <w:keepNext w:val="0"/>
        <w:pageBreakBefore w:val="0"/>
        <w:spacing w:line="460" w:lineRule="exact"/>
        <w:widowControl/>
        <w:rPr>
          <w:rFonts w:hint="eastAsia" w:ascii="宋体" w:hAnsi="宋体" w:eastAsia="宋体" w:cs="宋体"/>
          <w:b/>
          <w:bCs/>
          <w:color w:val="auto"/>
          <w:sz w:val="21"/>
          <w:szCs w:val="21"/>
          <w:highlight w:val="none"/>
        </w:rPr>
        <w:outlineLvl w:val="9"/>
        <w:suppressLineNumbers w:val="0"/>
      </w:pPr>
      <w:r>
        <w:rPr>
          <w:rFonts w:hint="eastAsia" w:ascii="宋体" w:hAnsi="宋体" w:eastAsia="宋体" w:cs="宋体"/>
          <w:b/>
          <w:bCs/>
          <w:color w:val="auto"/>
          <w:sz w:val="21"/>
          <w:szCs w:val="21"/>
          <w:highlight w:val="none"/>
        </w:rPr>
        <w:t xml:space="preserve">2.监督抽查抽检参数:</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rPr>
        <w:outlineLvl w:val="9"/>
        <w:suppressLineNumbers w:val="0"/>
      </w:pPr>
      <w:r>
        <w:rPr>
          <w:rFonts w:hint="eastAsia" w:ascii="宋体" w:hAnsi="宋体" w:eastAsia="宋体" w:cs="宋体"/>
          <w:b w:val="0"/>
          <w:bCs w:val="0"/>
          <w:color w:val="auto"/>
          <w:sz w:val="21"/>
          <w:szCs w:val="21"/>
          <w:highlight w:val="none"/>
        </w:rPr>
        <w:t xml:space="preserve">蔬果类:甲胺磷、甲拌磷（包括甲拌磷砜和甲拌磷亚砜）、氧乐果、水胺硫磷、甲基异柳磷、克百威（包括3-羟基克百威）、涕灭威（包括涕灭威砜和涕灭威亚砜）、毒死蜱、三唑磷、 乐果、乙酰甲胺磷、灭多威、腐霉利、多菌灵、吡虫啉、辛硫磷、氯氟氰菊酯、氟虫腈（包括氟甲腈、氟虫腈硫醚、氟虫腈砜）、啶虫脒、嘧霉胺、烯酰吗啉、噻虫嗪、噻虫胺、甲氨基阿维菌素苯甲酸盐、哒螨灵、吡唑醚菌酯、灭蝇胺、阿维菌素。</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rPr>
        <w:outlineLvl w:val="9"/>
        <w:suppressLineNumbers w:val="0"/>
      </w:pPr>
      <w:r>
        <w:rPr>
          <w:rFonts w:hint="eastAsia" w:ascii="宋体" w:hAnsi="宋体" w:eastAsia="宋体" w:cs="宋体"/>
          <w:b w:val="0"/>
          <w:bCs w:val="0"/>
          <w:color w:val="auto"/>
          <w:sz w:val="21"/>
          <w:szCs w:val="21"/>
          <w:highlight w:val="none"/>
        </w:rPr>
        <w:t xml:space="preserve">畜禽类：克伦特罗、沙丁胺醇、莱克多巴胺、氯霉素、甲砜霉素、氟苯尼考和氟苯尼考胺、恩诺沙星、环丙沙星、诺氟沙星、氧氟沙星、培氟沙星、洛美沙星、金刚烷胺、硝基呋喃类代谢物（AOZ、SEM、AMOZ和 AHD）、多西环素、磺胺类（磺胺间甲氧嘧啶、磺胺二甲嘧啶、磺胺甲噁唑、磺胺(间)二甲氧嘧啶、磺胺喹噁啉、甲氧苄啶）。</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rPr>
        <w:outlineLvl w:val="9"/>
        <w:suppressLineNumbers w:val="0"/>
      </w:pPr>
      <w:r>
        <w:rPr>
          <w:rFonts w:hint="eastAsia" w:ascii="宋体" w:hAnsi="宋体" w:eastAsia="宋体" w:cs="宋体"/>
          <w:b w:val="0"/>
          <w:bCs w:val="0"/>
          <w:color w:val="auto"/>
          <w:sz w:val="21"/>
          <w:szCs w:val="21"/>
          <w:highlight w:val="none"/>
        </w:rPr>
        <w:t xml:space="preserve">水产品：氯霉素、孔雀石绿、硝基呋喃类代谢物（AOZ、SEM、AMOZ、AHD）、地西泮、诺氟沙星、氧氟  沙星、培氟沙星、 洛美沙星、 恩诺沙星和环丙沙星。</w:t>
      </w:r>
      <w:r/>
    </w:p>
    <w:p>
      <w:pPr>
        <w:ind w:firstLine="420"/>
        <w:jc w:val="left"/>
        <w:keepLines w:val="0"/>
        <w:keepNext w:val="0"/>
        <w:pageBreakBefore w:val="0"/>
        <w:spacing w:line="460" w:lineRule="exact"/>
        <w:widowControl/>
        <w:rPr>
          <w:rFonts w:hint="eastAsia" w:ascii="宋体" w:hAnsi="宋体" w:eastAsia="宋体" w:cs="宋体"/>
          <w:color w:val="auto"/>
          <w:sz w:val="21"/>
          <w:szCs w:val="21"/>
          <w:highlight w:val="none"/>
          <w:lang w:val="en-US" w:eastAsia="zh-CN" w:bidi="ar-SA"/>
        </w:rPr>
        <w:outlineLvl w:val="9"/>
        <w:suppressLineNumbers w:val="0"/>
      </w:pPr>
      <w:r>
        <w:rPr>
          <w:rFonts w:hint="eastAsia" w:ascii="宋体" w:hAnsi="宋体" w:eastAsia="宋体" w:cs="宋体"/>
          <w:color w:val="auto"/>
          <w:sz w:val="21"/>
          <w:szCs w:val="21"/>
          <w:highlight w:val="none"/>
        </w:rPr>
        <w:t xml:space="preserve">检测方</w:t>
      </w:r>
      <w:r>
        <w:rPr>
          <w:rFonts w:hint="eastAsia" w:ascii="宋体" w:hAnsi="宋体" w:eastAsia="宋体" w:cs="宋体"/>
          <w:color w:val="auto"/>
          <w:sz w:val="21"/>
          <w:szCs w:val="21"/>
          <w:highlight w:val="none"/>
          <w:lang w:val="en-US" w:eastAsia="zh-CN" w:bidi="ar-SA"/>
        </w:rPr>
        <w:t xml:space="preserve">法：</w:t>
      </w:r>
      <w:r>
        <w:rPr>
          <w:rFonts w:hint="eastAsia" w:ascii="宋体" w:hAnsi="宋体" w:eastAsia="宋体" w:cs="宋体"/>
          <w:color w:val="auto"/>
          <w:sz w:val="21"/>
          <w:szCs w:val="21"/>
          <w:highlight w:val="none"/>
          <w:lang w:val="en-US" w:eastAsia="zh-CN"/>
        </w:rPr>
        <w:t xml:space="preserve">参照</w:t>
      </w:r>
      <w:r>
        <w:rPr>
          <w:rFonts w:hint="eastAsia" w:ascii="Times New Roman" w:hAnsi="Times New Roman" w:eastAsia="宋体" w:cs="Times New Roman"/>
          <w:color w:val="auto"/>
          <w:sz w:val="21"/>
          <w:szCs w:val="21"/>
          <w:highlight w:val="none"/>
          <w:lang w:val="en-US" w:eastAsia="zh-CN" w:bidi="ar"/>
        </w:rPr>
        <w:t xml:space="preserve">《关于开展202</w:t>
      </w:r>
      <w:r>
        <w:rPr>
          <w:rFonts w:hint="eastAsia" w:cs="Times New Roman"/>
          <w:color w:val="auto"/>
          <w:sz w:val="21"/>
          <w:szCs w:val="21"/>
          <w:highlight w:val="none"/>
          <w:lang w:val="en-US" w:eastAsia="zh-CN" w:bidi="ar"/>
        </w:rPr>
        <w:t xml:space="preserve">6</w:t>
      </w:r>
      <w:r>
        <w:rPr>
          <w:rFonts w:hint="eastAsia" w:ascii="Times New Roman" w:hAnsi="Times New Roman" w:eastAsia="宋体" w:cs="Times New Roman"/>
          <w:color w:val="auto"/>
          <w:sz w:val="21"/>
          <w:szCs w:val="21"/>
          <w:highlight w:val="none"/>
          <w:lang w:val="en-US" w:eastAsia="zh-CN" w:bidi="ar"/>
        </w:rPr>
        <w:t xml:space="preserve">年农产品质量安全监测工作的通知》苏农质[202</w:t>
      </w:r>
      <w:r>
        <w:rPr>
          <w:rFonts w:hint="eastAsia" w:cs="Times New Roman"/>
          <w:color w:val="auto"/>
          <w:sz w:val="21"/>
          <w:szCs w:val="21"/>
          <w:highlight w:val="none"/>
          <w:lang w:val="en-US" w:eastAsia="zh-CN" w:bidi="ar"/>
        </w:rPr>
        <w:t xml:space="preserve">6</w:t>
      </w:r>
      <w:r>
        <w:rPr>
          <w:rFonts w:hint="eastAsia" w:ascii="Times New Roman" w:hAnsi="Times New Roman" w:eastAsia="宋体" w:cs="Times New Roman"/>
          <w:color w:val="auto"/>
          <w:sz w:val="21"/>
          <w:szCs w:val="21"/>
          <w:highlight w:val="none"/>
          <w:lang w:val="en-US" w:eastAsia="zh-CN" w:bidi="ar"/>
        </w:rPr>
        <w:t xml:space="preserve">]2号文，附件1中附表2、3、4；</w:t>
      </w:r>
      <w:r>
        <w:rPr>
          <w:rFonts w:hint="eastAsia" w:ascii="宋体" w:hAnsi="宋体" w:eastAsia="宋体" w:cs="宋体"/>
          <w:color w:val="auto"/>
          <w:sz w:val="21"/>
          <w:szCs w:val="21"/>
          <w:highlight w:val="none"/>
          <w:lang w:val="en-US" w:eastAsia="zh-CN" w:bidi="ar-SA"/>
        </w:rPr>
        <w:t xml:space="preserve">《关于开展2024年徐州市专项风险监测工作的通知》（徐农办[202</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号）推荐的</w:t>
      </w:r>
      <w:r>
        <w:rPr>
          <w:rFonts w:hint="eastAsia" w:ascii="Times New Roman" w:hAnsi="Times New Roman" w:eastAsia="宋体" w:cs="Times New Roman"/>
          <w:color w:val="auto"/>
          <w:sz w:val="21"/>
          <w:szCs w:val="21"/>
          <w:highlight w:val="none"/>
          <w:lang w:val="en-US" w:eastAsia="zh-CN" w:bidi="ar"/>
        </w:rPr>
        <w:t xml:space="preserve">检</w:t>
      </w:r>
      <w:r>
        <w:rPr>
          <w:rFonts w:hint="eastAsia" w:ascii="宋体" w:hAnsi="宋体" w:eastAsia="宋体" w:cs="宋体"/>
          <w:color w:val="auto"/>
          <w:sz w:val="21"/>
          <w:szCs w:val="21"/>
          <w:highlight w:val="none"/>
          <w:lang w:val="en-US" w:eastAsia="zh-CN"/>
        </w:rPr>
        <w:t xml:space="preserve">测方法</w:t>
      </w:r>
      <w:r>
        <w:rPr>
          <w:rFonts w:hint="eastAsia" w:ascii="Times New Roman" w:hAnsi="Times New Roman" w:eastAsia="宋体" w:cs="Times New Roman"/>
          <w:color w:val="auto"/>
          <w:sz w:val="21"/>
          <w:szCs w:val="21"/>
          <w:highlight w:val="none"/>
          <w:lang w:val="en-US" w:eastAsia="zh-CN" w:bidi="ar"/>
        </w:rPr>
        <w:t xml:space="preserve">或</w:t>
      </w:r>
      <w:r>
        <w:rPr>
          <w:rFonts w:hint="default" w:ascii="Times New Roman" w:hAnsi="Times New Roman" w:eastAsia="宋体" w:cs="Times New Roman"/>
          <w:color w:val="auto"/>
          <w:sz w:val="21"/>
          <w:szCs w:val="21"/>
          <w:highlight w:val="none"/>
          <w:lang w:val="en-US" w:eastAsia="zh-CN" w:bidi="ar-SA"/>
        </w:rPr>
        <w:t xml:space="preserve">符合</w:t>
      </w:r>
      <w:r>
        <w:rPr>
          <w:rFonts w:hint="eastAsia" w:ascii="宋体" w:hAnsi="宋体" w:eastAsia="宋体" w:cs="宋体"/>
          <w:color w:val="auto"/>
          <w:sz w:val="21"/>
          <w:szCs w:val="21"/>
          <w:highlight w:val="none"/>
          <w:lang w:val="en-US" w:eastAsia="zh-CN" w:bidi="ar-SA"/>
        </w:rPr>
        <w:t xml:space="preserve">国家标准、行业标准及农业农村部公告等满足检出限和定量限要求的检测方法。</w:t>
      </w:r>
      <w:r/>
    </w:p>
    <w:p>
      <w:pPr>
        <w:ind w:firstLine="420"/>
        <w:jc w:val="left"/>
        <w:keepLines w:val="0"/>
        <w:keepNext w:val="0"/>
        <w:pageBreakBefore w:val="0"/>
        <w:spacing w:line="460" w:lineRule="exact"/>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bidi="ar-SA"/>
        </w:rPr>
        <w:t xml:space="preserve">判定依据：</w:t>
      </w:r>
      <w:r>
        <w:rPr>
          <w:rFonts w:hint="eastAsia" w:ascii="宋体" w:hAnsi="宋体" w:eastAsia="宋体" w:cs="宋体"/>
          <w:color w:val="auto"/>
          <w:sz w:val="21"/>
          <w:szCs w:val="21"/>
          <w:highlight w:val="none"/>
          <w:lang w:val="en-US" w:eastAsia="zh-CN"/>
        </w:rPr>
        <w:t xml:space="preserve">参照</w:t>
      </w:r>
      <w:r>
        <w:rPr>
          <w:rFonts w:hint="eastAsia" w:ascii="Times New Roman" w:hAnsi="Times New Roman" w:eastAsia="宋体" w:cs="Times New Roman"/>
          <w:color w:val="auto"/>
          <w:sz w:val="21"/>
          <w:szCs w:val="21"/>
          <w:highlight w:val="none"/>
          <w:lang w:val="en-US" w:eastAsia="zh-CN" w:bidi="ar"/>
        </w:rPr>
        <w:t xml:space="preserve">《关于开展202</w:t>
      </w:r>
      <w:r>
        <w:rPr>
          <w:rFonts w:hint="eastAsia" w:cs="Times New Roman"/>
          <w:color w:val="auto"/>
          <w:sz w:val="21"/>
          <w:szCs w:val="21"/>
          <w:highlight w:val="none"/>
          <w:lang w:val="en-US" w:eastAsia="zh-CN" w:bidi="ar"/>
        </w:rPr>
        <w:t xml:space="preserve">6</w:t>
      </w:r>
      <w:r>
        <w:rPr>
          <w:rFonts w:hint="eastAsia" w:ascii="Times New Roman" w:hAnsi="Times New Roman" w:eastAsia="宋体" w:cs="Times New Roman"/>
          <w:color w:val="auto"/>
          <w:sz w:val="21"/>
          <w:szCs w:val="21"/>
          <w:highlight w:val="none"/>
          <w:lang w:val="en-US" w:eastAsia="zh-CN" w:bidi="ar"/>
        </w:rPr>
        <w:t xml:space="preserve">年农产品质量安全监测工作的通知》苏农质[202</w:t>
      </w:r>
      <w:r>
        <w:rPr>
          <w:rFonts w:hint="eastAsia" w:cs="Times New Roman"/>
          <w:color w:val="auto"/>
          <w:sz w:val="21"/>
          <w:szCs w:val="21"/>
          <w:highlight w:val="none"/>
          <w:lang w:val="en-US" w:eastAsia="zh-CN" w:bidi="ar"/>
        </w:rPr>
        <w:t xml:space="preserve">6</w:t>
      </w:r>
      <w:r>
        <w:rPr>
          <w:rFonts w:hint="eastAsia" w:ascii="Times New Roman" w:hAnsi="Times New Roman" w:eastAsia="宋体" w:cs="Times New Roman"/>
          <w:color w:val="auto"/>
          <w:sz w:val="21"/>
          <w:szCs w:val="21"/>
          <w:highlight w:val="none"/>
          <w:lang w:val="en-US" w:eastAsia="zh-CN" w:bidi="ar"/>
        </w:rPr>
        <w:t xml:space="preserve">]2号文，附件1中附表2、3、4；</w:t>
      </w:r>
      <w:r>
        <w:rPr>
          <w:rFonts w:hint="eastAsia" w:ascii="宋体" w:hAnsi="宋体" w:eastAsia="宋体" w:cs="宋体"/>
          <w:color w:val="auto"/>
          <w:sz w:val="21"/>
          <w:szCs w:val="21"/>
          <w:highlight w:val="none"/>
          <w:lang w:val="en-US" w:eastAsia="zh-CN" w:bidi="ar-SA"/>
        </w:rPr>
        <w:t xml:space="preserve">《关于开展2024年徐州市专项风险监测工作的通知》（徐农办[202</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号）</w:t>
      </w:r>
      <w:r>
        <w:rPr>
          <w:rFonts w:hint="eastAsia" w:ascii="宋体" w:hAnsi="宋体" w:eastAsia="宋体" w:cs="宋体"/>
          <w:color w:val="auto"/>
          <w:sz w:val="21"/>
          <w:szCs w:val="21"/>
          <w:highlight w:val="none"/>
          <w:lang w:val="en-US" w:eastAsia="zh-CN"/>
        </w:rPr>
        <w:t xml:space="preserve">推荐的判定依据</w:t>
      </w:r>
      <w:r>
        <w:rPr>
          <w:rFonts w:hint="eastAsia" w:ascii="Times New Roman" w:hAnsi="Times New Roman" w:eastAsia="宋体" w:cs="Times New Roman"/>
          <w:color w:val="auto"/>
          <w:sz w:val="21"/>
          <w:szCs w:val="21"/>
          <w:highlight w:val="none"/>
          <w:lang w:val="en-US" w:eastAsia="zh-CN" w:bidi="ar"/>
        </w:rPr>
        <w:t xml:space="preserve">或</w:t>
      </w:r>
      <w:r>
        <w:rPr>
          <w:rFonts w:hint="default" w:ascii="Times New Roman" w:hAnsi="Times New Roman" w:eastAsia="宋体" w:cs="Times New Roman"/>
          <w:color w:val="auto"/>
          <w:sz w:val="21"/>
          <w:szCs w:val="21"/>
          <w:highlight w:val="none"/>
          <w:lang w:val="en-US" w:eastAsia="zh-CN" w:bidi="ar-SA"/>
        </w:rPr>
        <w:t xml:space="preserve">农业农村部例行监测判定标准进行判定</w:t>
      </w:r>
      <w:r>
        <w:rPr>
          <w:rFonts w:hint="eastAsia" w:ascii="Times New Roman" w:hAnsi="Times New Roman" w:eastAsia="宋体" w:cs="Times New Roman"/>
          <w:color w:val="auto"/>
          <w:sz w:val="21"/>
          <w:szCs w:val="21"/>
          <w:highlight w:val="none"/>
          <w:lang w:val="en-US" w:eastAsia="zh-CN" w:bidi="ar-SA"/>
        </w:rPr>
        <w:t xml:space="preserve">。</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（二）检测时间要求</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具体抽样时间由</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与</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商定。</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应从采集完样品之日起</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eastAsia="zh-CN"/>
        </w:rPr>
        <w:t xml:space="preserve">个工作</w:t>
      </w:r>
      <w:r>
        <w:rPr>
          <w:rFonts w:hint="eastAsia" w:ascii="宋体" w:hAnsi="宋体" w:eastAsia="宋体" w:cs="宋体"/>
          <w:color w:val="auto"/>
          <w:sz w:val="21"/>
          <w:szCs w:val="21"/>
          <w:highlight w:val="none"/>
        </w:rPr>
        <w:t xml:space="preserve">日内完成样品检测，并</w:t>
      </w:r>
      <w:r>
        <w:rPr>
          <w:rFonts w:hint="eastAsia" w:ascii="宋体" w:hAnsi="宋体" w:eastAsia="宋体" w:cs="宋体"/>
          <w:color w:val="auto"/>
          <w:sz w:val="21"/>
          <w:szCs w:val="21"/>
          <w:highlight w:val="none"/>
          <w:lang w:val="en-US" w:eastAsia="zh-CN"/>
        </w:rPr>
        <w:t xml:space="preserve">反馈结果</w:t>
      </w:r>
      <w:r>
        <w:rPr>
          <w:rFonts w:hint="eastAsia" w:ascii="宋体" w:hAnsi="宋体" w:eastAsia="宋体" w:cs="宋体"/>
          <w:color w:val="auto"/>
          <w:sz w:val="21"/>
          <w:szCs w:val="21"/>
          <w:highlight w:val="none"/>
        </w:rPr>
        <w:t xml:space="preserve">，交付</w:t>
      </w:r>
      <w:r>
        <w:rPr>
          <w:rFonts w:hint="eastAsia" w:ascii="宋体" w:hAnsi="宋体" w:cs="宋体"/>
          <w:color w:val="auto"/>
          <w:sz w:val="21"/>
          <w:szCs w:val="21"/>
          <w:highlight w:val="none"/>
          <w:lang w:val="en-US" w:eastAsia="zh-CN"/>
        </w:rPr>
        <w:t xml:space="preserve">新沂市农业农村局</w:t>
      </w:r>
      <w:r>
        <w:rPr>
          <w:rFonts w:hint="eastAsia" w:ascii="宋体" w:hAnsi="宋体" w:eastAsia="宋体" w:cs="宋体"/>
          <w:color w:val="auto"/>
          <w:sz w:val="21"/>
          <w:szCs w:val="21"/>
          <w:highlight w:val="none"/>
        </w:rPr>
        <w:t xml:space="preserve">。</w:t>
      </w:r>
      <w:r/>
    </w:p>
    <w:p>
      <w:pPr>
        <w:ind w:firstLine="432"/>
        <w:jc w:val="both"/>
        <w:keepLines w:val="0"/>
        <w:keepNext w:val="0"/>
        <w:pageBreakBefore w:val="0"/>
        <w:spacing w:line="46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服务要求</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（一）基本要求</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.1抽样时间：本项目自合同签定之日起至项目结束，按照</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实际需求确定时间。</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.2抽样地点：根据实际工作要求，由</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确定具体抽样地点。</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.3抽样人员：</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每次抽样须派出2名以上专业抽样人员进行抽样。</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.4抽样办法：根据检验项目及国家标准中规定的采样方法及采样数量抽取样品。</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.5样品运输：由</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负责，并确保样品贮存、运输符合国家相关规定和包装标示的要求，不发生影响检验结论的变化。</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.6样品检验：由</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负责，并对样品检验结果负责。</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（二）</w:t>
      </w:r>
      <w:r>
        <w:rPr>
          <w:rFonts w:hint="eastAsia" w:ascii="宋体" w:hAnsi="宋体" w:eastAsia="宋体" w:cs="宋体"/>
          <w:color w:val="auto"/>
          <w:sz w:val="21"/>
          <w:szCs w:val="21"/>
          <w:highlight w:val="none"/>
        </w:rPr>
        <w:t xml:space="preserve">工作要求</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要严格按照</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的具体要求，细化采样方案，建立工作档案，确保工作质量和工作进度。</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 本检测工作方案所涉及的内容、监测数据、原始记录及问题样品报告等工作文件，作为内部资料妥善保管。未经采购人批准，任何单位和个人不得擅自泄露和对外发布相关数据和信息。</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应具备高效液相色谱仪、气相色谱仪、液相色谱/串联质谱联用仪、气相色谱/质谱联用仪等所必须的实验室检验设备，具有与承检项目相适应的独立的检验实验室，能满足农产品检验的特殊要求。</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技术服务水平高，采样操作规范，实验室质量控制严格。</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乙方应</w:t>
      </w:r>
      <w:r>
        <w:rPr>
          <w:rFonts w:hint="eastAsia" w:ascii="宋体" w:hAnsi="宋体" w:eastAsia="宋体" w:cs="宋体"/>
          <w:color w:val="auto"/>
          <w:sz w:val="21"/>
          <w:szCs w:val="21"/>
          <w:highlight w:val="none"/>
        </w:rPr>
        <w:t xml:space="preserve">按照专业操守尽职尽责，根据国际国内的相关标准进行样品的抽样、检验及判定工作，并且按当次抽检方案约定日期出具检验报告；</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对抽检程序及检验结果的规范性、真实性负责，由于抽检程序操作违法违规或虚假、错误检验数据和结论而给被检人造成损失的，或者给社会带来不良影响的，取消其抽检资格，并</w:t>
      </w:r>
      <w:r>
        <w:rPr>
          <w:rFonts w:hint="eastAsia" w:ascii="宋体" w:hAnsi="宋体" w:eastAsia="宋体" w:cs="宋体"/>
          <w:color w:val="auto"/>
          <w:sz w:val="21"/>
          <w:szCs w:val="21"/>
          <w:highlight w:val="none"/>
          <w:lang w:val="en-US" w:eastAsia="zh-CN"/>
        </w:rPr>
        <w:t xml:space="preserve">由乙方</w:t>
      </w:r>
      <w:r>
        <w:rPr>
          <w:rFonts w:hint="eastAsia" w:ascii="宋体" w:hAnsi="宋体" w:eastAsia="宋体" w:cs="宋体"/>
          <w:color w:val="auto"/>
          <w:sz w:val="21"/>
          <w:szCs w:val="21"/>
          <w:highlight w:val="none"/>
        </w:rPr>
        <w:t xml:space="preserve">承担赔偿责任及相应法律责任。</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（三）其他：</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在开展检验活动时，应遵守以下规定：</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3.1.1</w:t>
      </w:r>
      <w:r>
        <w:rPr>
          <w:rFonts w:hint="eastAsia" w:ascii="宋体" w:hAnsi="宋体" w:eastAsia="宋体" w:cs="宋体"/>
          <w:color w:val="auto"/>
          <w:sz w:val="21"/>
          <w:szCs w:val="21"/>
          <w:highlight w:val="none"/>
        </w:rPr>
        <w:t xml:space="preserve"> 遵守关于检验检测的法律、法规、规章和规范；</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3.1.2</w:t>
      </w:r>
      <w:r>
        <w:rPr>
          <w:rFonts w:hint="eastAsia" w:ascii="宋体" w:hAnsi="宋体" w:eastAsia="宋体" w:cs="宋体"/>
          <w:color w:val="auto"/>
          <w:sz w:val="21"/>
          <w:szCs w:val="21"/>
          <w:highlight w:val="none"/>
        </w:rPr>
        <w:t xml:space="preserve"> 按照</w:t>
      </w:r>
      <w:r>
        <w:rPr>
          <w:rFonts w:hint="eastAsia" w:ascii="宋体" w:hAnsi="宋体" w:eastAsia="宋体" w:cs="宋体"/>
          <w:color w:val="auto"/>
          <w:sz w:val="21"/>
          <w:szCs w:val="21"/>
          <w:highlight w:val="none"/>
          <w:lang w:val="en-US" w:eastAsia="zh-CN"/>
        </w:rPr>
        <w:t xml:space="preserve">本</w:t>
      </w:r>
      <w:r>
        <w:rPr>
          <w:rFonts w:hint="eastAsia" w:ascii="宋体" w:hAnsi="宋体" w:eastAsia="宋体" w:cs="宋体"/>
          <w:color w:val="auto"/>
          <w:sz w:val="21"/>
          <w:szCs w:val="21"/>
          <w:highlight w:val="none"/>
        </w:rPr>
        <w:t xml:space="preserve">合同的约定开展相关检验检测工作；</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3.1.3</w:t>
      </w:r>
      <w:r>
        <w:rPr>
          <w:rFonts w:hint="eastAsia" w:ascii="宋体" w:hAnsi="宋体" w:eastAsia="宋体" w:cs="宋体"/>
          <w:color w:val="auto"/>
          <w:sz w:val="21"/>
          <w:szCs w:val="21"/>
          <w:highlight w:val="none"/>
        </w:rPr>
        <w:t xml:space="preserve">未经</w:t>
      </w:r>
      <w:r>
        <w:rPr>
          <w:rFonts w:hint="eastAsia" w:ascii="宋体" w:hAnsi="宋体" w:eastAsia="宋体" w:cs="宋体"/>
          <w:color w:val="auto"/>
          <w:sz w:val="21"/>
          <w:szCs w:val="21"/>
          <w:highlight w:val="none"/>
          <w:lang w:val="en-US" w:eastAsia="zh-CN"/>
        </w:rPr>
        <w:t xml:space="preserve">甲方书面</w:t>
      </w:r>
      <w:r>
        <w:rPr>
          <w:rFonts w:hint="eastAsia" w:ascii="宋体" w:hAnsi="宋体" w:eastAsia="宋体" w:cs="宋体"/>
          <w:color w:val="auto"/>
          <w:sz w:val="21"/>
          <w:szCs w:val="21"/>
          <w:highlight w:val="none"/>
        </w:rPr>
        <w:t xml:space="preserve">同意，不得将检验检测任务分包或转包给其他检验机构。</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（四）</w:t>
      </w:r>
      <w:r>
        <w:rPr>
          <w:rFonts w:hint="eastAsia" w:ascii="宋体" w:hAnsi="宋体" w:eastAsia="宋体" w:cs="宋体"/>
          <w:color w:val="auto"/>
          <w:sz w:val="21"/>
          <w:szCs w:val="21"/>
          <w:highlight w:val="none"/>
        </w:rPr>
        <w:t xml:space="preserve">出具检测报告</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检验结果为合格的，</w:t>
      </w:r>
      <w:r>
        <w:rPr>
          <w:rFonts w:hint="eastAsia" w:ascii="宋体" w:hAnsi="宋体" w:eastAsia="宋体" w:cs="宋体"/>
          <w:color w:val="auto"/>
          <w:sz w:val="21"/>
          <w:szCs w:val="21"/>
          <w:highlight w:val="none"/>
          <w:lang w:val="en-US" w:eastAsia="zh-CN"/>
        </w:rPr>
        <w:t xml:space="preserve">乙方</w:t>
      </w:r>
      <w:r>
        <w:rPr>
          <w:rFonts w:hint="eastAsia" w:ascii="宋体" w:hAnsi="宋体" w:cs="宋体"/>
          <w:color w:val="auto"/>
          <w:sz w:val="21"/>
          <w:szCs w:val="21"/>
          <w:highlight w:val="none"/>
          <w:lang w:val="en-US" w:eastAsia="zh-CN"/>
        </w:rPr>
        <w:t xml:space="preserve">制作PDF版电子报告</w:t>
      </w:r>
      <w:r>
        <w:rPr>
          <w:rFonts w:hint="eastAsia" w:ascii="宋体" w:hAnsi="宋体" w:eastAsia="宋体" w:cs="宋体"/>
          <w:color w:val="auto"/>
          <w:sz w:val="21"/>
          <w:szCs w:val="21"/>
          <w:highlight w:val="none"/>
        </w:rPr>
        <w:t xml:space="preserve">交给</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；检验结果为不合格的，</w:t>
      </w:r>
      <w:r>
        <w:rPr>
          <w:rFonts w:hint="eastAsia" w:ascii="宋体" w:hAnsi="宋体" w:eastAsia="宋体" w:cs="宋体"/>
          <w:color w:val="auto"/>
          <w:sz w:val="21"/>
          <w:szCs w:val="21"/>
          <w:highlight w:val="none"/>
          <w:lang w:val="en-US" w:eastAsia="zh-CN"/>
        </w:rPr>
        <w:t xml:space="preserve">乙方</w:t>
      </w:r>
      <w:r>
        <w:rPr>
          <w:rFonts w:hint="eastAsia" w:ascii="宋体" w:hAnsi="宋体" w:cs="宋体"/>
          <w:color w:val="auto"/>
          <w:sz w:val="21"/>
          <w:szCs w:val="21"/>
          <w:highlight w:val="none"/>
          <w:lang w:val="en-US" w:eastAsia="zh-CN"/>
        </w:rPr>
        <w:t xml:space="preserve">制作PDF版电子报告并按甲方需求提供纸质版报告</w:t>
      </w:r>
      <w:r>
        <w:rPr>
          <w:rFonts w:hint="eastAsia" w:ascii="宋体" w:hAnsi="宋体" w:eastAsia="宋体" w:cs="宋体"/>
          <w:color w:val="auto"/>
          <w:sz w:val="21"/>
          <w:szCs w:val="21"/>
          <w:highlight w:val="none"/>
        </w:rPr>
        <w:t xml:space="preserve">交给</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eastAsia="zh-CN"/>
        </w:rPr>
        <w:t xml:space="preserve">（五）人员配备要求：</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eastAsia="zh-CN"/>
        </w:rPr>
        <w:t xml:space="preserve">应成立由资深项目人员参与的项目工作组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项目负责人应具有丰富的相关领域项研究经验并在本项目中担负实质性研究工作，挂名或不担负实质性研究工作的不得作为本项目的项目负责人。</w:t>
      </w:r>
      <w:r/>
    </w:p>
    <w:p>
      <w:pPr>
        <w:ind w:firstLine="432"/>
        <w:jc w:val="both"/>
        <w:keepLines w:val="0"/>
        <w:keepNext w:val="0"/>
        <w:pageBreakBefore w:val="0"/>
        <w:spacing w:line="460" w:lineRule="exact"/>
        <w:widowControl w:val="off"/>
        <w:rPr>
          <w:rFonts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五</w:t>
      </w:r>
      <w:r>
        <w:rPr>
          <w:rFonts w:ascii="宋体" w:hAnsi="宋体" w:eastAsia="宋体" w:cs="宋体"/>
          <w:b/>
          <w:bCs/>
          <w:color w:val="auto"/>
          <w:sz w:val="21"/>
          <w:szCs w:val="21"/>
          <w:highlight w:val="none"/>
        </w:rPr>
        <w:t xml:space="preserve">、付款标准、付款流程和付款方式</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付款方式</w:t>
      </w:r>
      <w:r/>
    </w:p>
    <w:p>
      <w:pPr>
        <w:ind w:firstLine="432"/>
        <w:jc w:val="both"/>
        <w:keepLines w:val="0"/>
        <w:keepNext w:val="0"/>
        <w:pageBreakBefore w:val="0"/>
        <w:spacing w:line="460" w:lineRule="exact"/>
        <w:widowControl w:val="off"/>
        <w:rPr>
          <w:rFonts w:ascii="宋体" w:hAnsi="宋体" w:eastAsia="宋体" w:cs="宋体"/>
          <w:color w:val="auto"/>
          <w:sz w:val="21"/>
          <w:szCs w:val="21"/>
          <w:highlight w:val="none"/>
          <w:lang w:val="en-US" w:eastAsia="zh-CN"/>
        </w:rPr>
        <w:outlineLvl w:val="9"/>
      </w:pPr>
      <w:r>
        <w:rPr>
          <w:rFonts w:ascii="宋体" w:hAnsi="宋体" w:eastAsia="宋体" w:cs="宋体"/>
          <w:color w:val="auto"/>
          <w:sz w:val="21"/>
          <w:szCs w:val="21"/>
          <w:highlight w:val="none"/>
          <w:lang w:val="en-US" w:eastAsia="zh-CN"/>
        </w:rPr>
        <w:t xml:space="preserve">按照苏财购 (2020) 52 号文件相关规定，本项目在签订合同时，乙方明确表示无需预付款，按以下方式支付：</w:t>
      </w:r>
      <w:r/>
    </w:p>
    <w:p>
      <w:pPr>
        <w:ind w:firstLine="432"/>
        <w:jc w:val="both"/>
        <w:keepLines w:val="0"/>
        <w:keepNext w:val="0"/>
        <w:pageBreakBefore w:val="0"/>
        <w:spacing w:line="460" w:lineRule="exact"/>
        <w:widowControl w:val="off"/>
        <w:rPr>
          <w:rFonts w:ascii="宋体" w:hAnsi="宋体" w:eastAsia="宋体" w:cs="宋体"/>
          <w:color w:val="auto"/>
          <w:sz w:val="21"/>
          <w:szCs w:val="21"/>
          <w:highlight w:val="none"/>
          <w:lang w:val="en-US" w:eastAsia="zh-CN"/>
        </w:rPr>
        <w:outlineLvl w:val="9"/>
      </w:pPr>
      <w:r>
        <w:rPr>
          <w:rFonts w:ascii="宋体" w:hAnsi="宋体" w:eastAsia="宋体" w:cs="宋体"/>
          <w:color w:val="auto"/>
          <w:sz w:val="21"/>
          <w:szCs w:val="21"/>
          <w:highlight w:val="none"/>
          <w:lang w:val="en-US" w:eastAsia="zh-CN"/>
        </w:rPr>
        <w:t xml:space="preserve">合同总价款即</w:t>
      </w:r>
      <w:r>
        <w:rPr>
          <w:rFonts w:hint="eastAsia" w:ascii="宋体" w:hAnsi="宋体" w:eastAsia="宋体" w:cs="宋体"/>
          <w:color w:val="auto"/>
          <w:sz w:val="21"/>
          <w:szCs w:val="21"/>
          <w:highlight w:val="none"/>
          <w:lang w:val="en-US" w:eastAsia="zh-CN"/>
        </w:rPr>
        <w:t xml:space="preserve">¥</w:t>
      </w:r>
      <w:r>
        <w:rPr>
          <w:rFonts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元</w:t>
      </w:r>
      <w:r>
        <w:rPr>
          <w:rFonts w:ascii="宋体" w:hAnsi="宋体" w:eastAsia="宋体" w:cs="宋体"/>
          <w:color w:val="auto"/>
          <w:sz w:val="21"/>
          <w:szCs w:val="21"/>
          <w:highlight w:val="none"/>
          <w:lang w:val="en-US" w:eastAsia="zh-CN"/>
        </w:rPr>
        <w:t xml:space="preserve"> ，大写：人民币</w:t>
      </w:r>
      <w:r>
        <w:rPr>
          <w:rFonts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lang w:val="en-US" w:eastAsia="zh-CN"/>
        </w:rPr>
        <w:t xml:space="preserve">元整，乙方</w:t>
      </w:r>
      <w:r>
        <w:rPr>
          <w:rFonts w:hint="eastAsia" w:ascii="宋体" w:hAnsi="宋体" w:eastAsia="宋体" w:cs="宋体"/>
          <w:color w:val="auto"/>
          <w:sz w:val="21"/>
          <w:szCs w:val="21"/>
          <w:highlight w:val="none"/>
          <w:lang w:val="en-US" w:eastAsia="zh-CN"/>
        </w:rPr>
        <w:t xml:space="preserve">全部</w:t>
      </w:r>
      <w:r>
        <w:rPr>
          <w:rFonts w:ascii="宋体" w:hAnsi="宋体" w:eastAsia="宋体" w:cs="宋体"/>
          <w:color w:val="auto"/>
          <w:sz w:val="21"/>
          <w:szCs w:val="21"/>
          <w:highlight w:val="none"/>
          <w:lang w:val="en-US" w:eastAsia="zh-CN"/>
        </w:rPr>
        <w:t xml:space="preserve">完成合同标的服务</w:t>
      </w:r>
      <w:r>
        <w:rPr>
          <w:rFonts w:hint="eastAsia" w:ascii="宋体" w:hAnsi="宋体" w:eastAsia="宋体" w:cs="宋体"/>
          <w:color w:val="auto"/>
          <w:sz w:val="21"/>
          <w:szCs w:val="21"/>
          <w:highlight w:val="none"/>
          <w:lang w:val="en-US" w:eastAsia="zh-CN"/>
        </w:rPr>
        <w:t xml:space="preserve">，</w:t>
      </w:r>
      <w:r>
        <w:rPr>
          <w:rFonts w:ascii="宋体" w:hAnsi="宋体" w:eastAsia="宋体" w:cs="宋体"/>
          <w:color w:val="auto"/>
          <w:sz w:val="21"/>
          <w:szCs w:val="21"/>
          <w:highlight w:val="none"/>
          <w:lang w:val="en-US" w:eastAsia="zh-CN"/>
        </w:rPr>
        <w:t xml:space="preserve">甲方收到乙方出具的检测报告</w:t>
      </w:r>
      <w:r>
        <w:rPr>
          <w:rFonts w:hint="eastAsia" w:ascii="宋体" w:hAnsi="宋体" w:cs="宋体"/>
          <w:color w:val="auto"/>
          <w:sz w:val="21"/>
          <w:szCs w:val="21"/>
          <w:highlight w:val="none"/>
          <w:lang w:val="en-US" w:eastAsia="zh-CN"/>
        </w:rPr>
        <w:t xml:space="preserve">（PDF）</w:t>
      </w:r>
      <w:r>
        <w:rPr>
          <w:rFonts w:hint="eastAsia" w:ascii="宋体" w:hAnsi="宋体" w:eastAsia="宋体" w:cs="宋体"/>
          <w:color w:val="auto"/>
          <w:sz w:val="21"/>
          <w:szCs w:val="21"/>
          <w:highlight w:val="none"/>
          <w:lang w:val="en-US" w:eastAsia="zh-CN"/>
        </w:rPr>
        <w:t xml:space="preserve">及分析报告</w:t>
      </w:r>
      <w:r>
        <w:rPr>
          <w:rFonts w:ascii="宋体" w:hAnsi="宋体" w:eastAsia="宋体" w:cs="宋体"/>
          <w:color w:val="auto"/>
          <w:sz w:val="21"/>
          <w:szCs w:val="21"/>
          <w:highlight w:val="none"/>
          <w:lang w:val="en-US" w:eastAsia="zh-CN"/>
        </w:rPr>
        <w:t xml:space="preserve">后</w:t>
      </w:r>
      <w:r>
        <w:rPr>
          <w:rFonts w:hint="eastAsia" w:ascii="宋体" w:hAnsi="宋体" w:eastAsia="宋体" w:cs="宋体"/>
          <w:color w:val="auto"/>
          <w:sz w:val="21"/>
          <w:szCs w:val="21"/>
          <w:highlight w:val="none"/>
          <w:lang w:val="en-US" w:eastAsia="zh-CN"/>
        </w:rPr>
        <w:t xml:space="preserve">30</w:t>
      </w:r>
      <w:r>
        <w:rPr>
          <w:rFonts w:ascii="宋体" w:hAnsi="宋体" w:eastAsia="宋体" w:cs="宋体"/>
          <w:color w:val="auto"/>
          <w:sz w:val="21"/>
          <w:szCs w:val="21"/>
          <w:highlight w:val="none"/>
          <w:lang w:val="en-US" w:eastAsia="zh-CN"/>
        </w:rPr>
        <w:t xml:space="preserve">个工作日内，</w:t>
      </w:r>
      <w:r>
        <w:rPr>
          <w:rFonts w:hint="eastAsia" w:ascii="宋体" w:hAnsi="宋体" w:eastAsia="宋体" w:cs="宋体"/>
          <w:color w:val="auto"/>
          <w:sz w:val="21"/>
          <w:szCs w:val="21"/>
          <w:highlight w:val="none"/>
          <w:lang w:val="en-US" w:eastAsia="zh-CN"/>
        </w:rPr>
        <w:t xml:space="preserve">乙方需提交支付文件，</w:t>
      </w:r>
      <w:r>
        <w:rPr>
          <w:rFonts w:ascii="宋体" w:hAnsi="宋体" w:eastAsia="宋体" w:cs="宋体"/>
          <w:color w:val="auto"/>
          <w:sz w:val="21"/>
          <w:szCs w:val="21"/>
          <w:highlight w:val="none"/>
          <w:lang w:val="en-US" w:eastAsia="zh-CN"/>
        </w:rPr>
        <w:t xml:space="preserve">经</w:t>
      </w:r>
      <w:r>
        <w:rPr>
          <w:rFonts w:hint="eastAsia" w:ascii="宋体" w:hAnsi="宋体" w:eastAsia="宋体" w:cs="宋体"/>
          <w:color w:val="auto"/>
          <w:sz w:val="21"/>
          <w:szCs w:val="21"/>
          <w:highlight w:val="none"/>
          <w:lang w:val="en-US" w:eastAsia="zh-CN"/>
        </w:rPr>
        <w:t xml:space="preserve">甲方</w:t>
      </w:r>
      <w:r>
        <w:rPr>
          <w:rFonts w:ascii="宋体" w:hAnsi="宋体" w:eastAsia="宋体" w:cs="宋体"/>
          <w:color w:val="auto"/>
          <w:sz w:val="21"/>
          <w:szCs w:val="21"/>
          <w:highlight w:val="none"/>
          <w:lang w:val="en-US" w:eastAsia="zh-CN"/>
        </w:rPr>
        <w:t xml:space="preserve">审核后支付给乙方。</w:t>
      </w:r>
      <w:r/>
    </w:p>
    <w:p>
      <w:pPr>
        <w:ind w:firstLine="432"/>
        <w:jc w:val="both"/>
        <w:keepLines w:val="0"/>
        <w:keepNext w:val="0"/>
        <w:pageBreakBefore w:val="0"/>
        <w:spacing w:line="460" w:lineRule="exact"/>
        <w:widowControl w:val="off"/>
        <w:rPr>
          <w:rFonts w:ascii="宋体" w:hAnsi="宋体" w:eastAsia="宋体" w:cs="宋体"/>
          <w:color w:val="auto"/>
          <w:sz w:val="21"/>
          <w:szCs w:val="21"/>
          <w:highlight w:val="none"/>
          <w:lang w:val="en-US" w:eastAsia="zh-CN"/>
        </w:rPr>
        <w:outlineLvl w:val="9"/>
      </w:pPr>
      <w:r>
        <w:rPr>
          <w:rFonts w:ascii="宋体" w:hAnsi="宋体" w:eastAsia="宋体" w:cs="宋体"/>
          <w:color w:val="auto"/>
          <w:sz w:val="21"/>
          <w:szCs w:val="21"/>
          <w:highlight w:val="none"/>
          <w:lang w:val="en-US" w:eastAsia="zh-CN"/>
        </w:rPr>
        <w:t xml:space="preserve">乙方需提交的支付文件：包括但不限于乙方出具的全额正式发票等（具体以甲方结算要求文件为准）</w:t>
      </w:r>
      <w:r/>
    </w:p>
    <w:p>
      <w:pPr>
        <w:ind w:firstLine="480"/>
        <w:jc w:val="both"/>
        <w:keepLines w:val="0"/>
        <w:keepNext w:val="0"/>
        <w:pageBreakBefore w:val="0"/>
        <w:spacing w:line="460" w:lineRule="exact"/>
        <w:widowControl w:val="off"/>
        <w:rPr>
          <w:rFonts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val="en-US" w:eastAsia="zh-CN"/>
        </w:rPr>
        <w:t xml:space="preserve">六</w:t>
      </w:r>
      <w:r>
        <w:rPr>
          <w:rFonts w:ascii="宋体" w:hAnsi="宋体" w:eastAsia="宋体" w:cs="宋体"/>
          <w:b/>
          <w:bCs/>
          <w:color w:val="auto"/>
          <w:sz w:val="21"/>
          <w:szCs w:val="21"/>
          <w:highlight w:val="none"/>
          <w:lang w:val="en-US" w:eastAsia="zh-CN"/>
        </w:rPr>
        <w:t xml:space="preserve">、技术资料</w:t>
      </w:r>
      <w:r/>
    </w:p>
    <w:p>
      <w:pPr>
        <w:ind w:firstLine="432"/>
        <w:jc w:val="both"/>
        <w:keepLines w:val="0"/>
        <w:keepNext w:val="0"/>
        <w:pageBreakBefore w:val="0"/>
        <w:spacing w:line="460" w:lineRule="exact"/>
        <w:widowControl w:val="off"/>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t xml:space="preserve">1.乙方应在合同签订之日前向甲方提供检测资质的有关资料。</w:t>
      </w:r>
      <w:r/>
    </w:p>
    <w:p>
      <w:pPr>
        <w:ind w:firstLine="432"/>
        <w:jc w:val="both"/>
        <w:keepLines w:val="0"/>
        <w:keepNext w:val="0"/>
        <w:pageBreakBefore w:val="0"/>
        <w:spacing w:line="460" w:lineRule="exact"/>
        <w:widowControl w:val="off"/>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t xml:space="preserve">2.没有甲方事先书面同意，乙方不得将由甲方提供的有关合同或任何合同条文、规格、或资料提供给与履行本合同无关的任何其他人。即使向履行本合同有关的人员提供，也应注意保密并限于履行合同的必需范围，否则所造成的损失由乙方承担。同时，即使本合同解除或终止，该保密条款对乙方仍具有约束力。</w:t>
      </w:r>
      <w:r/>
    </w:p>
    <w:p>
      <w:pPr>
        <w:ind w:firstLine="432"/>
        <w:jc w:val="both"/>
        <w:keepLines w:val="0"/>
        <w:keepNext w:val="0"/>
        <w:pageBreakBefore w:val="0"/>
        <w:spacing w:line="460" w:lineRule="exact"/>
        <w:widowControl w:val="off"/>
        <w:rPr>
          <w:rFonts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3.基于本合同产生的知识产权归属于甲方。</w:t>
      </w:r>
      <w:r/>
    </w:p>
    <w:p>
      <w:pPr>
        <w:ind w:firstLine="480"/>
        <w:jc w:val="both"/>
        <w:keepLines w:val="0"/>
        <w:keepNext w:val="0"/>
        <w:pageBreakBefore w:val="0"/>
        <w:spacing w:line="460" w:lineRule="exact"/>
        <w:widowControl w:val="off"/>
        <w:rPr>
          <w:rFonts w:ascii="宋体" w:hAnsi="宋体" w:eastAsia="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七</w:t>
      </w:r>
      <w:r>
        <w:rPr>
          <w:rFonts w:ascii="宋体" w:hAnsi="宋体" w:eastAsia="宋体" w:cs="宋体"/>
          <w:b/>
          <w:bCs/>
          <w:color w:val="auto"/>
          <w:sz w:val="21"/>
          <w:szCs w:val="21"/>
          <w:highlight w:val="none"/>
        </w:rPr>
        <w:t xml:space="preserve">、转包或分包</w:t>
      </w:r>
      <w:r/>
    </w:p>
    <w:p>
      <w:pPr>
        <w:ind w:firstLine="432"/>
        <w:jc w:val="both"/>
        <w:keepLines w:val="0"/>
        <w:keepNext w:val="0"/>
        <w:pageBreakBefore w:val="0"/>
        <w:spacing w:line="460" w:lineRule="exact"/>
        <w:widowControl w:val="off"/>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t xml:space="preserve">1本合同范围的检测服务，应由乙方直接供应，不得转让他人供应。</w:t>
      </w:r>
      <w:r/>
    </w:p>
    <w:p>
      <w:pPr>
        <w:ind w:firstLine="432"/>
        <w:jc w:val="both"/>
        <w:keepLines w:val="0"/>
        <w:keepNext w:val="0"/>
        <w:pageBreakBefore w:val="0"/>
        <w:spacing w:line="460" w:lineRule="exact"/>
        <w:widowControl w:val="off"/>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t xml:space="preserve">2.如乙方有转包或分包行为，甲方有权</w:t>
      </w:r>
      <w:r>
        <w:rPr>
          <w:rFonts w:hint="eastAsia" w:ascii="宋体" w:hAnsi="宋体" w:eastAsia="宋体" w:cs="宋体"/>
          <w:color w:val="auto"/>
          <w:sz w:val="21"/>
          <w:szCs w:val="21"/>
          <w:highlight w:val="none"/>
          <w:lang w:val="en-US" w:eastAsia="zh-CN"/>
        </w:rPr>
        <w:t xml:space="preserve">单方解除合同，同时无需支付本合同价款，已支付的价款乙方应当全部返还给甲方</w:t>
      </w:r>
      <w:r>
        <w:rPr>
          <w:rFonts w:ascii="宋体" w:hAnsi="宋体" w:eastAsia="宋体" w:cs="宋体"/>
          <w:color w:val="auto"/>
          <w:sz w:val="21"/>
          <w:szCs w:val="21"/>
          <w:highlight w:val="none"/>
        </w:rPr>
        <w:t xml:space="preserve">。</w:t>
      </w:r>
      <w:r/>
    </w:p>
    <w:p>
      <w:pPr>
        <w:ind w:firstLine="480"/>
        <w:jc w:val="both"/>
        <w:keepLines w:val="0"/>
        <w:keepNext w:val="0"/>
        <w:pageBreakBefore w:val="0"/>
        <w:spacing w:line="460" w:lineRule="exact"/>
        <w:widowControl w:val="off"/>
        <w:rPr>
          <w:rFonts w:ascii="宋体" w:hAnsi="宋体" w:eastAsia="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八</w:t>
      </w:r>
      <w:r>
        <w:rPr>
          <w:rFonts w:ascii="宋体" w:hAnsi="宋体" w:eastAsia="宋体" w:cs="宋体"/>
          <w:b/>
          <w:bCs/>
          <w:color w:val="auto"/>
          <w:sz w:val="21"/>
          <w:szCs w:val="21"/>
          <w:highlight w:val="none"/>
        </w:rPr>
        <w:t xml:space="preserve">、合同期限</w:t>
      </w:r>
      <w:r/>
    </w:p>
    <w:p>
      <w:pPr>
        <w:ind w:firstLine="432"/>
        <w:jc w:val="both"/>
        <w:keepLines w:val="0"/>
        <w:keepNext w:val="0"/>
        <w:pageBreakBefore w:val="0"/>
        <w:spacing w:line="460" w:lineRule="exact"/>
        <w:widowControl w:val="off"/>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t xml:space="preserve">本项目合同期限为：</w:t>
      </w:r>
      <w:r>
        <w:rPr>
          <w:rFonts w:hint="eastAsia" w:ascii="宋体" w:hAnsi="宋体" w:cs="宋体"/>
          <w:color w:val="auto"/>
          <w:sz w:val="21"/>
          <w:szCs w:val="21"/>
          <w:highlight w:val="none"/>
          <w:u w:val="single"/>
          <w:lang w:val="en-US" w:eastAsia="zh-CN"/>
        </w:rPr>
        <w:t xml:space="preserve">自合同签定之日起至2026年12月30日</w:t>
      </w:r>
      <w:r>
        <w:rPr>
          <w:rFonts w:ascii="宋体" w:hAnsi="宋体" w:eastAsia="宋体" w:cs="宋体"/>
          <w:color w:val="auto"/>
          <w:sz w:val="21"/>
          <w:szCs w:val="21"/>
          <w:highlight w:val="none"/>
          <w:lang w:val="en-US" w:eastAsia="zh-CN"/>
        </w:rPr>
        <w:t xml:space="preserve">。</w:t>
      </w:r>
      <w:r/>
    </w:p>
    <w:p>
      <w:pPr>
        <w:ind w:firstLine="480"/>
        <w:jc w:val="both"/>
        <w:keepLines w:val="0"/>
        <w:keepNext w:val="0"/>
        <w:pageBreakBefore w:val="0"/>
        <w:spacing w:line="460" w:lineRule="exact"/>
        <w:widowControl w:val="off"/>
        <w:rPr>
          <w:rFonts w:ascii="宋体" w:hAnsi="宋体" w:eastAsia="宋体" w:cs="宋体"/>
          <w:b/>
          <w:bCs/>
          <w:color w:val="auto"/>
          <w:sz w:val="21"/>
          <w:szCs w:val="21"/>
          <w:highlight w:val="none"/>
        </w:rPr>
        <w:outlineLvl w:val="9"/>
      </w:pPr>
      <w:r>
        <w:rPr>
          <w:rFonts w:hint="eastAsia" w:ascii="宋体" w:hAnsi="宋体" w:cs="宋体"/>
          <w:b/>
          <w:bCs/>
          <w:color w:val="auto"/>
          <w:sz w:val="21"/>
          <w:szCs w:val="21"/>
          <w:highlight w:val="none"/>
          <w:lang w:val="en-US" w:eastAsia="zh-CN"/>
        </w:rPr>
        <w:t xml:space="preserve">九</w:t>
      </w:r>
      <w:r>
        <w:rPr>
          <w:rFonts w:ascii="宋体" w:hAnsi="宋体" w:eastAsia="宋体" w:cs="宋体"/>
          <w:b/>
          <w:bCs/>
          <w:color w:val="auto"/>
          <w:sz w:val="21"/>
          <w:szCs w:val="21"/>
          <w:highlight w:val="none"/>
        </w:rPr>
        <w:t xml:space="preserve">、检测质量保证</w:t>
      </w:r>
      <w:r/>
    </w:p>
    <w:p>
      <w:pPr>
        <w:ind w:firstLine="432"/>
        <w:jc w:val="both"/>
        <w:keepLines w:val="0"/>
        <w:keepNext w:val="0"/>
        <w:pageBreakBefore w:val="0"/>
        <w:spacing w:line="460" w:lineRule="exact"/>
        <w:widowControl w:val="off"/>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t xml:space="preserve">乙方应按</w:t>
      </w:r>
      <w:r>
        <w:rPr>
          <w:rFonts w:hint="eastAsia" w:ascii="宋体" w:hAnsi="宋体" w:cs="宋体"/>
          <w:color w:val="auto"/>
          <w:sz w:val="21"/>
          <w:szCs w:val="21"/>
          <w:highlight w:val="none"/>
          <w:lang w:val="en-US" w:eastAsia="zh-CN"/>
        </w:rPr>
        <w:t xml:space="preserve">磋商</w:t>
      </w:r>
      <w:r>
        <w:rPr>
          <w:rFonts w:ascii="宋体" w:hAnsi="宋体" w:eastAsia="宋体" w:cs="宋体"/>
          <w:color w:val="auto"/>
          <w:sz w:val="21"/>
          <w:szCs w:val="21"/>
          <w:highlight w:val="none"/>
        </w:rPr>
        <w:t xml:space="preserve">文件规定的检测要求、检测标准及时向甲方提供合法准确的检测结果。</w:t>
      </w:r>
      <w:r/>
    </w:p>
    <w:p>
      <w:pPr>
        <w:ind w:firstLine="480"/>
        <w:jc w:val="both"/>
        <w:keepLines w:val="0"/>
        <w:keepNext w:val="0"/>
        <w:pageBreakBefore w:val="0"/>
        <w:spacing w:line="460" w:lineRule="exact"/>
        <w:widowControl w:val="off"/>
        <w:rPr>
          <w:rFonts w:ascii="宋体" w:hAnsi="宋体" w:eastAsia="宋体" w:cs="宋体"/>
          <w:b/>
          <w:bCs/>
          <w:color w:val="auto"/>
          <w:sz w:val="21"/>
          <w:szCs w:val="21"/>
          <w:highlight w:val="none"/>
        </w:rPr>
        <w:outlineLvl w:val="9"/>
      </w:pPr>
      <w:r>
        <w:rPr>
          <w:rFonts w:ascii="宋体" w:hAnsi="宋体" w:eastAsia="宋体" w:cs="宋体"/>
          <w:b/>
          <w:bCs/>
          <w:color w:val="auto"/>
          <w:sz w:val="21"/>
          <w:szCs w:val="21"/>
          <w:highlight w:val="none"/>
        </w:rPr>
        <w:t xml:space="preserve">十、违约责任</w:t>
      </w:r>
      <w:r/>
    </w:p>
    <w:p>
      <w:pPr>
        <w:ind w:firstLine="432"/>
        <w:jc w:val="both"/>
        <w:keepLines w:val="0"/>
        <w:keepNext w:val="0"/>
        <w:pageBreakBefore w:val="0"/>
        <w:spacing w:line="460" w:lineRule="exact"/>
        <w:widowControl w:val="off"/>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t xml:space="preserve">1.乙方承担的检测服务未按</w:t>
      </w:r>
      <w:r>
        <w:rPr>
          <w:rFonts w:hint="eastAsia" w:ascii="宋体" w:hAnsi="宋体" w:eastAsia="宋体" w:cs="宋体"/>
          <w:color w:val="auto"/>
          <w:sz w:val="21"/>
          <w:szCs w:val="21"/>
          <w:highlight w:val="none"/>
        </w:rPr>
        <w:t xml:space="preserve">期交付的，乙方应按逾期提供服务总额每日</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向甲方支付违约金，由甲方从待付服务费中扣除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最高不超过1%</w:t>
      </w:r>
      <w:r>
        <w:rPr>
          <w:rFonts w:hint="eastAsia" w:ascii="宋体" w:hAnsi="宋体" w:eastAsia="宋体" w:cs="宋体"/>
          <w:color w:val="auto"/>
          <w:sz w:val="21"/>
          <w:szCs w:val="21"/>
          <w:highlight w:val="none"/>
        </w:rPr>
        <w:t xml:space="preserve">。逾期超过约定日期</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个工作日不能提供服务的，甲方可解除本合同。乙方因逾期提供服务或因其他违约行为导致甲方解除合同的，乙方应向甲方支付合同总值</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的违约金，如造成甲方损失超过违约金的，超出部分由乙方继续承担赔偿责任。</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lang w:val="en-US" w:eastAsia="zh-CN"/>
        </w:rPr>
        <w:outlineLvl w:val="9"/>
      </w:pPr>
      <w:r>
        <w:rPr>
          <w:rFonts w:ascii="宋体" w:hAnsi="宋体" w:eastAsia="宋体" w:cs="宋体"/>
          <w:color w:val="auto"/>
          <w:sz w:val="21"/>
          <w:szCs w:val="21"/>
          <w:highlight w:val="none"/>
        </w:rPr>
        <w:t xml:space="preserve">2.乙方在没</w:t>
      </w:r>
      <w:r>
        <w:rPr>
          <w:rFonts w:ascii="宋体" w:hAnsi="宋体" w:eastAsia="宋体" w:cs="宋体"/>
          <w:color w:val="auto"/>
          <w:sz w:val="21"/>
          <w:szCs w:val="21"/>
          <w:highlight w:val="none"/>
          <w:lang w:val="en-US" w:eastAsia="zh-CN"/>
        </w:rPr>
        <w:t xml:space="preserve">有得到甲方书面同意的情况下，一旦透露、使用检测数据，</w:t>
      </w:r>
      <w:r>
        <w:rPr>
          <w:rFonts w:hint="eastAsia" w:ascii="宋体" w:hAnsi="宋体" w:eastAsia="宋体" w:cs="宋体"/>
          <w:color w:val="auto"/>
          <w:sz w:val="21"/>
          <w:szCs w:val="21"/>
          <w:highlight w:val="none"/>
          <w:lang w:val="en-US" w:eastAsia="zh-CN"/>
        </w:rPr>
        <w:t xml:space="preserve">乙方应当向甲方承担本合同总金额10%</w:t>
      </w:r>
      <w:r>
        <w:rPr>
          <w:rFonts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违约金</w:t>
      </w:r>
      <w:r>
        <w:rPr>
          <w:rFonts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造成严重损失的，乙方应承担相应法律责任。</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乙方如未按照本合同第四条约定条款进行抽样运输检测，甲方对检测结果产生疑问的，甲方可在20个工作日内要求乙方对备份样复检。复检结果仍有疑问的，可将复检样送第三方检测机构复检，复检费用由乙方承担。若复检结果差异较大或第三方检测机构复检确认乙方检测结果错误的，甲方有权</w:t>
      </w:r>
      <w:r>
        <w:rPr>
          <w:rFonts w:hint="eastAsia" w:ascii="宋体" w:hAnsi="宋体" w:cs="宋体"/>
          <w:color w:val="auto"/>
          <w:sz w:val="21"/>
          <w:szCs w:val="21"/>
          <w:highlight w:val="none"/>
          <w:lang w:val="en-US" w:eastAsia="zh-CN"/>
        </w:rPr>
        <w:t xml:space="preserve">要求乙方重新检测或</w:t>
      </w:r>
      <w:r>
        <w:rPr>
          <w:rFonts w:hint="eastAsia" w:ascii="宋体" w:hAnsi="宋体" w:eastAsia="宋体" w:cs="宋体"/>
          <w:color w:val="auto"/>
          <w:sz w:val="21"/>
          <w:szCs w:val="21"/>
          <w:highlight w:val="none"/>
          <w:lang w:val="en-US" w:eastAsia="zh-CN"/>
        </w:rPr>
        <w:t xml:space="preserve">扣除乙方合同</w:t>
      </w:r>
      <w:r>
        <w:rPr>
          <w:rFonts w:hint="eastAsia" w:ascii="宋体" w:hAnsi="宋体" w:cs="宋体"/>
          <w:color w:val="auto"/>
          <w:sz w:val="21"/>
          <w:szCs w:val="21"/>
          <w:highlight w:val="none"/>
          <w:lang w:val="en-US" w:eastAsia="zh-CN"/>
        </w:rPr>
        <w:t xml:space="preserve">相应批次检测费用</w:t>
      </w:r>
      <w:r>
        <w:rPr>
          <w:rFonts w:hint="eastAsia" w:ascii="宋体" w:hAnsi="宋体" w:eastAsia="宋体" w:cs="宋体"/>
          <w:color w:val="auto"/>
          <w:sz w:val="21"/>
          <w:szCs w:val="21"/>
          <w:highlight w:val="none"/>
          <w:lang w:val="en-US" w:eastAsia="zh-CN"/>
        </w:rPr>
        <w:t xml:space="preserve">。</w:t>
      </w:r>
      <w:r/>
    </w:p>
    <w:p>
      <w:pPr>
        <w:ind w:firstLine="480"/>
        <w:jc w:val="both"/>
        <w:keepLines w:val="0"/>
        <w:keepNext w:val="0"/>
        <w:pageBreakBefore w:val="0"/>
        <w:spacing w:line="460" w:lineRule="exact"/>
        <w:widowControl w:val="off"/>
        <w:rPr>
          <w:rFonts w:ascii="宋体" w:hAnsi="宋体" w:eastAsia="宋体" w:cs="宋体"/>
          <w:b/>
          <w:bCs/>
          <w:color w:val="auto"/>
          <w:sz w:val="21"/>
          <w:szCs w:val="21"/>
          <w:highlight w:val="none"/>
        </w:rPr>
        <w:outlineLvl w:val="9"/>
      </w:pPr>
      <w:r>
        <w:rPr>
          <w:rFonts w:ascii="宋体" w:hAnsi="宋体" w:eastAsia="宋体" w:cs="宋体"/>
          <w:b/>
          <w:bCs/>
          <w:color w:val="auto"/>
          <w:sz w:val="21"/>
          <w:szCs w:val="21"/>
          <w:highlight w:val="none"/>
        </w:rPr>
        <w:t xml:space="preserve">十</w:t>
      </w:r>
      <w:r>
        <w:rPr>
          <w:rFonts w:hint="eastAsia" w:ascii="宋体" w:hAnsi="宋体" w:cs="宋体"/>
          <w:b/>
          <w:bCs/>
          <w:color w:val="auto"/>
          <w:sz w:val="21"/>
          <w:szCs w:val="21"/>
          <w:highlight w:val="none"/>
          <w:lang w:val="en-US" w:eastAsia="zh-CN"/>
        </w:rPr>
        <w:t xml:space="preserve">一</w:t>
      </w:r>
      <w:r>
        <w:rPr>
          <w:rFonts w:ascii="宋体" w:hAnsi="宋体" w:eastAsia="宋体" w:cs="宋体"/>
          <w:b/>
          <w:bCs/>
          <w:color w:val="auto"/>
          <w:sz w:val="21"/>
          <w:szCs w:val="21"/>
          <w:highlight w:val="none"/>
        </w:rPr>
        <w:t xml:space="preserve">、不可抗力事件处理</w:t>
      </w:r>
      <w:r/>
    </w:p>
    <w:p>
      <w:pPr>
        <w:ind w:firstLine="432"/>
        <w:jc w:val="both"/>
        <w:keepLines w:val="0"/>
        <w:keepNext w:val="0"/>
        <w:pageBreakBefore w:val="0"/>
        <w:spacing w:line="460" w:lineRule="exact"/>
        <w:widowControl w:val="off"/>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t xml:space="preserve">1.在合同有效期内，任何一方因不可抗力事件导致不能履行合同，则合同履行期可延长，其延长期与不可抗力影响期相同。</w:t>
      </w:r>
      <w:r/>
    </w:p>
    <w:p>
      <w:pPr>
        <w:ind w:firstLine="432"/>
        <w:jc w:val="both"/>
        <w:keepLines w:val="0"/>
        <w:keepNext w:val="0"/>
        <w:pageBreakBefore w:val="0"/>
        <w:spacing w:line="460" w:lineRule="exact"/>
        <w:widowControl w:val="off"/>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t xml:space="preserve">2.不可抗力事件发生后，应立即通知对方，并寄送有关权威机构出具的证明。</w:t>
      </w:r>
      <w:r/>
    </w:p>
    <w:p>
      <w:pPr>
        <w:ind w:firstLine="432"/>
        <w:jc w:val="both"/>
        <w:keepLines w:val="0"/>
        <w:keepNext w:val="0"/>
        <w:pageBreakBefore w:val="0"/>
        <w:spacing w:line="460" w:lineRule="exact"/>
        <w:widowControl w:val="off"/>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t xml:space="preserve">3.不可抗力事件延续60天以上，双方应友好协商，确定是否继续履行合同。</w:t>
      </w:r>
      <w:r/>
    </w:p>
    <w:p>
      <w:pPr>
        <w:ind w:firstLine="480"/>
        <w:jc w:val="both"/>
        <w:keepLines w:val="0"/>
        <w:keepNext w:val="0"/>
        <w:pageBreakBefore w:val="0"/>
        <w:spacing w:line="460" w:lineRule="exact"/>
        <w:widowControl w:val="off"/>
        <w:rPr>
          <w:rFonts w:ascii="宋体" w:hAnsi="宋体" w:eastAsia="宋体" w:cs="宋体"/>
          <w:b/>
          <w:bCs/>
          <w:color w:val="auto"/>
          <w:sz w:val="21"/>
          <w:szCs w:val="21"/>
          <w:highlight w:val="none"/>
        </w:rPr>
        <w:outlineLvl w:val="9"/>
      </w:pPr>
      <w:r>
        <w:rPr>
          <w:rFonts w:ascii="宋体" w:hAnsi="宋体" w:eastAsia="宋体" w:cs="宋体"/>
          <w:b/>
          <w:bCs/>
          <w:color w:val="auto"/>
          <w:sz w:val="21"/>
          <w:szCs w:val="21"/>
          <w:highlight w:val="none"/>
        </w:rPr>
        <w:t xml:space="preserve">十</w:t>
      </w:r>
      <w:r>
        <w:rPr>
          <w:rFonts w:hint="eastAsia" w:ascii="宋体" w:hAnsi="宋体" w:cs="宋体"/>
          <w:b/>
          <w:bCs/>
          <w:color w:val="auto"/>
          <w:sz w:val="21"/>
          <w:szCs w:val="21"/>
          <w:highlight w:val="none"/>
          <w:lang w:val="en-US" w:eastAsia="zh-CN"/>
        </w:rPr>
        <w:t xml:space="preserve">二</w:t>
      </w:r>
      <w:r>
        <w:rPr>
          <w:rFonts w:ascii="宋体" w:hAnsi="宋体" w:eastAsia="宋体" w:cs="宋体"/>
          <w:b/>
          <w:bCs/>
          <w:color w:val="auto"/>
          <w:sz w:val="21"/>
          <w:szCs w:val="21"/>
          <w:highlight w:val="none"/>
        </w:rPr>
        <w:t xml:space="preserve">、诉讼</w:t>
      </w:r>
      <w:r/>
    </w:p>
    <w:p>
      <w:pPr>
        <w:ind w:firstLine="432"/>
        <w:jc w:val="both"/>
        <w:keepLines w:val="0"/>
        <w:keepNext w:val="0"/>
        <w:pageBreakBefore w:val="0"/>
        <w:spacing w:line="460" w:lineRule="exact"/>
        <w:widowControl w:val="off"/>
        <w:rPr>
          <w:rFonts w:hint="eastAsia" w:ascii="宋体" w:hAnsi="宋体" w:eastAsia="宋体" w:cs="宋体"/>
          <w:color w:val="auto"/>
          <w:sz w:val="21"/>
          <w:szCs w:val="21"/>
          <w:highlight w:val="none"/>
        </w:rPr>
        <w:outlineLvl w:val="9"/>
      </w:pPr>
      <w:r>
        <w:rPr>
          <w:rFonts w:ascii="宋体" w:hAnsi="宋体" w:eastAsia="宋体" w:cs="宋体"/>
          <w:color w:val="auto"/>
          <w:sz w:val="21"/>
          <w:szCs w:val="21"/>
          <w:highlight w:val="none"/>
        </w:rPr>
        <w:t xml:space="preserve">双方在执行合同中所发生的一切争议，应通过协商解决。如协商不成，</w:t>
      </w:r>
      <w:r>
        <w:rPr>
          <w:rFonts w:hint="eastAsia" w:ascii="宋体" w:hAnsi="宋体" w:eastAsia="宋体" w:cs="宋体"/>
          <w:color w:val="auto"/>
          <w:sz w:val="21"/>
          <w:szCs w:val="21"/>
          <w:highlight w:val="none"/>
          <w:lang w:val="en-US" w:eastAsia="zh-CN"/>
        </w:rPr>
        <w:t xml:space="preserve">应当向</w:t>
      </w:r>
      <w:r>
        <w:rPr>
          <w:rFonts w:hint="eastAsia" w:ascii="宋体" w:hAnsi="宋体" w:cs="宋体"/>
          <w:color w:val="auto"/>
          <w:sz w:val="21"/>
          <w:szCs w:val="21"/>
          <w:highlight w:val="none"/>
          <w:lang w:val="en-US" w:eastAsia="zh-CN"/>
        </w:rPr>
        <w:t xml:space="preserve">新沂市</w:t>
      </w:r>
      <w:r>
        <w:rPr>
          <w:rFonts w:hint="eastAsia" w:ascii="宋体" w:hAnsi="宋体" w:eastAsia="宋体" w:cs="宋体"/>
          <w:color w:val="auto"/>
          <w:sz w:val="21"/>
          <w:szCs w:val="21"/>
          <w:highlight w:val="none"/>
          <w:lang w:val="en-US" w:eastAsia="zh-CN"/>
        </w:rPr>
        <w:t xml:space="preserve">人民法院诉讼解决</w:t>
      </w:r>
      <w:r>
        <w:rPr>
          <w:rFonts w:hint="eastAsia" w:ascii="宋体" w:hAnsi="宋体" w:eastAsia="宋体" w:cs="宋体"/>
          <w:color w:val="auto"/>
          <w:sz w:val="21"/>
          <w:szCs w:val="21"/>
          <w:highlight w:val="none"/>
        </w:rPr>
        <w:t xml:space="preserve">。</w:t>
      </w:r>
      <w:r/>
    </w:p>
    <w:p>
      <w:pPr>
        <w:ind w:firstLine="480"/>
        <w:jc w:val="both"/>
        <w:keepLines w:val="0"/>
        <w:keepNext w:val="0"/>
        <w:pageBreakBefore w:val="0"/>
        <w:spacing w:line="460" w:lineRule="exact"/>
        <w:widowControl w:val="off"/>
        <w:rPr>
          <w:rFonts w:ascii="宋体" w:hAnsi="宋体" w:eastAsia="宋体" w:cs="宋体"/>
          <w:b/>
          <w:bCs/>
          <w:color w:val="auto"/>
          <w:sz w:val="21"/>
          <w:szCs w:val="21"/>
          <w:highlight w:val="none"/>
        </w:rPr>
        <w:outlineLvl w:val="9"/>
      </w:pPr>
      <w:r>
        <w:rPr>
          <w:rFonts w:ascii="宋体" w:hAnsi="宋体" w:eastAsia="宋体" w:cs="宋体"/>
          <w:b/>
          <w:bCs/>
          <w:color w:val="auto"/>
          <w:sz w:val="21"/>
          <w:szCs w:val="21"/>
          <w:highlight w:val="none"/>
        </w:rPr>
        <w:t xml:space="preserve">十</w:t>
      </w:r>
      <w:r>
        <w:rPr>
          <w:rFonts w:hint="eastAsia" w:ascii="宋体" w:hAnsi="宋体" w:cs="宋体"/>
          <w:b/>
          <w:bCs/>
          <w:color w:val="auto"/>
          <w:sz w:val="21"/>
          <w:szCs w:val="21"/>
          <w:highlight w:val="none"/>
          <w:lang w:val="en-US" w:eastAsia="zh-CN"/>
        </w:rPr>
        <w:t xml:space="preserve">三</w:t>
      </w:r>
      <w:r>
        <w:rPr>
          <w:rFonts w:ascii="宋体" w:hAnsi="宋体" w:eastAsia="宋体" w:cs="宋体"/>
          <w:b/>
          <w:bCs/>
          <w:color w:val="auto"/>
          <w:sz w:val="21"/>
          <w:szCs w:val="21"/>
          <w:highlight w:val="none"/>
        </w:rPr>
        <w:t xml:space="preserve">、合同生效及其它</w:t>
      </w:r>
      <w:r/>
    </w:p>
    <w:p>
      <w:pPr>
        <w:ind w:firstLine="432"/>
        <w:jc w:val="both"/>
        <w:keepLines w:val="0"/>
        <w:keepNext w:val="0"/>
        <w:pageBreakBefore w:val="0"/>
        <w:spacing w:line="460" w:lineRule="exact"/>
        <w:widowControl w:val="off"/>
        <w:rPr>
          <w:rFonts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1.</w:t>
      </w:r>
      <w:r>
        <w:rPr>
          <w:rFonts w:ascii="宋体" w:hAnsi="宋体" w:eastAsia="宋体" w:cs="宋体"/>
          <w:color w:val="auto"/>
          <w:sz w:val="21"/>
          <w:szCs w:val="21"/>
          <w:highlight w:val="none"/>
        </w:rPr>
        <w:t xml:space="preserve">合同经双方法定代表人或授权委托代表人签字并加盖单位公章后生效。</w:t>
      </w:r>
      <w:r/>
    </w:p>
    <w:p>
      <w:pPr>
        <w:ind w:firstLine="432"/>
        <w:jc w:val="both"/>
        <w:keepLines w:val="0"/>
        <w:keepNext w:val="0"/>
        <w:pageBreakBefore w:val="0"/>
        <w:spacing w:line="460" w:lineRule="exact"/>
        <w:widowControl w:val="off"/>
        <w:rPr>
          <w:rFonts w:ascii="宋体" w:hAnsi="宋体" w:eastAsia="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2.</w:t>
      </w:r>
      <w:r>
        <w:rPr>
          <w:rFonts w:ascii="宋体" w:hAnsi="宋体" w:eastAsia="宋体" w:cs="宋体"/>
          <w:color w:val="auto"/>
          <w:sz w:val="21"/>
          <w:szCs w:val="21"/>
          <w:highlight w:val="none"/>
        </w:rPr>
        <w:t xml:space="preserve">除甲方基于公共利益需要或维护法定权益需要可单方变更、终止合同外，本合同一经签订，双方不得擅自变更、中止或终止合同。</w:t>
      </w:r>
      <w:r/>
    </w:p>
    <w:p>
      <w:pPr>
        <w:ind w:firstLine="432"/>
        <w:jc w:val="both"/>
        <w:keepLines w:val="0"/>
        <w:keepNext w:val="0"/>
        <w:pageBreakBefore w:val="0"/>
        <w:spacing w:line="460" w:lineRule="exact"/>
        <w:widowControl w:val="off"/>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t xml:space="preserve">3.本合同未尽事宜，遵照《中华人民共和国民法典》有关条文执行。</w:t>
      </w:r>
      <w:r/>
    </w:p>
    <w:p>
      <w:pPr>
        <w:ind w:firstLine="378"/>
        <w:keepLines w:val="0"/>
        <w:keepNext w:val="0"/>
        <w:pageBreakBefore w:val="0"/>
        <w:spacing w:line="460" w:lineRule="exact"/>
        <w:widowControl w:val="off"/>
        <w:rPr>
          <w:rFonts w:ascii="宋体" w:hAnsi="宋体" w:eastAsia="宋体" w:cs="宋体"/>
          <w:color w:val="auto"/>
          <w:sz w:val="21"/>
          <w:szCs w:val="21"/>
          <w:highlight w:val="none"/>
        </w:rPr>
        <w:outlineLvl w:val="9"/>
      </w:pPr>
      <w:r>
        <w:rPr>
          <w:rFonts w:ascii="宋体" w:hAnsi="宋体" w:eastAsia="宋体" w:cs="宋体"/>
          <w:color w:val="auto"/>
          <w:sz w:val="21"/>
          <w:szCs w:val="21"/>
          <w:highlight w:val="none"/>
        </w:rPr>
        <w:t xml:space="preserve">4.本合同正本一式</w:t>
      </w:r>
      <w:r>
        <w:rPr>
          <w:rFonts w:hint="eastAsia" w:ascii="宋体" w:hAnsi="宋体" w:eastAsia="宋体" w:cs="宋体"/>
          <w:color w:val="auto"/>
          <w:sz w:val="21"/>
          <w:szCs w:val="21"/>
          <w:highlight w:val="none"/>
          <w:u w:val="single"/>
          <w:lang w:val="en-US" w:eastAsia="zh-CN"/>
        </w:rPr>
        <w:t xml:space="preserve">   肆  </w:t>
      </w:r>
      <w:r>
        <w:rPr>
          <w:rFonts w:ascii="宋体" w:hAnsi="宋体" w:eastAsia="宋体" w:cs="宋体"/>
          <w:color w:val="auto"/>
          <w:sz w:val="21"/>
          <w:szCs w:val="21"/>
          <w:highlight w:val="none"/>
        </w:rPr>
        <w:t xml:space="preserve">份，具有同等法律效力，甲方、乙方各执</w:t>
      </w:r>
      <w:r>
        <w:rPr>
          <w:rFonts w:hint="eastAsia" w:ascii="宋体" w:hAnsi="宋体" w:eastAsia="宋体" w:cs="宋体"/>
          <w:b w:val="0"/>
          <w:bCs w:val="0"/>
          <w:color w:val="auto"/>
          <w:sz w:val="21"/>
          <w:szCs w:val="21"/>
          <w:highlight w:val="none"/>
          <w:u w:val="single"/>
          <w:lang w:val="en-US" w:eastAsia="zh-CN"/>
        </w:rPr>
        <w:t xml:space="preserve">  贰  </w:t>
      </w:r>
      <w:r>
        <w:rPr>
          <w:rFonts w:ascii="宋体" w:hAnsi="宋体" w:eastAsia="宋体" w:cs="宋体"/>
          <w:color w:val="auto"/>
          <w:sz w:val="21"/>
          <w:szCs w:val="21"/>
          <w:highlight w:val="none"/>
        </w:rPr>
        <w:t xml:space="preserve">份。</w:t>
      </w:r>
      <w:r/>
    </w:p>
    <w:p>
      <w:pPr>
        <w:ind w:firstLine="378"/>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tbl>
      <w:tblPr>
        <w:tblStyle w:val="876"/>
        <w:tblpPr w:horzAnchor="page" w:tblpXSpec="center" w:vertAnchor="text" w:tblpY="25" w:leftFromText="180" w:topFromText="0" w:rightFromText="180" w:bottomFromText="0"/>
        <w:tblW w:w="8522"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jc w:val="center"/>
          <w:trHeight w:val="947"/>
        </w:trPr>
        <w:tc>
          <w:tcPr>
            <w:tcW w:w="4261" w:type="dxa"/>
            <w:vAlign w:val="center"/>
            <w:textDirection w:val="lrTb"/>
            <w:noWrap w:val="false"/>
          </w:tcPr>
          <w:p>
            <w:pPr>
              <w:pStyle w:val="875"/>
              <w:ind w:left="0" w:firstLine="0"/>
              <w:jc w:val="both"/>
              <w:keepLines w:val="0"/>
              <w:keepNext w:val="0"/>
              <w:pageBreakBefore w:val="0"/>
              <w:spacing w:after="120" w:line="360" w:lineRule="auto"/>
              <w:widowControl w:val="off"/>
              <w:rPr>
                <w:rFonts w:hint="eastAsia" w:ascii="宋体" w:hAnsi="宋体" w:eastAsia="宋体" w:cs="Times New Roman"/>
                <w:color w:val="auto"/>
                <w:sz w:val="20"/>
                <w:szCs w:val="20"/>
                <w:highlight w:val="none"/>
                <w:vertAlign w:val="baseline"/>
                <w:lang w:val="en-US" w:eastAsia="zh-CN" w:bidi="ar-SA"/>
              </w:rPr>
            </w:pPr>
            <w:r>
              <w:rPr>
                <w:rFonts w:ascii="Times New Roman" w:hAnsi="Times New Roman" w:eastAsia="宋体" w:cs="Times New Roman"/>
                <w:color w:val="auto"/>
                <w:sz w:val="21"/>
                <w:szCs w:val="21"/>
                <w:highlight w:val="none"/>
                <w:lang w:val="en-US" w:eastAsia="zh-CN" w:bidi="ar-SA"/>
              </w:rPr>
              <w:t xml:space="preserve">甲方</w:t>
            </w:r>
            <w:r>
              <w:rPr>
                <w:rFonts w:hint="eastAsia" w:ascii="Times New Roman" w:hAnsi="Times New Roman" w:eastAsia="宋体" w:cs="Times New Roman"/>
                <w:color w:val="auto"/>
                <w:sz w:val="21"/>
                <w:szCs w:val="21"/>
                <w:highlight w:val="none"/>
                <w:lang w:val="en-US" w:eastAsia="zh-CN" w:bidi="ar-SA"/>
              </w:rPr>
              <w:t xml:space="preserve">（章）</w:t>
            </w:r>
            <w:r>
              <w:rPr>
                <w:rFonts w:ascii="Times New Roman" w:hAnsi="Times New Roman" w:eastAsia="宋体" w:cs="Times New Roman"/>
                <w:color w:val="auto"/>
                <w:sz w:val="21"/>
                <w:szCs w:val="21"/>
                <w:highlight w:val="none"/>
                <w:lang w:val="en-US" w:eastAsia="zh-CN" w:bidi="ar-SA"/>
              </w:rPr>
              <w:t xml:space="preserve">：</w:t>
            </w:r>
            <w:r>
              <w:rPr>
                <w:rFonts w:hint="eastAsia" w:cs="Times New Roman"/>
                <w:color w:val="auto"/>
                <w:sz w:val="21"/>
                <w:szCs w:val="21"/>
                <w:highlight w:val="none"/>
                <w:lang w:val="en-US" w:eastAsia="zh-CN" w:bidi="ar-SA"/>
              </w:rPr>
              <w:t xml:space="preserve">新沂市农业农村局</w:t>
            </w:r>
            <w:r/>
          </w:p>
        </w:tc>
        <w:tc>
          <w:tcPr>
            <w:tcW w:w="4261" w:type="dxa"/>
            <w:vAlign w:val="center"/>
            <w:textDirection w:val="lrTb"/>
            <w:noWrap w:val="false"/>
          </w:tcPr>
          <w:p>
            <w:pPr>
              <w:pStyle w:val="875"/>
              <w:ind w:left="0" w:firstLine="0"/>
              <w:jc w:val="both"/>
              <w:keepLines w:val="0"/>
              <w:keepNext w:val="0"/>
              <w:pageBreakBefore w:val="0"/>
              <w:spacing w:after="120" w:line="360" w:lineRule="auto"/>
              <w:widowControl w:val="off"/>
              <w:rPr>
                <w:rFonts w:hint="eastAsia" w:ascii="宋体" w:hAnsi="宋体" w:eastAsia="宋体" w:cs="Times New Roman"/>
                <w:color w:val="auto"/>
                <w:sz w:val="20"/>
                <w:szCs w:val="20"/>
                <w:highlight w:val="none"/>
                <w:vertAlign w:val="baseline"/>
                <w:lang w:val="en-US" w:eastAsia="zh-CN" w:bidi="ar-SA"/>
              </w:rPr>
            </w:pPr>
            <w:r>
              <w:rPr>
                <w:rFonts w:ascii="Times New Roman" w:hAnsi="Times New Roman" w:eastAsia="宋体" w:cs="Times New Roman"/>
                <w:color w:val="auto"/>
                <w:sz w:val="21"/>
                <w:szCs w:val="21"/>
                <w:highlight w:val="none"/>
                <w:lang w:val="en-US" w:eastAsia="zh-CN" w:bidi="ar-SA"/>
              </w:rPr>
              <w:t xml:space="preserve">乙方</w:t>
            </w:r>
            <w:r>
              <w:rPr>
                <w:rFonts w:hint="eastAsia" w:ascii="Times New Roman" w:hAnsi="Times New Roman" w:eastAsia="宋体" w:cs="Times New Roman"/>
                <w:color w:val="auto"/>
                <w:sz w:val="21"/>
                <w:szCs w:val="21"/>
                <w:highlight w:val="none"/>
                <w:lang w:val="en-US" w:eastAsia="zh-CN" w:bidi="ar-SA"/>
              </w:rPr>
              <w:t xml:space="preserve">（章）</w:t>
            </w:r>
            <w:r>
              <w:rPr>
                <w:rFonts w:ascii="Times New Roman" w:hAnsi="Times New Roman" w:eastAsia="宋体" w:cs="Times New Roman"/>
                <w:color w:val="auto"/>
                <w:sz w:val="21"/>
                <w:szCs w:val="21"/>
                <w:highlight w:val="none"/>
                <w:lang w:val="en-US" w:eastAsia="zh-CN" w:bidi="ar-SA"/>
              </w:rPr>
              <w:t xml:space="preserve">：</w:t>
            </w:r>
            <w:r/>
          </w:p>
        </w:tc>
      </w:tr>
      <w:tr>
        <w:trPr>
          <w:jc w:val="center"/>
          <w:trHeight w:val="947"/>
        </w:trPr>
        <w:tc>
          <w:tcPr>
            <w:tcW w:w="4261" w:type="dxa"/>
            <w:vAlign w:val="center"/>
            <w:textDirection w:val="lrTb"/>
            <w:noWrap w:val="false"/>
          </w:tcPr>
          <w:p>
            <w:pPr>
              <w:pStyle w:val="875"/>
              <w:ind w:left="0" w:firstLine="0"/>
              <w:jc w:val="both"/>
              <w:keepLines w:val="0"/>
              <w:keepNext w:val="0"/>
              <w:pageBreakBefore w:val="0"/>
              <w:spacing w:after="120" w:line="36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地址：新沂市新沂市新东路101号</w:t>
            </w:r>
            <w:r/>
          </w:p>
        </w:tc>
        <w:tc>
          <w:tcPr>
            <w:tcW w:w="4261" w:type="dxa"/>
            <w:vAlign w:val="center"/>
            <w:textDirection w:val="lrTb"/>
            <w:noWrap w:val="false"/>
          </w:tcPr>
          <w:p>
            <w:pPr>
              <w:pStyle w:val="875"/>
              <w:ind w:left="0" w:firstLine="0"/>
              <w:jc w:val="both"/>
              <w:keepLines w:val="0"/>
              <w:keepNext w:val="0"/>
              <w:pageBreakBefore w:val="0"/>
              <w:spacing w:after="120"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地址：</w:t>
            </w:r>
            <w:r/>
          </w:p>
        </w:tc>
      </w:tr>
      <w:tr>
        <w:trPr>
          <w:jc w:val="center"/>
          <w:trHeight w:val="947"/>
        </w:trPr>
        <w:tc>
          <w:tcPr>
            <w:tcW w:w="4261" w:type="dxa"/>
            <w:vAlign w:val="center"/>
            <w:textDirection w:val="lrTb"/>
            <w:noWrap w:val="false"/>
          </w:tcPr>
          <w:p>
            <w:pPr>
              <w:pStyle w:val="875"/>
              <w:ind w:left="0" w:firstLine="0"/>
              <w:jc w:val="both"/>
              <w:keepLines w:val="0"/>
              <w:keepNext w:val="0"/>
              <w:pageBreakBefore w:val="0"/>
              <w:spacing w:after="120" w:line="360" w:lineRule="auto"/>
              <w:widowControl w:val="off"/>
              <w:rPr>
                <w:rFonts w:hint="eastAsia" w:ascii="宋体" w:hAnsi="宋体" w:eastAsia="宋体" w:cs="Times New Roman"/>
                <w:color w:val="auto"/>
                <w:sz w:val="20"/>
                <w:szCs w:val="20"/>
                <w:highlight w:val="none"/>
                <w:vertAlign w:val="baseline"/>
                <w:lang w:val="en-US" w:eastAsia="zh-CN" w:bidi="ar-SA"/>
              </w:rPr>
            </w:pPr>
            <w:r>
              <w:rPr>
                <w:rFonts w:hint="eastAsia" w:ascii="Times New Roman" w:hAnsi="Times New Roman" w:cs="Times New Roman"/>
                <w:color w:val="auto"/>
                <w:sz w:val="21"/>
                <w:szCs w:val="21"/>
                <w:highlight w:val="none"/>
                <w:lang w:val="en-US" w:eastAsia="zh-CN" w:bidi="ar-SA"/>
              </w:rPr>
              <w:t xml:space="preserve">法定代表人</w:t>
            </w:r>
            <w:r>
              <w:rPr>
                <w:rFonts w:hint="eastAsia" w:ascii="Times New Roman" w:hAnsi="Times New Roman" w:eastAsia="宋体" w:cs="Times New Roman"/>
                <w:color w:val="auto"/>
                <w:sz w:val="21"/>
                <w:szCs w:val="21"/>
                <w:highlight w:val="none"/>
                <w:lang w:val="en-US" w:eastAsia="zh-CN" w:bidi="ar-SA"/>
              </w:rPr>
              <w:t xml:space="preserve">或授权代表</w:t>
            </w:r>
            <w:r>
              <w:rPr>
                <w:rFonts w:ascii="Times New Roman" w:hAnsi="Times New Roman" w:eastAsia="宋体" w:cs="Times New Roman"/>
                <w:color w:val="auto"/>
                <w:sz w:val="21"/>
                <w:szCs w:val="21"/>
                <w:highlight w:val="none"/>
                <w:lang w:val="en-US" w:eastAsia="zh-CN" w:bidi="ar-SA"/>
              </w:rPr>
              <w:t xml:space="preserve">：</w:t>
            </w:r>
            <w:r/>
          </w:p>
        </w:tc>
        <w:tc>
          <w:tcPr>
            <w:tcW w:w="4261" w:type="dxa"/>
            <w:vAlign w:val="center"/>
            <w:textDirection w:val="lrTb"/>
            <w:noWrap w:val="false"/>
          </w:tcPr>
          <w:p>
            <w:pPr>
              <w:pStyle w:val="875"/>
              <w:ind w:left="0" w:firstLine="0"/>
              <w:jc w:val="both"/>
              <w:keepLines w:val="0"/>
              <w:keepNext w:val="0"/>
              <w:pageBreakBefore w:val="0"/>
              <w:spacing w:after="120" w:line="360" w:lineRule="auto"/>
              <w:widowControl w:val="off"/>
              <w:rPr>
                <w:rFonts w:hint="eastAsia" w:ascii="宋体" w:hAnsi="宋体" w:eastAsia="宋体" w:cs="Times New Roman"/>
                <w:color w:val="auto"/>
                <w:sz w:val="20"/>
                <w:szCs w:val="20"/>
                <w:highlight w:val="none"/>
                <w:vertAlign w:val="baseline"/>
                <w:lang w:val="en-US" w:eastAsia="zh-CN" w:bidi="ar-SA"/>
              </w:rPr>
            </w:pPr>
            <w:r>
              <w:rPr>
                <w:rFonts w:hint="eastAsia" w:ascii="Times New Roman" w:hAnsi="Times New Roman" w:cs="Times New Roman"/>
                <w:color w:val="auto"/>
                <w:sz w:val="21"/>
                <w:szCs w:val="21"/>
                <w:highlight w:val="none"/>
                <w:lang w:val="en-US" w:eastAsia="zh-CN" w:bidi="ar-SA"/>
              </w:rPr>
              <w:t xml:space="preserve">法定代表人</w:t>
            </w:r>
            <w:r>
              <w:rPr>
                <w:rFonts w:hint="eastAsia" w:ascii="Times New Roman" w:hAnsi="Times New Roman" w:eastAsia="宋体" w:cs="Times New Roman"/>
                <w:color w:val="auto"/>
                <w:sz w:val="21"/>
                <w:szCs w:val="21"/>
                <w:highlight w:val="none"/>
                <w:lang w:val="en-US" w:eastAsia="zh-CN" w:bidi="ar-SA"/>
              </w:rPr>
              <w:t xml:space="preserve">或授权代表 </w:t>
            </w:r>
            <w:r>
              <w:rPr>
                <w:rFonts w:ascii="Times New Roman" w:hAnsi="Times New Roman" w:eastAsia="宋体" w:cs="Times New Roman"/>
                <w:color w:val="auto"/>
                <w:sz w:val="21"/>
                <w:szCs w:val="21"/>
                <w:highlight w:val="none"/>
                <w:lang w:val="en-US" w:eastAsia="zh-CN" w:bidi="ar-SA"/>
              </w:rPr>
              <w:t xml:space="preserve">：</w:t>
            </w:r>
            <w:r/>
          </w:p>
        </w:tc>
      </w:tr>
      <w:tr>
        <w:trPr>
          <w:jc w:val="center"/>
          <w:trHeight w:val="947"/>
        </w:trPr>
        <w:tc>
          <w:tcPr>
            <w:tcW w:w="4261" w:type="dxa"/>
            <w:vAlign w:val="center"/>
            <w:textDirection w:val="lrTb"/>
            <w:noWrap w:val="false"/>
          </w:tcPr>
          <w:p>
            <w:pPr>
              <w:pStyle w:val="875"/>
              <w:ind w:left="0" w:firstLine="0"/>
              <w:jc w:val="both"/>
              <w:keepLines w:val="0"/>
              <w:keepNext w:val="0"/>
              <w:pageBreakBefore w:val="0"/>
              <w:spacing w:after="120" w:line="360" w:lineRule="auto"/>
              <w:widowControl w:val="off"/>
              <w:rPr>
                <w:rFonts w:hint="default" w:ascii="宋体" w:hAnsi="宋体" w:eastAsia="宋体" w:cs="Times New Roman"/>
                <w:color w:val="auto"/>
                <w:sz w:val="20"/>
                <w:szCs w:val="20"/>
                <w:highlight w:val="none"/>
                <w:vertAlign w:val="baseli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联系电话：</w:t>
            </w:r>
            <w:r/>
          </w:p>
        </w:tc>
        <w:tc>
          <w:tcPr>
            <w:tcW w:w="4261" w:type="dxa"/>
            <w:vAlign w:val="center"/>
            <w:textDirection w:val="lrTb"/>
            <w:noWrap w:val="false"/>
          </w:tcPr>
          <w:p>
            <w:pPr>
              <w:pStyle w:val="875"/>
              <w:ind w:left="0" w:firstLine="0"/>
              <w:jc w:val="both"/>
              <w:keepLines w:val="0"/>
              <w:keepNext w:val="0"/>
              <w:pageBreakBefore w:val="0"/>
              <w:spacing w:after="120" w:line="360" w:lineRule="auto"/>
              <w:widowControl w:val="off"/>
              <w:rPr>
                <w:rFonts w:hint="eastAsia" w:ascii="宋体" w:hAnsi="宋体" w:eastAsia="宋体" w:cs="Times New Roman"/>
                <w:color w:val="auto"/>
                <w:sz w:val="20"/>
                <w:szCs w:val="20"/>
                <w:highlight w:val="none"/>
                <w:vertAlign w:val="baseli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联系电话：</w:t>
            </w:r>
            <w:r/>
          </w:p>
        </w:tc>
      </w:tr>
      <w:tr>
        <w:trPr>
          <w:jc w:val="center"/>
          <w:trHeight w:val="947"/>
        </w:trPr>
        <w:tc>
          <w:tcPr>
            <w:tcW w:w="4261" w:type="dxa"/>
            <w:vAlign w:val="center"/>
            <w:textDirection w:val="lrTb"/>
            <w:noWrap w:val="false"/>
          </w:tcPr>
          <w:p>
            <w:pPr>
              <w:pStyle w:val="875"/>
              <w:ind w:left="0" w:firstLine="0"/>
              <w:jc w:val="both"/>
              <w:keepLines w:val="0"/>
              <w:keepNext w:val="0"/>
              <w:pageBreakBefore w:val="0"/>
              <w:spacing w:after="120"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签订日期</w:t>
            </w:r>
            <w:r>
              <w:rPr>
                <w:rFonts w:hint="eastAsia" w:ascii="Times New Roman" w:hAnsi="Times New Roman" w:eastAsia="宋体" w:cs="Times New Roman"/>
                <w:color w:val="auto"/>
                <w:sz w:val="24"/>
                <w:szCs w:val="24"/>
                <w:highlight w:val="none"/>
                <w:lang w:val="en-US" w:eastAsia="zh-CN" w:bidi="ar-SA"/>
              </w:rPr>
              <w:t xml:space="preserve">：     年     月     日</w:t>
            </w:r>
            <w:r/>
          </w:p>
        </w:tc>
        <w:tc>
          <w:tcPr>
            <w:tcW w:w="4261" w:type="dxa"/>
            <w:vAlign w:val="center"/>
            <w:textDirection w:val="lrTb"/>
            <w:noWrap w:val="false"/>
          </w:tcPr>
          <w:p>
            <w:pPr>
              <w:pStyle w:val="875"/>
              <w:ind w:left="0" w:firstLine="0"/>
              <w:jc w:val="both"/>
              <w:keepLines w:val="0"/>
              <w:keepNext w:val="0"/>
              <w:pageBreakBefore w:val="0"/>
              <w:spacing w:after="120" w:line="360" w:lineRule="auto"/>
              <w:widowControl w:val="off"/>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签订日期：     年     月     日</w:t>
            </w:r>
            <w:r/>
          </w:p>
        </w:tc>
      </w:tr>
    </w:tbl>
    <w:p>
      <w:pPr>
        <w:pStyle w:val="875"/>
        <w:ind w:left="0" w:firstLine="0"/>
        <w:keepLines w:val="0"/>
        <w:keepNext w:val="0"/>
        <w:pageBreakBefore w:val="0"/>
        <w:spacing w:line="360" w:lineRule="auto"/>
        <w:rPr>
          <w:rFonts w:hint="eastAsia"/>
          <w:color w:val="auto"/>
          <w:highlight w:val="none"/>
          <w:lang w:val="en-US" w:eastAsia="zh-CN"/>
        </w:rPr>
      </w:pPr>
      <w:r>
        <w:rPr>
          <w:rFonts w:hint="eastAsia"/>
          <w:color w:val="auto"/>
          <w:highlight w:val="none"/>
          <w:lang w:val="en-US" w:eastAsia="zh-CN"/>
        </w:rPr>
      </w:r>
      <w:r/>
    </w:p>
    <w:p>
      <w:pPr>
        <w:ind w:firstLine="240"/>
        <w:jc w:val="both"/>
        <w:keepLines w:val="0"/>
        <w:keepNext w:val="0"/>
        <w:pageBreakBefore w:val="0"/>
        <w:spacing w:before="120" w:after="120"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keepLines w:val="0"/>
        <w:keepNext w:val="0"/>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center"/>
        <w:keepLines w:val="0"/>
        <w:keepNext w:val="0"/>
        <w:pageBreakBefore w:val="0"/>
        <w:spacing w:line="360" w:lineRule="auto"/>
        <w:rPr>
          <w:rFonts w:hint="eastAsia" w:ascii="宋体" w:hAnsi="宋体" w:eastAsia="宋体" w:cs="宋体"/>
          <w:color w:val="auto"/>
          <w:sz w:val="24"/>
          <w:highlight w:val="none"/>
        </w:rPr>
        <w:outlineLvl w:val="0"/>
      </w:pPr>
      <w:r>
        <w:rPr>
          <w:rFonts w:hint="eastAsia" w:ascii="宋体" w:hAnsi="宋体" w:eastAsia="宋体" w:cs="宋体"/>
          <w:b/>
          <w:color w:val="auto"/>
          <w:sz w:val="36"/>
          <w:highlight w:val="none"/>
        </w:rPr>
        <w:t xml:space="preserve">7、承诺书</w:t>
      </w:r>
      <w:r/>
    </w:p>
    <w:p>
      <w:pPr>
        <w:ind w:right="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cs="宋体"/>
          <w:color w:val="auto"/>
          <w:sz w:val="24"/>
          <w:highlight w:val="none"/>
          <w:lang w:eastAsia="zh-CN"/>
        </w:rPr>
        <w:t xml:space="preserve">徐州迈迅项目管理咨询有限公司</w:t>
      </w:r>
      <w:r>
        <w:rPr>
          <w:rFonts w:hint="eastAsia" w:ascii="宋体" w:hAnsi="宋体" w:eastAsia="宋体" w:cs="宋体"/>
          <w:color w:val="auto"/>
          <w:sz w:val="24"/>
          <w:highlight w:val="none"/>
        </w:rPr>
        <w:t xml:space="preserve">：</w:t>
      </w:r>
      <w:r/>
    </w:p>
    <w:p>
      <w:pPr>
        <w:pStyle w:val="860"/>
        <w:ind w:left="0" w:right="0" w:firstLine="482"/>
        <w:keepLines w:val="0"/>
        <w:keepNext w:val="0"/>
        <w:pageBreakBefore w:val="0"/>
        <w:spacing w:line="42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根据贵方《</w:t>
      </w:r>
      <w:r>
        <w:rPr>
          <w:rFonts w:hint="eastAsia" w:ascii="宋体" w:hAnsi="宋体" w:eastAsia="宋体" w:cs="宋体"/>
          <w:bCs/>
          <w:color w:val="auto"/>
          <w:sz w:val="24"/>
          <w:highlight w:val="none"/>
        </w:rPr>
        <w:t xml:space="preserve">磋商文件</w:t>
      </w: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lang w:eastAsia="zh-CN"/>
        </w:rPr>
        <w:t xml:space="preserve">JSZC-320381-XZMX-C2026-0007</w:t>
      </w:r>
      <w:r>
        <w:rPr>
          <w:rFonts w:hint="eastAsia" w:ascii="宋体" w:hAnsi="宋体" w:eastAsia="宋体" w:cs="宋体"/>
          <w:color w:val="auto"/>
          <w:sz w:val="24"/>
          <w:highlight w:val="none"/>
        </w:rPr>
        <w:t xml:space="preserve">）要求，本供应商正式提交以下首次响应文件。</w:t>
      </w:r>
      <w:r/>
    </w:p>
    <w:p>
      <w:pPr>
        <w:pStyle w:val="860"/>
        <w:ind w:left="0" w:right="0" w:firstLine="482"/>
        <w:keepLines w:val="0"/>
        <w:keepNext w:val="0"/>
        <w:pageBreakBefore w:val="0"/>
        <w:spacing w:line="42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5" name="直线 30"/>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59264;mso-wrap-distance-left:0.0pt;mso-wrap-distance-top:0.0pt;mso-wrap-distance-right:0.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highlight w:val="none"/>
        </w:rPr>
        <w:t xml:space="preserve">（1）承诺书； </w:t>
      </w:r>
      <w:r/>
    </w:p>
    <w:p>
      <w:pPr>
        <w:pStyle w:val="860"/>
        <w:ind w:left="0" w:right="0" w:firstLine="482"/>
        <w:keepLines w:val="0"/>
        <w:keepNext w:val="0"/>
        <w:pageBreakBefore w:val="0"/>
        <w:spacing w:line="42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（2）磋商报价表； </w:t>
      </w:r>
      <w:r/>
    </w:p>
    <w:p>
      <w:pPr>
        <w:pStyle w:val="860"/>
        <w:ind w:left="0" w:right="0" w:firstLine="482"/>
        <w:keepLines w:val="0"/>
        <w:keepNext w:val="0"/>
        <w:pageBreakBefore w:val="0"/>
        <w:spacing w:line="42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（3）偏离表；</w:t>
      </w:r>
      <w:r/>
    </w:p>
    <w:p>
      <w:pPr>
        <w:pStyle w:val="860"/>
        <w:ind w:left="0" w:right="0" w:firstLine="482"/>
        <w:keepLines w:val="0"/>
        <w:keepNext w:val="0"/>
        <w:pageBreakBefore w:val="0"/>
        <w:spacing w:line="42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（4）磋商</w:t>
      </w:r>
      <w:r>
        <w:rPr>
          <w:rFonts w:hint="eastAsia" w:ascii="宋体" w:hAnsi="宋体" w:eastAsia="宋体" w:cs="宋体"/>
          <w:bCs/>
          <w:color w:val="auto"/>
          <w:sz w:val="24"/>
          <w:highlight w:val="none"/>
        </w:rPr>
        <w:t xml:space="preserve">文件</w:t>
      </w:r>
      <w:r>
        <w:rPr>
          <w:rFonts w:hint="eastAsia" w:ascii="宋体" w:hAnsi="宋体" w:eastAsia="宋体" w:cs="宋体"/>
          <w:color w:val="auto"/>
          <w:sz w:val="24"/>
          <w:highlight w:val="none"/>
        </w:rPr>
        <w:t xml:space="preserve">要求提供的其他响应文件。</w:t>
      </w:r>
      <w:r/>
    </w:p>
    <w:p>
      <w:pPr>
        <w:pStyle w:val="860"/>
        <w:ind w:left="0" w:right="0" w:firstLine="482"/>
        <w:keepLines w:val="0"/>
        <w:keepNext w:val="0"/>
        <w:pageBreakBefore w:val="0"/>
        <w:spacing w:line="42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我单位符合《中华人民共和国政府采购法》第二十二条的规定，符合本项目供应商资格要求。</w:t>
      </w:r>
      <w:r/>
    </w:p>
    <w:p>
      <w:pPr>
        <w:pStyle w:val="860"/>
        <w:ind w:left="0" w:right="0" w:firstLine="482"/>
        <w:keepLines w:val="0"/>
        <w:keepNext w:val="0"/>
        <w:pageBreakBefore w:val="0"/>
        <w:spacing w:line="42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我单位按照磋商文件的要求编制响应文件，并对其提交的响应文件的真实性、合法性承担法律责任。</w:t>
      </w:r>
      <w:r/>
    </w:p>
    <w:p>
      <w:pPr>
        <w:ind w:left="0" w:right="0" w:firstLine="482"/>
        <w:keepLines w:val="0"/>
        <w:keepNext w:val="0"/>
        <w:pageBreakBefore w:val="0"/>
        <w:spacing w:line="42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供应商兹宣布同意如下: </w:t>
      </w:r>
      <w:r/>
    </w:p>
    <w:p>
      <w:pPr>
        <w:pStyle w:val="860"/>
        <w:ind w:left="0" w:right="0" w:firstLine="482"/>
        <w:keepLines w:val="0"/>
        <w:keepNext w:val="0"/>
        <w:pageBreakBefore w:val="0"/>
        <w:spacing w:line="42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59264;mso-wrap-distance-left:0.0pt;mso-wrap-distance-top:0.0pt;mso-wrap-distance-right:0.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59264;mso-wrap-distance-left:0.0pt;mso-wrap-distance-top:0.0pt;mso-wrap-distance-right:0.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highlight w:val="none"/>
        </w:rPr>
        <w:t xml:space="preserve">一、完全承担根据《磋商文件》规定完成合同的责任和义务（如有偏离，将全部填写在偏离表中）。</w:t>
      </w:r>
      <w:r/>
    </w:p>
    <w:p>
      <w:pPr>
        <w:pStyle w:val="860"/>
        <w:ind w:left="0" w:right="0" w:firstLine="482"/>
        <w:keepLines w:val="0"/>
        <w:keepNext w:val="0"/>
        <w:pageBreakBefore w:val="0"/>
        <w:spacing w:line="42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59264;mso-wrap-distance-left:0.0pt;mso-wrap-distance-top:0.0pt;mso-wrap-distance-right:0.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线 3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59264;mso-wrap-distance-left:0.0pt;mso-wrap-distance-top:0.0pt;mso-wrap-distance-right:0.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highlight w:val="none"/>
        </w:rPr>
        <w:t xml:space="preserve">二、保证所提供的响应文件及所有材料的真实、合法、有效，并对其负责。</w:t>
      </w:r>
      <w:r/>
    </w:p>
    <w:p>
      <w:pPr>
        <w:ind w:left="0" w:right="0" w:firstLine="482"/>
        <w:keepLines w:val="0"/>
        <w:keepNext w:val="0"/>
        <w:pageBreakBefore w:val="0"/>
        <w:spacing w:line="42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三、已详细审核竞争性磋商文件（含竞争性磋商文件的澄清或者修改），本供应商完全理解并同意放弃对这方面不明及误解的权利。</w:t>
      </w:r>
      <w:r/>
    </w:p>
    <w:p>
      <w:pPr>
        <w:ind w:left="0" w:right="0" w:firstLine="482"/>
        <w:keepLines w:val="0"/>
        <w:keepNext w:val="0"/>
        <w:pageBreakBefore w:val="0"/>
        <w:spacing w:line="42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四、所供货物保证符合国家有关产品质量、性能和安全标准，无权利瑕疵。</w:t>
      </w:r>
      <w:r/>
    </w:p>
    <w:p>
      <w:pPr>
        <w:ind w:left="0" w:right="0" w:firstLine="482"/>
        <w:keepLines w:val="0"/>
        <w:keepNext w:val="0"/>
        <w:pageBreakBefore w:val="0"/>
        <w:spacing w:line="42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五、报价有效期为30个工作日。</w:t>
      </w:r>
      <w:r/>
    </w:p>
    <w:p>
      <w:pPr>
        <w:ind w:left="0" w:right="0" w:firstLine="482"/>
        <w:keepLines w:val="0"/>
        <w:keepNext w:val="0"/>
        <w:pageBreakBefore w:val="0"/>
        <w:spacing w:line="42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六、同意向贵方提供贵方可能要求的与本次磋商采购有关的任何证据或资料。</w:t>
      </w:r>
      <w:r/>
    </w:p>
    <w:p>
      <w:pPr>
        <w:ind w:left="0" w:right="0" w:firstLine="482"/>
        <w:keepLines w:val="0"/>
        <w:keepNext w:val="0"/>
        <w:pageBreakBefore w:val="0"/>
        <w:spacing w:line="42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七、完全理解贵方不一定要接受最低的报价或收到的任何报价。</w:t>
      </w:r>
      <w:r/>
    </w:p>
    <w:p>
      <w:pPr>
        <w:ind w:left="0" w:right="0" w:firstLine="482"/>
        <w:keepLines w:val="0"/>
        <w:keepNext w:val="0"/>
        <w:pageBreakBefore w:val="0"/>
        <w:spacing w:line="42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八、</w:t>
      </w:r>
      <w:r>
        <w:rPr>
          <w:rFonts w:hint="eastAsia" w:ascii="宋体" w:hAnsi="宋体" w:cs="宋体"/>
          <w:color w:val="auto"/>
          <w:sz w:val="24"/>
          <w:highlight w:val="none"/>
          <w:lang w:eastAsia="zh-CN"/>
        </w:rPr>
        <w:t xml:space="preserve">徐州迈迅项目管理咨询有限公司</w:t>
      </w:r>
      <w:r>
        <w:rPr>
          <w:rFonts w:hint="eastAsia" w:ascii="宋体" w:hAnsi="宋体" w:eastAsia="宋体" w:cs="宋体"/>
          <w:color w:val="auto"/>
          <w:sz w:val="24"/>
          <w:highlight w:val="none"/>
        </w:rPr>
        <w:t xml:space="preserve">有权将我单位本项目的《磋商报价表》和《分项价格表》予以公示，公示的方式由</w:t>
      </w:r>
      <w:r>
        <w:rPr>
          <w:rFonts w:hint="eastAsia" w:ascii="宋体" w:hAnsi="宋体" w:cs="宋体"/>
          <w:color w:val="auto"/>
          <w:sz w:val="24"/>
          <w:highlight w:val="none"/>
          <w:lang w:eastAsia="zh-CN"/>
        </w:rPr>
        <w:t xml:space="preserve">徐州迈迅项目管理咨询有限公司</w:t>
      </w:r>
      <w:r>
        <w:rPr>
          <w:rFonts w:hint="eastAsia" w:ascii="宋体" w:hAnsi="宋体" w:eastAsia="宋体" w:cs="宋体"/>
          <w:color w:val="auto"/>
          <w:sz w:val="24"/>
          <w:highlight w:val="none"/>
        </w:rPr>
        <w:t xml:space="preserve">确定。</w:t>
      </w:r>
      <w:r/>
    </w:p>
    <w:p>
      <w:pPr>
        <w:ind w:left="0" w:right="0" w:firstLine="482"/>
        <w:keepLines w:val="0"/>
        <w:keepNext w:val="0"/>
        <w:pageBreakBefore w:val="0"/>
        <w:spacing w:line="420" w:lineRule="exact"/>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righ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eastAsia="zh-CN"/>
        </w:rPr>
        <w:t xml:space="preserve">电子签章</w:t>
      </w:r>
      <w:r>
        <w:rPr>
          <w:rFonts w:hint="eastAsia" w:ascii="宋体" w:hAnsi="宋体" w:eastAsia="宋体" w:cs="宋体"/>
          <w:color w:val="auto"/>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联系电话： </w:t>
      </w:r>
      <w:r/>
    </w:p>
    <w:p>
      <w:pPr>
        <w:ind w:left="0" w:righ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ind w:left="0" w:right="0" w:firstLine="562"/>
        <w:jc w:val="center"/>
        <w:keepLines w:val="0"/>
        <w:keepNext w:val="0"/>
        <w:pageBreakBefore w:val="0"/>
        <w:spacing w:line="360" w:lineRule="auto"/>
        <w:widowControl w:val="off"/>
        <w:rPr>
          <w:rFonts w:hint="eastAsia" w:ascii="宋体" w:hAnsi="宋体" w:eastAsia="宋体" w:cs="宋体"/>
          <w:b/>
          <w:color w:val="auto"/>
          <w:sz w:val="36"/>
          <w:highlight w:val="none"/>
        </w:rPr>
        <w:outlineLvl w:val="0"/>
      </w:pPr>
      <w:r>
        <w:rPr>
          <w:rFonts w:hint="eastAsia" w:ascii="宋体" w:hAnsi="宋体" w:eastAsia="宋体" w:cs="宋体"/>
          <w:b/>
          <w:bCs/>
          <w:color w:val="auto"/>
          <w:sz w:val="28"/>
          <w:highlight w:val="none"/>
        </w:rPr>
        <w:br w:type="page" w:clear="all"/>
      </w:r>
      <w:r>
        <w:rPr>
          <w:rFonts w:hint="eastAsia" w:ascii="宋体" w:hAnsi="宋体" w:eastAsia="宋体" w:cs="宋体"/>
          <w:b/>
          <w:color w:val="auto"/>
          <w:sz w:val="36"/>
          <w:highlight w:val="none"/>
        </w:rPr>
        <w:t xml:space="preserve">8、授权委托书</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               </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                  先生（女士）</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 xml:space="preserve">新沂市2025年农产品质量安全风险监测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u w:val="single"/>
          <w:lang w:eastAsia="zh-CN"/>
        </w:rPr>
        <w:t xml:space="preserve">JSZC-320381-XZMX-C2026-0007</w:t>
      </w:r>
      <w:r>
        <w:rPr>
          <w:rFonts w:hint="eastAsia" w:ascii="宋体" w:hAnsi="宋体" w:eastAsia="宋体" w:cs="宋体"/>
          <w:color w:val="auto"/>
          <w:sz w:val="24"/>
          <w:highlight w:val="none"/>
        </w:rPr>
        <w:t xml:space="preserve">]的磋商活动及签订合同。（</w:t>
      </w: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  ）以我企业（公司）名义所为的行为及签署的文件，我企业（公司）均予以认可。有关法律责任均由我企业（公司）承担。（         ）无转委托权。委托期限自    年  月   日起至    年   月    日止。</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w:t>
      </w:r>
      <w:r>
        <w:rPr>
          <w:rFonts w:hint="eastAsia" w:ascii="宋体" w:hAnsi="宋体" w:eastAsia="宋体" w:cs="宋体"/>
          <w:color w:val="auto"/>
          <w:sz w:val="24"/>
          <w:highlight w:val="none"/>
          <w:lang w:eastAsia="zh-CN"/>
        </w:rPr>
        <w:t xml:space="preserve">电子签章</w:t>
      </w:r>
      <w:r>
        <w:rPr>
          <w:rFonts w:hint="eastAsia" w:ascii="宋体" w:hAnsi="宋体" w:eastAsia="宋体" w:cs="宋体"/>
          <w:color w:val="auto"/>
          <w:sz w:val="24"/>
          <w:highlight w:val="none"/>
        </w:rPr>
        <w:t xml:space="preserve">）：</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w:t>
      </w:r>
      <w:r>
        <w:rPr>
          <w:rFonts w:hint="eastAsia" w:ascii="宋体" w:hAnsi="宋体" w:eastAsia="宋体" w:cs="宋体"/>
          <w:color w:val="auto"/>
          <w:sz w:val="24"/>
          <w:highlight w:val="none"/>
          <w:lang w:eastAsia="zh-CN"/>
        </w:rPr>
        <w:t xml:space="preserve">签章</w:t>
      </w:r>
      <w:r>
        <w:rPr>
          <w:rFonts w:hint="eastAsia" w:ascii="宋体" w:hAnsi="宋体" w:eastAsia="宋体" w:cs="宋体"/>
          <w:color w:val="auto"/>
          <w:sz w:val="24"/>
          <w:highlight w:val="none"/>
        </w:rPr>
        <w:t xml:space="preserve">）：</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受托人（签字）：</w:t>
      </w:r>
      <w:r/>
    </w:p>
    <w:p>
      <w:pPr>
        <w:ind w:firstLine="624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法定代表人</w:t>
      </w:r>
      <w:r>
        <w:rPr>
          <w:rFonts w:hint="eastAsia" w:ascii="宋体" w:hAnsi="宋体" w:eastAsia="宋体" w:cs="宋体"/>
          <w:color w:val="auto"/>
          <w:sz w:val="24"/>
          <w:highlight w:val="none"/>
        </w:rPr>
        <w:t xml:space="preserve">及</w:t>
      </w:r>
      <w:r>
        <w:rPr>
          <w:rFonts w:hint="eastAsia" w:ascii="宋体" w:hAnsi="宋体" w:eastAsia="宋体" w:cs="宋体"/>
          <w:b/>
          <w:bCs/>
          <w:color w:val="auto"/>
          <w:sz w:val="24"/>
          <w:highlight w:val="none"/>
        </w:rPr>
        <w:t xml:space="preserve">受托人</w:t>
      </w:r>
      <w:r>
        <w:rPr>
          <w:rFonts w:hint="eastAsia" w:ascii="宋体" w:hAnsi="宋体" w:eastAsia="宋体" w:cs="宋体"/>
          <w:color w:val="auto"/>
          <w:sz w:val="24"/>
          <w:highlight w:val="none"/>
        </w:rPr>
        <w:t xml:space="preserve">身份证扫描件附后)</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p>
    <w:p>
      <w:pPr>
        <w:jc w:val="center"/>
        <w:keepLines w:val="0"/>
        <w:keepNext w:val="0"/>
        <w:pageBreakBefore w:val="0"/>
        <w:spacing w:before="100" w:beforeAutospacing="1" w:after="100" w:afterAutospacing="1" w:line="360" w:lineRule="auto"/>
        <w:widowControl/>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9、中小企业声明函</w:t>
      </w:r>
      <w:r/>
    </w:p>
    <w:p>
      <w:pPr>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新沂市2025年农产品质量安全风险监测</w:t>
      </w:r>
      <w:r/>
    </w:p>
    <w:p>
      <w:pPr>
        <w:numPr>
          <w:ilvl w:val="0"/>
          <w:numId w:val="0"/>
        </w:num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JSZC-320381-XZMX-C2026-0007</w:t>
      </w:r>
      <w:r/>
    </w:p>
    <w:p>
      <w:pPr>
        <w:numPr>
          <w:ilvl w:val="0"/>
          <w:numId w:val="0"/>
        </w:num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rPr>
        <w:t xml:space="preserve">（</w:t>
      </w:r>
      <w:r>
        <w:rPr>
          <w:rFonts w:hint="eastAsia" w:ascii="宋体" w:hAnsi="宋体" w:cs="宋体"/>
          <w:color w:val="auto"/>
          <w:sz w:val="24"/>
          <w:szCs w:val="24"/>
          <w:highlight w:val="none"/>
          <w:u w:val="single"/>
          <w:lang w:val="en-US" w:eastAsia="zh-CN"/>
        </w:rPr>
        <w:t xml:space="preserve">新沂市农业农村局</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新沂市2025年农产品质量安全风险监测</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采购活动，服务全部由符合政策要求的中小企业承接。相关企业的具体情况如下：</w:t>
      </w:r>
      <w:r/>
    </w:p>
    <w:p>
      <w:pPr>
        <w:numPr>
          <w:ilvl w:val="0"/>
          <w:numId w:val="7"/>
        </w:numPr>
        <w:ind w:firstLine="480"/>
        <w:jc w:val="left"/>
        <w:keepLines w:val="0"/>
        <w:keepNext w:val="0"/>
        <w:pageBreakBefore w:val="0"/>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eastAsia="zh-CN"/>
        </w:rPr>
        <w:t xml:space="preserve">新沂市2025年农产品质量安全风险监测</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u w:val="none"/>
          <w:lang w:eastAsia="zh-CN"/>
        </w:rPr>
        <w:t xml:space="preserve">。</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600"/>
        <w:jc w:val="left"/>
        <w:keepLines w:val="0"/>
        <w:keepNext w:val="0"/>
        <w:pageBreakBefore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432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w:t>
      </w:r>
      <w:r>
        <w:rPr>
          <w:rFonts w:hint="eastAsia" w:ascii="宋体" w:hAnsi="宋体" w:eastAsia="宋体" w:cs="宋体"/>
          <w:color w:val="auto"/>
          <w:sz w:val="24"/>
          <w:highlight w:val="none"/>
          <w:lang w:eastAsia="zh-CN"/>
        </w:rPr>
        <w:t xml:space="preserve">电子签章</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                                日期：</w:t>
      </w:r>
      <w:r/>
    </w:p>
    <w:p>
      <w:pPr>
        <w:jc w:val="left"/>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color w:val="auto"/>
          <w:szCs w:val="21"/>
          <w:highlight w:val="none"/>
        </w:rPr>
        <w:br/>
      </w:r>
      <w:r/>
    </w:p>
    <w:p>
      <w:pPr>
        <w:pStyle w:val="875"/>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keepLines w:val="0"/>
        <w:keepNext w:val="0"/>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b/>
          <w:color w:val="auto"/>
          <w:sz w:val="24"/>
          <w:highlight w:val="none"/>
        </w:rPr>
        <w:t xml:space="preserve">备注：1.从业人员、营业收入、资产总额填报上一年度数据，无上一年度数据的新成立企业可不填报。</w:t>
      </w:r>
      <w:r/>
    </w:p>
    <w:p>
      <w:pPr>
        <w:numPr>
          <w:ilvl w:val="0"/>
          <w:numId w:val="8"/>
        </w:numPr>
        <w:ind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本项目采购标的属于</w:t>
      </w:r>
      <w:r>
        <w:rPr>
          <w:rFonts w:hint="eastAsia" w:ascii="宋体" w:hAnsi="宋体" w:eastAsia="宋体" w:cs="宋体"/>
          <w:b/>
          <w:color w:val="auto"/>
          <w:sz w:val="24"/>
          <w:highlight w:val="none"/>
          <w:u w:val="single"/>
        </w:rPr>
        <w:t xml:space="preserve">其他未列明行业</w:t>
      </w:r>
      <w:r>
        <w:rPr>
          <w:rFonts w:hint="eastAsia" w:ascii="宋体" w:hAnsi="宋体" w:eastAsia="宋体" w:cs="宋体"/>
          <w:b/>
          <w:color w:val="auto"/>
          <w:sz w:val="24"/>
          <w:highlight w:val="none"/>
          <w:u w:val="single"/>
          <w:lang w:eastAsia="zh-CN"/>
        </w:rPr>
        <w:t xml:space="preserve">。</w:t>
      </w:r>
      <w:r/>
    </w:p>
    <w:p>
      <w:pPr>
        <w:ind w:firstLine="482"/>
        <w:jc w:val="left"/>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rPr>
        <w:t xml:space="preserve">3.中小企业规模类型自测小程序：</w:t>
      </w:r>
      <w:r>
        <w:rPr>
          <w:color w:val="auto"/>
          <w:highlight w:val="none"/>
        </w:rPr>
        <w:fldChar w:fldCharType="begin"/>
      </w:r>
      <w:r>
        <w:rPr>
          <w:color w:val="auto"/>
          <w:highlight w:val="none"/>
        </w:rPr>
        <w:instrText xml:space="preserve"> HYPERLINK "https://baosong.miit.gov.cn/ScaleTest" </w:instrText>
      </w:r>
      <w:r>
        <w:rPr>
          <w:color w:val="auto"/>
          <w:highlight w:val="none"/>
        </w:rPr>
        <w:fldChar w:fldCharType="separate"/>
      </w:r>
      <w:r>
        <w:rPr>
          <w:rStyle w:val="880"/>
          <w:rFonts w:hint="eastAsia" w:ascii="宋体" w:hAnsi="宋体" w:cs="宋体"/>
          <w:b/>
          <w:color w:val="auto"/>
          <w:sz w:val="24"/>
          <w:highlight w:val="none"/>
        </w:rPr>
        <w:t xml:space="preserve">https://baosong.miit.gov.cn/ScaleTest</w:t>
      </w:r>
      <w:r>
        <w:rPr>
          <w:rStyle w:val="880"/>
          <w:rFonts w:hint="eastAsia" w:ascii="宋体" w:hAnsi="宋体" w:cs="宋体"/>
          <w:b/>
          <w:color w:val="auto"/>
          <w:sz w:val="24"/>
          <w:highlight w:val="none"/>
        </w:rPr>
        <w:fldChar w:fldCharType="end"/>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keepLines w:val="0"/>
        <w:keepNext w:val="0"/>
        <w:pageBreakBefore w:val="0"/>
        <w:spacing w:line="360" w:lineRule="auto"/>
        <w:widowControl w:val="off"/>
        <w:rPr>
          <w:rFonts w:hint="eastAsia" w:ascii="宋体" w:hAnsi="宋体" w:eastAsia="宋体" w:cs="宋体"/>
          <w:b/>
          <w:color w:val="auto"/>
          <w:sz w:val="36"/>
          <w:szCs w:val="36"/>
          <w:highlight w:val="none"/>
        </w:rPr>
        <w:outlineLvl w:val="0"/>
      </w:pPr>
      <w:r>
        <w:rPr>
          <w:rFonts w:hint="eastAsia" w:ascii="宋体" w:hAnsi="宋体" w:eastAsia="宋体" w:cs="宋体"/>
          <w:b/>
          <w:bCs/>
          <w:color w:val="auto"/>
          <w:sz w:val="36"/>
          <w:szCs w:val="36"/>
          <w:highlight w:val="none"/>
        </w:rPr>
        <w:t xml:space="preserve">10</w:t>
      </w:r>
      <w:r>
        <w:rPr>
          <w:rFonts w:hint="eastAsia" w:ascii="宋体" w:hAnsi="宋体" w:eastAsia="宋体" w:cs="宋体"/>
          <w:color w:val="auto"/>
          <w:sz w:val="36"/>
          <w:szCs w:val="36"/>
          <w:highlight w:val="none"/>
        </w:rPr>
        <w:t xml:space="preserve">、</w:t>
      </w:r>
      <w:r>
        <w:rPr>
          <w:rFonts w:hint="eastAsia" w:ascii="宋体" w:hAnsi="宋体" w:eastAsia="宋体" w:cs="宋体"/>
          <w:b/>
          <w:color w:val="auto"/>
          <w:sz w:val="36"/>
          <w:szCs w:val="36"/>
          <w:highlight w:val="none"/>
        </w:rPr>
        <w:t xml:space="preserve">供应商参加政府采购活动前3年内在经营活动中没有重大违法记录的书面声明</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cs="宋体"/>
          <w:color w:val="auto"/>
          <w:sz w:val="24"/>
          <w:highlight w:val="none"/>
          <w:u w:val="single"/>
          <w:lang w:eastAsia="zh-CN"/>
        </w:rPr>
        <w:t xml:space="preserve">新沂市2025年农产品质量安全风险监测</w:t>
      </w: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u w:val="single"/>
          <w:lang w:eastAsia="zh-CN"/>
        </w:rPr>
        <w:t xml:space="preserve">JSZC-320381-XZMX-C2026-0007</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right="29"/>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right="29"/>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eastAsia="zh-CN"/>
        </w:rPr>
        <w:t xml:space="preserve">电子签章</w:t>
      </w:r>
      <w:r>
        <w:rPr>
          <w:rFonts w:hint="eastAsia" w:ascii="宋体" w:hAnsi="宋体" w:eastAsia="宋体" w:cs="宋体"/>
          <w:color w:val="auto"/>
          <w:sz w:val="24"/>
          <w:highlight w:val="none"/>
        </w:rPr>
        <w:t xml:space="preserve">）：</w:t>
      </w:r>
      <w:r/>
    </w:p>
    <w:p>
      <w:pPr>
        <w:ind w:right="29"/>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keepLines w:val="0"/>
        <w:keepNext w:val="0"/>
        <w:pageBreakBefore w:val="0"/>
        <w:spacing w:line="360" w:lineRule="auto"/>
        <w:rPr>
          <w:rFonts w:hint="eastAsia" w:ascii="宋体" w:hAnsi="宋体" w:eastAsia="宋体" w:cs="宋体"/>
          <w:b/>
          <w:color w:val="auto"/>
          <w:sz w:val="36"/>
          <w:szCs w:val="36"/>
          <w:highlight w:val="none"/>
        </w:rPr>
      </w:pPr>
      <w:r/>
      <w:bookmarkStart w:id="19" w:name="OLE_LINK14"/>
      <w:r/>
      <w:bookmarkStart w:id="20" w:name="OLE_LINK13"/>
      <w:r>
        <w:rPr>
          <w:rFonts w:hint="eastAsia" w:ascii="宋体" w:hAnsi="宋体" w:eastAsia="宋体" w:cs="宋体"/>
          <w:b/>
          <w:color w:val="auto"/>
          <w:sz w:val="36"/>
          <w:szCs w:val="36"/>
          <w:highlight w:val="none"/>
        </w:rPr>
        <w:br w:type="page" w:clear="all"/>
      </w:r>
      <w:r/>
    </w:p>
    <w:p>
      <w:pPr>
        <w:jc w:val="center"/>
        <w:keepLines w:val="0"/>
        <w:keepNext w:val="0"/>
        <w:pageBreakBefore w:val="0"/>
        <w:spacing w:line="360" w:lineRule="auto"/>
        <w:widowControl w:val="off"/>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11、残疾人福利性单位声明函</w:t>
      </w:r>
      <w:bookmarkEnd w:id="19"/>
      <w:r/>
      <w:bookmarkEnd w:id="20"/>
      <w:r/>
      <w:r/>
    </w:p>
    <w:p>
      <w:pPr>
        <w:jc w:val="cente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新沂市2025年农产品质量安全风险监测</w:t>
      </w:r>
      <w:r/>
    </w:p>
    <w:p>
      <w:pPr>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lang w:eastAsia="zh-CN"/>
        </w:rPr>
        <w:t xml:space="preserve">JSZC-320381-XZMX-C2026-0007</w:t>
      </w:r>
      <w:r/>
    </w:p>
    <w:p>
      <w:pPr>
        <w:ind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keepLines w:val="0"/>
        <w:keepNext w:val="0"/>
        <w:pageBreakBefore w:val="0"/>
        <w:spacing w:line="360" w:lineRule="auto"/>
        <w:tabs>
          <w:tab w:val="left" w:pos="4860" w:leader="none"/>
        </w:tabs>
        <w:rPr>
          <w:rFonts w:hint="eastAsia" w:ascii="宋体" w:hAnsi="宋体" w:eastAsia="宋体" w:cs="宋体"/>
          <w:color w:val="auto"/>
          <w:spacing w:val="6"/>
          <w:sz w:val="24"/>
          <w:highlight w:val="none"/>
        </w:rPr>
        <w:outlineLvl w:val="9"/>
      </w:pPr>
      <w:r>
        <w:rPr>
          <w:rFonts w:hint="eastAsia" w:ascii="宋体" w:hAnsi="宋体" w:eastAsia="宋体" w:cs="宋体"/>
          <w:color w:val="auto"/>
          <w:spacing w:val="6"/>
          <w:sz w:val="24"/>
          <w:highlight w:val="none"/>
        </w:rPr>
        <w:t xml:space="preserve">               </w:t>
      </w:r>
      <w:r>
        <w:rPr>
          <w:rFonts w:hint="eastAsia" w:ascii="宋体" w:hAnsi="宋体" w:eastAsia="宋体" w:cs="宋体"/>
          <w:color w:val="auto"/>
          <w:spacing w:val="6"/>
          <w:sz w:val="24"/>
          <w:highlight w:val="none"/>
          <w:lang w:val="en-US" w:eastAsia="zh-CN"/>
        </w:rPr>
        <w:t xml:space="preserve">     </w:t>
      </w:r>
      <w:r>
        <w:rPr>
          <w:rFonts w:hint="eastAsia" w:ascii="宋体" w:hAnsi="宋体" w:eastAsia="宋体" w:cs="宋体"/>
          <w:color w:val="auto"/>
          <w:spacing w:val="6"/>
          <w:sz w:val="24"/>
          <w:highlight w:val="none"/>
        </w:rPr>
        <w:t xml:space="preserve">单位名称（</w:t>
      </w:r>
      <w:r>
        <w:rPr>
          <w:rFonts w:hint="eastAsia" w:ascii="宋体" w:hAnsi="宋体" w:eastAsia="宋体" w:cs="宋体"/>
          <w:color w:val="auto"/>
          <w:spacing w:val="6"/>
          <w:sz w:val="24"/>
          <w:highlight w:val="none"/>
          <w:lang w:eastAsia="zh-CN"/>
        </w:rPr>
        <w:t xml:space="preserve">电子签章</w:t>
      </w:r>
      <w:r>
        <w:rPr>
          <w:rFonts w:hint="eastAsia" w:ascii="宋体" w:hAnsi="宋体" w:eastAsia="宋体" w:cs="宋体"/>
          <w:color w:val="auto"/>
          <w:spacing w:val="6"/>
          <w:sz w:val="24"/>
          <w:highlight w:val="none"/>
        </w:rPr>
        <w:t xml:space="preserve">）：</w:t>
      </w:r>
      <w:r/>
    </w:p>
    <w:p>
      <w:pPr>
        <w:ind w:right="1560" w:firstLine="504"/>
        <w:jc w:val="center"/>
        <w:keepLines w:val="0"/>
        <w:keepNext w:val="0"/>
        <w:pageBreakBefore w:val="0"/>
        <w:spacing w:line="360" w:lineRule="auto"/>
        <w:tabs>
          <w:tab w:val="left" w:pos="4860" w:leader="none"/>
        </w:tabs>
        <w:rPr>
          <w:rFonts w:hint="eastAsia" w:ascii="宋体" w:hAnsi="宋体" w:eastAsia="宋体" w:cs="宋体"/>
          <w:color w:val="auto"/>
          <w:spacing w:val="6"/>
          <w:sz w:val="24"/>
          <w:highlight w:val="none"/>
        </w:rPr>
        <w:outlineLvl w:val="9"/>
      </w:pPr>
      <w:r>
        <w:rPr>
          <w:rFonts w:hint="eastAsia" w:ascii="宋体" w:hAnsi="宋体" w:eastAsia="宋体" w:cs="宋体"/>
          <w:color w:val="auto"/>
          <w:spacing w:val="6"/>
          <w:sz w:val="24"/>
          <w:highlight w:val="none"/>
        </w:rPr>
        <w:t xml:space="preserve">       日  期：</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b/>
          <w:color w:val="auto"/>
          <w:spacing w:val="6"/>
          <w:sz w:val="36"/>
          <w:szCs w:val="36"/>
          <w:highlight w:val="none"/>
        </w:rPr>
      </w:pPr>
      <w:r>
        <w:rPr>
          <w:rFonts w:hint="eastAsia" w:ascii="宋体" w:hAnsi="宋体" w:eastAsia="宋体" w:cs="宋体"/>
          <w:b/>
          <w:color w:val="auto"/>
          <w:spacing w:val="6"/>
          <w:sz w:val="36"/>
          <w:szCs w:val="36"/>
          <w:highlight w:val="none"/>
        </w:rPr>
        <w:br w:type="page" w:clear="all"/>
      </w:r>
      <w:r/>
    </w:p>
    <w:p>
      <w:pPr>
        <w:jc w:val="center"/>
        <w:keepLines w:val="0"/>
        <w:keepNext w:val="0"/>
        <w:pageBreakBefore w:val="0"/>
        <w:spacing w:line="360" w:lineRule="auto"/>
        <w:rPr>
          <w:rFonts w:hint="eastAsia" w:ascii="宋体" w:hAnsi="宋体" w:eastAsia="宋体" w:cs="宋体"/>
          <w:b/>
          <w:color w:val="auto"/>
          <w:spacing w:val="6"/>
          <w:sz w:val="36"/>
          <w:szCs w:val="36"/>
          <w:highlight w:val="none"/>
        </w:rPr>
        <w:outlineLvl w:val="0"/>
      </w:pPr>
      <w:r>
        <w:rPr>
          <w:rFonts w:hint="eastAsia" w:ascii="宋体" w:hAnsi="宋体" w:eastAsia="宋体" w:cs="宋体"/>
          <w:b/>
          <w:color w:val="auto"/>
          <w:spacing w:val="6"/>
          <w:sz w:val="36"/>
          <w:szCs w:val="36"/>
          <w:highlight w:val="none"/>
        </w:rPr>
        <w:t xml:space="preserve">12、具备履行合同所必需的设备和专业技术能力的书面声明</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新沂市2025年农产品质量安全风险监测</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lang w:eastAsia="zh-CN"/>
        </w:rPr>
        <w:t xml:space="preserve">JSZC-320381-XZMX-C2026-0007</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我单位郑重声明：我单位具备履行合同（项目名称：</w:t>
      </w:r>
      <w:r>
        <w:rPr>
          <w:rFonts w:hint="eastAsia" w:ascii="宋体" w:hAnsi="宋体" w:cs="宋体"/>
          <w:color w:val="auto"/>
          <w:sz w:val="24"/>
          <w:highlight w:val="none"/>
          <w:u w:val="single"/>
          <w:lang w:eastAsia="zh-CN"/>
        </w:rPr>
        <w:t xml:space="preserve">新沂市2025年农产品质量安全风险监测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u w:val="single"/>
          <w:lang w:eastAsia="zh-CN"/>
        </w:rPr>
        <w:t xml:space="preserve">JSZC-320381-XZMX-C2026-0007</w:t>
      </w:r>
      <w:r>
        <w:rPr>
          <w:rFonts w:hint="eastAsia" w:ascii="宋体" w:hAnsi="宋体" w:eastAsia="宋体" w:cs="宋体"/>
          <w:color w:val="auto"/>
          <w:sz w:val="24"/>
          <w:highlight w:val="none"/>
        </w:rPr>
        <w:t xml:space="preserve">）所必需的设备和专业技术能力。</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75"/>
        <w:jc w:val="center"/>
        <w:keepLines w:val="0"/>
        <w:keepNext w:val="0"/>
        <w:pageBreakBefore w:val="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right="29" w:firstLine="396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lang w:eastAsia="zh-CN"/>
        </w:rPr>
        <w:t xml:space="preserve">电子签章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right="29" w:firstLine="3960"/>
        <w:keepLines w:val="0"/>
        <w:keepNext w:val="0"/>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color w:val="auto"/>
          <w:sz w:val="24"/>
          <w:highlight w:val="none"/>
        </w:rPr>
        <w:t xml:space="preserve">日期：</w:t>
      </w:r>
      <w:r/>
    </w:p>
    <w:p>
      <w:pPr>
        <w:keepLines w:val="0"/>
        <w:keepNext w:val="0"/>
        <w:pageBreakBefore w:val="0"/>
        <w:spacing w:line="360" w:lineRule="auto"/>
        <w:rPr>
          <w:rFonts w:hint="eastAsia" w:ascii="宋体" w:hAnsi="宋体" w:eastAsia="宋体" w:cs="宋体"/>
          <w:b/>
          <w:color w:val="auto"/>
          <w:spacing w:val="6"/>
          <w:sz w:val="36"/>
          <w:szCs w:val="36"/>
          <w:highlight w:val="none"/>
        </w:rPr>
      </w:pPr>
      <w:r>
        <w:rPr>
          <w:rFonts w:hint="eastAsia" w:ascii="宋体" w:hAnsi="宋体" w:eastAsia="宋体" w:cs="宋体"/>
          <w:b/>
          <w:color w:val="auto"/>
          <w:spacing w:val="6"/>
          <w:sz w:val="36"/>
          <w:szCs w:val="36"/>
          <w:highlight w:val="none"/>
        </w:rPr>
        <w:br w:type="page" w:clear="all"/>
      </w:r>
      <w:r/>
    </w:p>
    <w:p>
      <w:pPr>
        <w:jc w:val="center"/>
        <w:keepLines w:val="0"/>
        <w:keepNext w:val="0"/>
        <w:pageBreakBefore w:val="0"/>
        <w:spacing w:line="360" w:lineRule="auto"/>
        <w:widowControl w:val="off"/>
        <w:rPr>
          <w:rFonts w:hint="eastAsia" w:ascii="宋体" w:hAnsi="宋体" w:eastAsia="宋体" w:cs="宋体"/>
          <w:b/>
          <w:color w:val="auto"/>
          <w:spacing w:val="6"/>
          <w:sz w:val="36"/>
          <w:szCs w:val="36"/>
          <w:highlight w:val="none"/>
        </w:rPr>
        <w:outlineLvl w:val="0"/>
      </w:pPr>
      <w:r>
        <w:rPr>
          <w:rFonts w:hint="eastAsia" w:ascii="宋体" w:hAnsi="宋体" w:eastAsia="宋体" w:cs="宋体"/>
          <w:b/>
          <w:color w:val="auto"/>
          <w:spacing w:val="6"/>
          <w:sz w:val="36"/>
          <w:szCs w:val="36"/>
          <w:highlight w:val="none"/>
        </w:rPr>
        <w:t xml:space="preserve">1</w:t>
      </w:r>
      <w:r>
        <w:rPr>
          <w:rFonts w:hint="eastAsia" w:ascii="宋体" w:hAnsi="宋体" w:cs="宋体"/>
          <w:b/>
          <w:color w:val="auto"/>
          <w:spacing w:val="6"/>
          <w:sz w:val="36"/>
          <w:szCs w:val="36"/>
          <w:highlight w:val="none"/>
          <w:lang w:val="en-US" w:eastAsia="zh-CN"/>
        </w:rPr>
        <w:t xml:space="preserve">3</w:t>
      </w:r>
      <w:r>
        <w:rPr>
          <w:rFonts w:hint="eastAsia" w:ascii="宋体" w:hAnsi="宋体" w:eastAsia="宋体" w:cs="宋体"/>
          <w:b/>
          <w:color w:val="auto"/>
          <w:spacing w:val="6"/>
          <w:sz w:val="36"/>
          <w:szCs w:val="36"/>
          <w:highlight w:val="none"/>
        </w:rPr>
        <w:t xml:space="preserve">、项目组人员一览表</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新沂市2025年农产品质量安全风险监测</w:t>
      </w:r>
      <w:r/>
    </w:p>
    <w:p>
      <w:pPr>
        <w:keepLines w:val="0"/>
        <w:keepNext w:val="0"/>
        <w:pageBreakBefore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JSZC-320381-XZMX-C2026-0007</w:t>
      </w:r>
      <w:r>
        <w:rPr>
          <w:rFonts w:hint="eastAsia" w:ascii="宋体" w:hAnsi="宋体" w:eastAsia="宋体" w:cs="宋体"/>
          <w:color w:val="auto"/>
          <w:sz w:val="24"/>
          <w:highlight w:val="none"/>
          <w:u w:val="single"/>
          <w:lang w:val="en-US" w:eastAsia="zh-CN"/>
        </w:rPr>
        <w:t xml:space="preserve">   </w:t>
      </w:r>
      <w:r/>
    </w:p>
    <w:tbl>
      <w:tblPr>
        <w:tblStyle w:val="844"/>
        <w:tblW w:w="10676"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0"/>
        <w:gridCol w:w="1104"/>
        <w:gridCol w:w="1203"/>
        <w:gridCol w:w="1092"/>
        <w:gridCol w:w="1076"/>
        <w:gridCol w:w="2134"/>
        <w:gridCol w:w="2134"/>
        <w:gridCol w:w="1143"/>
      </w:tblGrid>
      <w:tr>
        <w:trPr>
          <w:jc w:val="center"/>
          <w:trHeight w:val="81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keepLines w:val="0"/>
              <w:keepNext w:val="0"/>
              <w:pageBreakBefore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104" w:type="dxa"/>
            <w:vAlign w:val="center"/>
            <w:textDirection w:val="lrTb"/>
            <w:noWrap w:val="false"/>
          </w:tcPr>
          <w:p>
            <w:pPr>
              <w:jc w:val="center"/>
              <w:keepLines w:val="0"/>
              <w:keepNext w:val="0"/>
              <w:pageBreakBefore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姓名</w:t>
            </w:r>
            <w:r/>
          </w:p>
        </w:tc>
        <w:tc>
          <w:tcPr>
            <w:tcBorders>
              <w:top w:val="single" w:color="000000" w:sz="6" w:space="0"/>
              <w:left w:val="single" w:color="000000" w:sz="6" w:space="0"/>
              <w:bottom w:val="single" w:color="000000" w:sz="6" w:space="0"/>
              <w:right w:val="single" w:color="000000" w:sz="6" w:space="0"/>
            </w:tcBorders>
            <w:tcW w:w="1203" w:type="dxa"/>
            <w:vAlign w:val="center"/>
            <w:textDirection w:val="lrTb"/>
            <w:noWrap w:val="false"/>
          </w:tcPr>
          <w:p>
            <w:pPr>
              <w:jc w:val="center"/>
              <w:keepLines w:val="0"/>
              <w:keepNext w:val="0"/>
              <w:pageBreakBefore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岗位</w:t>
            </w:r>
            <w:r/>
          </w:p>
        </w:tc>
        <w:tc>
          <w:tcPr>
            <w:tcBorders>
              <w:top w:val="single" w:color="000000" w:sz="6" w:space="0"/>
              <w:left w:val="single" w:color="000000" w:sz="6" w:space="0"/>
              <w:bottom w:val="single" w:color="000000" w:sz="6" w:space="0"/>
              <w:right w:val="single" w:color="000000" w:sz="6" w:space="0"/>
            </w:tcBorders>
            <w:tcW w:w="1092" w:type="dxa"/>
            <w:vAlign w:val="center"/>
            <w:textDirection w:val="lrTb"/>
            <w:noWrap w:val="false"/>
          </w:tcPr>
          <w:p>
            <w:pPr>
              <w:jc w:val="center"/>
              <w:keepLines w:val="0"/>
              <w:keepNext w:val="0"/>
              <w:pageBreakBefore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性别</w:t>
            </w:r>
            <w:r/>
          </w:p>
        </w:tc>
        <w:tc>
          <w:tcPr>
            <w:tcBorders>
              <w:top w:val="single" w:color="000000" w:sz="6" w:space="0"/>
              <w:left w:val="single" w:color="000000" w:sz="6" w:space="0"/>
              <w:bottom w:val="single" w:color="000000" w:sz="6" w:space="0"/>
              <w:right w:val="single" w:color="000000" w:sz="6" w:space="0"/>
            </w:tcBorders>
            <w:tcW w:w="10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Borders>
              <w:top w:val="single" w:color="000000" w:sz="6" w:space="0"/>
              <w:left w:val="single" w:color="000000" w:sz="6" w:space="0"/>
              <w:bottom w:val="single" w:color="000000" w:sz="6" w:space="0"/>
              <w:right w:val="single" w:color="000000" w:sz="6" w:space="0"/>
            </w:tcBorders>
            <w:tcW w:w="21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学历及专业</w:t>
            </w:r>
            <w:r/>
          </w:p>
        </w:tc>
        <w:tc>
          <w:tcPr>
            <w:tcBorders>
              <w:top w:val="single" w:color="000000" w:sz="6" w:space="0"/>
              <w:left w:val="single" w:color="000000" w:sz="6" w:space="0"/>
              <w:bottom w:val="single" w:color="000000" w:sz="6" w:space="0"/>
              <w:right w:val="single" w:color="000000" w:sz="6" w:space="0"/>
            </w:tcBorders>
            <w:tcW w:w="2134" w:type="dxa"/>
            <w:vAlign w:val="center"/>
            <w:textDirection w:val="lrTb"/>
            <w:noWrap w:val="false"/>
          </w:tcPr>
          <w:p>
            <w:pPr>
              <w:jc w:val="center"/>
              <w:keepLines w:val="0"/>
              <w:keepNext w:val="0"/>
              <w:pageBreakBefore w:val="0"/>
              <w:spacing w:line="360" w:lineRule="auto"/>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执业资格</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职称</w:t>
            </w:r>
            <w:r/>
          </w:p>
        </w:tc>
        <w:tc>
          <w:tcPr>
            <w:tcBorders>
              <w:top w:val="single" w:color="000000" w:sz="6" w:space="0"/>
              <w:left w:val="single" w:color="000000" w:sz="6" w:space="0"/>
              <w:bottom w:val="single" w:color="000000" w:sz="6" w:space="0"/>
              <w:right w:val="single" w:color="000000" w:sz="6" w:space="0"/>
            </w:tcBorders>
            <w:tcW w:w="1143" w:type="dxa"/>
            <w:vAlign w:val="center"/>
            <w:textDirection w:val="lrTb"/>
            <w:noWrap w:val="false"/>
          </w:tcPr>
          <w:p>
            <w:pPr>
              <w:jc w:val="center"/>
              <w:keepLines w:val="0"/>
              <w:keepNext w:val="0"/>
              <w:pageBreakBefore w:val="0"/>
              <w:spacing w:line="360" w:lineRule="auto"/>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备注</w:t>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98"/>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843"/>
        </w:trPr>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104"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203"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92"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076"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134"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43" w:type="dxa"/>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注：1.此表仅提供了表格样式，各供应商可参照上述格式自制表格，但应至少包含上述表格内条目。</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2.供应商应如实填写人员情况表，并</w:t>
      </w:r>
      <w:r>
        <w:rPr>
          <w:rFonts w:hint="eastAsia" w:ascii="宋体" w:hAnsi="宋体" w:eastAsia="宋体" w:cs="宋体"/>
          <w:color w:val="auto"/>
          <w:sz w:val="24"/>
          <w:highlight w:val="none"/>
          <w:lang w:eastAsia="zh-CN"/>
        </w:rPr>
        <w:t xml:space="preserve">按《评分细则》中要求</w:t>
      </w:r>
      <w:r>
        <w:rPr>
          <w:rFonts w:hint="eastAsia" w:ascii="宋体" w:hAnsi="宋体" w:eastAsia="宋体" w:cs="宋体"/>
          <w:color w:val="auto"/>
          <w:sz w:val="24"/>
          <w:highlight w:val="none"/>
        </w:rPr>
        <w:t xml:space="preserve">附相关证明材料。</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firstLine="396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lang w:eastAsia="zh-CN"/>
        </w:rPr>
        <w:t xml:space="preserve">电子签章</w:t>
      </w:r>
      <w:r>
        <w:rPr>
          <w:rFonts w:hint="eastAsia" w:ascii="宋体" w:hAnsi="宋体" w:eastAsia="宋体" w:cs="宋体"/>
          <w:color w:val="auto"/>
          <w:sz w:val="24"/>
          <w:highlight w:val="none"/>
        </w:rPr>
        <w:t xml:space="preserve">）：</w:t>
      </w:r>
      <w:r/>
    </w:p>
    <w:p>
      <w:pPr>
        <w:ind w:right="29" w:firstLine="396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keepLines w:val="0"/>
        <w:keepNext w:val="0"/>
        <w:pageBreakBefore w:val="0"/>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keepLines w:val="0"/>
        <w:keepNext w:val="0"/>
        <w:pageBreakBefore w:val="0"/>
        <w:spacing w:line="360" w:lineRule="auto"/>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4</w:t>
      </w:r>
      <w:r>
        <w:rPr>
          <w:rFonts w:hint="eastAsia" w:ascii="宋体" w:hAnsi="宋体" w:eastAsia="宋体" w:cs="宋体"/>
          <w:b/>
          <w:color w:val="auto"/>
          <w:sz w:val="36"/>
          <w:szCs w:val="36"/>
          <w:highlight w:val="none"/>
        </w:rPr>
        <w:t xml:space="preserve">、代理服务收费标准</w:t>
      </w:r>
      <w:r/>
    </w:p>
    <w:tbl>
      <w:tblPr>
        <w:tblStyle w:val="844"/>
        <w:tblW w:w="8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80"/>
        <w:gridCol w:w="3076"/>
      </w:tblGrid>
      <w:tr>
        <w:trPr>
          <w:jc w:val="center"/>
          <w:trHeight w:val="567"/>
        </w:trPr>
        <w:tc>
          <w:tcPr>
            <w:tcW w:w="5280"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中标或者成交金额</w:t>
            </w:r>
            <w:r/>
          </w:p>
        </w:tc>
        <w:tc>
          <w:tcPr>
            <w:tcW w:w="3076"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费率</w:t>
            </w:r>
            <w:r/>
          </w:p>
        </w:tc>
      </w:tr>
      <w:tr>
        <w:trPr>
          <w:jc w:val="center"/>
          <w:trHeight w:val="567"/>
        </w:trPr>
        <w:tc>
          <w:tcPr>
            <w:tcW w:w="528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最低收费金额(每个委托项目)</w:t>
            </w:r>
            <w:r/>
          </w:p>
        </w:tc>
        <w:tc>
          <w:tcPr>
            <w:tcW w:w="30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5000元</w:t>
            </w:r>
            <w:r/>
          </w:p>
        </w:tc>
      </w:tr>
      <w:tr>
        <w:trPr>
          <w:jc w:val="center"/>
          <w:trHeight w:val="567"/>
        </w:trPr>
        <w:tc>
          <w:tcPr>
            <w:tcW w:w="528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50万元以下(含50万元)</w:t>
            </w:r>
            <w:r/>
          </w:p>
        </w:tc>
        <w:tc>
          <w:tcPr>
            <w:tcW w:w="30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r>
      <w:tr>
        <w:trPr>
          <w:jc w:val="center"/>
          <w:trHeight w:val="567"/>
        </w:trPr>
        <w:tc>
          <w:tcPr>
            <w:tcW w:w="528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50-400万元(含400万元)</w:t>
            </w:r>
            <w:r/>
          </w:p>
        </w:tc>
        <w:tc>
          <w:tcPr>
            <w:tcW w:w="30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r>
      <w:tr>
        <w:trPr>
          <w:jc w:val="center"/>
          <w:trHeight w:val="567"/>
        </w:trPr>
        <w:tc>
          <w:tcPr>
            <w:tcW w:w="528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400-1000万元(含1000万元)</w:t>
            </w:r>
            <w:r/>
          </w:p>
        </w:tc>
        <w:tc>
          <w:tcPr>
            <w:tcW w:w="30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r>
      <w:tr>
        <w:trPr>
          <w:jc w:val="center"/>
          <w:trHeight w:val="567"/>
        </w:trPr>
        <w:tc>
          <w:tcPr>
            <w:tcW w:w="528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1000-5000万元(含5000万元)</w:t>
            </w:r>
            <w:r/>
          </w:p>
        </w:tc>
        <w:tc>
          <w:tcPr>
            <w:tcW w:w="30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0.8%</w:t>
            </w:r>
            <w:r/>
          </w:p>
        </w:tc>
      </w:tr>
      <w:tr>
        <w:trPr>
          <w:jc w:val="center"/>
          <w:trHeight w:val="567"/>
        </w:trPr>
        <w:tc>
          <w:tcPr>
            <w:tcW w:w="528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5000-1亿元(含1亿元)</w:t>
            </w:r>
            <w:r/>
          </w:p>
        </w:tc>
        <w:tc>
          <w:tcPr>
            <w:tcW w:w="30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0.25%</w:t>
            </w:r>
            <w:r/>
          </w:p>
        </w:tc>
      </w:tr>
      <w:tr>
        <w:trPr>
          <w:jc w:val="center"/>
          <w:trHeight w:val="567"/>
        </w:trPr>
        <w:tc>
          <w:tcPr>
            <w:tcW w:w="528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1-10亿元(含10亿元)</w:t>
            </w:r>
            <w:r/>
          </w:p>
        </w:tc>
        <w:tc>
          <w:tcPr>
            <w:tcW w:w="30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w:t>
            </w:r>
            <w:r/>
          </w:p>
        </w:tc>
      </w:tr>
      <w:tr>
        <w:trPr>
          <w:jc w:val="center"/>
          <w:trHeight w:val="567"/>
        </w:trPr>
        <w:tc>
          <w:tcPr>
            <w:tcW w:w="528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10-50亿元(含50亿元)</w:t>
            </w:r>
            <w:r/>
          </w:p>
        </w:tc>
        <w:tc>
          <w:tcPr>
            <w:tcW w:w="30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w:t>
            </w:r>
            <w:r/>
          </w:p>
        </w:tc>
      </w:tr>
      <w:tr>
        <w:trPr>
          <w:jc w:val="center"/>
          <w:trHeight w:val="567"/>
        </w:trPr>
        <w:tc>
          <w:tcPr>
            <w:tcW w:w="528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50亿元以上</w:t>
            </w:r>
            <w:r/>
          </w:p>
        </w:tc>
        <w:tc>
          <w:tcPr>
            <w:tcW w:w="307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0.005%</w:t>
            </w:r>
            <w:r/>
          </w:p>
        </w:tc>
      </w:tr>
    </w:tbl>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1.按上表计算的收费为代理服务全过程的收费金额。</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2.代理服务费按差额定率累进法计算。</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3.代理服务费基准金额(按差额定率累进法计算的)=中标金额(按差额定率累进法计算的)*费率(%)</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5.定点类等无金额或事先不能计算出价格总额的项目，按中标(成交)金额按100万元计算。</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6.有分包(分标段)的以一个项目计算。</w:t>
      </w:r>
      <w:r/>
    </w:p>
    <w:p>
      <w:pPr>
        <w:keepLines w:val="0"/>
        <w:keepNext w:val="0"/>
        <w:pageBreakBefore w:val="0"/>
        <w:spacing w:line="360" w:lineRule="auto"/>
        <w:rPr>
          <w:rFonts w:hint="eastAsia"/>
          <w:color w:val="auto"/>
          <w:highlight w:val="none"/>
        </w:rPr>
      </w:pPr>
      <w:r>
        <w:rPr>
          <w:rFonts w:hint="eastAsia"/>
          <w:color w:val="auto"/>
          <w:highlight w:val="none"/>
        </w:rPr>
      </w:r>
      <w:r/>
    </w:p>
    <w:sectPr>
      <w:footerReference w:type="default" r:id="rId15"/>
      <w:footerReference w:type="first" r:id="rId16"/>
      <w:footnotePr/>
      <w:endnotePr/>
      <w:type w:val="nextPage"/>
      <w:pgSz w:w="11906" w:h="16838" w:orient="portrait"/>
      <w:pgMar w:top="1134" w:right="1440" w:bottom="1134" w:left="1440"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方正仿宋_GBK">
    <w:panose1 w:val="020B0503020202020204"/>
  </w:font>
  <w:font w:name="Cambria">
    <w:panose1 w:val="02040503050406030204"/>
  </w:font>
  <w:font w:name="方正黑体_GBK">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rStyle w:val="879"/>
      </w:rPr>
      <w:framePr w:wrap="around" w:vAnchor="text" w:hAnchor="margin" w:xAlign="center" w:y="1"/>
    </w:pPr>
    <w:r>
      <w:fldChar w:fldCharType="begin"/>
    </w:r>
    <w:r>
      <w:rPr>
        <w:rStyle w:val="879"/>
      </w:rPr>
      <w:instrText xml:space="preserve">PAGE  </w:instrText>
    </w:r>
    <w:r>
      <w:fldChar w:fldCharType="end"/>
    </w:r>
    <w:r/>
  </w:p>
  <w:p>
    <w:pPr>
      <w:pStyle w:val="8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0"/>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rPr>
        <w:rFonts w:hint="default" w:eastAsia="宋体"/>
        <w:lang w:val="en-US" w:eastAsia="zh-CN"/>
      </w:rPr>
    </w:pPr>
    <w:r>
      <w:rPr>
        <w:rFonts w:hint="eastAsia"/>
        <w:lang w:val="en-US" w:eastAsia="zh-CN"/>
      </w:rPr>
      <w:t xml:space="preserve">—2—</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7"/>
  </w:num>
  <w:num w:numId="4">
    <w:abstractNumId w:val="2"/>
  </w:num>
  <w:num w:numId="5">
    <w:abstractNumId w:val="0"/>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3" w:default="1">
    <w:name w:val="Normal"/>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name w:val="Heading 1"/>
    <w:basedOn w:val="833"/>
    <w:next w:val="833"/>
    <w:uiPriority w:val="0"/>
    <w:qFormat/>
    <w:pPr>
      <w:ind w:firstLine="640"/>
      <w:spacing w:line="580" w:lineRule="exact"/>
      <w:outlineLvl w:val="0"/>
    </w:pPr>
    <w:rPr>
      <w:rFonts w:ascii="方正黑体_GBK" w:hAnsi="Times New Roman" w:eastAsia="方正黑体_GBK" w:cs="Times New Roman"/>
    </w:rPr>
  </w:style>
  <w:style w:type="paragraph" w:styleId="835">
    <w:name w:val="Heading 2"/>
    <w:basedOn w:val="833"/>
    <w:next w:val="833"/>
    <w:uiPriority w:val="0"/>
    <w:qFormat/>
    <w:pPr>
      <w:keepLines/>
      <w:keepNext/>
      <w:spacing w:before="260" w:after="260" w:line="412" w:lineRule="auto"/>
      <w:outlineLvl w:val="1"/>
    </w:pPr>
    <w:rPr>
      <w:rFonts w:ascii="Arial" w:hAnsi="Arial" w:eastAsia="黑体" w:cs="Times New Roman"/>
      <w:sz w:val="32"/>
      <w:szCs w:val="32"/>
    </w:rPr>
  </w:style>
  <w:style w:type="paragraph" w:styleId="836">
    <w:name w:val="Heading 3"/>
    <w:basedOn w:val="833"/>
    <w:next w:val="833"/>
    <w:uiPriority w:val="0"/>
    <w:qFormat/>
    <w:pPr>
      <w:keepLines/>
      <w:keepNext/>
      <w:spacing w:before="260" w:after="260" w:line="416" w:lineRule="auto"/>
      <w:outlineLvl w:val="2"/>
    </w:pPr>
    <w:rPr>
      <w:b/>
      <w:bCs/>
      <w:sz w:val="32"/>
      <w:szCs w:val="32"/>
    </w:rPr>
  </w:style>
  <w:style w:type="paragraph" w:styleId="837">
    <w:name w:val="Heading 4"/>
    <w:basedOn w:val="833"/>
    <w:next w:val="833"/>
    <w:link w:val="932"/>
    <w:uiPriority w:val="9"/>
    <w:qFormat/>
    <w:pPr>
      <w:keepLines/>
      <w:keepNext/>
      <w:spacing w:before="320" w:after="200"/>
      <w:outlineLvl w:val="3"/>
    </w:pPr>
    <w:rPr>
      <w:rFonts w:ascii="Arial" w:hAnsi="Arial" w:eastAsia="Arial" w:cs="Arial"/>
      <w:b/>
      <w:bCs/>
      <w:sz w:val="26"/>
      <w:szCs w:val="26"/>
    </w:rPr>
  </w:style>
  <w:style w:type="paragraph" w:styleId="838">
    <w:name w:val="Heading 5"/>
    <w:basedOn w:val="833"/>
    <w:next w:val="833"/>
    <w:link w:val="933"/>
    <w:uiPriority w:val="9"/>
    <w:qFormat/>
    <w:pPr>
      <w:keepLines/>
      <w:keepNext/>
      <w:spacing w:before="320" w:after="200"/>
      <w:outlineLvl w:val="4"/>
    </w:pPr>
    <w:rPr>
      <w:rFonts w:ascii="Arial" w:hAnsi="Arial" w:eastAsia="Arial" w:cs="Arial"/>
      <w:b/>
      <w:bCs/>
      <w:sz w:val="24"/>
      <w:szCs w:val="24"/>
    </w:rPr>
  </w:style>
  <w:style w:type="paragraph" w:styleId="839">
    <w:name w:val="Heading 6"/>
    <w:basedOn w:val="833"/>
    <w:next w:val="833"/>
    <w:link w:val="934"/>
    <w:uiPriority w:val="9"/>
    <w:qFormat/>
    <w:pPr>
      <w:keepLines/>
      <w:keepNext/>
      <w:spacing w:before="320" w:after="200"/>
      <w:outlineLvl w:val="5"/>
    </w:pPr>
    <w:rPr>
      <w:rFonts w:ascii="Arial" w:hAnsi="Arial" w:eastAsia="Arial" w:cs="Arial"/>
      <w:b/>
      <w:bCs/>
      <w:sz w:val="22"/>
      <w:szCs w:val="22"/>
    </w:rPr>
  </w:style>
  <w:style w:type="paragraph" w:styleId="840">
    <w:name w:val="Heading 7"/>
    <w:basedOn w:val="833"/>
    <w:next w:val="833"/>
    <w:link w:val="935"/>
    <w:uiPriority w:val="9"/>
    <w:qFormat/>
    <w:pPr>
      <w:keepLines/>
      <w:keepNext/>
      <w:spacing w:before="320" w:after="200"/>
      <w:outlineLvl w:val="6"/>
    </w:pPr>
    <w:rPr>
      <w:rFonts w:ascii="Arial" w:hAnsi="Arial" w:eastAsia="Arial" w:cs="Arial"/>
      <w:b/>
      <w:bCs/>
      <w:i/>
      <w:iCs/>
      <w:sz w:val="22"/>
      <w:szCs w:val="22"/>
    </w:rPr>
  </w:style>
  <w:style w:type="paragraph" w:styleId="841">
    <w:name w:val="Heading 8"/>
    <w:basedOn w:val="833"/>
    <w:next w:val="833"/>
    <w:link w:val="936"/>
    <w:uiPriority w:val="9"/>
    <w:qFormat/>
    <w:pPr>
      <w:keepLines/>
      <w:keepNext/>
      <w:spacing w:before="320" w:after="200"/>
      <w:outlineLvl w:val="7"/>
    </w:pPr>
    <w:rPr>
      <w:rFonts w:ascii="Arial" w:hAnsi="Arial" w:eastAsia="Arial" w:cs="Arial"/>
      <w:i/>
      <w:iCs/>
      <w:sz w:val="22"/>
      <w:szCs w:val="22"/>
    </w:rPr>
  </w:style>
  <w:style w:type="paragraph" w:styleId="842">
    <w:name w:val="Heading 9"/>
    <w:basedOn w:val="833"/>
    <w:next w:val="833"/>
    <w:link w:val="937"/>
    <w:uiPriority w:val="9"/>
    <w:qFormat/>
    <w:pPr>
      <w:keepLines/>
      <w:keepNext/>
      <w:spacing w:before="320" w:after="200"/>
      <w:outlineLvl w:val="8"/>
    </w:pPr>
    <w:rPr>
      <w:rFonts w:ascii="Arial" w:hAnsi="Arial" w:eastAsia="Arial" w:cs="Arial"/>
      <w:i/>
      <w:iCs/>
      <w:sz w:val="21"/>
      <w:szCs w:val="21"/>
    </w:rPr>
  </w:style>
  <w:style w:type="character" w:styleId="843" w:default="1">
    <w:name w:val="Default Paragraph Font"/>
    <w:uiPriority w:val="0"/>
    <w:qFormat/>
    <w:rPr>
      <w:rFonts w:ascii="Times New Roman" w:hAnsi="Times New Roman" w:eastAsia="宋体" w:cs="Times New Roman"/>
    </w:rPr>
  </w:style>
  <w:style w:type="table" w:styleId="844" w:default="1">
    <w:name w:val="Normal Table"/>
    <w:uiPriority w:val="0"/>
    <w:qFormat/>
    <w:rPr>
      <w:rFonts w:ascii="Times New Roman" w:hAnsi="Times New Roman" w:eastAsia="宋体" w:cs="Times New Roman"/>
    </w:rPr>
    <w:tblPr>
      <w:tblCellMar>
        <w:left w:w="108" w:type="dxa"/>
        <w:top w:w="0" w:type="dxa"/>
        <w:right w:w="108" w:type="dxa"/>
        <w:bottom w:w="0" w:type="dxa"/>
      </w:tblCellMar>
    </w:tblPr>
  </w:style>
  <w:style w:type="paragraph" w:styleId="845">
    <w:name w:val="Block Text"/>
    <w:basedOn w:val="833"/>
    <w:next w:val="833"/>
    <w:uiPriority w:val="0"/>
    <w:qFormat/>
    <w:pPr>
      <w:ind w:left="630" w:right="-609" w:firstLine="420"/>
      <w:spacing w:line="360" w:lineRule="auto"/>
    </w:pPr>
    <w:rPr>
      <w:rFonts w:hint="eastAsia" w:ascii="仿宋_GB2312" w:hAnsi="Times New Roman" w:eastAsia="仿宋_GB2312" w:cs="Times New Roman"/>
      <w:sz w:val="24"/>
      <w:lang w:val="en-US" w:eastAsia="zh-CN" w:bidi="ar-SA"/>
    </w:rPr>
  </w:style>
  <w:style w:type="paragraph" w:styleId="846">
    <w:name w:val="toc 7"/>
    <w:basedOn w:val="833"/>
    <w:next w:val="833"/>
    <w:uiPriority w:val="39"/>
    <w:qFormat/>
    <w:pPr>
      <w:ind w:left="1701" w:right="0" w:firstLine="0"/>
      <w:spacing w:after="57"/>
    </w:pPr>
  </w:style>
  <w:style w:type="paragraph" w:styleId="847">
    <w:name w:val="Caption"/>
    <w:basedOn w:val="833"/>
    <w:next w:val="833"/>
    <w:uiPriority w:val="35"/>
    <w:qFormat/>
    <w:pPr>
      <w:spacing w:line="276" w:lineRule="auto"/>
    </w:pPr>
    <w:rPr>
      <w:b/>
      <w:bCs/>
      <w:color w:val="4f81bd"/>
      <w:sz w:val="18"/>
      <w:szCs w:val="18"/>
    </w:rPr>
  </w:style>
  <w:style w:type="paragraph" w:styleId="848">
    <w:name w:val="index 5"/>
    <w:basedOn w:val="833"/>
    <w:next w:val="833"/>
    <w:uiPriority w:val="0"/>
    <w:qFormat/>
    <w:pPr>
      <w:ind w:left="798"/>
      <w:jc w:val="left"/>
    </w:pPr>
    <w:rPr>
      <w:rFonts w:ascii="Calibri" w:hAnsi="Calibri"/>
    </w:rPr>
  </w:style>
  <w:style w:type="paragraph" w:styleId="849">
    <w:name w:val="Document Map"/>
    <w:basedOn w:val="833"/>
    <w:link w:val="1076"/>
    <w:uiPriority w:val="0"/>
    <w:qFormat/>
    <w:rPr>
      <w:rFonts w:ascii="宋体"/>
      <w:sz w:val="18"/>
      <w:szCs w:val="18"/>
    </w:rPr>
  </w:style>
  <w:style w:type="paragraph" w:styleId="850">
    <w:name w:val="annotation text"/>
    <w:basedOn w:val="833"/>
    <w:link w:val="1077"/>
    <w:uiPriority w:val="0"/>
    <w:qFormat/>
    <w:pPr>
      <w:jc w:val="left"/>
    </w:pPr>
  </w:style>
  <w:style w:type="paragraph" w:styleId="851">
    <w:name w:val="Body Text"/>
    <w:basedOn w:val="833"/>
    <w:next w:val="833"/>
    <w:uiPriority w:val="0"/>
    <w:qFormat/>
    <w:pPr>
      <w:spacing w:after="120"/>
    </w:pPr>
    <w:rPr>
      <w:rFonts w:ascii="Times New Roman" w:hAnsi="Times New Roman" w:eastAsia="宋体" w:cs="Times New Roman"/>
    </w:rPr>
  </w:style>
  <w:style w:type="paragraph" w:styleId="852">
    <w:name w:val="Body Text Indent"/>
    <w:basedOn w:val="833"/>
    <w:next w:val="853"/>
    <w:uiPriority w:val="0"/>
    <w:qFormat/>
    <w:pPr>
      <w:ind w:left="420"/>
      <w:spacing w:after="120"/>
    </w:pPr>
    <w:rPr>
      <w:rFonts w:ascii="Times New Roman" w:hAnsi="Times New Roman" w:eastAsia="宋体" w:cs="Times New Roman"/>
    </w:rPr>
  </w:style>
  <w:style w:type="paragraph" w:styleId="853">
    <w:name w:val="envelope return"/>
    <w:basedOn w:val="833"/>
    <w:uiPriority w:val="99"/>
    <w:qFormat/>
    <w:rPr>
      <w:rFonts w:ascii="Arial" w:hAnsi="Arial"/>
    </w:rPr>
  </w:style>
  <w:style w:type="paragraph" w:styleId="854">
    <w:name w:val="toc 5"/>
    <w:basedOn w:val="833"/>
    <w:next w:val="833"/>
    <w:uiPriority w:val="39"/>
    <w:qFormat/>
    <w:pPr>
      <w:ind w:left="1134" w:right="0" w:firstLine="0"/>
      <w:spacing w:after="57"/>
    </w:pPr>
  </w:style>
  <w:style w:type="paragraph" w:styleId="855">
    <w:name w:val="toc 3"/>
    <w:basedOn w:val="833"/>
    <w:next w:val="833"/>
    <w:uiPriority w:val="39"/>
    <w:qFormat/>
    <w:pPr>
      <w:ind w:left="567" w:right="0" w:firstLine="0"/>
      <w:spacing w:after="57"/>
    </w:pPr>
  </w:style>
  <w:style w:type="paragraph" w:styleId="856">
    <w:name w:val="Plain Text"/>
    <w:basedOn w:val="833"/>
    <w:link w:val="1078"/>
    <w:uiPriority w:val="0"/>
    <w:qFormat/>
    <w:rPr>
      <w:rFonts w:ascii="宋体" w:hAnsi="Courier New"/>
      <w:sz w:val="21"/>
      <w:szCs w:val="21"/>
    </w:rPr>
  </w:style>
  <w:style w:type="paragraph" w:styleId="857">
    <w:name w:val="toc 8"/>
    <w:basedOn w:val="833"/>
    <w:next w:val="833"/>
    <w:uiPriority w:val="39"/>
    <w:qFormat/>
    <w:pPr>
      <w:ind w:left="1984" w:right="0" w:firstLine="0"/>
      <w:spacing w:after="57"/>
    </w:pPr>
  </w:style>
  <w:style w:type="paragraph" w:styleId="858">
    <w:name w:val="endnote text"/>
    <w:basedOn w:val="833"/>
    <w:link w:val="1074"/>
    <w:uiPriority w:val="99"/>
    <w:qFormat/>
    <w:pPr>
      <w:spacing w:after="0" w:line="240" w:lineRule="auto"/>
    </w:pPr>
    <w:rPr>
      <w:sz w:val="20"/>
    </w:rPr>
  </w:style>
  <w:style w:type="paragraph" w:styleId="859">
    <w:name w:val="Balloon Text"/>
    <w:basedOn w:val="833"/>
    <w:link w:val="1079"/>
    <w:uiPriority w:val="0"/>
    <w:qFormat/>
    <w:rPr>
      <w:sz w:val="18"/>
      <w:szCs w:val="18"/>
    </w:rPr>
  </w:style>
  <w:style w:type="paragraph" w:styleId="860">
    <w:name w:val="Footer"/>
    <w:basedOn w:val="83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61">
    <w:name w:val="Header"/>
    <w:basedOn w:val="833"/>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62">
    <w:name w:val="toc 1"/>
    <w:basedOn w:val="833"/>
    <w:next w:val="833"/>
    <w:uiPriority w:val="39"/>
    <w:qFormat/>
    <w:pPr>
      <w:ind w:left="0" w:right="0" w:firstLine="0"/>
      <w:spacing w:after="57"/>
    </w:pPr>
  </w:style>
  <w:style w:type="paragraph" w:styleId="863">
    <w:name w:val="toc 4"/>
    <w:basedOn w:val="833"/>
    <w:next w:val="833"/>
    <w:uiPriority w:val="39"/>
    <w:qFormat/>
    <w:pPr>
      <w:ind w:left="850" w:right="0" w:firstLine="0"/>
      <w:spacing w:after="57"/>
    </w:pPr>
  </w:style>
  <w:style w:type="paragraph" w:styleId="864">
    <w:name w:val="Subtitle"/>
    <w:basedOn w:val="833"/>
    <w:next w:val="833"/>
    <w:link w:val="940"/>
    <w:uiPriority w:val="11"/>
    <w:qFormat/>
    <w:pPr>
      <w:spacing w:before="200" w:after="200"/>
    </w:pPr>
    <w:rPr>
      <w:sz w:val="24"/>
      <w:szCs w:val="24"/>
    </w:rPr>
  </w:style>
  <w:style w:type="paragraph" w:styleId="865">
    <w:name w:val="footnote text"/>
    <w:basedOn w:val="833"/>
    <w:next w:val="848"/>
    <w:link w:val="1073"/>
    <w:uiPriority w:val="99"/>
    <w:qFormat/>
    <w:pPr>
      <w:spacing w:after="40" w:line="240" w:lineRule="auto"/>
    </w:pPr>
    <w:rPr>
      <w:sz w:val="18"/>
    </w:rPr>
  </w:style>
  <w:style w:type="paragraph" w:styleId="866">
    <w:name w:val="toc 6"/>
    <w:basedOn w:val="833"/>
    <w:next w:val="833"/>
    <w:uiPriority w:val="39"/>
    <w:qFormat/>
    <w:pPr>
      <w:ind w:left="1417" w:right="0" w:firstLine="0"/>
      <w:spacing w:after="57"/>
    </w:pPr>
  </w:style>
  <w:style w:type="paragraph" w:styleId="867">
    <w:name w:val="table of figures"/>
    <w:basedOn w:val="833"/>
    <w:next w:val="833"/>
    <w:uiPriority w:val="99"/>
    <w:qFormat/>
    <w:pPr>
      <w:spacing w:after="0" w:afterAutospacing="0"/>
    </w:pPr>
  </w:style>
  <w:style w:type="paragraph" w:styleId="868">
    <w:name w:val="toc 2"/>
    <w:basedOn w:val="833"/>
    <w:next w:val="833"/>
    <w:uiPriority w:val="39"/>
    <w:qFormat/>
    <w:pPr>
      <w:ind w:left="283" w:right="0" w:firstLine="0"/>
      <w:spacing w:after="57"/>
    </w:pPr>
  </w:style>
  <w:style w:type="paragraph" w:styleId="869">
    <w:name w:val="toc 9"/>
    <w:basedOn w:val="833"/>
    <w:next w:val="833"/>
    <w:uiPriority w:val="39"/>
    <w:qFormat/>
    <w:pPr>
      <w:ind w:left="2268" w:right="0" w:firstLine="0"/>
      <w:spacing w:after="57"/>
    </w:pPr>
  </w:style>
  <w:style w:type="paragraph" w:styleId="870">
    <w:name w:val="Body Text 2"/>
    <w:basedOn w:val="833"/>
    <w:uiPriority w:val="0"/>
    <w:qFormat/>
    <w:pPr>
      <w:jc w:val="center"/>
    </w:pPr>
    <w:rPr>
      <w:rFonts w:ascii="仿宋_GB2312" w:eastAsia="仿宋_GB2312"/>
      <w:sz w:val="44"/>
    </w:rPr>
  </w:style>
  <w:style w:type="paragraph" w:styleId="871">
    <w:name w:val="Normal (Web)"/>
    <w:basedOn w:val="833"/>
    <w:uiPriority w:val="0"/>
    <w:qFormat/>
    <w:pPr>
      <w:jc w:val="left"/>
      <w:spacing w:before="100" w:beforeAutospacing="1" w:after="100" w:afterAutospacing="1"/>
      <w:widowControl/>
    </w:pPr>
    <w:rPr>
      <w:rFonts w:ascii="宋体" w:hAnsi="宋体" w:eastAsia="宋体" w:cs="宋体"/>
      <w:sz w:val="24"/>
    </w:rPr>
  </w:style>
  <w:style w:type="paragraph" w:styleId="872">
    <w:name w:val="Title"/>
    <w:basedOn w:val="833"/>
    <w:next w:val="833"/>
    <w:link w:val="939"/>
    <w:uiPriority w:val="10"/>
    <w:qFormat/>
    <w:pPr>
      <w:contextualSpacing/>
      <w:spacing w:before="300" w:after="200"/>
    </w:pPr>
    <w:rPr>
      <w:sz w:val="48"/>
      <w:szCs w:val="48"/>
    </w:rPr>
  </w:style>
  <w:style w:type="paragraph" w:styleId="873">
    <w:name w:val="annotation subject"/>
    <w:basedOn w:val="850"/>
    <w:next w:val="850"/>
    <w:link w:val="1080"/>
    <w:uiPriority w:val="0"/>
    <w:qFormat/>
    <w:rPr>
      <w:b/>
      <w:bCs/>
    </w:rPr>
  </w:style>
  <w:style w:type="paragraph" w:styleId="874">
    <w:name w:val="Body Text First Indent"/>
    <w:basedOn w:val="851"/>
    <w:next w:val="875"/>
    <w:uiPriority w:val="0"/>
    <w:qFormat/>
    <w:pPr>
      <w:ind w:firstLine="420"/>
    </w:pPr>
    <w:rPr>
      <w:rFonts w:ascii="Times New Roman" w:hAnsi="Times New Roman" w:eastAsia="宋体" w:cs="Times New Roman"/>
    </w:rPr>
  </w:style>
  <w:style w:type="paragraph" w:styleId="875">
    <w:name w:val="Body Text First Indent 2"/>
    <w:basedOn w:val="852"/>
    <w:uiPriority w:val="0"/>
    <w:qFormat/>
    <w:pPr>
      <w:ind w:firstLine="420"/>
    </w:pPr>
    <w:rPr>
      <w:rFonts w:ascii="Times New Roman" w:hAnsi="Times New Roman" w:eastAsia="宋体" w:cs="Times New Roman"/>
    </w:rPr>
  </w:style>
  <w:style w:type="table" w:styleId="876">
    <w:name w:val="Table Grid"/>
    <w:basedOn w:val="844"/>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7">
    <w:name w:val="Strong"/>
    <w:basedOn w:val="843"/>
    <w:uiPriority w:val="0"/>
    <w:qFormat/>
    <w:rPr>
      <w:b/>
      <w:bCs/>
    </w:rPr>
  </w:style>
  <w:style w:type="character" w:styleId="878">
    <w:name w:val="endnote reference"/>
    <w:basedOn w:val="843"/>
    <w:uiPriority w:val="99"/>
    <w:qFormat/>
    <w:rPr>
      <w:vertAlign w:val="superscript"/>
    </w:rPr>
  </w:style>
  <w:style w:type="character" w:styleId="879">
    <w:name w:val="page number"/>
    <w:uiPriority w:val="0"/>
    <w:qFormat/>
    <w:rPr>
      <w:rFonts w:ascii="Times New Roman" w:hAnsi="Times New Roman" w:eastAsia="宋体" w:cs="Times New Roman"/>
    </w:rPr>
  </w:style>
  <w:style w:type="character" w:styleId="880">
    <w:name w:val="FollowedHyperlink"/>
    <w:basedOn w:val="843"/>
    <w:uiPriority w:val="0"/>
    <w:qFormat/>
    <w:rPr>
      <w:color w:val="333333"/>
      <w:u w:val="none"/>
    </w:rPr>
  </w:style>
  <w:style w:type="character" w:styleId="881">
    <w:name w:val="Hyperlink"/>
    <w:basedOn w:val="843"/>
    <w:uiPriority w:val="0"/>
    <w:qFormat/>
    <w:rPr>
      <w:color w:val="333333"/>
      <w:u w:val="none"/>
    </w:rPr>
  </w:style>
  <w:style w:type="character" w:styleId="882">
    <w:name w:val="annotation reference"/>
    <w:uiPriority w:val="0"/>
    <w:qFormat/>
    <w:rPr>
      <w:rFonts w:ascii="Times New Roman" w:hAnsi="Times New Roman" w:eastAsia="宋体" w:cs="Times New Roman"/>
      <w:sz w:val="21"/>
      <w:szCs w:val="21"/>
    </w:rPr>
  </w:style>
  <w:style w:type="character" w:styleId="883">
    <w:name w:val="footnote reference"/>
    <w:basedOn w:val="843"/>
    <w:uiPriority w:val="99"/>
    <w:qFormat/>
    <w:rPr>
      <w:vertAlign w:val="superscript"/>
    </w:rPr>
  </w:style>
  <w:style w:type="paragraph" w:styleId="884" w:customStyle="1">
    <w:name w:val="一级条标题"/>
    <w:basedOn w:val="885"/>
    <w:next w:val="833"/>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885" w:customStyle="1">
    <w:name w:val="章标题"/>
    <w:basedOn w:val="886"/>
    <w:next w:val="88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6" w:customStyle="1">
    <w:name w:val="正文112"/>
    <w:next w:val="8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7" w:customStyle="1">
    <w:name w:val="标题 41"/>
    <w:basedOn w:val="888"/>
    <w:next w:val="886"/>
    <w:uiPriority w:val="0"/>
    <w:qFormat/>
    <w:pPr>
      <w:keepLines/>
      <w:keepNext/>
      <w:spacing w:before="280" w:after="290" w:line="376" w:lineRule="auto"/>
      <w:outlineLvl w:val="3"/>
    </w:pPr>
    <w:rPr>
      <w:rFonts w:ascii="Cambria" w:hAnsi="Cambria"/>
      <w:b/>
      <w:bCs/>
      <w:sz w:val="28"/>
      <w:szCs w:val="28"/>
    </w:rPr>
  </w:style>
  <w:style w:type="paragraph" w:styleId="888" w:customStyle="1">
    <w:name w:val="正文1"/>
    <w:basedOn w:val="889"/>
    <w:next w:val="89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89" w:customStyle="1">
    <w:name w:val="正文111"/>
    <w:next w:val="8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0" w:customStyle="1">
    <w:name w:val="正文文本1"/>
    <w:basedOn w:val="888"/>
    <w:next w:val="889"/>
    <w:uiPriority w:val="0"/>
    <w:qFormat/>
    <w:pPr>
      <w:spacing w:after="120"/>
    </w:pPr>
    <w:rPr>
      <w:lang w:val="en-US" w:eastAsia="en-US"/>
    </w:rPr>
  </w:style>
  <w:style w:type="paragraph" w:styleId="891" w:customStyle="1">
    <w:name w:val="目录 11"/>
    <w:basedOn w:val="892"/>
    <w:next w:val="888"/>
    <w:uiPriority w:val="0"/>
    <w:qFormat/>
  </w:style>
  <w:style w:type="paragraph" w:styleId="892" w:customStyle="1">
    <w:name w:val="正文11"/>
    <w:next w:val="893"/>
    <w:uiPriority w:val="0"/>
    <w:qFormat/>
    <w:pPr>
      <w:jc w:val="both"/>
    </w:pPr>
    <w:rPr>
      <w:rFonts w:hint="default" w:ascii="Times New Roman" w:hAnsi="Times New Roman" w:eastAsia="宋体" w:cs="Times New Roman"/>
      <w:lang w:val="en-US" w:eastAsia="zh-CN" w:bidi="ar-SA"/>
    </w:rPr>
  </w:style>
  <w:style w:type="paragraph" w:styleId="893" w:customStyle="1">
    <w:name w:val="文本块1"/>
    <w:basedOn w:val="894"/>
    <w:uiPriority w:val="0"/>
    <w:qFormat/>
    <w:pPr>
      <w:ind w:left="256" w:right="6" w:firstLine="624"/>
    </w:pPr>
    <w:rPr>
      <w:rFonts w:eastAsia="仿宋_GB2312"/>
      <w:sz w:val="28"/>
      <w:szCs w:val="20"/>
    </w:rPr>
  </w:style>
  <w:style w:type="paragraph" w:styleId="894" w:customStyle="1">
    <w:name w:val="正文12"/>
    <w:next w:val="895"/>
    <w:uiPriority w:val="0"/>
    <w:qFormat/>
    <w:rPr>
      <w:rFonts w:hint="default" w:ascii="Times New Roman" w:hAnsi="Times New Roman" w:eastAsia="宋体" w:cs="Times New Roman"/>
    </w:rPr>
  </w:style>
  <w:style w:type="paragraph" w:styleId="895" w:customStyle="1">
    <w:name w:val="正文文本111"/>
    <w:basedOn w:val="896"/>
    <w:next w:val="894"/>
    <w:uiPriority w:val="0"/>
    <w:qFormat/>
  </w:style>
  <w:style w:type="paragraph" w:styleId="896" w:customStyle="1">
    <w:name w:val="正文1121"/>
    <w:next w:val="895"/>
    <w:uiPriority w:val="0"/>
    <w:qFormat/>
    <w:pPr>
      <w:jc w:val="both"/>
      <w:widowControl w:val="off"/>
    </w:pPr>
    <w:rPr>
      <w:rFonts w:hint="default" w:ascii="Calibri" w:hAnsi="Calibri" w:eastAsia="宋体" w:cs="Times New Roman"/>
      <w:sz w:val="21"/>
      <w:szCs w:val="24"/>
      <w:lang w:val="en-US" w:eastAsia="zh-CN" w:bidi="ar-SA"/>
    </w:rPr>
  </w:style>
  <w:style w:type="paragraph" w:styleId="897" w:customStyle="1">
    <w:name w:val="脚注文本11"/>
    <w:basedOn w:val="894"/>
    <w:next w:val="898"/>
    <w:uiPriority w:val="0"/>
    <w:qFormat/>
    <w:pPr>
      <w:spacing w:after="40" w:line="240" w:lineRule="auto"/>
    </w:pPr>
    <w:rPr>
      <w:rFonts w:ascii="Times New Roman" w:hAnsi="Times New Roman" w:eastAsia="宋体"/>
      <w:sz w:val="18"/>
    </w:rPr>
  </w:style>
  <w:style w:type="paragraph" w:styleId="898" w:customStyle="1">
    <w:name w:val="索引 511"/>
    <w:basedOn w:val="894"/>
    <w:next w:val="892"/>
    <w:uiPriority w:val="0"/>
    <w:qFormat/>
    <w:pPr>
      <w:ind w:left="798"/>
      <w:jc w:val="left"/>
    </w:pPr>
    <w:rPr>
      <w:rFonts w:ascii="Calibri" w:hAnsi="Calibri"/>
    </w:rPr>
  </w:style>
  <w:style w:type="paragraph" w:styleId="899" w:customStyle="1">
    <w:name w:val="文本块11"/>
    <w:basedOn w:val="894"/>
    <w:uiPriority w:val="0"/>
    <w:qFormat/>
    <w:pPr>
      <w:ind w:left="256" w:right="6" w:firstLine="624"/>
    </w:pPr>
    <w:rPr>
      <w:rFonts w:ascii="Arial" w:hAnsi="Arial" w:eastAsia="仿宋"/>
      <w:sz w:val="28"/>
    </w:rPr>
  </w:style>
  <w:style w:type="paragraph" w:styleId="900" w:customStyle="1">
    <w:name w:val="脚注文本1"/>
    <w:basedOn w:val="894"/>
    <w:next w:val="901"/>
    <w:uiPriority w:val="0"/>
    <w:qFormat/>
    <w:rPr>
      <w:sz w:val="18"/>
      <w:szCs w:val="18"/>
    </w:rPr>
  </w:style>
  <w:style w:type="paragraph" w:styleId="901" w:customStyle="1">
    <w:name w:val="索引 51"/>
    <w:basedOn w:val="894"/>
    <w:next w:val="894"/>
    <w:uiPriority w:val="0"/>
    <w:qFormat/>
    <w:pPr>
      <w:ind w:left="798"/>
      <w:jc w:val="left"/>
    </w:pPr>
  </w:style>
  <w:style w:type="paragraph" w:styleId="902" w:customStyle="1">
    <w:name w:val="正文文本11"/>
    <w:basedOn w:val="892"/>
    <w:next w:val="892"/>
    <w:uiPriority w:val="0"/>
    <w:qFormat/>
    <w:pPr>
      <w:spacing w:after="120"/>
    </w:pPr>
  </w:style>
  <w:style w:type="paragraph" w:styleId="903" w:customStyle="1">
    <w:name w:val="正文缩进1"/>
    <w:basedOn w:val="833"/>
    <w:uiPriority w:val="0"/>
    <w:qFormat/>
    <w:pPr>
      <w:ind w:firstLine="420"/>
    </w:pPr>
    <w:rPr>
      <w:rFonts w:ascii="Times New Roman" w:hAnsi="Times New Roman" w:eastAsia="宋体" w:cs="Times New Roman"/>
    </w:rPr>
  </w:style>
  <w:style w:type="paragraph" w:styleId="904" w:customStyle="1">
    <w:name w:val="无间隔1"/>
    <w:uiPriority w:val="0"/>
    <w:qFormat/>
    <w:rPr>
      <w:rFonts w:hint="default" w:ascii="Calibri" w:hAnsi="Calibri" w:eastAsia="宋体" w:cs="Times New Roman"/>
      <w:sz w:val="22"/>
      <w:lang w:val="en-US" w:eastAsia="zh-CN" w:bidi="ar-SA"/>
    </w:rPr>
  </w:style>
  <w:style w:type="paragraph" w:styleId="905" w:customStyle="1">
    <w:name w:val="段"/>
    <w:basedOn w:val="888"/>
    <w:next w:val="833"/>
    <w:uiPriority w:val="0"/>
    <w:qFormat/>
    <w:pPr>
      <w:ind w:firstLine="200"/>
      <w:widowControl/>
    </w:pPr>
    <w:rPr>
      <w:rFonts w:hint="eastAsia" w:ascii="宋体" w:hAnsi="Times New Roman" w:eastAsia="宋体" w:cs="Times New Roman"/>
      <w:sz w:val="20"/>
      <w:szCs w:val="20"/>
    </w:rPr>
  </w:style>
  <w:style w:type="paragraph" w:styleId="906" w:customStyle="1">
    <w:name w:val="正文首行缩进1"/>
    <w:basedOn w:val="890"/>
    <w:next w:val="907"/>
    <w:uiPriority w:val="0"/>
    <w:qFormat/>
    <w:pPr>
      <w:ind w:firstLine="420"/>
    </w:pPr>
    <w:rPr>
      <w:rFonts w:ascii="仿宋_GB2312" w:hAnsi="Times New Roman" w:eastAsia="仿宋_GB2312"/>
      <w:sz w:val="30"/>
      <w:szCs w:val="30"/>
    </w:rPr>
  </w:style>
  <w:style w:type="paragraph" w:styleId="907" w:customStyle="1">
    <w:name w:val="正文首行缩进 211"/>
    <w:basedOn w:val="908"/>
    <w:uiPriority w:val="0"/>
    <w:qFormat/>
    <w:pPr>
      <w:ind w:firstLine="420"/>
    </w:pPr>
    <w:rPr>
      <w:sz w:val="24"/>
    </w:rPr>
  </w:style>
  <w:style w:type="paragraph" w:styleId="908" w:customStyle="1">
    <w:name w:val="正文文本缩进11"/>
    <w:basedOn w:val="886"/>
    <w:uiPriority w:val="0"/>
    <w:qFormat/>
    <w:pPr>
      <w:ind w:firstLine="538"/>
    </w:pPr>
    <w:rPr>
      <w:sz w:val="28"/>
    </w:rPr>
  </w:style>
  <w:style w:type="paragraph" w:styleId="909" w:customStyle="1">
    <w:name w:val="样式 正文文本缩进 + 首行缩进:  2 字符 行距: 1.5 倍行距"/>
    <w:basedOn w:val="908"/>
    <w:uiPriority w:val="0"/>
    <w:qFormat/>
    <w:pPr>
      <w:ind w:firstLine="645"/>
      <w:spacing w:before="156" w:after="120"/>
    </w:pPr>
    <w:rPr>
      <w:rFonts w:ascii="Calibri" w:hAnsi="Calibri"/>
    </w:rPr>
  </w:style>
  <w:style w:type="character" w:styleId="910" w:customStyle="1">
    <w:name w:val="Heading 1 Char"/>
    <w:basedOn w:val="843"/>
    <w:uiPriority w:val="9"/>
    <w:qFormat/>
    <w:rPr>
      <w:rFonts w:ascii="Arial" w:hAnsi="Arial" w:eastAsia="Arial" w:cs="Arial"/>
      <w:sz w:val="40"/>
      <w:szCs w:val="40"/>
    </w:rPr>
  </w:style>
  <w:style w:type="character" w:styleId="911" w:customStyle="1">
    <w:name w:val="Heading 2 Char"/>
    <w:basedOn w:val="843"/>
    <w:uiPriority w:val="9"/>
    <w:qFormat/>
    <w:rPr>
      <w:rFonts w:ascii="Arial" w:hAnsi="Arial" w:eastAsia="Arial" w:cs="Arial"/>
      <w:sz w:val="34"/>
    </w:rPr>
  </w:style>
  <w:style w:type="character" w:styleId="912" w:customStyle="1">
    <w:name w:val="Heading 3 Char"/>
    <w:basedOn w:val="843"/>
    <w:uiPriority w:val="9"/>
    <w:qFormat/>
    <w:rPr>
      <w:rFonts w:ascii="Arial" w:hAnsi="Arial" w:eastAsia="Arial" w:cs="Arial"/>
      <w:sz w:val="30"/>
      <w:szCs w:val="30"/>
    </w:rPr>
  </w:style>
  <w:style w:type="character" w:styleId="913" w:customStyle="1">
    <w:name w:val="Heading 4 Char"/>
    <w:basedOn w:val="843"/>
    <w:uiPriority w:val="9"/>
    <w:qFormat/>
    <w:rPr>
      <w:rFonts w:ascii="Arial" w:hAnsi="Arial" w:eastAsia="Arial" w:cs="Arial"/>
      <w:b/>
      <w:bCs/>
      <w:sz w:val="26"/>
      <w:szCs w:val="26"/>
    </w:rPr>
  </w:style>
  <w:style w:type="character" w:styleId="914" w:customStyle="1">
    <w:name w:val="Heading 5 Char"/>
    <w:basedOn w:val="843"/>
    <w:uiPriority w:val="9"/>
    <w:qFormat/>
    <w:rPr>
      <w:rFonts w:ascii="Arial" w:hAnsi="Arial" w:eastAsia="Arial" w:cs="Arial"/>
      <w:b/>
      <w:bCs/>
      <w:sz w:val="24"/>
      <w:szCs w:val="24"/>
    </w:rPr>
  </w:style>
  <w:style w:type="character" w:styleId="915" w:customStyle="1">
    <w:name w:val="Heading 6 Char"/>
    <w:basedOn w:val="843"/>
    <w:uiPriority w:val="9"/>
    <w:qFormat/>
    <w:rPr>
      <w:rFonts w:ascii="Arial" w:hAnsi="Arial" w:eastAsia="Arial" w:cs="Arial"/>
      <w:b/>
      <w:bCs/>
      <w:sz w:val="22"/>
      <w:szCs w:val="22"/>
    </w:rPr>
  </w:style>
  <w:style w:type="character" w:styleId="916" w:customStyle="1">
    <w:name w:val="Heading 7 Char"/>
    <w:basedOn w:val="843"/>
    <w:uiPriority w:val="9"/>
    <w:qFormat/>
    <w:rPr>
      <w:rFonts w:ascii="Arial" w:hAnsi="Arial" w:eastAsia="Arial" w:cs="Arial"/>
      <w:b/>
      <w:bCs/>
      <w:i/>
      <w:iCs/>
      <w:sz w:val="22"/>
      <w:szCs w:val="22"/>
    </w:rPr>
  </w:style>
  <w:style w:type="character" w:styleId="917" w:customStyle="1">
    <w:name w:val="Heading 8 Char"/>
    <w:basedOn w:val="843"/>
    <w:uiPriority w:val="9"/>
    <w:qFormat/>
    <w:rPr>
      <w:rFonts w:ascii="Arial" w:hAnsi="Arial" w:eastAsia="Arial" w:cs="Arial"/>
      <w:i/>
      <w:iCs/>
      <w:sz w:val="22"/>
      <w:szCs w:val="22"/>
    </w:rPr>
  </w:style>
  <w:style w:type="character" w:styleId="918" w:customStyle="1">
    <w:name w:val="Heading 9 Char"/>
    <w:basedOn w:val="843"/>
    <w:uiPriority w:val="9"/>
    <w:qFormat/>
    <w:rPr>
      <w:rFonts w:ascii="Arial" w:hAnsi="Arial" w:eastAsia="Arial" w:cs="Arial"/>
      <w:i/>
      <w:iCs/>
      <w:sz w:val="21"/>
      <w:szCs w:val="21"/>
    </w:rPr>
  </w:style>
  <w:style w:type="character" w:styleId="919" w:customStyle="1">
    <w:name w:val="Title Char"/>
    <w:basedOn w:val="843"/>
    <w:uiPriority w:val="10"/>
    <w:qFormat/>
    <w:rPr>
      <w:sz w:val="48"/>
      <w:szCs w:val="48"/>
    </w:rPr>
  </w:style>
  <w:style w:type="character" w:styleId="920" w:customStyle="1">
    <w:name w:val="Quote Char"/>
    <w:uiPriority w:val="29"/>
    <w:qFormat/>
    <w:rPr>
      <w:i/>
    </w:rPr>
  </w:style>
  <w:style w:type="character" w:styleId="921" w:customStyle="1">
    <w:name w:val="Intense Quote Char"/>
    <w:uiPriority w:val="30"/>
    <w:qFormat/>
    <w:rPr>
      <w:i/>
    </w:rPr>
  </w:style>
  <w:style w:type="character" w:styleId="922" w:customStyle="1">
    <w:name w:val="Header Char"/>
    <w:basedOn w:val="843"/>
    <w:uiPriority w:val="99"/>
    <w:qFormat/>
  </w:style>
  <w:style w:type="character" w:styleId="923" w:customStyle="1">
    <w:name w:val="Footer Char"/>
    <w:basedOn w:val="843"/>
    <w:uiPriority w:val="99"/>
    <w:qFormat/>
  </w:style>
  <w:style w:type="paragraph" w:styleId="924" w:customStyle="1">
    <w:name w:val="TOC Heading"/>
    <w:uiPriority w:val="39"/>
    <w:unhideWhenUsed/>
    <w:qFormat/>
    <w:rPr>
      <w:rFonts w:hint="default" w:ascii="Times New Roman" w:hAnsi="Times New Roman" w:eastAsia="宋体" w:cs="Times New Roman"/>
    </w:rPr>
  </w:style>
  <w:style w:type="paragraph" w:styleId="925" w:customStyle="1">
    <w:name w:val="正文首行缩进 21"/>
    <w:basedOn w:val="926"/>
    <w:uiPriority w:val="0"/>
    <w:qFormat/>
    <w:pPr>
      <w:ind w:firstLine="420"/>
    </w:pPr>
    <w:rPr>
      <w:rFonts w:ascii="Times New Roman" w:hAnsi="Times New Roman"/>
    </w:rPr>
  </w:style>
  <w:style w:type="paragraph" w:styleId="926" w:customStyle="1">
    <w:name w:val="正文文本缩进1"/>
    <w:basedOn w:val="888"/>
    <w:next w:val="927"/>
    <w:uiPriority w:val="0"/>
    <w:qFormat/>
    <w:pPr>
      <w:ind w:left="420"/>
      <w:spacing w:after="120"/>
    </w:pPr>
    <w:rPr>
      <w:rFonts w:ascii="Calibri" w:hAnsi="Calibri"/>
    </w:rPr>
  </w:style>
  <w:style w:type="paragraph" w:styleId="927" w:customStyle="1">
    <w:name w:val="寄信人地址1"/>
    <w:basedOn w:val="892"/>
    <w:uiPriority w:val="0"/>
    <w:qFormat/>
    <w:rPr>
      <w:rFonts w:ascii="Arial" w:hAnsi="Arial"/>
    </w:rPr>
  </w:style>
  <w:style w:type="paragraph" w:styleId="92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29" w:customStyle="1">
    <w:name w:val="Heading 1 Char_2cc960bb-4246-45ed-a94c-0e32d2f2514e"/>
    <w:basedOn w:val="843"/>
    <w:uiPriority w:val="9"/>
    <w:qFormat/>
    <w:rPr>
      <w:rFonts w:ascii="Arial" w:hAnsi="Arial" w:eastAsia="Arial" w:cs="Arial"/>
      <w:sz w:val="40"/>
      <w:szCs w:val="40"/>
    </w:rPr>
  </w:style>
  <w:style w:type="character" w:styleId="930" w:customStyle="1">
    <w:name w:val="Heading 2 Char_38fef2e9-3c31-49f2-9ca0-295fa4faa18c"/>
    <w:basedOn w:val="843"/>
    <w:uiPriority w:val="9"/>
    <w:qFormat/>
    <w:rPr>
      <w:rFonts w:ascii="Arial" w:hAnsi="Arial" w:eastAsia="Arial" w:cs="Arial"/>
      <w:sz w:val="34"/>
    </w:rPr>
  </w:style>
  <w:style w:type="character" w:styleId="931" w:customStyle="1">
    <w:name w:val="Heading 3 Char_becd3328-995b-4bf8-92ee-1ce6a7f6c293"/>
    <w:basedOn w:val="843"/>
    <w:uiPriority w:val="9"/>
    <w:qFormat/>
    <w:rPr>
      <w:rFonts w:ascii="Arial" w:hAnsi="Arial" w:eastAsia="Arial" w:cs="Arial"/>
      <w:sz w:val="30"/>
      <w:szCs w:val="30"/>
    </w:rPr>
  </w:style>
  <w:style w:type="character" w:styleId="932" w:customStyle="1">
    <w:name w:val="Heading 4 Char_d70fe039-8080-4e98-9b77-e8663c20e89a"/>
    <w:basedOn w:val="843"/>
    <w:link w:val="837"/>
    <w:uiPriority w:val="9"/>
    <w:qFormat/>
    <w:rPr>
      <w:rFonts w:ascii="Arial" w:hAnsi="Arial" w:eastAsia="Arial" w:cs="Arial"/>
      <w:b/>
      <w:bCs/>
      <w:sz w:val="26"/>
      <w:szCs w:val="26"/>
    </w:rPr>
  </w:style>
  <w:style w:type="character" w:styleId="933" w:customStyle="1">
    <w:name w:val="Heading 5 Char_245e9eda-7aac-4abb-b28a-cb187e398cc6"/>
    <w:basedOn w:val="843"/>
    <w:link w:val="838"/>
    <w:uiPriority w:val="9"/>
    <w:qFormat/>
    <w:rPr>
      <w:rFonts w:ascii="Arial" w:hAnsi="Arial" w:eastAsia="Arial" w:cs="Arial"/>
      <w:b/>
      <w:bCs/>
      <w:sz w:val="24"/>
      <w:szCs w:val="24"/>
    </w:rPr>
  </w:style>
  <w:style w:type="character" w:styleId="934" w:customStyle="1">
    <w:name w:val="Heading 6 Char_ef332ef1-b27d-4269-a2d2-e700466146a6"/>
    <w:basedOn w:val="843"/>
    <w:link w:val="839"/>
    <w:uiPriority w:val="9"/>
    <w:qFormat/>
    <w:rPr>
      <w:rFonts w:ascii="Arial" w:hAnsi="Arial" w:eastAsia="Arial" w:cs="Arial"/>
      <w:b/>
      <w:bCs/>
      <w:sz w:val="22"/>
      <w:szCs w:val="22"/>
    </w:rPr>
  </w:style>
  <w:style w:type="character" w:styleId="935" w:customStyle="1">
    <w:name w:val="Heading 7 Char_ccc3d66b-2f25-4f46-a078-36b66b72a0f8"/>
    <w:basedOn w:val="843"/>
    <w:link w:val="840"/>
    <w:uiPriority w:val="9"/>
    <w:qFormat/>
    <w:rPr>
      <w:rFonts w:ascii="Arial" w:hAnsi="Arial" w:eastAsia="Arial" w:cs="Arial"/>
      <w:b/>
      <w:bCs/>
      <w:i/>
      <w:iCs/>
      <w:sz w:val="22"/>
      <w:szCs w:val="22"/>
    </w:rPr>
  </w:style>
  <w:style w:type="character" w:styleId="936" w:customStyle="1">
    <w:name w:val="Heading 8 Char_c7b66616-671d-4a47-91ce-aae60353b679"/>
    <w:basedOn w:val="843"/>
    <w:link w:val="841"/>
    <w:uiPriority w:val="9"/>
    <w:qFormat/>
    <w:rPr>
      <w:rFonts w:ascii="Arial" w:hAnsi="Arial" w:eastAsia="Arial" w:cs="Arial"/>
      <w:i/>
      <w:iCs/>
      <w:sz w:val="22"/>
      <w:szCs w:val="22"/>
    </w:rPr>
  </w:style>
  <w:style w:type="character" w:styleId="937" w:customStyle="1">
    <w:name w:val="Heading 9 Char_3e3a2bbe-2e36-4103-b910-f6afdbc698f5"/>
    <w:basedOn w:val="843"/>
    <w:link w:val="842"/>
    <w:uiPriority w:val="9"/>
    <w:qFormat/>
    <w:rPr>
      <w:rFonts w:ascii="Arial" w:hAnsi="Arial" w:eastAsia="Arial" w:cs="Arial"/>
      <w:i/>
      <w:iCs/>
      <w:sz w:val="21"/>
      <w:szCs w:val="21"/>
    </w:rPr>
  </w:style>
  <w:style w:type="paragraph" w:styleId="938">
    <w:name w:val="No Spacing"/>
    <w:uiPriority w:val="1"/>
    <w:qFormat/>
    <w:pPr>
      <w:spacing w:before="0" w:after="0" w:line="240" w:lineRule="auto"/>
    </w:pPr>
    <w:rPr>
      <w:rFonts w:hint="default" w:ascii="Times New Roman" w:hAnsi="Times New Roman" w:eastAsia="宋体" w:cs="Times New Roman"/>
    </w:rPr>
  </w:style>
  <w:style w:type="character" w:styleId="939" w:customStyle="1">
    <w:name w:val="Title Char_e9524746-6068-423a-ab76-1c3d893f9e9a"/>
    <w:basedOn w:val="843"/>
    <w:link w:val="872"/>
    <w:uiPriority w:val="10"/>
    <w:qFormat/>
    <w:rPr>
      <w:sz w:val="48"/>
      <w:szCs w:val="48"/>
    </w:rPr>
  </w:style>
  <w:style w:type="character" w:styleId="940" w:customStyle="1">
    <w:name w:val="Subtitle Char"/>
    <w:basedOn w:val="843"/>
    <w:link w:val="864"/>
    <w:uiPriority w:val="11"/>
    <w:qFormat/>
    <w:rPr>
      <w:sz w:val="24"/>
      <w:szCs w:val="24"/>
    </w:rPr>
  </w:style>
  <w:style w:type="paragraph" w:styleId="941">
    <w:name w:val="Quote"/>
    <w:basedOn w:val="833"/>
    <w:next w:val="833"/>
    <w:link w:val="942"/>
    <w:uiPriority w:val="29"/>
    <w:qFormat/>
    <w:pPr>
      <w:ind w:left="720" w:right="720"/>
    </w:pPr>
    <w:rPr>
      <w:i/>
    </w:rPr>
  </w:style>
  <w:style w:type="character" w:styleId="942" w:customStyle="1">
    <w:name w:val="Quote Char_dadfb542-72b1-461e-be14-b398d4fbacb6"/>
    <w:link w:val="941"/>
    <w:uiPriority w:val="29"/>
    <w:qFormat/>
    <w:rPr>
      <w:i/>
    </w:rPr>
  </w:style>
  <w:style w:type="paragraph" w:styleId="943">
    <w:name w:val="Intense Quote"/>
    <w:basedOn w:val="833"/>
    <w:next w:val="833"/>
    <w:link w:val="9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Intense Quote Char_49ea2cb6-da30-4405-b19e-afbf748ff6cf"/>
    <w:link w:val="943"/>
    <w:uiPriority w:val="30"/>
    <w:qFormat/>
    <w:rPr>
      <w:i/>
    </w:rPr>
  </w:style>
  <w:style w:type="character" w:styleId="945" w:customStyle="1">
    <w:name w:val="Header Char_8bc04af5-c914-47c0-bf46-a4ac030704e7"/>
    <w:basedOn w:val="843"/>
    <w:uiPriority w:val="99"/>
    <w:qFormat/>
  </w:style>
  <w:style w:type="character" w:styleId="946" w:customStyle="1">
    <w:name w:val="Footer Char_ffd19a12-b62f-4d0b-a7fa-b747baca89ba"/>
    <w:basedOn w:val="843"/>
    <w:uiPriority w:val="99"/>
    <w:qFormat/>
  </w:style>
  <w:style w:type="character" w:styleId="947" w:customStyle="1">
    <w:name w:val="Caption Char"/>
    <w:uiPriority w:val="99"/>
    <w:qFormat/>
  </w:style>
  <w:style w:type="table" w:styleId="948" w:customStyle="1">
    <w:name w:val="Table Grid Light"/>
    <w:basedOn w:val="844"/>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49" w:customStyle="1">
    <w:name w:val="Plain Table 1"/>
    <w:basedOn w:val="844"/>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2"/>
    <w:basedOn w:val="844"/>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3"/>
    <w:basedOn w:val="84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Plain Table 4"/>
    <w:basedOn w:val="84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Plain Table 5"/>
    <w:basedOn w:val="84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Grid Table 1 Light"/>
    <w:basedOn w:val="844"/>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55" w:customStyle="1">
    <w:name w:val="Grid Table 1 Light - Accent 1"/>
    <w:basedOn w:val="844"/>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56" w:customStyle="1">
    <w:name w:val="Grid Table 1 Light - Accent 2"/>
    <w:basedOn w:val="844"/>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57" w:customStyle="1">
    <w:name w:val="Grid Table 1 Light - Accent 3"/>
    <w:basedOn w:val="844"/>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58" w:customStyle="1">
    <w:name w:val="Grid Table 1 Light - Accent 4"/>
    <w:basedOn w:val="84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59" w:customStyle="1">
    <w:name w:val="Grid Table 1 Light - Accent 5"/>
    <w:basedOn w:val="844"/>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60" w:customStyle="1">
    <w:name w:val="Grid Table 1 Light - Accent 6"/>
    <w:basedOn w:val="844"/>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61" w:customStyle="1">
    <w:name w:val="Grid Table 2"/>
    <w:basedOn w:val="844"/>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62" w:customStyle="1">
    <w:name w:val="Grid Table 2 - Accent 1"/>
    <w:basedOn w:val="844"/>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63" w:customStyle="1">
    <w:name w:val="Grid Table 2 - Accent 2"/>
    <w:basedOn w:val="844"/>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64" w:customStyle="1">
    <w:name w:val="Grid Table 2 - Accent 3"/>
    <w:basedOn w:val="844"/>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65" w:customStyle="1">
    <w:name w:val="Grid Table 2 - Accent 4"/>
    <w:basedOn w:val="84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66" w:customStyle="1">
    <w:name w:val="Grid Table 2 - Accent 5"/>
    <w:basedOn w:val="844"/>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67" w:customStyle="1">
    <w:name w:val="Grid Table 2 - Accent 6"/>
    <w:basedOn w:val="844"/>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68" w:customStyle="1">
    <w:name w:val="Grid Table 3"/>
    <w:basedOn w:val="844"/>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1"/>
    <w:basedOn w:val="844"/>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2"/>
    <w:basedOn w:val="844"/>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3"/>
    <w:basedOn w:val="844"/>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4"/>
    <w:basedOn w:val="84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5"/>
    <w:basedOn w:val="844"/>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6"/>
    <w:basedOn w:val="844"/>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4"/>
    <w:basedOn w:val="84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76" w:customStyle="1">
    <w:name w:val="Grid Table 4 - Accent 1"/>
    <w:basedOn w:val="844"/>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77" w:customStyle="1">
    <w:name w:val="Grid Table 4 - Accent 2"/>
    <w:basedOn w:val="844"/>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78" w:customStyle="1">
    <w:name w:val="Grid Table 4 - Accent 3"/>
    <w:basedOn w:val="844"/>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79" w:customStyle="1">
    <w:name w:val="Grid Table 4 - Accent 4"/>
    <w:basedOn w:val="84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80" w:customStyle="1">
    <w:name w:val="Grid Table 4 - Accent 5"/>
    <w:basedOn w:val="844"/>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81" w:customStyle="1">
    <w:name w:val="Grid Table 4 - Accent 6"/>
    <w:basedOn w:val="844"/>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82" w:customStyle="1">
    <w:name w:val="Grid Table 5 Dark"/>
    <w:basedOn w:val="844"/>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CCE8CF" w:sz="4" w:space="0"/>
        </w:tcBorders>
      </w:tcPr>
    </w:tblStylePr>
  </w:style>
  <w:style w:type="table" w:styleId="983" w:customStyle="1">
    <w:name w:val="Grid Table 5 Dark- Accent 1"/>
    <w:basedOn w:val="844"/>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CCE8CF" w:sz="4" w:space="0"/>
        </w:tcBorders>
      </w:tcPr>
    </w:tblStylePr>
  </w:style>
  <w:style w:type="table" w:styleId="984" w:customStyle="1">
    <w:name w:val="Grid Table 5 Dark - Accent 2"/>
    <w:basedOn w:val="844"/>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CCE8CF" w:sz="4" w:space="0"/>
        </w:tcBorders>
      </w:tcPr>
    </w:tblStylePr>
  </w:style>
  <w:style w:type="table" w:styleId="985" w:customStyle="1">
    <w:name w:val="Grid Table 5 Dark - Accent 3"/>
    <w:basedOn w:val="844"/>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CCE8CF" w:sz="4" w:space="0"/>
        </w:tcBorders>
      </w:tcPr>
    </w:tblStylePr>
  </w:style>
  <w:style w:type="table" w:styleId="986" w:customStyle="1">
    <w:name w:val="Grid Table 5 Dark- Accent 4"/>
    <w:basedOn w:val="844"/>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CCE8CF" w:sz="4" w:space="0"/>
        </w:tcBorders>
      </w:tcPr>
    </w:tblStylePr>
  </w:style>
  <w:style w:type="table" w:styleId="987" w:customStyle="1">
    <w:name w:val="Grid Table 5 Dark - Accent 5"/>
    <w:basedOn w:val="844"/>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CCE8CF" w:sz="4" w:space="0"/>
        </w:tcBorders>
      </w:tcPr>
    </w:tblStylePr>
  </w:style>
  <w:style w:type="table" w:styleId="988" w:customStyle="1">
    <w:name w:val="Grid Table 5 Dark - Accent 6"/>
    <w:basedOn w:val="844"/>
    <w:uiPriority w:val="99"/>
    <w:qFormat/>
    <w:pPr>
      <w:spacing w:after="0" w:line="240" w:lineRule="auto"/>
    </w:pPr>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CCE8CF" w:sz="4" w:space="0"/>
        </w:tcBorders>
      </w:tcPr>
    </w:tblStylePr>
  </w:style>
  <w:style w:type="table" w:styleId="989" w:customStyle="1">
    <w:name w:val="Grid Table 6 Colorful"/>
    <w:basedOn w:val="844"/>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90" w:customStyle="1">
    <w:name w:val="Grid Table 6 Colorful - Accent 1"/>
    <w:basedOn w:val="844"/>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91" w:customStyle="1">
    <w:name w:val="Grid Table 6 Colorful - Accent 2"/>
    <w:basedOn w:val="844"/>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92" w:customStyle="1">
    <w:name w:val="Grid Table 6 Colorful - Accent 3"/>
    <w:basedOn w:val="844"/>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93" w:customStyle="1">
    <w:name w:val="Grid Table 6 Colorful - Accent 4"/>
    <w:basedOn w:val="84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94" w:customStyle="1">
    <w:name w:val="Grid Table 6 Colorful - Accent 5"/>
    <w:basedOn w:val="844"/>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95" w:customStyle="1">
    <w:name w:val="Grid Table 6 Colorful - Accent 6"/>
    <w:basedOn w:val="844"/>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96" w:customStyle="1">
    <w:name w:val="Grid Table 7 Colorful"/>
    <w:basedOn w:val="844"/>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cce8cf" w:fill="cce8c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cce8cf" w:fill="cce8cf"/>
        <w:tcBorders>
          <w:top w:val="single" w:color="7E7E7E" w:sz="4" w:space="0"/>
          <w:left w:val="none" w:color="000000" w:sz="4" w:space="0"/>
          <w:bottom w:val="none" w:color="000000" w:sz="4" w:space="0"/>
          <w:right w:val="none" w:color="000000" w:sz="4" w:space="0"/>
        </w:tcBorders>
      </w:tcPr>
    </w:tblStylePr>
  </w:style>
  <w:style w:type="table" w:styleId="997" w:customStyle="1">
    <w:name w:val="Grid Table 7 Colorful - Accent 1"/>
    <w:basedOn w:val="844"/>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cce8cf" w:fill="cce8c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cce8cf" w:fill="cce8cf"/>
        <w:tcBorders>
          <w:top w:val="single" w:color="A6BFDD" w:sz="4" w:space="0"/>
          <w:left w:val="none" w:color="000000" w:sz="4" w:space="0"/>
          <w:bottom w:val="none" w:color="000000" w:sz="4" w:space="0"/>
          <w:right w:val="none" w:color="000000" w:sz="4" w:space="0"/>
        </w:tcBorders>
      </w:tcPr>
    </w:tblStylePr>
  </w:style>
  <w:style w:type="table" w:styleId="998" w:customStyle="1">
    <w:name w:val="Grid Table 7 Colorful - Accent 2"/>
    <w:basedOn w:val="844"/>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cce8cf" w:fill="cce8c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cce8cf" w:fill="cce8cf"/>
        <w:tcBorders>
          <w:top w:val="single" w:color="D99795" w:sz="4" w:space="0"/>
          <w:left w:val="none" w:color="000000" w:sz="4" w:space="0"/>
          <w:bottom w:val="none" w:color="000000" w:sz="4" w:space="0"/>
          <w:right w:val="none" w:color="000000" w:sz="4" w:space="0"/>
        </w:tcBorders>
      </w:tcPr>
    </w:tblStylePr>
  </w:style>
  <w:style w:type="table" w:styleId="999" w:customStyle="1">
    <w:name w:val="Grid Table 7 Colorful - Accent 3"/>
    <w:basedOn w:val="844"/>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cce8cf" w:fill="cce8c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cce8cf" w:fill="cce8cf"/>
        <w:tcBorders>
          <w:top w:val="single" w:color="9BBB59" w:sz="4" w:space="0"/>
          <w:left w:val="none" w:color="000000" w:sz="4" w:space="0"/>
          <w:bottom w:val="none" w:color="000000" w:sz="4" w:space="0"/>
          <w:right w:val="none" w:color="000000" w:sz="4" w:space="0"/>
        </w:tcBorders>
      </w:tcPr>
    </w:tblStylePr>
  </w:style>
  <w:style w:type="table" w:styleId="1000" w:customStyle="1">
    <w:name w:val="Grid Table 7 Colorful - Accent 4"/>
    <w:basedOn w:val="84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cce8cf" w:fill="cce8c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cce8cf" w:fill="cce8cf"/>
        <w:tcBorders>
          <w:top w:val="single" w:color="B2A1C6" w:sz="4" w:space="0"/>
          <w:left w:val="none" w:color="000000" w:sz="4" w:space="0"/>
          <w:bottom w:val="none" w:color="000000" w:sz="4" w:space="0"/>
          <w:right w:val="none" w:color="000000" w:sz="4" w:space="0"/>
        </w:tcBorders>
      </w:tcPr>
    </w:tblStylePr>
  </w:style>
  <w:style w:type="table" w:styleId="1001" w:customStyle="1">
    <w:name w:val="Grid Table 7 Colorful - Accent 5"/>
    <w:basedOn w:val="844"/>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cce8cf" w:fill="cce8c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cce8cf" w:fill="cce8cf"/>
        <w:tcBorders>
          <w:top w:val="single" w:color="99D0DE" w:sz="4" w:space="0"/>
          <w:left w:val="none" w:color="000000" w:sz="4" w:space="0"/>
          <w:bottom w:val="none" w:color="000000" w:sz="4" w:space="0"/>
          <w:right w:val="none" w:color="000000" w:sz="4" w:space="0"/>
        </w:tcBorders>
      </w:tcPr>
    </w:tblStylePr>
  </w:style>
  <w:style w:type="table" w:styleId="1002" w:customStyle="1">
    <w:name w:val="Grid Table 7 Colorful - Accent 6"/>
    <w:basedOn w:val="844"/>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cce8cf" w:fill="cce8c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cce8cf" w:fill="cce8cf"/>
        <w:tcBorders>
          <w:top w:val="single" w:color="FAC396" w:sz="4" w:space="0"/>
          <w:left w:val="none" w:color="000000" w:sz="4" w:space="0"/>
          <w:bottom w:val="none" w:color="000000" w:sz="4" w:space="0"/>
          <w:right w:val="none" w:color="000000" w:sz="4" w:space="0"/>
        </w:tcBorders>
      </w:tcPr>
    </w:tblStylePr>
  </w:style>
  <w:style w:type="table" w:styleId="1003" w:customStyle="1">
    <w:name w:val="List Table 1 Light"/>
    <w:basedOn w:val="844"/>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04" w:customStyle="1">
    <w:name w:val="List Table 1 Light - Accent 1"/>
    <w:basedOn w:val="844"/>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005" w:customStyle="1">
    <w:name w:val="List Table 1 Light - Accent 2"/>
    <w:basedOn w:val="844"/>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006" w:customStyle="1">
    <w:name w:val="List Table 1 Light - Accent 3"/>
    <w:basedOn w:val="844"/>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07" w:customStyle="1">
    <w:name w:val="List Table 1 Light - Accent 4"/>
    <w:basedOn w:val="84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008" w:customStyle="1">
    <w:name w:val="List Table 1 Light - Accent 5"/>
    <w:basedOn w:val="844"/>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009" w:customStyle="1">
    <w:name w:val="List Table 1 Light - Accent 6"/>
    <w:basedOn w:val="844"/>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010" w:customStyle="1">
    <w:name w:val="List Table 2"/>
    <w:basedOn w:val="844"/>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1011" w:customStyle="1">
    <w:name w:val="List Table 2 - Accent 1"/>
    <w:basedOn w:val="844"/>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012" w:customStyle="1">
    <w:name w:val="List Table 2 - Accent 2"/>
    <w:basedOn w:val="844"/>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1013" w:customStyle="1">
    <w:name w:val="List Table 2 - Accent 3"/>
    <w:basedOn w:val="844"/>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014" w:customStyle="1">
    <w:name w:val="List Table 2 - Accent 4"/>
    <w:basedOn w:val="84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15" w:customStyle="1">
    <w:name w:val="List Table 2 - Accent 5"/>
    <w:basedOn w:val="844"/>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016" w:customStyle="1">
    <w:name w:val="List Table 2 - Accent 6"/>
    <w:basedOn w:val="844"/>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017" w:customStyle="1">
    <w:name w:val="List Table 3"/>
    <w:basedOn w:val="844"/>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18" w:customStyle="1">
    <w:name w:val="List Table 3 - Accent 1"/>
    <w:basedOn w:val="844"/>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19" w:customStyle="1">
    <w:name w:val="List Table 3 - Accent 2"/>
    <w:basedOn w:val="844"/>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1020" w:customStyle="1">
    <w:name w:val="List Table 3 - Accent 3"/>
    <w:basedOn w:val="844"/>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1021" w:customStyle="1">
    <w:name w:val="List Table 3 - Accent 4"/>
    <w:basedOn w:val="84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22" w:customStyle="1">
    <w:name w:val="List Table 3 - Accent 5"/>
    <w:basedOn w:val="844"/>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23" w:customStyle="1">
    <w:name w:val="List Table 3 - Accent 6"/>
    <w:basedOn w:val="844"/>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24" w:customStyle="1">
    <w:name w:val="List Table 4"/>
    <w:basedOn w:val="84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25" w:customStyle="1">
    <w:name w:val="List Table 4 - Accent 1"/>
    <w:basedOn w:val="844"/>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26" w:customStyle="1">
    <w:name w:val="List Table 4 - Accent 2"/>
    <w:basedOn w:val="844"/>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27" w:customStyle="1">
    <w:name w:val="List Table 4 - Accent 3"/>
    <w:basedOn w:val="844"/>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28" w:customStyle="1">
    <w:name w:val="List Table 4 - Accent 4"/>
    <w:basedOn w:val="84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29" w:customStyle="1">
    <w:name w:val="List Table 4 - Accent 5"/>
    <w:basedOn w:val="844"/>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30" w:customStyle="1">
    <w:name w:val="List Table 4 - Accent 6"/>
    <w:basedOn w:val="844"/>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31" w:customStyle="1">
    <w:name w:val="List Table 5 Dark"/>
    <w:basedOn w:val="844"/>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CCE8CF" w:sz="4" w:space="0"/>
          <w:bottom w:val="single" w:color="CCE8CF" w:sz="4" w:space="0"/>
        </w:tcBorders>
      </w:tcPr>
    </w:tblStylePr>
    <w:tblStylePr w:type="band1Vert">
      <w:tcPr>
        <w:shd w:val="clear" w:color="7e7e7e" w:fill="7e7e7e"/>
        <w:tcBorders>
          <w:left w:val="single" w:color="CCE8CF" w:sz="4" w:space="0"/>
          <w:right w:val="single" w:color="CCE8CF" w:sz="4" w:space="0"/>
        </w:tcBorders>
      </w:tcPr>
    </w:tblStylePr>
    <w:tblStylePr w:type="band2Horz">
      <w:tcPr>
        <w:shd w:val="clear" w:color="7e7e7e" w:fill="7e7e7e"/>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7E7E7E" w:sz="32" w:space="0"/>
          <w:right w:val="single" w:color="CCE8CF" w:sz="4" w:space="0"/>
        </w:tcBorders>
      </w:tcPr>
    </w:tblStylePr>
    <w:tblStylePr w:type="firstRow">
      <w:rPr>
        <w:rFonts w:ascii="Arial" w:hAnsi="Arial"/>
        <w:b/>
        <w:color w:val="cce8cf"/>
        <w:sz w:val="22"/>
      </w:rPr>
      <w:tcPr>
        <w:shd w:val="clear" w:color="7e7e7e" w:fill="7e7e7e"/>
        <w:tcBorders>
          <w:top w:val="single" w:color="7E7E7E" w:sz="32" w:space="0"/>
          <w:bottom w:val="single" w:color="CCE8CF" w:sz="12" w:space="0"/>
        </w:tcBorders>
      </w:tcPr>
    </w:tblStylePr>
    <w:tblStylePr w:type="lastCol">
      <w:tcPr>
        <w:tcBorders>
          <w:left w:val="single" w:color="CCE8CF" w:sz="4" w:space="0"/>
          <w:right w:val="single" w:color="7E7E7E" w:sz="32" w:space="0"/>
        </w:tcBorders>
      </w:tcPr>
    </w:tblStylePr>
    <w:tblStylePr w:type="lastRow">
      <w:rPr>
        <w:rFonts w:ascii="Arial" w:hAnsi="Arial"/>
        <w:b/>
        <w:color w:val="cce8cf"/>
        <w:sz w:val="22"/>
      </w:rPr>
    </w:tblStylePr>
  </w:style>
  <w:style w:type="table" w:styleId="1032" w:customStyle="1">
    <w:name w:val="List Table 5 Dark - Accent 1"/>
    <w:basedOn w:val="844"/>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CCE8CF" w:sz="4" w:space="0"/>
          <w:bottom w:val="single" w:color="CCE8CF" w:sz="4" w:space="0"/>
        </w:tcBorders>
      </w:tcPr>
    </w:tblStylePr>
    <w:tblStylePr w:type="band1Vert">
      <w:tcPr>
        <w:shd w:val="clear" w:color="4f81bd" w:fill="4f81bd"/>
        <w:tcBorders>
          <w:left w:val="single" w:color="CCE8CF" w:sz="4" w:space="0"/>
          <w:right w:val="single" w:color="CCE8CF" w:sz="4" w:space="0"/>
        </w:tcBorders>
      </w:tcPr>
    </w:tblStylePr>
    <w:tblStylePr w:type="band2Horz">
      <w:tcPr>
        <w:shd w:val="clear" w:color="4f81bd" w:fill="4f81bd"/>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4F81BD" w:sz="32" w:space="0"/>
          <w:right w:val="single" w:color="CCE8CF" w:sz="4" w:space="0"/>
        </w:tcBorders>
      </w:tcPr>
    </w:tblStylePr>
    <w:tblStylePr w:type="firstRow">
      <w:rPr>
        <w:rFonts w:ascii="Arial" w:hAnsi="Arial"/>
        <w:b/>
        <w:color w:val="cce8cf"/>
        <w:sz w:val="22"/>
      </w:rPr>
      <w:tcPr>
        <w:shd w:val="clear" w:color="4f81bd" w:fill="4f81bd"/>
        <w:tcBorders>
          <w:top w:val="single" w:color="4F81BD" w:sz="32" w:space="0"/>
          <w:bottom w:val="single" w:color="CCE8CF" w:sz="12" w:space="0"/>
        </w:tcBorders>
      </w:tcPr>
    </w:tblStylePr>
    <w:tblStylePr w:type="lastCol">
      <w:tcPr>
        <w:tcBorders>
          <w:left w:val="single" w:color="CCE8CF" w:sz="4" w:space="0"/>
          <w:right w:val="single" w:color="4F81BD" w:sz="32" w:space="0"/>
        </w:tcBorders>
      </w:tcPr>
    </w:tblStylePr>
    <w:tblStylePr w:type="lastRow">
      <w:rPr>
        <w:rFonts w:ascii="Arial" w:hAnsi="Arial"/>
        <w:b/>
        <w:color w:val="cce8cf"/>
        <w:sz w:val="22"/>
      </w:rPr>
    </w:tblStylePr>
  </w:style>
  <w:style w:type="table" w:styleId="1033" w:customStyle="1">
    <w:name w:val="List Table 5 Dark - Accent 2"/>
    <w:basedOn w:val="844"/>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CCE8CF" w:sz="4" w:space="0"/>
          <w:bottom w:val="single" w:color="CCE8CF" w:sz="4" w:space="0"/>
        </w:tcBorders>
      </w:tcPr>
    </w:tblStylePr>
    <w:tblStylePr w:type="band1Vert">
      <w:tcPr>
        <w:shd w:val="clear" w:color="d99795" w:fill="d99795"/>
        <w:tcBorders>
          <w:left w:val="single" w:color="CCE8CF" w:sz="4" w:space="0"/>
          <w:right w:val="single" w:color="CCE8CF" w:sz="4" w:space="0"/>
        </w:tcBorders>
      </w:tcPr>
    </w:tblStylePr>
    <w:tblStylePr w:type="band2Horz">
      <w:tcPr>
        <w:shd w:val="clear" w:color="d99795" w:fill="d99795"/>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D99795" w:sz="32" w:space="0"/>
          <w:right w:val="single" w:color="CCE8CF" w:sz="4" w:space="0"/>
        </w:tcBorders>
      </w:tcPr>
    </w:tblStylePr>
    <w:tblStylePr w:type="firstRow">
      <w:rPr>
        <w:rFonts w:ascii="Arial" w:hAnsi="Arial"/>
        <w:b/>
        <w:color w:val="cce8cf"/>
        <w:sz w:val="22"/>
      </w:rPr>
      <w:tcPr>
        <w:shd w:val="clear" w:color="d99795" w:fill="d99795"/>
        <w:tcBorders>
          <w:top w:val="single" w:color="D99795" w:sz="32" w:space="0"/>
          <w:bottom w:val="single" w:color="CCE8CF" w:sz="12" w:space="0"/>
        </w:tcBorders>
      </w:tcPr>
    </w:tblStylePr>
    <w:tblStylePr w:type="lastCol">
      <w:tcPr>
        <w:tcBorders>
          <w:left w:val="single" w:color="CCE8CF" w:sz="4" w:space="0"/>
          <w:right w:val="single" w:color="D99795" w:sz="32" w:space="0"/>
        </w:tcBorders>
      </w:tcPr>
    </w:tblStylePr>
    <w:tblStylePr w:type="lastRow">
      <w:rPr>
        <w:rFonts w:ascii="Arial" w:hAnsi="Arial"/>
        <w:b/>
        <w:color w:val="cce8cf"/>
        <w:sz w:val="22"/>
      </w:rPr>
    </w:tblStylePr>
  </w:style>
  <w:style w:type="table" w:styleId="1034" w:customStyle="1">
    <w:name w:val="List Table 5 Dark - Accent 3"/>
    <w:basedOn w:val="844"/>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CCE8CF" w:sz="4" w:space="0"/>
          <w:bottom w:val="single" w:color="CCE8CF" w:sz="4" w:space="0"/>
        </w:tcBorders>
      </w:tcPr>
    </w:tblStylePr>
    <w:tblStylePr w:type="band1Vert">
      <w:tcPr>
        <w:shd w:val="clear" w:color="c3d69c" w:fill="c3d69c"/>
        <w:tcBorders>
          <w:left w:val="single" w:color="CCE8CF" w:sz="4" w:space="0"/>
          <w:right w:val="single" w:color="CCE8CF" w:sz="4" w:space="0"/>
        </w:tcBorders>
      </w:tcPr>
    </w:tblStylePr>
    <w:tblStylePr w:type="band2Horz">
      <w:tcPr>
        <w:shd w:val="clear" w:color="c3d69c" w:fill="c3d69c"/>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C3D69C" w:sz="32" w:space="0"/>
          <w:right w:val="single" w:color="CCE8CF" w:sz="4" w:space="0"/>
        </w:tcBorders>
      </w:tcPr>
    </w:tblStylePr>
    <w:tblStylePr w:type="firstRow">
      <w:rPr>
        <w:rFonts w:ascii="Arial" w:hAnsi="Arial"/>
        <w:b/>
        <w:color w:val="cce8cf"/>
        <w:sz w:val="22"/>
      </w:rPr>
      <w:tcPr>
        <w:shd w:val="clear" w:color="c3d69c" w:fill="c3d69c"/>
        <w:tcBorders>
          <w:top w:val="single" w:color="C3D69C" w:sz="32" w:space="0"/>
          <w:bottom w:val="single" w:color="CCE8CF" w:sz="12" w:space="0"/>
        </w:tcBorders>
      </w:tcPr>
    </w:tblStylePr>
    <w:tblStylePr w:type="lastCol">
      <w:tcPr>
        <w:tcBorders>
          <w:left w:val="single" w:color="CCE8CF" w:sz="4" w:space="0"/>
          <w:right w:val="single" w:color="C3D69C" w:sz="32" w:space="0"/>
        </w:tcBorders>
      </w:tcPr>
    </w:tblStylePr>
    <w:tblStylePr w:type="lastRow">
      <w:rPr>
        <w:rFonts w:ascii="Arial" w:hAnsi="Arial"/>
        <w:b/>
        <w:color w:val="cce8cf"/>
        <w:sz w:val="22"/>
      </w:rPr>
    </w:tblStylePr>
  </w:style>
  <w:style w:type="table" w:styleId="1035" w:customStyle="1">
    <w:name w:val="List Table 5 Dark - Accent 4"/>
    <w:basedOn w:val="84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CCE8CF" w:sz="4" w:space="0"/>
          <w:bottom w:val="single" w:color="CCE8CF" w:sz="4" w:space="0"/>
        </w:tcBorders>
      </w:tcPr>
    </w:tblStylePr>
    <w:tblStylePr w:type="band1Vert">
      <w:tcPr>
        <w:shd w:val="clear" w:color="b2a1c6" w:fill="b2a1c6"/>
        <w:tcBorders>
          <w:left w:val="single" w:color="CCE8CF" w:sz="4" w:space="0"/>
          <w:right w:val="single" w:color="CCE8CF" w:sz="4" w:space="0"/>
        </w:tcBorders>
      </w:tcPr>
    </w:tblStylePr>
    <w:tblStylePr w:type="band2Horz">
      <w:tcPr>
        <w:shd w:val="clear" w:color="b2a1c6" w:fill="b2a1c6"/>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B2A1C6" w:sz="32" w:space="0"/>
          <w:right w:val="single" w:color="CCE8CF" w:sz="4" w:space="0"/>
        </w:tcBorders>
      </w:tcPr>
    </w:tblStylePr>
    <w:tblStylePr w:type="firstRow">
      <w:rPr>
        <w:rFonts w:ascii="Arial" w:hAnsi="Arial"/>
        <w:b/>
        <w:color w:val="cce8cf"/>
        <w:sz w:val="22"/>
      </w:rPr>
      <w:tcPr>
        <w:shd w:val="clear" w:color="b2a1c6" w:fill="b2a1c6"/>
        <w:tcBorders>
          <w:top w:val="single" w:color="B2A1C6" w:sz="32" w:space="0"/>
          <w:bottom w:val="single" w:color="CCE8CF" w:sz="12" w:space="0"/>
        </w:tcBorders>
      </w:tcPr>
    </w:tblStylePr>
    <w:tblStylePr w:type="lastCol">
      <w:tcPr>
        <w:tcBorders>
          <w:left w:val="single" w:color="CCE8CF" w:sz="4" w:space="0"/>
          <w:right w:val="single" w:color="B2A1C6" w:sz="32" w:space="0"/>
        </w:tcBorders>
      </w:tcPr>
    </w:tblStylePr>
    <w:tblStylePr w:type="lastRow">
      <w:rPr>
        <w:rFonts w:ascii="Arial" w:hAnsi="Arial"/>
        <w:b/>
        <w:color w:val="cce8cf"/>
        <w:sz w:val="22"/>
      </w:rPr>
    </w:tblStylePr>
  </w:style>
  <w:style w:type="table" w:styleId="1036" w:customStyle="1">
    <w:name w:val="List Table 5 Dark - Accent 5"/>
    <w:basedOn w:val="844"/>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CCE8CF" w:sz="4" w:space="0"/>
          <w:bottom w:val="single" w:color="CCE8CF" w:sz="4" w:space="0"/>
        </w:tcBorders>
      </w:tcPr>
    </w:tblStylePr>
    <w:tblStylePr w:type="band1Vert">
      <w:tcPr>
        <w:shd w:val="clear" w:color="92ccdc" w:fill="92ccdc"/>
        <w:tcBorders>
          <w:left w:val="single" w:color="CCE8CF" w:sz="4" w:space="0"/>
          <w:right w:val="single" w:color="CCE8CF" w:sz="4" w:space="0"/>
        </w:tcBorders>
      </w:tcPr>
    </w:tblStylePr>
    <w:tblStylePr w:type="band2Horz">
      <w:tcPr>
        <w:shd w:val="clear" w:color="92ccdc" w:fill="92ccdc"/>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92CCDC" w:sz="32" w:space="0"/>
          <w:right w:val="single" w:color="CCE8CF" w:sz="4" w:space="0"/>
        </w:tcBorders>
      </w:tcPr>
    </w:tblStylePr>
    <w:tblStylePr w:type="firstRow">
      <w:rPr>
        <w:rFonts w:ascii="Arial" w:hAnsi="Arial"/>
        <w:b/>
        <w:color w:val="cce8cf"/>
        <w:sz w:val="22"/>
      </w:rPr>
      <w:tcPr>
        <w:shd w:val="clear" w:color="92ccdc" w:fill="92ccdc"/>
        <w:tcBorders>
          <w:top w:val="single" w:color="92CCDC" w:sz="32" w:space="0"/>
          <w:bottom w:val="single" w:color="CCE8CF" w:sz="12" w:space="0"/>
        </w:tcBorders>
      </w:tcPr>
    </w:tblStylePr>
    <w:tblStylePr w:type="lastCol">
      <w:tcPr>
        <w:tcBorders>
          <w:left w:val="single" w:color="CCE8CF" w:sz="4" w:space="0"/>
          <w:right w:val="single" w:color="92CCDC" w:sz="32" w:space="0"/>
        </w:tcBorders>
      </w:tcPr>
    </w:tblStylePr>
    <w:tblStylePr w:type="lastRow">
      <w:rPr>
        <w:rFonts w:ascii="Arial" w:hAnsi="Arial"/>
        <w:b/>
        <w:color w:val="cce8cf"/>
        <w:sz w:val="22"/>
      </w:rPr>
    </w:tblStylePr>
  </w:style>
  <w:style w:type="table" w:styleId="1037" w:customStyle="1">
    <w:name w:val="List Table 5 Dark - Accent 6"/>
    <w:basedOn w:val="844"/>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CCE8CF" w:sz="4" w:space="0"/>
          <w:bottom w:val="single" w:color="CCE8CF" w:sz="4" w:space="0"/>
        </w:tcBorders>
      </w:tcPr>
    </w:tblStylePr>
    <w:tblStylePr w:type="band1Vert">
      <w:tcPr>
        <w:shd w:val="clear" w:color="fac090" w:fill="fac090"/>
        <w:tcBorders>
          <w:left w:val="single" w:color="CCE8CF" w:sz="4" w:space="0"/>
          <w:right w:val="single" w:color="CCE8CF" w:sz="4" w:space="0"/>
        </w:tcBorders>
      </w:tcPr>
    </w:tblStylePr>
    <w:tblStylePr w:type="band2Horz">
      <w:tcPr>
        <w:shd w:val="clear" w:color="fac090" w:fill="fac090"/>
        <w:tcBorders>
          <w:top w:val="single" w:color="CCE8CF" w:sz="4" w:space="0"/>
          <w:bottom w:val="single" w:color="CCE8CF" w:sz="4" w:space="0"/>
        </w:tcBorders>
      </w:tcPr>
    </w:tblStylePr>
    <w:tblStylePr w:type="band2Vert">
      <w:tcPr>
        <w:tcBorders>
          <w:left w:val="single" w:color="CCE8CF" w:sz="4" w:space="0"/>
          <w:right w:val="single" w:color="CCE8CF" w:sz="4" w:space="0"/>
        </w:tcBorders>
      </w:tcPr>
    </w:tblStylePr>
    <w:tblStylePr w:type="firstCol">
      <w:rPr>
        <w:rFonts w:ascii="Arial" w:hAnsi="Arial"/>
        <w:b/>
        <w:color w:val="cce8cf"/>
        <w:sz w:val="22"/>
      </w:rPr>
      <w:tcPr>
        <w:tcBorders>
          <w:left w:val="single" w:color="FAC090" w:sz="32" w:space="0"/>
          <w:right w:val="single" w:color="CCE8CF" w:sz="4" w:space="0"/>
        </w:tcBorders>
      </w:tcPr>
    </w:tblStylePr>
    <w:tblStylePr w:type="firstRow">
      <w:rPr>
        <w:rFonts w:ascii="Arial" w:hAnsi="Arial"/>
        <w:b/>
        <w:color w:val="cce8cf"/>
        <w:sz w:val="22"/>
      </w:rPr>
      <w:tcPr>
        <w:shd w:val="clear" w:color="fac090" w:fill="fac090"/>
        <w:tcBorders>
          <w:top w:val="single" w:color="FAC090" w:sz="32" w:space="0"/>
          <w:bottom w:val="single" w:color="CCE8CF" w:sz="12" w:space="0"/>
        </w:tcBorders>
      </w:tcPr>
    </w:tblStylePr>
    <w:tblStylePr w:type="lastCol">
      <w:tcPr>
        <w:tcBorders>
          <w:left w:val="single" w:color="CCE8CF" w:sz="4" w:space="0"/>
          <w:right w:val="single" w:color="FAC090" w:sz="32" w:space="0"/>
        </w:tcBorders>
      </w:tcPr>
    </w:tblStylePr>
    <w:tblStylePr w:type="lastRow">
      <w:rPr>
        <w:rFonts w:ascii="Arial" w:hAnsi="Arial"/>
        <w:b/>
        <w:color w:val="cce8cf"/>
        <w:sz w:val="22"/>
      </w:rPr>
    </w:tblStylePr>
  </w:style>
  <w:style w:type="table" w:styleId="1038" w:customStyle="1">
    <w:name w:val="List Table 6 Colorful"/>
    <w:basedOn w:val="844"/>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39" w:customStyle="1">
    <w:name w:val="List Table 6 Colorful - Accent 1"/>
    <w:basedOn w:val="844"/>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40" w:customStyle="1">
    <w:name w:val="List Table 6 Colorful - Accent 2"/>
    <w:basedOn w:val="844"/>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41" w:customStyle="1">
    <w:name w:val="List Table 6 Colorful - Accent 3"/>
    <w:basedOn w:val="844"/>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42" w:customStyle="1">
    <w:name w:val="List Table 6 Colorful - Accent 4"/>
    <w:basedOn w:val="844"/>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43" w:customStyle="1">
    <w:name w:val="List Table 6 Colorful - Accent 5"/>
    <w:basedOn w:val="844"/>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44" w:customStyle="1">
    <w:name w:val="List Table 6 Colorful - Accent 6"/>
    <w:basedOn w:val="844"/>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45" w:customStyle="1">
    <w:name w:val="List Table 7 Colorful"/>
    <w:basedOn w:val="844"/>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cce8cf" w:fill="cce8c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cce8cf" w:fill="cce8cf"/>
        <w:tcBorders>
          <w:top w:val="single" w:color="7E7E7E" w:sz="4" w:space="0"/>
          <w:left w:val="none" w:color="000000" w:sz="4" w:space="0"/>
          <w:bottom w:val="none" w:color="000000" w:sz="4" w:space="0"/>
          <w:right w:val="none" w:color="000000" w:sz="4" w:space="0"/>
        </w:tcBorders>
      </w:tcPr>
    </w:tblStylePr>
  </w:style>
  <w:style w:type="table" w:styleId="1046" w:customStyle="1">
    <w:name w:val="List Table 7 Colorful - Accent 1"/>
    <w:basedOn w:val="844"/>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cce8cf" w:fill="cce8c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cce8cf" w:fill="cce8cf"/>
        <w:tcBorders>
          <w:top w:val="single" w:color="4F81BD" w:sz="4" w:space="0"/>
          <w:left w:val="none" w:color="000000" w:sz="4" w:space="0"/>
          <w:bottom w:val="none" w:color="000000" w:sz="4" w:space="0"/>
          <w:right w:val="none" w:color="000000" w:sz="4" w:space="0"/>
        </w:tcBorders>
      </w:tcPr>
    </w:tblStylePr>
  </w:style>
  <w:style w:type="table" w:styleId="1047" w:customStyle="1">
    <w:name w:val="List Table 7 Colorful - Accent 2"/>
    <w:basedOn w:val="844"/>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cce8cf" w:fill="cce8c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cce8cf" w:fill="cce8cf"/>
        <w:tcBorders>
          <w:top w:val="single" w:color="D99795" w:sz="4" w:space="0"/>
          <w:left w:val="none" w:color="000000" w:sz="4" w:space="0"/>
          <w:bottom w:val="none" w:color="000000" w:sz="4" w:space="0"/>
          <w:right w:val="none" w:color="000000" w:sz="4" w:space="0"/>
        </w:tcBorders>
      </w:tcPr>
    </w:tblStylePr>
  </w:style>
  <w:style w:type="table" w:styleId="1048" w:customStyle="1">
    <w:name w:val="List Table 7 Colorful - Accent 3"/>
    <w:basedOn w:val="844"/>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cce8cf" w:fill="cce8c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cce8cf" w:fill="cce8cf"/>
        <w:tcBorders>
          <w:top w:val="single" w:color="C3D69C" w:sz="4" w:space="0"/>
          <w:left w:val="none" w:color="000000" w:sz="4" w:space="0"/>
          <w:bottom w:val="none" w:color="000000" w:sz="4" w:space="0"/>
          <w:right w:val="none" w:color="000000" w:sz="4" w:space="0"/>
        </w:tcBorders>
      </w:tcPr>
    </w:tblStylePr>
  </w:style>
  <w:style w:type="table" w:styleId="1049" w:customStyle="1">
    <w:name w:val="List Table 7 Colorful - Accent 4"/>
    <w:basedOn w:val="844"/>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cce8cf" w:fill="cce8c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cce8cf" w:fill="cce8cf"/>
        <w:tcBorders>
          <w:top w:val="single" w:color="B2A1C6" w:sz="4" w:space="0"/>
          <w:left w:val="none" w:color="000000" w:sz="4" w:space="0"/>
          <w:bottom w:val="none" w:color="000000" w:sz="4" w:space="0"/>
          <w:right w:val="none" w:color="000000" w:sz="4" w:space="0"/>
        </w:tcBorders>
      </w:tcPr>
    </w:tblStylePr>
  </w:style>
  <w:style w:type="table" w:styleId="1050" w:customStyle="1">
    <w:name w:val="List Table 7 Colorful - Accent 5"/>
    <w:basedOn w:val="844"/>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cce8cf" w:fill="cce8c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cce8cf" w:fill="cce8cf"/>
        <w:tcBorders>
          <w:top w:val="single" w:color="92CCDC" w:sz="4" w:space="0"/>
          <w:left w:val="none" w:color="000000" w:sz="4" w:space="0"/>
          <w:bottom w:val="none" w:color="000000" w:sz="4" w:space="0"/>
          <w:right w:val="none" w:color="000000" w:sz="4" w:space="0"/>
        </w:tcBorders>
      </w:tcPr>
    </w:tblStylePr>
  </w:style>
  <w:style w:type="table" w:styleId="1051" w:customStyle="1">
    <w:name w:val="List Table 7 Colorful - Accent 6"/>
    <w:basedOn w:val="844"/>
    <w:uiPriority w:val="99"/>
    <w:qFormat/>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cce8cf" w:fill="cce8c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cce8cf" w:fill="cce8cf"/>
        <w:tcBorders>
          <w:top w:val="single" w:color="FAC090" w:sz="4" w:space="0"/>
          <w:left w:val="none" w:color="000000" w:sz="4" w:space="0"/>
          <w:bottom w:val="none" w:color="000000" w:sz="4" w:space="0"/>
          <w:right w:val="none" w:color="000000" w:sz="4" w:space="0"/>
        </w:tcBorders>
      </w:tcPr>
    </w:tblStylePr>
  </w:style>
  <w:style w:type="table" w:styleId="1052" w:customStyle="1">
    <w:name w:val="Lined - Accent"/>
    <w:basedOn w:val="8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53" w:customStyle="1">
    <w:name w:val="Lined - Accent 1"/>
    <w:basedOn w:val="8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54" w:customStyle="1">
    <w:name w:val="Lined - Accent 2"/>
    <w:basedOn w:val="8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55" w:customStyle="1">
    <w:name w:val="Lined - Accent 3"/>
    <w:basedOn w:val="8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56" w:customStyle="1">
    <w:name w:val="Lined - Accent 4"/>
    <w:basedOn w:val="8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57" w:customStyle="1">
    <w:name w:val="Lined - Accent 5"/>
    <w:basedOn w:val="8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58" w:customStyle="1">
    <w:name w:val="Lined - Accent 6"/>
    <w:basedOn w:val="84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59" w:customStyle="1">
    <w:name w:val="Bordered &amp; Lined - Accent"/>
    <w:basedOn w:val="844"/>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60" w:customStyle="1">
    <w:name w:val="Bordered &amp; Lined - Accent 1"/>
    <w:basedOn w:val="844"/>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61" w:customStyle="1">
    <w:name w:val="Bordered &amp; Lined - Accent 2"/>
    <w:basedOn w:val="844"/>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62" w:customStyle="1">
    <w:name w:val="Bordered &amp; Lined - Accent 3"/>
    <w:basedOn w:val="844"/>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63" w:customStyle="1">
    <w:name w:val="Bordered &amp; Lined - Accent 4"/>
    <w:basedOn w:val="84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64" w:customStyle="1">
    <w:name w:val="Bordered &amp; Lined - Accent 5"/>
    <w:basedOn w:val="844"/>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65" w:customStyle="1">
    <w:name w:val="Bordered &amp; Lined - Accent 6"/>
    <w:basedOn w:val="844"/>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66" w:customStyle="1">
    <w:name w:val="Bordered"/>
    <w:basedOn w:val="844"/>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67" w:customStyle="1">
    <w:name w:val="Bordered - Accent 1"/>
    <w:basedOn w:val="844"/>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68" w:customStyle="1">
    <w:name w:val="Bordered - Accent 2"/>
    <w:basedOn w:val="844"/>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69" w:customStyle="1">
    <w:name w:val="Bordered - Accent 3"/>
    <w:basedOn w:val="844"/>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70" w:customStyle="1">
    <w:name w:val="Bordered - Accent 4"/>
    <w:basedOn w:val="84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71" w:customStyle="1">
    <w:name w:val="Bordered - Accent 5"/>
    <w:basedOn w:val="844"/>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72" w:customStyle="1">
    <w:name w:val="Bordered - Accent 6"/>
    <w:basedOn w:val="844"/>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73" w:customStyle="1">
    <w:name w:val="Footnote Text Char"/>
    <w:link w:val="865"/>
    <w:uiPriority w:val="99"/>
    <w:qFormat/>
    <w:rPr>
      <w:sz w:val="18"/>
    </w:rPr>
  </w:style>
  <w:style w:type="character" w:styleId="1074" w:customStyle="1">
    <w:name w:val="Endnote Text Char"/>
    <w:link w:val="858"/>
    <w:uiPriority w:val="99"/>
    <w:qFormat/>
    <w:rPr>
      <w:sz w:val="20"/>
    </w:rPr>
  </w:style>
  <w:style w:type="paragraph" w:styleId="1075" w:customStyle="1">
    <w:name w:val="TOC Heading_8feffb13-4ad0-4ab3-bc39-a202b1aec933"/>
    <w:uiPriority w:val="39"/>
    <w:qFormat/>
    <w:rPr>
      <w:rFonts w:hint="default" w:ascii="Times New Roman" w:hAnsi="Times New Roman" w:eastAsia="宋体" w:cs="Times New Roman"/>
    </w:rPr>
  </w:style>
  <w:style w:type="character" w:styleId="1076" w:customStyle="1">
    <w:name w:val="文档结构图 Char"/>
    <w:basedOn w:val="843"/>
    <w:link w:val="849"/>
    <w:uiPriority w:val="0"/>
    <w:qFormat/>
    <w:rPr>
      <w:rFonts w:ascii="宋体"/>
      <w:sz w:val="18"/>
      <w:szCs w:val="18"/>
    </w:rPr>
  </w:style>
  <w:style w:type="character" w:styleId="1077" w:customStyle="1">
    <w:name w:val="批注文字 字符"/>
    <w:link w:val="850"/>
    <w:uiPriority w:val="0"/>
    <w:qFormat/>
    <w:rPr>
      <w:rFonts w:ascii="Times New Roman" w:hAnsi="Times New Roman" w:eastAsia="宋体" w:cs="Times New Roman"/>
      <w:sz w:val="21"/>
      <w:szCs w:val="24"/>
    </w:rPr>
  </w:style>
  <w:style w:type="character" w:styleId="1078" w:customStyle="1">
    <w:name w:val="纯文本 字符"/>
    <w:link w:val="856"/>
    <w:uiPriority w:val="0"/>
    <w:qFormat/>
    <w:rPr>
      <w:rFonts w:ascii="宋体" w:hAnsi="Courier New" w:eastAsia="宋体" w:cs="Times New Roman"/>
      <w:sz w:val="21"/>
      <w:szCs w:val="21"/>
      <w:lang w:bidi="ar-SA"/>
    </w:rPr>
  </w:style>
  <w:style w:type="character" w:styleId="1079" w:customStyle="1">
    <w:name w:val="批注框文本 字符"/>
    <w:link w:val="859"/>
    <w:uiPriority w:val="0"/>
    <w:qFormat/>
    <w:rPr>
      <w:rFonts w:ascii="Times New Roman" w:hAnsi="Times New Roman" w:eastAsia="宋体" w:cs="Times New Roman"/>
      <w:sz w:val="18"/>
      <w:szCs w:val="18"/>
    </w:rPr>
  </w:style>
  <w:style w:type="character" w:styleId="1080" w:customStyle="1">
    <w:name w:val="批注主题 字符"/>
    <w:link w:val="873"/>
    <w:uiPriority w:val="0"/>
    <w:qFormat/>
    <w:rPr>
      <w:rFonts w:ascii="Times New Roman" w:hAnsi="Times New Roman" w:eastAsia="宋体" w:cs="Times New Roman"/>
      <w:b/>
      <w:bCs/>
      <w:sz w:val="21"/>
      <w:szCs w:val="24"/>
    </w:rPr>
  </w:style>
  <w:style w:type="character" w:styleId="1081" w:customStyle="1">
    <w:name w:val="fontstyle01"/>
    <w:uiPriority w:val="0"/>
    <w:qFormat/>
    <w:rPr>
      <w:rFonts w:hint="eastAsia" w:ascii="仿宋" w:hAnsi="仿宋" w:eastAsia="仿宋"/>
      <w:color w:val="000000"/>
      <w:sz w:val="24"/>
      <w:szCs w:val="24"/>
    </w:rPr>
  </w:style>
  <w:style w:type="character" w:styleId="1082" w:customStyle="1">
    <w:name w:val="font81"/>
    <w:uiPriority w:val="0"/>
    <w:qFormat/>
    <w:rPr>
      <w:rFonts w:hint="eastAsia" w:ascii="宋体" w:hAnsi="宋体" w:eastAsia="宋体" w:cs="宋体"/>
      <w:color w:val="ff0000"/>
      <w:sz w:val="20"/>
      <w:szCs w:val="20"/>
      <w:u w:val="none"/>
    </w:rPr>
  </w:style>
  <w:style w:type="character" w:styleId="1083" w:customStyle="1">
    <w:name w:val="font51"/>
    <w:uiPriority w:val="0"/>
    <w:qFormat/>
    <w:rPr>
      <w:rFonts w:hint="eastAsia" w:ascii="宋体" w:hAnsi="宋体" w:eastAsia="宋体" w:cs="宋体"/>
      <w:color w:val="000000"/>
      <w:sz w:val="20"/>
      <w:szCs w:val="20"/>
      <w:u w:val="none"/>
    </w:rPr>
  </w:style>
  <w:style w:type="character" w:styleId="1084" w:customStyle="1">
    <w:name w:val="font21"/>
    <w:basedOn w:val="843"/>
    <w:uiPriority w:val="0"/>
    <w:qFormat/>
    <w:rPr>
      <w:rFonts w:hint="eastAsia" w:ascii="宋体" w:hAnsi="宋体" w:eastAsia="宋体" w:cs="宋体"/>
      <w:color w:val="000000"/>
      <w:sz w:val="20"/>
      <w:szCs w:val="20"/>
      <w:u w:val="none"/>
    </w:rPr>
  </w:style>
  <w:style w:type="paragraph" w:styleId="108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86" w:customStyle="1">
    <w:name w:val="正文 缩进"/>
    <w:basedOn w:val="833"/>
    <w:uiPriority w:val="0"/>
    <w:qFormat/>
    <w:pPr>
      <w:ind w:firstLine="640"/>
      <w:spacing w:line="580" w:lineRule="exact"/>
    </w:pPr>
    <w:rPr>
      <w:rFonts w:ascii="Times New Roman" w:hAnsi="Times New Roman" w:eastAsia="宋体" w:cs="Times New Roman"/>
    </w:rPr>
  </w:style>
  <w:style w:type="paragraph" w:styleId="1087" w:customStyle="1">
    <w:name w:val="默认段落字体 Para Char Char Char Char Char Char Char"/>
    <w:basedOn w:val="833"/>
    <w:uiPriority w:val="0"/>
    <w:qFormat/>
    <w:rPr>
      <w:rFonts w:ascii="Tahoma" w:hAnsi="Tahoma" w:eastAsia="宋体" w:cs="Times New Roman"/>
      <w:sz w:val="24"/>
      <w:szCs w:val="20"/>
    </w:rPr>
  </w:style>
  <w:style w:type="paragraph" w:styleId="1088" w:customStyle="1">
    <w:name w:val="Body text|1"/>
    <w:basedOn w:val="896"/>
    <w:uiPriority w:val="0"/>
    <w:qFormat/>
    <w:pPr>
      <w:ind w:left="0" w:right="0" w:firstLine="400"/>
      <w:jc w:val="left"/>
      <w:keepLines w:val="0"/>
      <w:keepNext w:val="0"/>
      <w:spacing w:before="0" w:beforeAutospacing="0" w:after="0" w:afterAutospacing="0" w:line="415" w:lineRule="auto"/>
      <w:widowControl w:val="off"/>
      <w:suppressLineNumbers w:val="0"/>
    </w:pPr>
    <w:rPr>
      <w:rFonts w:hint="eastAsia" w:ascii="宋体" w:hAnsi="宋体" w:eastAsia="宋体" w:cs="宋体"/>
      <w:color w:val="000000"/>
      <w:sz w:val="30"/>
      <w:szCs w:val="30"/>
      <w:lang w:val="en-US" w:eastAsia="zh-CN"/>
    </w:rPr>
  </w:style>
  <w:style w:type="paragraph" w:styleId="1089" w:customStyle="1">
    <w:name w:val="_HT_正文"/>
    <w:basedOn w:val="833"/>
    <w:uiPriority w:val="0"/>
    <w:qFormat/>
    <w:pPr>
      <w:ind w:firstLine="200"/>
      <w:jc w:val="both"/>
      <w:spacing w:line="360" w:lineRule="auto"/>
    </w:pPr>
    <w:rPr>
      <w:rFonts w:ascii="Times New Roman" w:hAnsi="Times New Roman" w:eastAsia="宋体" w:cs="Times New Roman"/>
      <w:sz w:val="24"/>
    </w:rPr>
  </w:style>
  <w:style w:type="paragraph" w:styleId="1090">
    <w:name w:val="List Paragraph"/>
    <w:basedOn w:val="833"/>
    <w:uiPriority w:val="0"/>
    <w:qFormat/>
    <w:pPr>
      <w:ind w:firstLine="420"/>
    </w:pPr>
    <w:rPr>
      <w:rFonts w:ascii="Times New Roman" w:hAnsi="Times New Roman" w:eastAsia="宋体" w:cs="Times New Roman"/>
    </w:rPr>
  </w:style>
  <w:style w:type="paragraph" w:styleId="1091" w:customStyle="1">
    <w:name w:val="Char"/>
    <w:basedOn w:val="833"/>
    <w:uiPriority w:val="0"/>
    <w:qFormat/>
    <w:pPr>
      <w:tabs>
        <w:tab w:val="left" w:pos="360" w:leader="none"/>
      </w:tabs>
    </w:pPr>
    <w:rPr>
      <w:rFonts w:ascii="Times New Roman" w:hAnsi="Times New Roman" w:eastAsia="宋体" w:cs="Times New Roman"/>
      <w:sz w:val="24"/>
    </w:rPr>
  </w:style>
  <w:style w:type="paragraph" w:styleId="1092" w:customStyle="1">
    <w:name w:val="Body text|3"/>
    <w:basedOn w:val="833"/>
    <w:uiPriority w:val="0"/>
    <w:qFormat/>
    <w:pPr>
      <w:ind w:left="260" w:right="0" w:hanging="260"/>
      <w:jc w:val="left"/>
      <w:keepLines w:val="0"/>
      <w:keepNext w:val="0"/>
      <w:spacing w:before="0" w:beforeAutospacing="0" w:after="0" w:afterAutospacing="0"/>
      <w:widowControl w:val="off"/>
      <w:suppressLineNumbers w:val="0"/>
    </w:pPr>
    <w:rPr>
      <w:rFonts w:hint="default" w:ascii="Times New Roman" w:hAnsi="Times New Roman" w:eastAsia="宋体" w:cs="Times New Roman"/>
      <w:color w:val="000000"/>
      <w:sz w:val="26"/>
      <w:szCs w:val="26"/>
      <w:lang w:val="en-US" w:eastAsia="zh-CN"/>
    </w:rPr>
  </w:style>
  <w:style w:type="paragraph" w:styleId="1093" w:customStyle="1">
    <w:name w:val="NB正文"/>
    <w:uiPriority w:val="0"/>
    <w:qFormat/>
    <w:pPr>
      <w:ind w:firstLine="200"/>
      <w:spacing w:line="560" w:lineRule="exact"/>
    </w:pPr>
    <w:rPr>
      <w:rFonts w:hint="default" w:ascii="宋体" w:hAnsi="宋体" w:eastAsia="宋体" w:cs="宋体"/>
      <w:bCs/>
      <w:sz w:val="24"/>
      <w:szCs w:val="52"/>
      <w:lang w:val="en-US" w:eastAsia="zh-CN" w:bidi="ar-SA"/>
    </w:rPr>
  </w:style>
  <w:style w:type="paragraph" w:styleId="1094" w:customStyle="1">
    <w:name w:val="表格3"/>
    <w:basedOn w:val="833"/>
    <w:uiPriority w:val="0"/>
    <w:qFormat/>
    <w:pPr>
      <w:jc w:val="center"/>
    </w:pPr>
    <w:rPr>
      <w:rFonts w:ascii="Times New Roman" w:hAnsi="Times New Roman" w:eastAsia="宋体" w:cs="Times New Roman"/>
    </w:rPr>
  </w:style>
  <w:style w:type="character" w:styleId="1095" w:customStyle="1">
    <w:name w:val="NormalCharacter"/>
    <w:link w:val="1096"/>
    <w:uiPriority w:val="0"/>
    <w:qFormat/>
    <w:rPr>
      <w:sz w:val="20"/>
    </w:rPr>
  </w:style>
  <w:style w:type="paragraph" w:styleId="1096" w:customStyle="1">
    <w:name w:val="UserStyle_0"/>
    <w:basedOn w:val="833"/>
    <w:link w:val="1095"/>
    <w:uiPriority w:val="0"/>
    <w:semiHidden/>
    <w:qFormat/>
    <w:pPr>
      <w:widowControl/>
    </w:pPr>
    <w:rPr>
      <w:sz w:val="20"/>
    </w:rPr>
  </w:style>
  <w:style w:type="paragraph" w:styleId="1097" w:customStyle="1">
    <w:name w:val="列表段落1"/>
    <w:basedOn w:val="833"/>
    <w:next w:val="833"/>
    <w:uiPriority w:val="0"/>
    <w:qFormat/>
    <w:pPr>
      <w:ind w:firstLine="420"/>
    </w:pPr>
  </w:style>
  <w:style w:type="paragraph" w:styleId="1098" w:customStyle="1">
    <w:name w:val="段落"/>
    <w:basedOn w:val="833"/>
    <w:uiPriority w:val="0"/>
    <w:qFormat/>
    <w:pPr>
      <w:ind w:firstLine="560"/>
      <w:spacing w:line="590" w:lineRule="exact"/>
    </w:pPr>
    <w:rPr>
      <w:rFonts w:ascii="Times New Roman" w:hAnsi="Times New Roman" w:eastAsia="方正仿宋_GBK" w:cs="Times New Roman"/>
      <w:sz w:val="32"/>
      <w:szCs w:val="28"/>
    </w:rPr>
  </w:style>
  <w:style w:type="character" w:styleId="1099" w:customStyle="1">
    <w:name w:val="3 字符"/>
    <w:basedOn w:val="843"/>
    <w:link w:val="1100"/>
    <w:uiPriority w:val="0"/>
    <w:qFormat/>
    <w:rPr>
      <w:rFonts w:ascii="Times New Roman" w:hAnsi="Times New Roman" w:eastAsia="方正仿宋_GBK" w:cs="Times New Roman"/>
      <w:sz w:val="32"/>
      <w:szCs w:val="36"/>
    </w:rPr>
  </w:style>
  <w:style w:type="paragraph" w:styleId="1100" w:customStyle="1">
    <w:name w:val="3"/>
    <w:basedOn w:val="833"/>
    <w:link w:val="1099"/>
    <w:uiPriority w:val="0"/>
    <w:qFormat/>
    <w:pPr>
      <w:ind w:firstLine="640"/>
      <w:spacing w:line="588" w:lineRule="exact"/>
    </w:pPr>
    <w:rPr>
      <w:rFonts w:ascii="Times New Roman" w:hAnsi="Times New Roman" w:eastAsia="方正仿宋_GBK" w:cs="Times New Roman"/>
      <w:sz w:val="32"/>
      <w:szCs w:val="36"/>
    </w:rPr>
  </w:style>
  <w:style w:type="character" w:styleId="1101" w:customStyle="1">
    <w:name w:val="font112"/>
    <w:uiPriority w:val="0"/>
    <w:qFormat/>
    <w:rPr>
      <w:rFonts w:hint="eastAsia" w:ascii="仿宋" w:hAnsi="仿宋" w:eastAsia="仿宋" w:cs="仿宋"/>
      <w:color w:val="ff0000"/>
      <w:sz w:val="20"/>
      <w:szCs w:val="20"/>
      <w:u w:val="none"/>
    </w:rPr>
  </w:style>
  <w:style w:type="character" w:styleId="1102" w:customStyle="1">
    <w:name w:val="font71"/>
    <w:basedOn w:val="843"/>
    <w:uiPriority w:val="0"/>
    <w:qFormat/>
    <w:rPr>
      <w:rFonts w:ascii="宋体" w:hAnsi="宋体" w:eastAsia="宋体" w:cs="宋体"/>
      <w:color w:val="000000"/>
      <w:sz w:val="22"/>
      <w:szCs w:val="22"/>
      <w:u w:val="none"/>
    </w:rPr>
  </w:style>
  <w:style w:type="paragraph" w:styleId="1103" w:customStyle="1">
    <w:name w:val="纯文本1"/>
    <w:basedOn w:val="833"/>
    <w:uiPriority w:val="0"/>
    <w:qFormat/>
    <w:rPr>
      <w:rFonts w:ascii="宋体" w:hAnsi="Courier New"/>
      <w:szCs w:val="20"/>
    </w:rPr>
  </w:style>
  <w:style w:type="paragraph" w:styleId="1104" w:customStyle="1">
    <w:name w:val="表格标题"/>
    <w:basedOn w:val="833"/>
    <w:uiPriority w:val="1"/>
    <w:qFormat/>
    <w:pPr>
      <w:jc w:val="center"/>
      <w:spacing w:line="360" w:lineRule="auto"/>
      <w:widowControl/>
    </w:pPr>
    <w:rPr>
      <w:rFonts w:ascii="Times New Roman" w:hAnsi="Times New Roman" w:eastAsia="仿宋_GB2312"/>
      <w:b/>
      <w:sz w:val="24"/>
      <w:szCs w:val="21"/>
    </w:rPr>
  </w:style>
  <w:style w:type="paragraph" w:styleId="1105" w:customStyle="1">
    <w:name w:val="表中文字1"/>
    <w:basedOn w:val="833"/>
    <w:uiPriority w:val="0"/>
    <w:qFormat/>
    <w:pPr>
      <w:jc w:val="center"/>
    </w:pPr>
    <w:rPr>
      <w:rFonts w:ascii="Times New Roman" w:hAnsi="Times New Roman" w:eastAsia="仿宋_GB2312"/>
    </w:rPr>
  </w:style>
  <w:style w:type="table" w:styleId="1106" w:customStyle="1">
    <w:name w:val="网格型1"/>
    <w:basedOn w:val="84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7" w:customStyle="1">
    <w:name w:val="Table Paragraph"/>
    <w:basedOn w:val="896"/>
    <w:uiPriority w:val="0"/>
    <w:qFormat/>
  </w:style>
  <w:style w:type="paragraph" w:styleId="1108" w:customStyle="1">
    <w:name w:val="Footer1"/>
    <w:basedOn w:val="833"/>
    <w:uiPriority w:val="0"/>
    <w:qFormat/>
    <w:pPr>
      <w:tabs>
        <w:tab w:val="center" w:pos="7143" w:leader="none"/>
        <w:tab w:val="right" w:pos="14287" w:leader="none"/>
      </w:tabs>
    </w:pPr>
    <w:rPr>
      <w:rFonts w:ascii="Calibri" w:hAnsi="Calibri" w:eastAsia="Calibri" w:cs="Times New Roman"/>
      <w:sz w:val="22"/>
      <w:szCs w:val="22"/>
      <w:lang w:val="en-US" w:eastAsia="zh-CN" w:bidi="ar-SA"/>
    </w:rPr>
  </w:style>
  <w:style w:type="paragraph" w:styleId="1109" w:customStyle="1">
    <w:name w:val="Table Text"/>
    <w:basedOn w:val="833"/>
    <w:uiPriority w:val="0"/>
    <w:semiHidden/>
    <w:qFormat/>
    <w:rPr>
      <w:rFonts w:ascii="微软雅黑" w:hAnsi="微软雅黑" w:eastAsia="微软雅黑" w:cs="微软雅黑"/>
      <w:sz w:val="20"/>
      <w:szCs w:val="20"/>
    </w:rPr>
  </w:style>
  <w:style w:type="table" w:styleId="1110" w:customStyle="1">
    <w:name w:val="Table Normal"/>
    <w:uiPriority w:val="99"/>
    <w:semiHidden/>
    <w:unhideWhenUsed/>
    <w:qFormat/>
    <w:tblPr/>
  </w:style>
  <w:style w:type="numbering" w:styleId="11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刘戗</cp:lastModifiedBy>
  <cp:revision>33</cp:revision>
  <dcterms:created xsi:type="dcterms:W3CDTF">2021-09-27T04:06:00Z</dcterms:created>
  <dcterms:modified xsi:type="dcterms:W3CDTF">2026-05-20T08:04:09Z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1AB7FD1F5FFD4E2A8A4AF270345755D9_13</vt:lpwstr>
  </property>
  <property fmtid="{D5CDD505-2E9C-101B-9397-08002B2CF9AE}" pid="4" name="KSOTemplateDocerSaveRecord">
    <vt:lpwstr>eyJoZGlkIjoiMTlhODkzMjE5MTllMTVhZmU5NWQyZjE5YzMzMDVkNGYiLCJ1c2VySWQiOiIxMDgzNDM1In0=</vt:lpwstr>
  </property>
</Properties>
</file>