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A41A0">
      <w:pPr>
        <w:keepNext w:val="0"/>
        <w:keepLines w:val="0"/>
        <w:widowControl/>
        <w:suppressLineNumbers w:val="0"/>
        <w:spacing w:before="0" w:beforeAutospacing="1" w:after="0" w:afterAutospacing="1" w:line="27" w:lineRule="atLeast"/>
        <w:ind w:left="0" w:right="0"/>
        <w:jc w:val="both"/>
        <w:rPr>
          <w:rFonts w:hint="eastAsia" w:ascii="宋体" w:hAnsi="宋体" w:eastAsia="宋体" w:cs="宋体"/>
          <w:color w:val="000000"/>
          <w:kern w:val="0"/>
          <w:sz w:val="28"/>
          <w:szCs w:val="28"/>
          <w:highlight w:val="none"/>
          <w:lang w:val="en-US" w:eastAsia="zh-CN" w:bidi="ar-SA"/>
        </w:rPr>
      </w:pPr>
      <w:r>
        <w:rPr>
          <w:rFonts w:hint="eastAsia" w:ascii="宋体" w:hAnsi="宋体" w:eastAsia="宋体" w:cs="宋体"/>
          <w:color w:val="000000"/>
          <w:kern w:val="0"/>
          <w:sz w:val="28"/>
          <w:szCs w:val="28"/>
          <w:highlight w:val="none"/>
          <w:lang w:val="en-US" w:eastAsia="zh-CN" w:bidi="ar-SA"/>
        </w:rPr>
        <w:t xml:space="preserve">附件： </w:t>
      </w:r>
    </w:p>
    <w:p w14:paraId="2CD3DDC0">
      <w:pPr>
        <w:keepNext w:val="0"/>
        <w:keepLines w:val="0"/>
        <w:widowControl/>
        <w:suppressLineNumbers w:val="0"/>
        <w:spacing w:before="0" w:beforeAutospacing="1" w:after="0" w:afterAutospacing="1" w:line="27" w:lineRule="atLeast"/>
        <w:ind w:left="0" w:right="0"/>
        <w:jc w:val="both"/>
        <w:rPr>
          <w:rFonts w:hint="eastAsia" w:ascii="宋体" w:hAnsi="宋体" w:eastAsia="宋体" w:cs="宋体"/>
          <w:color w:val="auto"/>
          <w:kern w:val="0"/>
          <w:sz w:val="28"/>
          <w:szCs w:val="28"/>
          <w:highlight w:val="none"/>
          <w:lang w:val="en-US" w:eastAsia="zh-CN" w:bidi="ar-SA"/>
        </w:rPr>
      </w:pPr>
      <w:r>
        <w:rPr>
          <w:rFonts w:hint="eastAsia" w:ascii="宋体" w:hAnsi="宋体" w:eastAsia="宋体" w:cs="宋体"/>
          <w:color w:val="000000"/>
          <w:kern w:val="0"/>
          <w:sz w:val="28"/>
          <w:szCs w:val="28"/>
          <w:highlight w:val="none"/>
          <w:lang w:val="en-US" w:eastAsia="zh-CN" w:bidi="ar-SA"/>
        </w:rPr>
        <w:t>如有建议或意见，请以书面形式并加盖公章、注明联系人、联系方式，于</w:t>
      </w:r>
      <w:r>
        <w:rPr>
          <w:rFonts w:hint="eastAsia" w:ascii="宋体" w:hAnsi="宋体" w:eastAsia="宋体" w:cs="宋体"/>
          <w:color w:val="auto"/>
          <w:kern w:val="0"/>
          <w:sz w:val="28"/>
          <w:szCs w:val="28"/>
          <w:highlight w:val="none"/>
          <w:lang w:val="en-US" w:eastAsia="zh-CN" w:bidi="ar-SA"/>
        </w:rPr>
        <w:t xml:space="preserve">2026年 5月19 日17:00之前送至我单位，逾期不受理（如邮寄，2026年5 月 19日17:00之后到达本公司的邮件将不再受理。） </w:t>
      </w:r>
    </w:p>
    <w:p w14:paraId="3FDBC1E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42"/>
        <w:rPr>
          <w:rFonts w:hint="eastAsia" w:ascii="宋体" w:hAnsi="宋体" w:eastAsia="宋体" w:cs="宋体"/>
          <w:b/>
          <w:color w:val="auto"/>
          <w:kern w:val="0"/>
          <w:sz w:val="22"/>
        </w:rPr>
      </w:pPr>
    </w:p>
    <w:p w14:paraId="26F1435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42"/>
        <w:rPr>
          <w:rFonts w:hint="eastAsia" w:ascii="宋体" w:hAnsi="宋体" w:eastAsia="宋体" w:cs="宋体"/>
          <w:b/>
          <w:color w:val="000000"/>
          <w:kern w:val="0"/>
          <w:sz w:val="22"/>
        </w:rPr>
      </w:pPr>
    </w:p>
    <w:p w14:paraId="5AE5498B">
      <w:pPr>
        <w:pageBreakBefore w:val="0"/>
        <w:pBdr>
          <w:top w:val="none" w:color="000000" w:sz="0" w:space="0"/>
          <w:left w:val="none" w:color="000000" w:sz="0" w:space="0"/>
          <w:bottom w:val="none" w:color="000000" w:sz="0" w:space="0"/>
          <w:right w:val="none" w:color="000000" w:sz="0" w:space="0"/>
        </w:pBdr>
        <w:spacing w:before="0" w:after="0" w:line="360" w:lineRule="auto"/>
        <w:ind w:left="0" w:right="0" w:firstLine="0"/>
        <w:jc w:val="center"/>
        <w:rPr>
          <w:rFonts w:hint="eastAsia" w:ascii="宋体" w:hAnsi="宋体" w:eastAsia="宋体" w:cs="宋体"/>
          <w:kern w:val="0"/>
        </w:rPr>
      </w:pPr>
      <w:r>
        <w:rPr>
          <w:rFonts w:hint="eastAsia" w:ascii="宋体" w:hAnsi="宋体" w:eastAsia="宋体" w:cs="宋体"/>
          <w:b/>
          <w:color w:val="000000"/>
          <w:kern w:val="0"/>
          <w:sz w:val="36"/>
        </w:rPr>
        <w:t>项目要求（采购需求）</w:t>
      </w:r>
    </w:p>
    <w:p w14:paraId="02B69E4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442"/>
        <w:rPr>
          <w:rFonts w:hint="eastAsia" w:ascii="宋体" w:hAnsi="宋体" w:eastAsia="宋体" w:cs="宋体"/>
          <w:b/>
          <w:bCs/>
          <w:color w:val="000000"/>
          <w:kern w:val="0"/>
          <w:sz w:val="24"/>
          <w:highlight w:val="yellow"/>
        </w:rPr>
      </w:pPr>
      <w:r>
        <w:rPr>
          <w:rFonts w:hint="eastAsia" w:ascii="宋体" w:hAnsi="宋体" w:eastAsia="宋体" w:cs="宋体"/>
          <w:b/>
          <w:color w:val="000000"/>
          <w:kern w:val="0"/>
          <w:sz w:val="22"/>
        </w:rPr>
        <w:t>一</w:t>
      </w:r>
      <w:r>
        <w:rPr>
          <w:rFonts w:hint="eastAsia" w:ascii="宋体" w:hAnsi="宋体" w:eastAsia="宋体" w:cs="宋体"/>
          <w:b/>
          <w:color w:val="000000"/>
          <w:kern w:val="0"/>
          <w:sz w:val="24"/>
        </w:rPr>
        <w:t>、 本项目预算价123.17 万元，最高限价1231456.35 元人民币，不接受超过 1231456.35元人民币（最高限价）的响应报价。</w:t>
      </w:r>
      <w:r>
        <w:rPr>
          <w:rFonts w:hint="eastAsia" w:ascii="宋体" w:hAnsi="宋体" w:eastAsia="宋体" w:cs="宋体"/>
          <w:color w:val="000000"/>
          <w:kern w:val="0"/>
          <w:sz w:val="24"/>
          <w:highlight w:val="none"/>
        </w:rPr>
        <w:t>报价包含项目完成的所有费用，供</w:t>
      </w:r>
      <w:r>
        <w:rPr>
          <w:rFonts w:hint="eastAsia" w:ascii="宋体" w:hAnsi="宋体" w:eastAsia="宋体" w:cs="宋体"/>
          <w:color w:val="000000"/>
          <w:kern w:val="0"/>
          <w:sz w:val="24"/>
        </w:rPr>
        <w:t>应商报价时需考虑完成本项目内容所涉及的包含并不限于</w:t>
      </w:r>
      <w:r>
        <w:rPr>
          <w:rFonts w:hint="eastAsia" w:ascii="宋体" w:hAnsi="宋体" w:eastAsia="宋体" w:cs="宋体"/>
          <w:color w:val="000000"/>
          <w:kern w:val="0"/>
          <w:sz w:val="24"/>
          <w:lang w:val="en-US" w:eastAsia="zh-CN"/>
        </w:rPr>
        <w:t>招标代理费、</w:t>
      </w:r>
      <w:r>
        <w:rPr>
          <w:rFonts w:hint="eastAsia" w:ascii="宋体" w:hAnsi="宋体" w:eastAsia="宋体" w:cs="宋体"/>
          <w:color w:val="000000"/>
          <w:kern w:val="0"/>
          <w:sz w:val="24"/>
        </w:rPr>
        <w:t>人工费、材料费、机械费、工具设备费、税费、保险、</w:t>
      </w:r>
      <w:r>
        <w:rPr>
          <w:rFonts w:hint="eastAsia" w:ascii="宋体" w:hAnsi="宋体" w:eastAsia="宋体" w:cs="宋体"/>
          <w:color w:val="000000"/>
          <w:kern w:val="0"/>
          <w:sz w:val="24"/>
          <w:lang w:val="en-US" w:eastAsia="zh-CN"/>
        </w:rPr>
        <w:t>安全文明施工费</w:t>
      </w:r>
      <w:r>
        <w:rPr>
          <w:rFonts w:hint="eastAsia" w:ascii="宋体" w:hAnsi="宋体" w:eastAsia="宋体" w:cs="宋体"/>
          <w:color w:val="000000"/>
          <w:kern w:val="0"/>
          <w:sz w:val="24"/>
        </w:rPr>
        <w:t>、验收、利润等供应商认为可能发生的相关一切费用</w:t>
      </w:r>
      <w:r>
        <w:rPr>
          <w:rFonts w:hint="eastAsia" w:ascii="宋体" w:hAnsi="宋体" w:eastAsia="宋体" w:cs="宋体"/>
          <w:color w:val="000000"/>
          <w:kern w:val="0"/>
          <w:sz w:val="24"/>
          <w:lang w:eastAsia="zh-CN"/>
        </w:rPr>
        <w:t>，</w:t>
      </w:r>
      <w:r>
        <w:rPr>
          <w:rFonts w:hint="eastAsia" w:ascii="宋体" w:hAnsi="宋体" w:eastAsia="宋体" w:cs="宋体"/>
          <w:b/>
          <w:bCs/>
          <w:color w:val="auto"/>
          <w:kern w:val="0"/>
          <w:sz w:val="24"/>
          <w:highlight w:val="none"/>
          <w:lang w:val="en-US" w:eastAsia="zh-CN"/>
        </w:rPr>
        <w:t>且</w:t>
      </w:r>
      <w:r>
        <w:rPr>
          <w:rFonts w:hint="eastAsia" w:ascii="宋体" w:hAnsi="宋体" w:eastAsia="宋体" w:cs="宋体"/>
          <w:b/>
          <w:bCs/>
          <w:color w:val="000000"/>
          <w:kern w:val="0"/>
          <w:sz w:val="24"/>
          <w:highlight w:val="none"/>
          <w:lang w:val="en-US" w:eastAsia="zh-CN"/>
        </w:rPr>
        <w:t>报价包含本工程相关的所有费用，</w:t>
      </w:r>
      <w:r>
        <w:rPr>
          <w:rFonts w:hint="eastAsia" w:ascii="宋体" w:hAnsi="宋体" w:eastAsia="宋体" w:cs="宋体"/>
          <w:b/>
          <w:bCs/>
          <w:color w:val="000000"/>
          <w:kern w:val="0"/>
          <w:sz w:val="24"/>
          <w:highlight w:val="none"/>
        </w:rPr>
        <w:t>采购人不再支付报价以外的任何费用。</w:t>
      </w:r>
    </w:p>
    <w:p w14:paraId="3C3DEC0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left="0" w:right="0" w:firstLine="0"/>
        <w:rPr>
          <w:rFonts w:hint="eastAsia" w:ascii="宋体" w:hAnsi="宋体" w:eastAsia="宋体" w:cs="宋体"/>
          <w:kern w:val="0"/>
        </w:rPr>
      </w:pPr>
      <w:r>
        <w:rPr>
          <w:rFonts w:hint="eastAsia" w:ascii="宋体" w:hAnsi="宋体" w:eastAsia="宋体" w:cs="宋体"/>
          <w:b/>
          <w:color w:val="000000"/>
          <w:kern w:val="0"/>
          <w:sz w:val="24"/>
        </w:rPr>
        <w:t>二、项目概况</w:t>
      </w:r>
    </w:p>
    <w:p w14:paraId="379E98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lang w:eastAsia="zh-CN"/>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lang w:eastAsia="zh-CN"/>
        </w:rPr>
        <w:t>2026年沛县村级公益事业一事一议财政奖补项目（鹿楼镇魏花园村、房庄村）</w:t>
      </w:r>
    </w:p>
    <w:p w14:paraId="317F9E2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lang w:val="en-US" w:eastAsia="zh-CN"/>
        </w:rPr>
      </w:pPr>
      <w:r>
        <w:rPr>
          <w:rFonts w:hint="eastAsia" w:ascii="宋体" w:hAnsi="宋体" w:eastAsia="宋体" w:cs="宋体"/>
          <w:color w:val="000000"/>
          <w:kern w:val="0"/>
          <w:sz w:val="24"/>
        </w:rPr>
        <w:t>2、项目地点：</w:t>
      </w:r>
      <w:r>
        <w:rPr>
          <w:rFonts w:hint="eastAsia" w:ascii="宋体" w:hAnsi="宋体" w:eastAsia="宋体" w:cs="宋体"/>
          <w:color w:val="000000"/>
          <w:kern w:val="0"/>
          <w:sz w:val="24"/>
          <w:lang w:eastAsia="zh-CN"/>
        </w:rPr>
        <w:t>沛县鹿楼镇</w:t>
      </w:r>
    </w:p>
    <w:p w14:paraId="797235B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3、本项目主要内容：</w:t>
      </w:r>
      <w:r>
        <w:rPr>
          <w:rFonts w:hint="eastAsia" w:ascii="宋体" w:hAnsi="宋体" w:eastAsia="宋体" w:cs="宋体"/>
          <w:color w:val="000000"/>
          <w:kern w:val="0"/>
          <w:sz w:val="24"/>
          <w:lang w:val="en-US" w:eastAsia="zh-CN"/>
        </w:rPr>
        <w:t>拟对</w:t>
      </w:r>
      <w:r>
        <w:rPr>
          <w:rFonts w:hint="eastAsia" w:ascii="宋体" w:hAnsi="宋体" w:eastAsia="宋体" w:cs="宋体"/>
          <w:color w:val="000000"/>
          <w:kern w:val="0"/>
          <w:sz w:val="24"/>
          <w:lang w:eastAsia="zh-CN"/>
        </w:rPr>
        <w:t>鹿楼镇魏花园村、房庄村，</w:t>
      </w:r>
      <w:r>
        <w:rPr>
          <w:rFonts w:hint="eastAsia" w:ascii="宋体" w:hAnsi="宋体" w:eastAsia="宋体" w:cs="宋体"/>
          <w:color w:val="000000"/>
          <w:kern w:val="0"/>
          <w:sz w:val="24"/>
          <w:lang w:val="en-US" w:eastAsia="zh-CN"/>
        </w:rPr>
        <w:t>村庄路面进行修建水泥混凝土道路。</w:t>
      </w:r>
      <w:r>
        <w:rPr>
          <w:rFonts w:hint="eastAsia" w:ascii="宋体" w:hAnsi="宋体" w:eastAsia="宋体" w:cs="宋体"/>
          <w:color w:val="000000"/>
          <w:kern w:val="0"/>
          <w:sz w:val="24"/>
        </w:rPr>
        <w:t>具体详</w:t>
      </w:r>
      <w:r>
        <w:rPr>
          <w:rFonts w:hint="eastAsia" w:ascii="宋体" w:hAnsi="宋体" w:eastAsia="宋体" w:cs="宋体"/>
          <w:color w:val="000000"/>
          <w:kern w:val="0"/>
          <w:sz w:val="24"/>
          <w:highlight w:val="none"/>
        </w:rPr>
        <w:t>见工程</w:t>
      </w:r>
      <w:r>
        <w:rPr>
          <w:rFonts w:hint="eastAsia" w:ascii="宋体" w:hAnsi="宋体" w:eastAsia="宋体" w:cs="宋体"/>
          <w:color w:val="000000"/>
          <w:kern w:val="0"/>
          <w:sz w:val="24"/>
        </w:rPr>
        <w:t>量清单所含全部内容。</w:t>
      </w:r>
    </w:p>
    <w:p w14:paraId="1293CD3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4、承包方式：包工包料，不得分包与转包。</w:t>
      </w:r>
    </w:p>
    <w:p w14:paraId="14C7928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5、工程质量：合格，同时须符合现行最新的国家有</w:t>
      </w:r>
      <w:bookmarkStart w:id="0" w:name="_GoBack"/>
      <w:bookmarkEnd w:id="0"/>
      <w:r>
        <w:rPr>
          <w:rFonts w:hint="eastAsia" w:ascii="宋体" w:hAnsi="宋体" w:eastAsia="宋体" w:cs="宋体"/>
          <w:color w:val="000000"/>
          <w:kern w:val="0"/>
          <w:sz w:val="24"/>
        </w:rPr>
        <w:t>关标准、规范及其他适用于本工程的技术标准、规范。</w:t>
      </w:r>
    </w:p>
    <w:p w14:paraId="0A840DC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6、工</w:t>
      </w:r>
      <w:r>
        <w:rPr>
          <w:rFonts w:hint="eastAsia" w:ascii="宋体" w:hAnsi="宋体" w:eastAsia="宋体" w:cs="宋体"/>
          <w:color w:val="000000"/>
          <w:kern w:val="0"/>
          <w:sz w:val="24"/>
          <w:highlight w:val="none"/>
        </w:rPr>
        <w:t>期：</w:t>
      </w:r>
      <w:r>
        <w:rPr>
          <w:rFonts w:hint="eastAsia" w:ascii="宋体" w:hAnsi="宋体" w:eastAsia="宋体" w:cs="宋体"/>
          <w:color w:val="auto"/>
          <w:kern w:val="0"/>
          <w:sz w:val="24"/>
          <w:highlight w:val="none"/>
          <w:lang w:val="en-US" w:eastAsia="zh-CN"/>
        </w:rPr>
        <w:t>30</w:t>
      </w:r>
      <w:r>
        <w:rPr>
          <w:rFonts w:hint="eastAsia" w:ascii="宋体" w:hAnsi="宋体" w:eastAsia="宋体" w:cs="宋体"/>
          <w:color w:val="000000"/>
          <w:kern w:val="0"/>
          <w:sz w:val="24"/>
          <w:highlight w:val="none"/>
        </w:rPr>
        <w:t>日历天。</w:t>
      </w:r>
    </w:p>
    <w:p w14:paraId="5B21915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b w:val="0"/>
          <w:bCs/>
          <w:kern w:val="0"/>
        </w:rPr>
      </w:pPr>
      <w:r>
        <w:rPr>
          <w:rFonts w:hint="eastAsia" w:ascii="宋体" w:hAnsi="宋体" w:eastAsia="宋体" w:cs="宋体"/>
          <w:b w:val="0"/>
          <w:bCs/>
          <w:color w:val="000000"/>
          <w:kern w:val="0"/>
          <w:sz w:val="24"/>
        </w:rPr>
        <w:t>7、现场踏勘：自行踏勘现场。</w:t>
      </w:r>
    </w:p>
    <w:p w14:paraId="52D4959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7.1 供应商自行对施工现场进行踏勘，以获取编制响应文件所需的现场信息资料。</w:t>
      </w:r>
    </w:p>
    <w:p w14:paraId="05D6149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7.2 供应商对本磋商文件所作出的理解、推论和解释由其自己负责。</w:t>
      </w:r>
    </w:p>
    <w:p w14:paraId="480EBAD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7.3 由于现场踏勘没有进行或者不详细所导致的一切问题均由供应商自行负责。</w:t>
      </w:r>
    </w:p>
    <w:p w14:paraId="34D0EBE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7.4 供应商应承担现场踏勘的责任和风险，现场踏勘费用由供应商自己承担。</w:t>
      </w:r>
    </w:p>
    <w:p w14:paraId="4672BE8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right="0" w:firstLine="480"/>
        <w:rPr>
          <w:rFonts w:hint="eastAsia" w:ascii="宋体" w:hAnsi="宋体" w:eastAsia="宋体" w:cs="宋体"/>
          <w:kern w:val="0"/>
        </w:rPr>
      </w:pPr>
      <w:r>
        <w:rPr>
          <w:rFonts w:hint="eastAsia" w:ascii="宋体" w:hAnsi="宋体" w:eastAsia="宋体" w:cs="宋体"/>
          <w:color w:val="000000"/>
          <w:kern w:val="0"/>
          <w:sz w:val="24"/>
        </w:rPr>
        <w:t>8、现场自然及施工条件：要求供应商对项目现场和周围环境进行实地踏勘，以了解现场的施工环境、施工范围、技术要求及相关服务，获取有关编制响应文件和签订合同所需的各项资料，供应商应承担现场踏勘的责任和风险，费用由供应商自己承担。成交后不得以未踏勘现场或不了解现场为由提出任何增加费用的要求。</w:t>
      </w:r>
    </w:p>
    <w:p w14:paraId="73742ECB">
      <w:pPr>
        <w:keepNext w:val="0"/>
        <w:keepLines w:val="0"/>
        <w:pageBreakBefore w:val="0"/>
        <w:widowControl w:val="0"/>
        <w:spacing w:line="360" w:lineRule="auto"/>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rPr>
        <w:t>、工程量清单报价</w:t>
      </w:r>
    </w:p>
    <w:p w14:paraId="1833D30E">
      <w:pPr>
        <w:keepNext w:val="0"/>
        <w:keepLines w:val="0"/>
        <w:pageBreakBefore w:val="0"/>
        <w:widowControl w:val="0"/>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(一)  工程量清单详见本项目</w:t>
      </w:r>
      <w:r>
        <w:rPr>
          <w:rFonts w:hint="eastAsia" w:ascii="宋体" w:hAnsi="宋体" w:eastAsia="宋体" w:cs="宋体"/>
          <w:color w:val="auto"/>
          <w:kern w:val="0"/>
          <w:sz w:val="24"/>
          <w:szCs w:val="24"/>
          <w:highlight w:val="none"/>
          <w:lang w:eastAsia="zh-CN"/>
        </w:rPr>
        <w:t>竞争性磋商文件。</w:t>
      </w:r>
    </w:p>
    <w:p w14:paraId="562F5F4D">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(二) 《已标价的工程量清单》报价要求</w:t>
      </w:r>
    </w:p>
    <w:p w14:paraId="1F5FB806">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1、报价内容</w:t>
      </w:r>
    </w:p>
    <w:p w14:paraId="4DD90B52">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 响应报价应包括竞争性磋商文件中所确定的范围内工程量清单中所含的全部内容，以及为完成上述内容所需的全部费用。</w:t>
      </w:r>
    </w:p>
    <w:p w14:paraId="44110B52">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注：供应商必须按采购人提供的工程量清单进行报价，否则视为对竞争性磋商文件商务条款的实质性偏离。供应商不得修改工程量清单中的分部分项内容及数量，否则视为不响应竞争性磋商文件。</w:t>
      </w:r>
    </w:p>
    <w:p w14:paraId="16BF8B74">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 供应商应按采购人提供的工程量清单填报价格。填写的项目名称、项目特征、计量单位、工程量必须与采购人提供的一致。</w:t>
      </w:r>
    </w:p>
    <w:p w14:paraId="622A1753">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1.3 供应商应按采购人提供的工程量计算工程项目的单价和合价。工程量清单中的每一单项均需计算填写单价和合价，供应商没有填写单价和合价的项目将被认为此项费用已包括在工程量清单的其他单价和合价中。</w:t>
      </w:r>
    </w:p>
    <w:p w14:paraId="18CEFB78">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1.4 响应的供应商必须按统一的工程量清单报价，成交后，在施工过程中，不论由于工程量清单有误或漏项，还是由于设计变更、现场变更、签证引起的工程量清单项目或清单项目工程数量的增减，均按实调整。</w:t>
      </w:r>
    </w:p>
    <w:p w14:paraId="6E01E3A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1.5 技术参数、项目实施方案所描述的技术措施所发生的费用，视为已体现在供应商报价的非实体性消耗所发生的费用中。</w:t>
      </w:r>
    </w:p>
    <w:p w14:paraId="75785796">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1.6 供应商自行勘察，了解周边原有建筑、设施，事先视察工地，充分了解工程位置、邻近建筑物、工地情况，通路、储存空间、起卸限制、以及任何其他足以影响报价之情况，供应商须按接收工地日的现况，接收工地及自费清理任何遗留在工地上之废物，施工过程中因工地特殊情况而引起二次搬运、安全防护等。供应商在响应报价时应考虑这些因素，并在响应报价中予以考虑，采购人不接受供应商关于此类费用的任何诉讼或索赔。</w:t>
      </w:r>
    </w:p>
    <w:p w14:paraId="4E2D80B9">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1.7 安全文明施工是供应商的责任，采购人不接受任何由于供应商施工而导致的扰民或民扰引起的诉讼或索赔。供应商应在其响应报价时充分考虑因扰民与民扰而造成的工期影响与费用增加，在报价予以考虑，采购人不接受任何由于供应商考虑不周为由而提出的任何索赔。</w:t>
      </w:r>
    </w:p>
    <w:p w14:paraId="307D0A6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1.8 垃圾外运，在报价中综合考虑。</w:t>
      </w:r>
    </w:p>
    <w:p w14:paraId="4FE7E9F3">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1.9辅助工程部分：综合单价中应包括采购人提供的施工图所含内容，以及工程量清单报价中的价格，应包括完成清单项目的人工费、材料费、机械费、管理费及利润等费用。政策性文件规定及施工进程中包含的所有风险、责任等各项应有费用，并包含相应的平整场地、地基处理调整等图纸及建设方要求的工程施工全部内容的全部费用。</w:t>
      </w:r>
    </w:p>
    <w:p w14:paraId="7ABB146A">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1.10地方关系协调费投标人自行考虑，就此项采购人不支付任何费用。</w:t>
      </w:r>
    </w:p>
    <w:p w14:paraId="7681B4B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1.11本工程质保期按质量保证书所填时间，必须保证工程质量，因此产生的各项费用视为投标人已自行考虑在投标报价中；除采购人确认的有效变更签证、设计变更外，结算时不因任何因素调整中标的综合单价。</w:t>
      </w:r>
    </w:p>
    <w:p w14:paraId="3AD9817F">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1.12施工时需做好防护措施保证周边安全，因中标人保障不力对采购人或第三方造成损失的，赔偿责任全部由中标人承担，若因此会增加费用，控制价不计取，投标人自行考虑在报价中，结算时不予调整。</w:t>
      </w:r>
    </w:p>
    <w:p w14:paraId="74E1B5A3">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2、报价方式</w:t>
      </w:r>
    </w:p>
    <w:p w14:paraId="3E9C7E69">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2.1 本工程根据工程量清单报价。供应商应充分考虑施工期间各类建材的市场风险，并计入总报价，供应商在计算报价时应考虑一定的风险系数。</w:t>
      </w:r>
    </w:p>
    <w:p w14:paraId="3D2A9293">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2.2 材料风险约定：</w:t>
      </w:r>
    </w:p>
    <w:p w14:paraId="7AA99A33">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2.2.1 对于法律、法规、规章或有关政策出台导致工程税金、规费等发生变化的，应按照有关规定执行。</w:t>
      </w:r>
    </w:p>
    <w:p w14:paraId="426CE53B">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2.2.2 本工程对材料风险约定如下：供应商应充分考虑施工期间各类建材的市场风险，充分考虑政策性关于人工、机械费用等方面调整，并计入总报价，供应商所填写的单价在合同实施期间不因市场变化因素而变动，结算不再调整。</w:t>
      </w:r>
    </w:p>
    <w:p w14:paraId="72A6CB01">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3、报价的计价方法</w:t>
      </w:r>
    </w:p>
    <w:p w14:paraId="4BB462F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本工程项目采用工程量清单计价。供应商应根据采购人提供的工程量清单计算工程项目的单价、合价。工程量清单中每一个子目和单项均需计算填写单价、合价。若供应商没有填写单价、合价的项目采购人将不予支付，并认为此项费用已包括在工程量清单的其他单价、合价中。</w:t>
      </w:r>
    </w:p>
    <w:p w14:paraId="1A673FE4">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4、报价编制依据及要求：</w:t>
      </w:r>
    </w:p>
    <w:p w14:paraId="71B4B42A">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本工程执行现行国家标准《建设工程工程量清单计价规范》（GB50500-2013）, </w:t>
      </w:r>
      <w:r>
        <w:rPr>
          <w:rFonts w:hint="eastAsia" w:ascii="宋体" w:hAnsi="宋体" w:eastAsia="宋体" w:cs="宋体"/>
          <w:sz w:val="24"/>
          <w:szCs w:val="24"/>
          <w:highlight w:val="none"/>
          <w:lang w:val="en-US" w:eastAsia="zh-CN" w:bidi="ar-SA"/>
        </w:rPr>
        <w:t>《江苏省市政工程计价定额》（2014年）、</w:t>
      </w:r>
      <w:r>
        <w:rPr>
          <w:rFonts w:hint="eastAsia" w:ascii="宋体" w:hAnsi="宋体" w:eastAsia="宋体" w:cs="宋体"/>
          <w:color w:val="auto"/>
          <w:sz w:val="24"/>
          <w:szCs w:val="24"/>
          <w:highlight w:val="none"/>
          <w:lang w:val="en-US" w:eastAsia="zh-CN" w:bidi="ar-SA"/>
        </w:rPr>
        <w:t>《江苏省建设工程费用定额》</w:t>
      </w:r>
      <w:r>
        <w:rPr>
          <w:rFonts w:hint="eastAsia" w:ascii="宋体" w:hAnsi="宋体" w:eastAsia="宋体" w:cs="宋体"/>
          <w:sz w:val="24"/>
          <w:szCs w:val="24"/>
          <w:highlight w:val="none"/>
          <w:lang w:val="en-US" w:eastAsia="zh-CN" w:bidi="ar-SA"/>
        </w:rPr>
        <w:t>（2014年）</w:t>
      </w:r>
      <w:r>
        <w:rPr>
          <w:rFonts w:hint="eastAsia" w:ascii="宋体" w:hAnsi="宋体" w:eastAsia="宋体" w:cs="宋体"/>
          <w:color w:val="auto"/>
          <w:sz w:val="24"/>
          <w:szCs w:val="24"/>
          <w:highlight w:val="none"/>
          <w:lang w:val="en-US" w:eastAsia="zh-CN" w:bidi="ar-SA"/>
        </w:rPr>
        <w:t>、《市政工程工程量计算标准》（GB50857-2013）</w:t>
      </w:r>
      <w:r>
        <w:rPr>
          <w:rFonts w:hint="eastAsia" w:ascii="宋体" w:hAnsi="宋体" w:eastAsia="宋体" w:cs="宋体"/>
          <w:sz w:val="24"/>
          <w:szCs w:val="24"/>
          <w:highlight w:val="none"/>
          <w:lang w:val="en-US" w:eastAsia="zh-CN" w:bidi="ar-SA"/>
        </w:rPr>
        <w:t>以及省市现行有关计价文件规定，还包括磋商文件、工程量清单及其补充通知和答疑纪要等。</w:t>
      </w:r>
    </w:p>
    <w:p w14:paraId="672C2805">
      <w:pPr>
        <w:keepNext w:val="0"/>
        <w:keepLines w:val="0"/>
        <w:pageBreakBefore w:val="0"/>
        <w:widowControl w:val="0"/>
        <w:spacing w:after="0"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四、</w:t>
      </w:r>
      <w:r>
        <w:rPr>
          <w:rFonts w:hint="default" w:ascii="宋体" w:hAnsi="宋体" w:eastAsia="宋体" w:cs="宋体"/>
          <w:color w:val="auto"/>
          <w:kern w:val="0"/>
          <w:sz w:val="24"/>
          <w:szCs w:val="24"/>
          <w:highlight w:val="none"/>
          <w:lang w:val="en-US" w:eastAsia="zh-CN" w:bidi="ar-SA"/>
        </w:rPr>
        <w:t>异常低价审查</w:t>
      </w:r>
    </w:p>
    <w:p w14:paraId="3E067AC9">
      <w:pPr>
        <w:keepNext w:val="0"/>
        <w:keepLines w:val="0"/>
        <w:pageBreakBefore w:val="0"/>
        <w:widowControl w:val="0"/>
        <w:spacing w:after="0" w:line="360" w:lineRule="auto"/>
        <w:ind w:firstLine="48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执行</w:t>
      </w:r>
      <w:r>
        <w:rPr>
          <w:rFonts w:hint="default" w:ascii="宋体" w:hAnsi="宋体" w:eastAsia="宋体" w:cs="宋体"/>
          <w:color w:val="auto"/>
          <w:kern w:val="0"/>
          <w:sz w:val="24"/>
          <w:szCs w:val="24"/>
          <w:highlight w:val="none"/>
          <w:lang w:val="en-US" w:eastAsia="zh-CN"/>
        </w:rPr>
        <w:t>苏财购〔2025</w:t>
      </w:r>
      <w:r>
        <w:rPr>
          <w:rFonts w:hint="eastAsia" w:ascii="宋体" w:hAnsi="宋体" w:eastAsia="宋体" w:cs="宋体"/>
          <w:color w:val="auto"/>
          <w:kern w:val="0"/>
          <w:sz w:val="24"/>
          <w:szCs w:val="24"/>
          <w:highlight w:val="none"/>
          <w:lang w:val="en-US" w:eastAsia="zh-CN"/>
        </w:rPr>
        <w:t>〕</w:t>
      </w:r>
      <w:r>
        <w:rPr>
          <w:rFonts w:hint="default" w:ascii="宋体" w:hAnsi="宋体" w:eastAsia="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lang w:val="en-US" w:eastAsia="zh-CN"/>
        </w:rPr>
        <w:t>号</w:t>
      </w:r>
      <w:r>
        <w:rPr>
          <w:rFonts w:hint="default" w:ascii="宋体" w:hAnsi="宋体" w:eastAsia="宋体" w:cs="宋体"/>
          <w:color w:val="auto"/>
          <w:kern w:val="0"/>
          <w:sz w:val="24"/>
          <w:szCs w:val="24"/>
          <w:highlight w:val="none"/>
          <w:lang w:val="en-US" w:eastAsia="zh-CN"/>
        </w:rPr>
        <w:t>关于推动解决政府采购异常低价问题相关工作的通知</w:t>
      </w:r>
      <w:r>
        <w:rPr>
          <w:rFonts w:hint="eastAsia" w:ascii="宋体" w:hAnsi="宋体" w:eastAsia="宋体" w:cs="宋体"/>
          <w:color w:val="auto"/>
          <w:kern w:val="0"/>
          <w:sz w:val="24"/>
          <w:szCs w:val="24"/>
          <w:highlight w:val="none"/>
          <w:lang w:val="en-US" w:eastAsia="zh-CN"/>
        </w:rPr>
        <w:t>文件，具体为：</w:t>
      </w:r>
    </w:p>
    <w:p w14:paraId="75DA3BF4">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（一）评审过程中出现下列情形之一的，</w:t>
      </w:r>
      <w:r>
        <w:rPr>
          <w:rFonts w:hint="eastAsia" w:ascii="宋体" w:hAnsi="宋体" w:eastAsia="宋体" w:cs="宋体"/>
          <w:color w:val="auto"/>
          <w:kern w:val="0"/>
          <w:sz w:val="24"/>
          <w:szCs w:val="24"/>
          <w:highlight w:val="none"/>
          <w:lang w:val="en-US" w:eastAsia="zh-CN"/>
        </w:rPr>
        <w:t>磋商小组</w:t>
      </w:r>
      <w:r>
        <w:rPr>
          <w:rFonts w:hint="default" w:ascii="宋体" w:hAnsi="宋体" w:eastAsia="宋体" w:cs="宋体"/>
          <w:color w:val="auto"/>
          <w:kern w:val="0"/>
          <w:sz w:val="24"/>
          <w:szCs w:val="24"/>
          <w:highlight w:val="none"/>
          <w:lang w:val="en-US" w:eastAsia="zh-CN"/>
        </w:rPr>
        <w:t>应当启</w:t>
      </w:r>
      <w:r>
        <w:rPr>
          <w:rFonts w:hint="eastAsia" w:ascii="宋体" w:hAnsi="宋体" w:eastAsia="宋体" w:cs="宋体"/>
          <w:color w:val="auto"/>
          <w:kern w:val="0"/>
          <w:sz w:val="24"/>
          <w:szCs w:val="24"/>
          <w:highlight w:val="none"/>
          <w:lang w:val="en-US" w:eastAsia="zh-CN"/>
        </w:rPr>
        <w:t xml:space="preserve">动异常低价响应审查程序： </w:t>
      </w:r>
    </w:p>
    <w:p w14:paraId="2DEB477C">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．响应报价低于采购项目预算</w:t>
      </w:r>
      <w:r>
        <w:rPr>
          <w:rFonts w:hint="default" w:ascii="宋体" w:hAnsi="宋体" w:eastAsia="宋体" w:cs="宋体"/>
          <w:color w:val="auto"/>
          <w:kern w:val="0"/>
          <w:sz w:val="24"/>
          <w:szCs w:val="24"/>
          <w:highlight w:val="none"/>
          <w:lang w:val="en-US" w:eastAsia="zh-CN"/>
        </w:rPr>
        <w:t>50%</w:t>
      </w:r>
      <w:r>
        <w:rPr>
          <w:rFonts w:hint="eastAsia" w:ascii="宋体" w:hAnsi="宋体" w:eastAsia="宋体" w:cs="宋体"/>
          <w:color w:val="auto"/>
          <w:kern w:val="0"/>
          <w:sz w:val="24"/>
          <w:szCs w:val="24"/>
          <w:highlight w:val="none"/>
          <w:lang w:val="en-US" w:eastAsia="zh-CN"/>
        </w:rPr>
        <w:t>的，即响应报价</w:t>
      </w:r>
      <w:r>
        <w:rPr>
          <w:rFonts w:hint="default" w:ascii="宋体" w:hAnsi="宋体" w:eastAsia="宋体" w:cs="宋体"/>
          <w:color w:val="auto"/>
          <w:kern w:val="0"/>
          <w:sz w:val="24"/>
          <w:szCs w:val="24"/>
          <w:highlight w:val="none"/>
          <w:lang w:val="en-US" w:eastAsia="zh-CN"/>
        </w:rPr>
        <w:t>&lt;</w:t>
      </w:r>
      <w:r>
        <w:rPr>
          <w:rFonts w:hint="eastAsia" w:ascii="宋体" w:hAnsi="宋体" w:eastAsia="宋体" w:cs="宋体"/>
          <w:color w:val="auto"/>
          <w:kern w:val="0"/>
          <w:sz w:val="24"/>
          <w:szCs w:val="24"/>
          <w:highlight w:val="none"/>
          <w:lang w:val="en-US" w:eastAsia="zh-CN"/>
        </w:rPr>
        <w:t>采购项目预算×</w:t>
      </w:r>
      <w:r>
        <w:rPr>
          <w:rFonts w:hint="default" w:ascii="宋体" w:hAnsi="宋体" w:eastAsia="宋体" w:cs="宋体"/>
          <w:color w:val="auto"/>
          <w:kern w:val="0"/>
          <w:sz w:val="24"/>
          <w:szCs w:val="24"/>
          <w:highlight w:val="none"/>
          <w:lang w:val="en-US" w:eastAsia="zh-CN"/>
        </w:rPr>
        <w:t>50%</w:t>
      </w:r>
      <w:r>
        <w:rPr>
          <w:rFonts w:hint="eastAsia" w:ascii="宋体" w:hAnsi="宋体" w:eastAsia="宋体" w:cs="宋体"/>
          <w:color w:val="auto"/>
          <w:kern w:val="0"/>
          <w:sz w:val="24"/>
          <w:szCs w:val="24"/>
          <w:highlight w:val="none"/>
          <w:lang w:val="en-US" w:eastAsia="zh-CN"/>
        </w:rPr>
        <w:t xml:space="preserve">； </w:t>
      </w:r>
    </w:p>
    <w:p w14:paraId="557A5C83">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．响应报价低于采购项目最高限价</w:t>
      </w:r>
      <w:r>
        <w:rPr>
          <w:rFonts w:hint="default"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lang w:val="en-US" w:eastAsia="zh-CN"/>
        </w:rPr>
        <w:t>的，即响应报价</w:t>
      </w:r>
      <w:r>
        <w:rPr>
          <w:rFonts w:hint="default" w:ascii="宋体" w:hAnsi="宋体" w:eastAsia="宋体" w:cs="宋体"/>
          <w:color w:val="auto"/>
          <w:kern w:val="0"/>
          <w:sz w:val="24"/>
          <w:szCs w:val="24"/>
          <w:highlight w:val="none"/>
          <w:lang w:val="en-US" w:eastAsia="zh-CN"/>
        </w:rPr>
        <w:t>&lt;</w:t>
      </w:r>
      <w:r>
        <w:rPr>
          <w:rFonts w:hint="eastAsia" w:ascii="宋体" w:hAnsi="宋体" w:eastAsia="宋体" w:cs="宋体"/>
          <w:color w:val="auto"/>
          <w:kern w:val="0"/>
          <w:sz w:val="24"/>
          <w:szCs w:val="24"/>
          <w:highlight w:val="none"/>
          <w:lang w:val="en-US" w:eastAsia="zh-CN"/>
        </w:rPr>
        <w:t>采购项目最高限价×</w:t>
      </w:r>
      <w:r>
        <w:rPr>
          <w:rFonts w:hint="default"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lang w:val="en-US" w:eastAsia="zh-CN"/>
        </w:rPr>
        <w:t xml:space="preserve">； </w:t>
      </w:r>
    </w:p>
    <w:p w14:paraId="63E1648A">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．磋商小组认定的供应商报价过低、有可能影响产品质量或者不能诚信履约的其他情形。 </w:t>
      </w:r>
    </w:p>
    <w:p w14:paraId="44DC6A9C">
      <w:pPr>
        <w:keepNext w:val="0"/>
        <w:keepLines w:val="0"/>
        <w:pageBreakBefore w:val="0"/>
        <w:widowControl w:val="0"/>
        <w:spacing w:after="0" w:line="360" w:lineRule="auto"/>
        <w:ind w:firstLine="48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二）启动异常低价响应审查后，磋商小组应当要求相关供应商在评标现场合理的时间内，提供项目具体成本测算等与报价合理性相关的书面说明及相关证明材料，对响应价格作出解释，由磋商小组结合同类产品在主要电商平台的价格、该行业当地薪资水平等情况，依据专业经验对供应商报价合理性进行判断。响应供应商不提供书面说明、证明材料，或者提供的书面说明、证明材料不能证明其报价合理性的，磋商小组应当将其作为无效响应处理。审查相关情况应当在评审报告中进行记录。</w:t>
      </w:r>
    </w:p>
    <w:p w14:paraId="5E234E1B">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五、项目相关要求</w:t>
      </w:r>
    </w:p>
    <w:p w14:paraId="5C1B5D4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1、供应商报价时需考虑完成本项目内容所涉及的人工费、材料费、机械费、税费、验收等相关的一切费用。</w:t>
      </w:r>
    </w:p>
    <w:p w14:paraId="6678730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2、供应商应根据本项目实际情况，合理配置人员，除项目经理外，安全员、质检员、施工员、预算员、材料员等人员应经验丰富，确保项目顺利实施。</w:t>
      </w:r>
    </w:p>
    <w:p w14:paraId="4440D135">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3、供应商对项目现场和周围环境进行实地踏勘，合理编制本项目施工方案，施工方案应至少包含：施工进度计划和各阶段进度的保证措施、各分部分项工程的施工方案及质量保证措施、安全文明施工及环境保护措施、劳动力、机械设备和材料投入计划 。  </w:t>
      </w:r>
    </w:p>
    <w:p w14:paraId="1E1B18F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符合徐州市有关部门规定的标准化施工现场要求，同时应满足建筑、市容等相关主管部门的有关规定。施工工地一律实行封闭施工、防尘网覆盖、定时洒水，控制扬尘污染等安全文明施工措施。承包人违反规定所造成的损失和处罚由承包人承担。交工后一周内彻底清洁完毕撤离现场。</w:t>
      </w:r>
    </w:p>
    <w:p w14:paraId="387AAB3E">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5、承包人对工程建设期间扬尘治理工作负主体责任。应制定施工现场扬尘污染防治专项方案，按照承包工程范围做好扬尘污染防治措施的落实。方案必须符合我市关于扬尘管控的相关规定要求。</w:t>
      </w:r>
    </w:p>
    <w:p w14:paraId="680F6CEC">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工程质量必须达到合同约定标准，且保证相关部门验收通过；未达到质量要求的，成交供应商负责无条件返工，直至达到要求，所发生的费用由成交供应商承担，成交供应商还应赔偿因此给采购人造成的损失，工期不予顺延，同时采购人有权对成交供应商进行适当处罚；</w:t>
      </w:r>
    </w:p>
    <w:p w14:paraId="3073802E">
      <w:pPr>
        <w:keepNext w:val="0"/>
        <w:keepLines w:val="0"/>
        <w:pageBreakBefore w:val="0"/>
        <w:widowControl w:val="0"/>
        <w:spacing w:after="0" w:line="360" w:lineRule="auto"/>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六、服务要求 </w:t>
      </w:r>
    </w:p>
    <w:p w14:paraId="7AF46092">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1、质保期服务：执行国家相关标准。质保期外，工程质量出现问题，中标人应主动提供维修方案，只收取材料费。 </w:t>
      </w:r>
    </w:p>
    <w:p w14:paraId="7E2ED77B">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 xml:space="preserve">2、质保期内，如发生故障，采购人通知成交供应商服务人员时，相关服务人员要在12小时内到达现场配合采购人处理问题，进行更换或进行必要的维修。                                                                                                                                            </w:t>
      </w:r>
    </w:p>
    <w:p w14:paraId="0529C5A8">
      <w:pPr>
        <w:keepNext w:val="0"/>
        <w:keepLines w:val="0"/>
        <w:pageBreakBefore w:val="0"/>
        <w:widowControl w:val="0"/>
        <w:spacing w:after="0" w:line="360" w:lineRule="auto"/>
        <w:ind w:firstLine="48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3、供应商需根据本项目特征及自身情况编制施工方案。</w:t>
      </w:r>
    </w:p>
    <w:p w14:paraId="37F918E7">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七、其他要求：见《竞争性磋商文件》附件：7、《拟签订的合同文本》。</w:t>
      </w:r>
    </w:p>
    <w:p w14:paraId="4D2C953C">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p>
    <w:p w14:paraId="7B299C73">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资格条件：</w:t>
      </w:r>
    </w:p>
    <w:p w14:paraId="14D17511">
      <w:pPr>
        <w:keepNext w:val="0"/>
        <w:keepLines w:val="0"/>
        <w:pageBreakBefore w:val="0"/>
        <w:widowControl w:val="0"/>
        <w:spacing w:after="0" w:line="360" w:lineRule="auto"/>
        <w:rPr>
          <w:rFonts w:hint="eastAsia" w:ascii="宋体" w:hAnsi="宋体" w:eastAsia="宋体" w:cs="宋体"/>
          <w:color w:val="auto"/>
          <w:sz w:val="24"/>
          <w:szCs w:val="24"/>
          <w:highlight w:val="none"/>
          <w:lang w:val="en-US" w:eastAsia="zh-CN" w:bidi="ar-SA"/>
        </w:rPr>
      </w:pPr>
    </w:p>
    <w:p w14:paraId="52C0D275">
      <w:pPr>
        <w:keepNext w:val="0"/>
        <w:keepLines w:val="0"/>
        <w:pageBreakBefore w:val="0"/>
        <w:widowControl w:val="0"/>
        <w:spacing w:line="360" w:lineRule="auto"/>
        <w:ind w:firstLine="482"/>
        <w:jc w:val="both"/>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bidi="ar-SA"/>
        </w:rPr>
        <w:t xml:space="preserve">1、提供合法有效的法人的营业执照或事业法人证或其他组织应提供合法证明文件或自然人提供身份证明，以上证明文件的扫描件； </w:t>
      </w:r>
    </w:p>
    <w:p w14:paraId="1966818C">
      <w:pPr>
        <w:keepNext w:val="0"/>
        <w:keepLines w:val="0"/>
        <w:pageBreakBefore w:val="0"/>
        <w:widowControl w:val="0"/>
        <w:spacing w:line="360" w:lineRule="auto"/>
        <w:ind w:firstLine="482"/>
        <w:jc w:val="both"/>
        <w:rPr>
          <w:rFonts w:hint="eastAsia" w:ascii="宋体" w:hAnsi="宋体" w:eastAsia="宋体" w:cs="宋体"/>
          <w:b w:val="0"/>
          <w:bCs/>
          <w:sz w:val="24"/>
          <w:szCs w:val="24"/>
          <w:lang w:val="en-US" w:eastAsia="zh-CN" w:bidi="ar-SA"/>
        </w:rPr>
      </w:pPr>
      <w:r>
        <w:rPr>
          <w:rFonts w:hint="eastAsia" w:ascii="宋体" w:hAnsi="宋体" w:eastAsia="宋体" w:cs="宋体"/>
          <w:b w:val="0"/>
          <w:bCs/>
          <w:color w:val="000000"/>
          <w:sz w:val="24"/>
          <w:szCs w:val="24"/>
          <w:highlight w:val="none"/>
          <w:lang w:val="en-US" w:eastAsia="zh-CN" w:bidi="ar-SA"/>
        </w:rPr>
        <w:t>2、</w:t>
      </w:r>
      <w:r>
        <w:rPr>
          <w:rFonts w:hint="eastAsia" w:ascii="宋体" w:hAnsi="宋体" w:eastAsia="宋体" w:cs="宋体"/>
          <w:b w:val="0"/>
          <w:bCs/>
          <w:sz w:val="24"/>
          <w:szCs w:val="24"/>
          <w:lang w:val="en-US" w:eastAsia="zh-CN" w:bidi="ar-SA"/>
        </w:rPr>
        <w:t xml:space="preserve">财务状况报告，至少提供： </w:t>
      </w:r>
    </w:p>
    <w:p w14:paraId="4D443138">
      <w:pPr>
        <w:keepNext w:val="0"/>
        <w:keepLines w:val="0"/>
        <w:pageBreakBefore w:val="0"/>
        <w:widowControl w:val="0"/>
        <w:spacing w:line="360" w:lineRule="auto"/>
        <w:ind w:firstLine="482"/>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（1）供应商的“首次响应文件提交的截止时间”前6个月内任何1月（不含“首次响应文件提交的截止时间”当月）的资产负债表的扫描件1份；</w:t>
      </w:r>
    </w:p>
    <w:p w14:paraId="7E92842F">
      <w:pPr>
        <w:keepNext w:val="0"/>
        <w:keepLines w:val="0"/>
        <w:pageBreakBefore w:val="0"/>
        <w:widowControl w:val="0"/>
        <w:spacing w:line="360" w:lineRule="auto"/>
        <w:ind w:firstLine="482"/>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（2）供应商的“首次响应文件提交的截止时间”前6个月内任何1月（不含“首次响应文件提交的截止时间”当月）的利润表月报表的扫描件1份。</w:t>
      </w:r>
    </w:p>
    <w:p w14:paraId="3F415DBA">
      <w:pPr>
        <w:keepNext w:val="0"/>
        <w:keepLines w:val="0"/>
        <w:pageBreakBefore w:val="0"/>
        <w:widowControl w:val="0"/>
        <w:spacing w:line="360" w:lineRule="auto"/>
        <w:ind w:firstLine="482"/>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或合法有效的经第三方机构审计的年度财务审计报告（复印件）（2025年度，应包括审计报告正文、资产负债表、现金流量表、利润表）。</w:t>
      </w:r>
    </w:p>
    <w:p w14:paraId="736C1B6D">
      <w:pPr>
        <w:keepNext w:val="0"/>
        <w:keepLines w:val="0"/>
        <w:pageBreakBefore w:val="0"/>
        <w:widowControl w:val="0"/>
        <w:spacing w:line="360" w:lineRule="auto"/>
        <w:ind w:firstLine="482"/>
        <w:jc w:val="both"/>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val="0"/>
          <w:bCs/>
          <w:sz w:val="24"/>
          <w:szCs w:val="24"/>
          <w:lang w:val="en-US" w:eastAsia="zh-CN" w:bidi="ar-SA"/>
        </w:rPr>
        <w:t>3、供应商</w:t>
      </w:r>
      <w:r>
        <w:rPr>
          <w:rFonts w:hint="eastAsia" w:ascii="宋体" w:hAnsi="宋体" w:eastAsia="宋体" w:cs="宋体"/>
          <w:color w:val="000000"/>
          <w:sz w:val="24"/>
          <w:szCs w:val="24"/>
          <w:highlight w:val="none"/>
          <w:lang w:val="en-US" w:eastAsia="zh-CN" w:bidi="ar-SA"/>
        </w:rPr>
        <w:t>提交首次响应文件时间前6个月内（不含开标当月）任何1月的</w:t>
      </w:r>
      <w:r>
        <w:rPr>
          <w:rFonts w:hint="eastAsia" w:ascii="宋体" w:hAnsi="宋体" w:eastAsia="宋体" w:cs="宋体"/>
          <w:b/>
          <w:bCs/>
          <w:color w:val="000000"/>
          <w:sz w:val="24"/>
          <w:szCs w:val="24"/>
          <w:highlight w:val="none"/>
          <w:lang w:val="en-US" w:eastAsia="zh-CN" w:bidi="ar-SA"/>
        </w:rPr>
        <w:t>依法缴纳税收和社会保障资金的相关材料扫描件各一份</w:t>
      </w:r>
      <w:r>
        <w:rPr>
          <w:rFonts w:hint="eastAsia" w:ascii="宋体" w:hAnsi="宋体" w:eastAsia="宋体" w:cs="宋体"/>
          <w:color w:val="000000"/>
          <w:sz w:val="24"/>
          <w:szCs w:val="24"/>
          <w:highlight w:val="none"/>
          <w:lang w:val="en-US" w:eastAsia="zh-CN" w:bidi="ar-SA"/>
        </w:rPr>
        <w:t>（依法免税或不需要缴纳社会保障资金的供应商,提供相应文件证明其依法免税或不需要缴纳社会保障资金)；</w:t>
      </w:r>
    </w:p>
    <w:p w14:paraId="2A3F11E7">
      <w:pPr>
        <w:keepNext w:val="0"/>
        <w:keepLines w:val="0"/>
        <w:pageBreakBefore w:val="0"/>
        <w:widowControl w:val="0"/>
        <w:spacing w:line="360" w:lineRule="auto"/>
        <w:ind w:firstLine="482"/>
        <w:jc w:val="both"/>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lang w:val="en-US" w:eastAsia="zh-CN" w:bidi="ar-SA"/>
        </w:rPr>
        <w:t>4、</w:t>
      </w:r>
      <w:r>
        <w:rPr>
          <w:rFonts w:hint="eastAsia" w:ascii="宋体" w:hAnsi="宋体" w:eastAsia="宋体" w:cs="宋体"/>
          <w:color w:val="000000"/>
          <w:sz w:val="24"/>
          <w:szCs w:val="24"/>
          <w:lang w:val="en-US" w:eastAsia="zh-CN" w:bidi="ar-SA"/>
        </w:rPr>
        <w:t>具备履行合同所必需的设备和专业技术能力的书面声明，并附证明材料扫描件，即提供：</w:t>
      </w:r>
    </w:p>
    <w:p w14:paraId="670B5608">
      <w:pPr>
        <w:keepNext w:val="0"/>
        <w:keepLines w:val="0"/>
        <w:pageBreakBefore w:val="0"/>
        <w:widowControl w:val="0"/>
        <w:pBdr>
          <w:top w:val="none" w:color="000000" w:sz="0" w:space="0"/>
          <w:left w:val="none" w:color="000000" w:sz="0" w:space="0"/>
          <w:bottom w:val="none" w:color="000000" w:sz="0" w:space="0"/>
          <w:right w:val="none" w:color="000000" w:sz="0" w:space="0"/>
        </w:pBdr>
        <w:spacing w:after="0" w:line="360" w:lineRule="auto"/>
        <w:ind w:right="0" w:firstLine="480"/>
        <w:rPr>
          <w:rFonts w:hint="eastAsia" w:ascii="宋体" w:hAnsi="宋体" w:eastAsia="宋体" w:cs="宋体"/>
          <w:b w:val="0"/>
          <w:bCs/>
          <w:kern w:val="0"/>
          <w:highlight w:val="none"/>
        </w:rPr>
      </w:pPr>
      <w:r>
        <w:rPr>
          <w:rFonts w:hint="eastAsia" w:ascii="宋体" w:hAnsi="宋体" w:eastAsia="宋体" w:cs="宋体"/>
          <w:b w:val="0"/>
          <w:bCs/>
          <w:color w:val="000000"/>
          <w:kern w:val="0"/>
          <w:sz w:val="24"/>
        </w:rPr>
        <w:t>①即供应商资质类别和等级：</w:t>
      </w:r>
      <w:r>
        <w:rPr>
          <w:rFonts w:hint="eastAsia" w:ascii="宋体" w:hAnsi="宋体" w:eastAsia="宋体" w:cs="宋体"/>
          <w:b/>
          <w:bCs w:val="0"/>
          <w:color w:val="000000"/>
          <w:kern w:val="0"/>
          <w:sz w:val="24"/>
        </w:rPr>
        <w:t>具备市政公用工程施工总承包叁级及以上资质；且具有有效的安全生产许可证</w:t>
      </w:r>
      <w:r>
        <w:rPr>
          <w:rFonts w:hint="eastAsia" w:ascii="宋体" w:hAnsi="宋体" w:eastAsia="宋体" w:cs="宋体"/>
          <w:b w:val="0"/>
          <w:bCs/>
          <w:color w:val="000000"/>
          <w:kern w:val="0"/>
          <w:sz w:val="24"/>
        </w:rPr>
        <w:t>，提供扫描件并加盖电子签章；</w:t>
      </w:r>
    </w:p>
    <w:p w14:paraId="7410CF79">
      <w:pPr>
        <w:keepNext w:val="0"/>
        <w:keepLines w:val="0"/>
        <w:pageBreakBefore w:val="0"/>
        <w:widowControl w:val="0"/>
        <w:pBdr>
          <w:top w:val="none" w:color="000000" w:sz="0" w:space="0"/>
          <w:left w:val="none" w:color="000000" w:sz="0" w:space="0"/>
          <w:bottom w:val="none" w:color="000000" w:sz="0" w:space="0"/>
          <w:right w:val="none" w:color="000000" w:sz="0" w:space="0"/>
        </w:pBdr>
        <w:spacing w:after="0" w:line="360" w:lineRule="auto"/>
        <w:ind w:right="0" w:firstLine="480"/>
        <w:rPr>
          <w:rFonts w:hint="eastAsia" w:ascii="宋体" w:hAnsi="宋体" w:eastAsia="宋体" w:cs="宋体"/>
          <w:b/>
          <w:bCs w:val="0"/>
          <w:color w:val="000000"/>
          <w:kern w:val="0"/>
          <w:sz w:val="24"/>
        </w:rPr>
      </w:pPr>
      <w:r>
        <w:rPr>
          <w:rFonts w:hint="eastAsia" w:ascii="宋体" w:hAnsi="宋体" w:eastAsia="宋体" w:cs="宋体"/>
          <w:b w:val="0"/>
          <w:bCs/>
          <w:color w:val="000000"/>
          <w:kern w:val="0"/>
          <w:sz w:val="24"/>
          <w:highlight w:val="none"/>
        </w:rPr>
        <w:t>②拟选派项目负责人具备</w:t>
      </w:r>
      <w:r>
        <w:rPr>
          <w:rFonts w:hint="eastAsia" w:ascii="宋体" w:hAnsi="宋体" w:eastAsia="宋体" w:cs="宋体"/>
          <w:b/>
          <w:color w:val="auto"/>
          <w:kern w:val="0"/>
          <w:sz w:val="24"/>
          <w:szCs w:val="24"/>
          <w:highlight w:val="none"/>
          <w:u w:val="none"/>
          <w:lang w:eastAsia="zh-CN"/>
        </w:rPr>
        <w:t>市政</w:t>
      </w:r>
      <w:r>
        <w:rPr>
          <w:rFonts w:hint="eastAsia" w:ascii="宋体" w:hAnsi="宋体" w:eastAsia="宋体" w:cs="宋体"/>
          <w:b/>
          <w:bCs/>
          <w:color w:val="000000"/>
          <w:kern w:val="0"/>
          <w:sz w:val="24"/>
          <w:highlight w:val="none"/>
          <w:u w:val="none"/>
          <w:lang w:val="en-US" w:eastAsia="zh-CN"/>
        </w:rPr>
        <w:t>公用</w:t>
      </w:r>
      <w:r>
        <w:rPr>
          <w:rFonts w:hint="eastAsia" w:ascii="宋体" w:hAnsi="宋体" w:eastAsia="宋体" w:cs="宋体"/>
          <w:b/>
          <w:bCs/>
          <w:color w:val="000000"/>
          <w:kern w:val="0"/>
          <w:sz w:val="24"/>
          <w:highlight w:val="none"/>
          <w:u w:val="none"/>
        </w:rPr>
        <w:t>工程</w:t>
      </w:r>
      <w:r>
        <w:rPr>
          <w:rFonts w:hint="eastAsia" w:ascii="宋体" w:hAnsi="宋体" w:eastAsia="宋体" w:cs="宋体"/>
          <w:b/>
          <w:color w:val="auto"/>
          <w:kern w:val="0"/>
          <w:sz w:val="24"/>
          <w:szCs w:val="24"/>
          <w:highlight w:val="none"/>
          <w:u w:val="none"/>
        </w:rPr>
        <w:t>专业贰级（含）</w:t>
      </w:r>
      <w:r>
        <w:rPr>
          <w:rFonts w:hint="eastAsia" w:ascii="宋体" w:hAnsi="宋体" w:eastAsia="宋体" w:cs="宋体"/>
          <w:b/>
          <w:color w:val="auto"/>
          <w:kern w:val="0"/>
          <w:sz w:val="24"/>
          <w:szCs w:val="24"/>
          <w:highlight w:val="none"/>
          <w:u w:val="none"/>
          <w:lang w:val="en-US" w:eastAsia="zh-CN"/>
        </w:rPr>
        <w:t>及以上注册建造师（资格）</w:t>
      </w:r>
      <w:r>
        <w:rPr>
          <w:rFonts w:hint="eastAsia" w:ascii="宋体" w:hAnsi="宋体" w:eastAsia="宋体" w:cs="宋体"/>
          <w:b/>
          <w:bCs w:val="0"/>
          <w:color w:val="000000"/>
          <w:kern w:val="0"/>
          <w:sz w:val="24"/>
          <w:highlight w:val="none"/>
          <w:u w:val="none"/>
        </w:rPr>
        <w:t>；</w:t>
      </w:r>
      <w:r>
        <w:rPr>
          <w:rFonts w:hint="eastAsia" w:ascii="宋体" w:hAnsi="宋体" w:eastAsia="宋体" w:cs="Times New Roman"/>
          <w:b/>
          <w:color w:val="auto"/>
          <w:kern w:val="0"/>
          <w:sz w:val="24"/>
          <w:highlight w:val="none"/>
          <w:lang w:val="en-US" w:eastAsia="zh-CN"/>
        </w:rPr>
        <w:t>具有有效《建筑施工企业安全生产考核合格证书》（B证）</w:t>
      </w:r>
      <w:r>
        <w:rPr>
          <w:rFonts w:hint="eastAsia" w:ascii="宋体" w:hAnsi="宋体" w:eastAsia="宋体" w:cs="宋体"/>
          <w:b/>
          <w:bCs w:val="0"/>
          <w:color w:val="000000"/>
          <w:kern w:val="0"/>
          <w:sz w:val="24"/>
          <w:highlight w:val="none"/>
        </w:rPr>
        <w:t>且</w:t>
      </w:r>
      <w:r>
        <w:rPr>
          <w:rFonts w:hint="eastAsia" w:ascii="宋体" w:hAnsi="宋体" w:eastAsia="宋体" w:cs="宋体"/>
          <w:b/>
          <w:bCs/>
          <w:color w:val="000000"/>
          <w:kern w:val="0"/>
          <w:sz w:val="24"/>
          <w:highlight w:val="none"/>
          <w:lang w:val="en-US" w:eastAsia="zh-CN"/>
        </w:rPr>
        <w:t>提供</w:t>
      </w:r>
      <w:r>
        <w:rPr>
          <w:rFonts w:hint="eastAsia" w:ascii="宋体" w:hAnsi="宋体" w:eastAsia="宋体" w:cs="宋体"/>
          <w:b/>
          <w:bCs/>
          <w:color w:val="000000"/>
          <w:kern w:val="0"/>
          <w:sz w:val="24"/>
          <w:highlight w:val="none"/>
        </w:rPr>
        <w:t>无在建工程</w:t>
      </w:r>
      <w:r>
        <w:rPr>
          <w:rFonts w:hint="eastAsia" w:ascii="宋体" w:hAnsi="宋体" w:eastAsia="宋体" w:cs="宋体"/>
          <w:b/>
          <w:bCs/>
          <w:color w:val="000000"/>
          <w:kern w:val="0"/>
          <w:sz w:val="24"/>
          <w:highlight w:val="none"/>
          <w:lang w:val="en-US" w:eastAsia="zh-CN"/>
        </w:rPr>
        <w:t>的承诺书</w:t>
      </w:r>
      <w:r>
        <w:rPr>
          <w:rFonts w:hint="eastAsia" w:ascii="宋体" w:hAnsi="宋体" w:eastAsia="宋体" w:cs="宋体"/>
          <w:b/>
          <w:bCs/>
          <w:color w:val="000000"/>
          <w:kern w:val="0"/>
          <w:sz w:val="24"/>
          <w:highlight w:val="none"/>
        </w:rPr>
        <w:t>(承诺书格</w:t>
      </w:r>
      <w:r>
        <w:rPr>
          <w:rFonts w:hint="eastAsia" w:ascii="宋体" w:hAnsi="宋体" w:eastAsia="宋体" w:cs="宋体"/>
          <w:b/>
          <w:bCs/>
          <w:color w:val="000000"/>
          <w:kern w:val="0"/>
          <w:sz w:val="24"/>
        </w:rPr>
        <w:t>式自拟，</w:t>
      </w:r>
      <w:r>
        <w:rPr>
          <w:rFonts w:hint="eastAsia" w:ascii="宋体" w:hAnsi="宋体" w:eastAsia="宋体" w:cs="宋体"/>
          <w:b/>
          <w:bCs/>
          <w:color w:val="000000"/>
          <w:kern w:val="0"/>
          <w:sz w:val="24"/>
          <w:highlight w:val="none"/>
        </w:rPr>
        <w:t>其余提供扫描件并加盖电子签章</w:t>
      </w:r>
      <w:r>
        <w:rPr>
          <w:rFonts w:hint="eastAsia" w:ascii="宋体" w:hAnsi="宋体" w:eastAsia="宋体" w:cs="宋体"/>
          <w:b/>
          <w:bCs/>
          <w:color w:val="000000"/>
          <w:kern w:val="0"/>
          <w:sz w:val="24"/>
        </w:rPr>
        <w:t>）</w:t>
      </w:r>
      <w:r>
        <w:rPr>
          <w:rFonts w:hint="eastAsia" w:ascii="宋体" w:hAnsi="宋体" w:eastAsia="宋体" w:cs="宋体"/>
          <w:b/>
          <w:bCs w:val="0"/>
          <w:color w:val="000000"/>
          <w:kern w:val="0"/>
          <w:sz w:val="24"/>
        </w:rPr>
        <w:t>。</w:t>
      </w:r>
    </w:p>
    <w:p w14:paraId="1E3A89A6">
      <w:pPr>
        <w:spacing w:line="360" w:lineRule="auto"/>
        <w:ind w:right="-334" w:firstLine="482"/>
        <w:rPr>
          <w:rFonts w:hint="eastAsia" w:ascii="宋体" w:hAnsi="宋体" w:eastAsia="宋体" w:cs="宋体"/>
          <w:b/>
          <w:bCs w:val="0"/>
          <w:color w:val="000000"/>
          <w:kern w:val="0"/>
          <w:sz w:val="24"/>
        </w:rPr>
      </w:pPr>
      <w:r>
        <w:rPr>
          <w:rFonts w:hint="eastAsia" w:ascii="宋体" w:hAnsi="宋体" w:eastAsia="宋体" w:cs="宋体"/>
          <w:bCs/>
          <w:color w:val="000000"/>
          <w:kern w:val="0"/>
          <w:sz w:val="24"/>
          <w:highlight w:val="none"/>
        </w:rPr>
        <w:t>③</w:t>
      </w:r>
      <w:r>
        <w:rPr>
          <w:rFonts w:hint="eastAsia" w:ascii="宋体" w:hAnsi="宋体" w:eastAsia="宋体" w:cs="宋体"/>
          <w:bCs/>
          <w:color w:val="000000"/>
          <w:kern w:val="0"/>
          <w:sz w:val="24"/>
          <w:highlight w:val="none"/>
          <w:lang w:val="en-US" w:eastAsia="zh-CN"/>
        </w:rPr>
        <w:t>安全员：</w:t>
      </w:r>
      <w:r>
        <w:rPr>
          <w:rFonts w:hint="eastAsia" w:ascii="宋体" w:hAnsi="宋体" w:eastAsia="宋体" w:cs="宋体"/>
          <w:bCs/>
          <w:color w:val="000000"/>
          <w:kern w:val="0"/>
          <w:sz w:val="24"/>
          <w:highlight w:val="none"/>
        </w:rPr>
        <w:t xml:space="preserve"> </w:t>
      </w:r>
      <w:r>
        <w:rPr>
          <w:rFonts w:hint="eastAsia" w:ascii="宋体" w:hAnsi="宋体" w:eastAsia="宋体" w:cs="宋体"/>
          <w:b/>
          <w:bCs w:val="0"/>
          <w:color w:val="000000"/>
          <w:kern w:val="0"/>
          <w:sz w:val="24"/>
          <w:highlight w:val="none"/>
        </w:rPr>
        <w:t>必须设置独立的专职安全员，专职安全员具备有效的《安全生产考核合格证书》</w:t>
      </w:r>
      <w:r>
        <w:rPr>
          <w:rFonts w:hint="eastAsia" w:ascii="宋体" w:hAnsi="宋体" w:eastAsia="宋体" w:cs="宋体"/>
          <w:b/>
          <w:bCs w:val="0"/>
          <w:color w:val="000000"/>
          <w:kern w:val="0"/>
          <w:sz w:val="24"/>
          <w:highlight w:val="none"/>
          <w:lang w:val="en-US" w:eastAsia="zh-CN"/>
        </w:rPr>
        <w:t>C证</w:t>
      </w:r>
      <w:r>
        <w:rPr>
          <w:rFonts w:hint="eastAsia" w:ascii="宋体" w:hAnsi="宋体" w:eastAsia="宋体" w:cs="宋体"/>
          <w:b/>
          <w:bCs w:val="0"/>
          <w:color w:val="000000"/>
          <w:kern w:val="0"/>
          <w:sz w:val="24"/>
          <w:highlight w:val="none"/>
        </w:rPr>
        <w:t>；</w:t>
      </w:r>
    </w:p>
    <w:p w14:paraId="4801C93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F6B8">
    <w:pPr>
      <w:widowControl w:val="0"/>
      <w:tabs>
        <w:tab w:val="center" w:pos="4153"/>
        <w:tab w:val="right" w:pos="8306"/>
      </w:tabs>
      <w:jc w:val="left"/>
      <w:rPr>
        <w:rFonts w:hint="eastAsia"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E38EE">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w:fldChar w:fldCharType="begin"/>
                          </w:r>
                          <w:r>
                            <w:rPr>
                              <w:rFonts w:hint="default" w:ascii="Times New Roman" w:hAnsi="Times New Roman" w:eastAsia="宋体" w:cs="Times New Roman"/>
                              <w:sz w:val="18"/>
                              <w:szCs w:val="18"/>
                              <w:lang w:val="en-US" w:eastAsia="zh-CN" w:bidi="ar-SA"/>
                            </w:rPr>
                            <w:instrText xml:space="preserve"> PAGE  \* MERGEFORMAT </w:instrText>
                          </w:r>
                          <w:r>
                            <w:rPr>
                              <w:rFonts w:hint="default" w:ascii="Times New Roman" w:hAnsi="Times New Roman" w:eastAsia="宋体" w:cs="Times New Roman"/>
                              <w:sz w:val="18"/>
                              <w:szCs w:val="18"/>
                              <w:lang w:val="en-US" w:eastAsia="zh-CN" w:bidi="ar-SA"/>
                            </w:rPr>
                            <w:fldChar w:fldCharType="separate"/>
                          </w:r>
                          <w:r>
                            <w:rPr>
                              <w:rFonts w:hint="default" w:ascii="Times New Roman" w:hAnsi="Times New Roman" w:eastAsia="宋体" w:cs="Times New Roman"/>
                              <w:sz w:val="18"/>
                              <w:szCs w:val="18"/>
                              <w:lang w:val="en-US" w:eastAsia="zh-CN" w:bidi="ar-SA"/>
                            </w:rPr>
                            <w:t>13</w:t>
                          </w:r>
                          <w:r>
                            <w:rPr>
                              <w:rFonts w:hint="default" w:ascii="Times New Roman" w:hAnsi="Times New Roman" w:eastAsia="宋体" w:cs="Times New Roman"/>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CHQWYlCAgAAfQQAAA4AAAAAAAAAAQAgAAAAHwEAAGRy&#10;cy9lMm9Eb2MueG1sUEsFBgAAAAAGAAYAWQEAANMFAAAAAA==&#10;">
              <v:fill on="f" focussize="0,0"/>
              <v:stroke on="f" weight="0.5pt"/>
              <v:imagedata o:title=""/>
              <o:lock v:ext="edit" aspectratio="f"/>
              <v:textbox inset="0mm,0mm,0mm,0mm" style="mso-fit-shape-to-text:t;">
                <w:txbxContent>
                  <w:p w14:paraId="075E38EE">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w:fldChar w:fldCharType="begin"/>
                    </w:r>
                    <w:r>
                      <w:rPr>
                        <w:rFonts w:hint="default" w:ascii="Times New Roman" w:hAnsi="Times New Roman" w:eastAsia="宋体" w:cs="Times New Roman"/>
                        <w:sz w:val="18"/>
                        <w:szCs w:val="18"/>
                        <w:lang w:val="en-US" w:eastAsia="zh-CN" w:bidi="ar-SA"/>
                      </w:rPr>
                      <w:instrText xml:space="preserve"> PAGE  \* MERGEFORMAT </w:instrText>
                    </w:r>
                    <w:r>
                      <w:rPr>
                        <w:rFonts w:hint="default" w:ascii="Times New Roman" w:hAnsi="Times New Roman" w:eastAsia="宋体" w:cs="Times New Roman"/>
                        <w:sz w:val="18"/>
                        <w:szCs w:val="18"/>
                        <w:lang w:val="en-US" w:eastAsia="zh-CN" w:bidi="ar-SA"/>
                      </w:rPr>
                      <w:fldChar w:fldCharType="separate"/>
                    </w:r>
                    <w:r>
                      <w:rPr>
                        <w:rFonts w:hint="default" w:ascii="Times New Roman" w:hAnsi="Times New Roman" w:eastAsia="宋体" w:cs="Times New Roman"/>
                        <w:sz w:val="18"/>
                        <w:szCs w:val="18"/>
                        <w:lang w:val="en-US" w:eastAsia="zh-CN" w:bidi="ar-SA"/>
                      </w:rPr>
                      <w:t>13</w:t>
                    </w:r>
                    <w:r>
                      <w:rPr>
                        <w:rFonts w:hint="default" w:ascii="Times New Roman" w:hAnsi="Times New Roman" w:eastAsia="宋体" w:cs="Times New Roman"/>
                        <w:sz w:val="18"/>
                        <w:szCs w:val="18"/>
                        <w:lang w:val="en-US" w:eastAsia="zh-CN" w:bidi="ar-SA"/>
                      </w:rPr>
                      <w:fldChar w:fldCharType="end"/>
                    </w:r>
                  </w:p>
                </w:txbxContent>
              </v:textbox>
            </v:shape>
          </w:pict>
        </mc:Fallback>
      </mc:AlternateContent>
    </w:r>
  </w:p>
  <w:p w14:paraId="29923804">
    <w:pPr>
      <w:widowControl w:val="0"/>
      <w:tabs>
        <w:tab w:val="center" w:pos="4153"/>
        <w:tab w:val="right" w:pos="8306"/>
      </w:tabs>
      <w:jc w:val="left"/>
      <w:rPr>
        <w:rFonts w:hint="default" w:ascii="Times New Roman" w:hAnsi="Times New Roman" w:eastAsia="宋体" w:cs="Times New Roman"/>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11574"/>
    <w:rsid w:val="0A2574B3"/>
    <w:rsid w:val="13F45281"/>
    <w:rsid w:val="1DE606F3"/>
    <w:rsid w:val="227970F2"/>
    <w:rsid w:val="2E811574"/>
    <w:rsid w:val="69A253EB"/>
    <w:rsid w:val="79740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4189</Words>
  <Characters>4323</Characters>
  <Lines>0</Lines>
  <Paragraphs>0</Paragraphs>
  <TotalTime>0</TotalTime>
  <ScaleCrop>false</ScaleCrop>
  <LinksUpToDate>false</LinksUpToDate>
  <CharactersWithSpaces>4505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2026-05-12T01:45:00Z</dcterms:created>
  <dc:creator>徐州辰拓</dc:creator>
  <cp:lastModifiedBy>徐州辰拓</cp:lastModifiedBy>
  <dcterms:modified xsi:type="dcterms:W3CDTF">2026-05-12T07:12:06Z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8F0389A6A572410491AF83945B63A9FD_13</vt:lpwstr>
  </property>
  <property fmtid="{D5CDD505-2E9C-101B-9397-08002B2CF9AE}" pid="4" name="KSOTemplateDocerSaveRecord">
    <vt:lpwstr>eyJoZGlkIjoiOGNjODMzYjVlMzk0NWQ3YTFlYjVhMGI3MzM4MGQ5NTEiLCJ1c2VySWQiOiIxMzg0NTY4NjY4In0=</vt:lpwstr>
  </property>
</Properties>
</file>