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color w:val="000000" w:themeColor="text1"/>
          <w:spacing w:val="76"/>
          <w:sz w:val="14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144"/>
          <w:szCs w:val="2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87630</wp:posOffset>
                </wp:positionH>
                <wp:positionV relativeFrom="paragraph">
                  <wp:posOffset>156845</wp:posOffset>
                </wp:positionV>
                <wp:extent cx="840740" cy="897255"/>
                <wp:effectExtent l="0" t="0" r="12700" b="0"/>
                <wp:wrapNone/>
                <wp:docPr id="2"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图片1"/>
                        <pic:cNvPicPr>
                          <a:picLocks noChangeAspect="1"/>
                        </pic:cNvPicPr>
                        <pic:nvPr/>
                      </pic:nvPicPr>
                      <pic:blipFill>
                        <a:blip r:embed="rId13"/>
                        <a:stretch/>
                      </pic:blipFill>
                      <pic:spPr bwMode="auto">
                        <a:xfrm>
                          <a:off x="0" y="0"/>
                          <a:ext cx="84074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9pt;mso-position-horizontal:absolute;mso-position-vertical-relative:text;margin-top:12.3pt;mso-position-vertical:absolute;width:66.2pt;height:70.6pt;mso-wrap-distance-left:9.0pt;mso-wrap-distance-top:0.0pt;mso-wrap-distance-right:9.0pt;mso-wrap-distance-bottom:0.0pt;" stroked="f">
                <v:path textboxrect="0,0,0,0"/>
                <v:imagedata r:id="rId13" o:title=""/>
              </v:shape>
            </w:pict>
          </mc:Fallback>
        </mc:AlternateConten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招</w: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标</w:t>
      </w:r>
      <w:r/>
    </w:p>
    <w:p>
      <w:pPr>
        <w:jc w:val="center"/>
        <w:spacing w:line="360" w:lineRule="auto"/>
        <w:rPr>
          <w:rFonts w:ascii="宋体" w:hAnsi="宋体" w:cs="宋体"/>
          <w:color w:val="000000" w:themeColor="text1"/>
          <w:spacing w:val="76"/>
          <w:sz w:val="96"/>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文</w:t>
      </w:r>
      <w:r/>
    </w:p>
    <w:p>
      <w:pPr>
        <w:jc w:val="center"/>
        <w:spacing w:line="360" w:lineRule="auto"/>
        <w:rPr>
          <w:rFonts w:ascii="宋体" w:hAnsi="宋体" w:cs="宋体"/>
          <w:color w:val="000000" w:themeColor="text1"/>
          <w:spacing w:val="76"/>
          <w:sz w:val="14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76"/>
          <w:sz w:val="96"/>
          <w:szCs w:val="21"/>
          <w:highlight w:val="none"/>
          <w14:textFill>
            <w14:solidFill>
              <w14:schemeClr w14:val="tx1"/>
            </w14:solidFill>
          </w14:textFill>
        </w:rPr>
        <w:t xml:space="preserve">件</w:t>
      </w:r>
      <w:r/>
    </w:p>
    <w:p>
      <w:pPr>
        <w:pStyle w:val="712"/>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6"/>
        <w:ind w:firstLine="300"/>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z w:val="30"/>
          <w:szCs w:val="30"/>
          <w:highlight w:val="none"/>
          <w:lang w:eastAsia="zh-CN"/>
          <w14:textFill>
            <w14:solidFill>
              <w14:schemeClr w14:val="tx1"/>
            </w14:solidFill>
          </w14:textFill>
        </w:rPr>
        <w:t xml:space="preserve">徐州百耀房地产开发有限公司XT2022-23号地块</w:t>
      </w:r>
      <w:r/>
    </w:p>
    <w:p>
      <w:pPr>
        <w:pStyle w:val="696"/>
        <w:ind w:firstLine="300"/>
        <w:spacing w:line="360" w:lineRule="auto"/>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 xml:space="preserve">安置房项目桩基检测</w:t>
      </w:r>
      <w:r/>
    </w:p>
    <w:p>
      <w:pPr>
        <w:pStyle w:val="696"/>
        <w:ind w:firstLine="30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项目编号：</w:t>
      </w:r>
      <w:r>
        <w:rPr>
          <w:rFonts w:hint="eastAsia" w:ascii="宋体" w:hAnsi="宋体" w:cs="宋体"/>
          <w:color w:val="000000" w:themeColor="text1"/>
          <w:sz w:val="30"/>
          <w:szCs w:val="30"/>
          <w:highlight w:val="none"/>
          <w:lang w:eastAsia="zh-CN"/>
          <w14:textFill>
            <w14:solidFill>
              <w14:schemeClr w14:val="tx1"/>
            </w14:solidFill>
          </w14:textFill>
        </w:rPr>
        <w:t xml:space="preserve">JSZC-320312-ZRXM-G2026-0004</w:t>
      </w:r>
      <w:r/>
    </w:p>
    <w:p>
      <w:pPr>
        <w:pStyle w:val="696"/>
        <w:ind w:firstLine="300"/>
        <w:spacing w:line="360" w:lineRule="auto"/>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eastAsia="zh-CN"/>
          <w14:textFill>
            <w14:solidFill>
              <w14:schemeClr w14:val="tx1"/>
            </w14:solidFill>
          </w14:textFill>
        </w:rPr>
        <w:t xml:space="preserve">徐州市铜山区棠张镇人民政府</w:t>
      </w:r>
      <w:r/>
    </w:p>
    <w:p>
      <w:pPr>
        <w:pStyle w:val="696"/>
        <w:ind w:firstLine="3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采购代理机构：江苏筑融工程项目管理有限公司</w:t>
      </w:r>
      <w:r/>
    </w:p>
    <w:p>
      <w:pPr>
        <w:pStyle w:val="764"/>
        <w:ind w:firstLine="0"/>
        <w:jc w:val="center"/>
        <w:spacing w:line="360" w:lineRule="auto"/>
        <w:rPr>
          <w:rFonts w:ascii="宋体" w:hAnsi="宋体" w:cs="宋体"/>
          <w:b/>
          <w:color w:val="000000" w:themeColor="text1"/>
          <w:sz w:val="4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二O二</w:t>
      </w:r>
      <w:r>
        <w:rPr>
          <w:rFonts w:hint="eastAsia" w:ascii="宋体" w:hAnsi="宋体" w:cs="宋体"/>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color w:val="000000" w:themeColor="text1"/>
          <w:sz w:val="30"/>
          <w:szCs w:val="30"/>
          <w:highlight w:val="none"/>
          <w14:textFill>
            <w14:solidFill>
              <w14:schemeClr w14:val="tx1"/>
            </w14:solidFill>
          </w14:textFill>
        </w:rPr>
        <w:t xml:space="preserve">年</w:t>
      </w:r>
      <w:r>
        <w:rPr>
          <w:rFonts w:hint="eastAsia" w:ascii="宋体" w:hAnsi="宋体" w:cs="宋体"/>
          <w:color w:val="000000" w:themeColor="text1"/>
          <w:sz w:val="30"/>
          <w:szCs w:val="30"/>
          <w:highlight w:val="none"/>
          <w:lang w:val="en-US" w:eastAsia="zh-CN"/>
          <w14:textFill>
            <w14:solidFill>
              <w14:schemeClr w14:val="tx1"/>
            </w14:solidFill>
          </w14:textFill>
        </w:rPr>
        <w:t xml:space="preserve">五</w:t>
      </w:r>
      <w:r>
        <w:rPr>
          <w:rFonts w:hint="eastAsia" w:ascii="宋体" w:hAnsi="宋体" w:cs="宋体"/>
          <w:color w:val="000000" w:themeColor="text1"/>
          <w:sz w:val="30"/>
          <w:szCs w:val="30"/>
          <w:highlight w:val="none"/>
          <w14:textFill>
            <w14:solidFill>
              <w14:schemeClr w14:val="tx1"/>
            </w14:solidFill>
          </w14:textFill>
        </w:rPr>
        <w:t xml:space="preserve">月</w:t>
      </w:r>
      <w:r>
        <w:rPr>
          <w:rFonts w:hint="eastAsia" w:ascii="宋体" w:hAnsi="宋体" w:cs="宋体"/>
          <w:b/>
          <w:color w:val="000000" w:themeColor="text1"/>
          <w:sz w:val="44"/>
          <w:highlight w:val="none"/>
          <w14:textFill>
            <w14:solidFill>
              <w14:schemeClr w14:val="tx1"/>
            </w14:solidFill>
          </w14:textFill>
        </w:rPr>
        <w:br w:type="page" w:clear="all"/>
      </w:r>
      <w:r>
        <w:rPr>
          <w:rFonts w:hint="eastAsia" w:ascii="宋体" w:hAnsi="宋体" w:cs="宋体"/>
          <w:b/>
          <w:color w:val="000000" w:themeColor="text1"/>
          <w:sz w:val="44"/>
          <w:highlight w:val="none"/>
          <w14:textFill>
            <w14:solidFill>
              <w14:schemeClr w14:val="tx1"/>
            </w14:solidFill>
          </w14:textFill>
        </w:rPr>
        <w:t xml:space="preserve">目 录</w:t>
      </w:r>
      <w:r/>
    </w:p>
    <w:p>
      <w:pPr>
        <w:pStyle w:val="696"/>
        <w:jc w:val="center"/>
        <w:spacing w:line="360" w:lineRule="auto"/>
        <w:rPr>
          <w:rFonts w:ascii="宋体" w:hAnsi="宋体" w:cs="宋体"/>
          <w:b/>
          <w:color w:val="000000" w:themeColor="text1"/>
          <w:sz w:val="44"/>
          <w:szCs w:val="44"/>
          <w:highlight w:val="none"/>
          <w14:textFill>
            <w14:solidFill>
              <w14:schemeClr w14:val="tx1"/>
            </w14:solidFill>
          </w14:textFill>
        </w:rPr>
      </w:pPr>
      <w:r/>
      <w:bookmarkStart w:id="0" w:name="_Toc522790130"/>
      <w:r/>
      <w:r/>
    </w:p>
    <w:p>
      <w:pPr>
        <w:pStyle w:val="763"/>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fldChar w:fldCharType="begin"/>
      </w:r>
      <w:r>
        <w:rPr>
          <w:rFonts w:hint="eastAsia" w:ascii="宋体" w:hAnsi="宋体" w:cs="宋体"/>
          <w:b/>
          <w:color w:val="000000" w:themeColor="text1"/>
          <w:sz w:val="30"/>
          <w:szCs w:val="30"/>
          <w:highlight w:val="none"/>
          <w14:textFill>
            <w14:solidFill>
              <w14:schemeClr w14:val="tx1"/>
            </w14:solidFill>
          </w14:textFill>
        </w:rPr>
        <w:instrText xml:space="preserve"> TOC \o "1-3" \h \z \u </w:instrText>
      </w:r>
      <w:r>
        <w:rPr>
          <w:rFonts w:hint="eastAsia" w:ascii="宋体" w:hAnsi="宋体" w:cs="宋体"/>
          <w:b/>
          <w:color w:val="000000" w:themeColor="text1"/>
          <w:sz w:val="30"/>
          <w:szCs w:val="30"/>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"_Toc24257"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第一章  投标邀请</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_Toc24257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3</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763"/>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"_Toc6866"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第二章  投标人须知</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_Toc6866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763"/>
        <w:jc w:val="center"/>
        <w:spacing w:line="360" w:lineRule="auto"/>
        <w:tabs>
          <w:tab w:val="right" w:pos="8306" w:leader="dot"/>
        </w:tabs>
        <w:rPr>
          <w:rFonts w:ascii="宋体" w:hAnsi="宋体" w:cs="宋体"/>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"_Toc12259"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第三章  投标资料表</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PAGEREF _Toc12259 \h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15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763"/>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"_Toc9429"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30"/>
          <w:szCs w:val="30"/>
          <w:highlight w:val="none"/>
          <w14:textFill>
            <w14:solidFill>
              <w14:schemeClr w14:val="tx1"/>
            </w14:solidFill>
          </w14:textFill>
        </w:rPr>
        <w:t xml:space="preserve">第四章 </w:t>
      </w:r>
      <w:r>
        <w:rPr>
          <w:rFonts w:hint="eastAsia" w:ascii="宋体" w:hAnsi="宋体" w:cs="宋体"/>
          <w:color w:val="000000" w:themeColor="text1"/>
          <w:sz w:val="30"/>
          <w:szCs w:val="30"/>
          <w:highlight w:val="none"/>
          <w14:textFill>
            <w14:solidFill>
              <w14:schemeClr w14:val="tx1"/>
            </w14:solidFill>
          </w14:textFill>
        </w:rPr>
        <w:t xml:space="preserve"> 评标标准</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3</w:t>
      </w:r>
      <w:r/>
    </w:p>
    <w:p>
      <w:pPr>
        <w:pStyle w:val="763"/>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"_Toc14780"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第五章  拟签订的合同文本</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6</w:t>
      </w:r>
      <w:r/>
    </w:p>
    <w:p>
      <w:pPr>
        <w:pStyle w:val="763"/>
        <w:jc w:val="center"/>
        <w:spacing w:line="360" w:lineRule="auto"/>
        <w:tabs>
          <w:tab w:val="right" w:pos="8306" w:leader="dot"/>
        </w:tabs>
        <w:rPr>
          <w:rFonts w:hint="eastAsia" w:ascii="宋体" w:hAnsi="宋体" w:eastAsia="宋体" w:cs="宋体"/>
          <w:color w:val="000000" w:themeColor="text1"/>
          <w:sz w:val="30"/>
          <w:szCs w:val="30"/>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"_Toc12097"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第六章  采购需求</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3</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0</w:t>
      </w:r>
      <w:r/>
    </w:p>
    <w:p>
      <w:pPr>
        <w:pStyle w:val="763"/>
        <w:jc w:val="center"/>
        <w:spacing w:line="360" w:lineRule="auto"/>
        <w:tabs>
          <w:tab w:val="right" w:pos="8306" w:leader="dot"/>
        </w:tabs>
        <w:rPr>
          <w:rFonts w:hint="eastAsia" w:ascii="宋体" w:hAnsi="宋体" w:eastAsia="宋体" w:cs="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"_Toc17335"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第七章  投标文件相关格式</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3</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3</w:t>
      </w:r>
      <w:r/>
    </w:p>
    <w:p>
      <w:pPr>
        <w:pStyle w:val="696"/>
        <w:jc w:val="center"/>
        <w:spacing w:line="360" w:lineRule="auto"/>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r/>
    </w:p>
    <w:p>
      <w:pPr>
        <w:pStyle w:val="696"/>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696"/>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696"/>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696"/>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696"/>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696"/>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696"/>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696"/>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17"/>
        <w:rPr>
          <w:rFonts w:hAnsi="宋体" w:eastAsia="宋体" w:cs="宋体"/>
          <w:b/>
          <w:color w:val="000000" w:themeColor="text1"/>
          <w:sz w:val="44"/>
          <w:szCs w:val="44"/>
          <w:highlight w:val="none"/>
          <w14:textFill>
            <w14:solidFill>
              <w14:schemeClr w14:val="tx1"/>
            </w14:solidFill>
          </w14:textFill>
        </w:rPr>
      </w:pPr>
      <w:r>
        <w:rPr>
          <w:rFonts w:hAnsi="宋体" w:eastAsia="宋体" w:cs="宋体"/>
          <w:b/>
          <w:color w:val="000000" w:themeColor="text1"/>
          <w:sz w:val="44"/>
          <w:szCs w:val="44"/>
          <w:highlight w:val="none"/>
          <w14:textFill>
            <w14:solidFill>
              <w14:schemeClr w14:val="tx1"/>
            </w14:solidFill>
          </w14:textFill>
        </w:rPr>
      </w:r>
      <w:r/>
    </w:p>
    <w:p>
      <w:pPr>
        <w:pStyle w:val="696"/>
        <w:jc w:val="center"/>
        <w:spacing w:line="360" w:lineRule="auto"/>
        <w:rPr>
          <w:rFonts w:hint="eastAsia" w:ascii="宋体" w:hAnsi="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lang w:eastAsia="zh-CN"/>
          <w14:textFill>
            <w14:solidFill>
              <w14:schemeClr w14:val="tx1"/>
            </w14:solidFill>
          </w14:textFill>
        </w:rPr>
      </w:r>
      <w:r/>
    </w:p>
    <w:p>
      <w:pPr>
        <w:pStyle w:val="696"/>
        <w:jc w:val="center"/>
        <w:spacing w:line="360" w:lineRule="auto"/>
        <w:rPr>
          <w:rFonts w:hint="eastAsia" w:ascii="宋体" w:hAnsi="宋体" w:eastAsia="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lang w:eastAsia="zh-CN"/>
          <w14:textFill>
            <w14:solidFill>
              <w14:schemeClr w14:val="tx1"/>
            </w14:solidFill>
          </w14:textFill>
        </w:rPr>
        <w:t xml:space="preserve">徐州市铜山区棠张镇人民政府</w:t>
      </w:r>
      <w:r/>
    </w:p>
    <w:p>
      <w:pPr>
        <w:pStyle w:val="696"/>
        <w:jc w:val="center"/>
        <w:spacing w:line="360" w:lineRule="auto"/>
        <w:rPr>
          <w:rFonts w:ascii="宋体" w:hAnsi="宋体" w:cs="宋体"/>
          <w:b/>
          <w:color w:val="000000" w:themeColor="text1"/>
          <w:sz w:val="40"/>
          <w:szCs w:val="40"/>
          <w:highlight w:val="none"/>
          <w14:textFill>
            <w14:solidFill>
              <w14:schemeClr w14:val="tx1"/>
            </w14:solidFill>
          </w14:textFill>
        </w:rPr>
      </w:pPr>
      <w:r>
        <w:rPr>
          <w:rFonts w:hint="eastAsia" w:ascii="宋体" w:hAnsi="宋体" w:cs="宋体"/>
          <w:b/>
          <w:color w:val="000000" w:themeColor="text1"/>
          <w:sz w:val="40"/>
          <w:szCs w:val="40"/>
          <w:highlight w:val="none"/>
          <w14:textFill>
            <w14:solidFill>
              <w14:schemeClr w14:val="tx1"/>
            </w14:solidFill>
          </w14:textFill>
        </w:rPr>
        <w:t xml:space="preserve">《</w:t>
      </w:r>
      <w:r>
        <w:rPr>
          <w:rFonts w:hint="eastAsia" w:ascii="宋体" w:hAnsi="宋体" w:cs="宋体"/>
          <w:b/>
          <w:color w:val="000000" w:themeColor="text1"/>
          <w:sz w:val="40"/>
          <w:szCs w:val="40"/>
          <w:highlight w:val="none"/>
          <w:lang w:eastAsia="zh-CN"/>
          <w14:textFill>
            <w14:solidFill>
              <w14:schemeClr w14:val="tx1"/>
            </w14:solidFill>
          </w14:textFill>
        </w:rPr>
        <w:t xml:space="preserve">徐州百耀房地产开发有限公司XT2022-23号地块安置房项目桩基检测</w:t>
      </w:r>
      <w:r>
        <w:rPr>
          <w:rFonts w:hint="eastAsia" w:ascii="宋体" w:hAnsi="宋体" w:cs="宋体"/>
          <w:b/>
          <w:color w:val="000000" w:themeColor="text1"/>
          <w:sz w:val="40"/>
          <w:szCs w:val="40"/>
          <w:highlight w:val="none"/>
          <w14:textFill>
            <w14:solidFill>
              <w14:schemeClr w14:val="tx1"/>
            </w14:solidFill>
          </w14:textFill>
        </w:rPr>
        <w:t xml:space="preserve">》招标文件</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696"/>
        <w:spacing w:line="351"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22"/>
        <w:spacing w:line="351" w:lineRule="auto"/>
        <w:rPr>
          <w:rFonts w:ascii="宋体" w:hAnsi="宋体" w:eastAsia="宋体" w:cs="宋体"/>
          <w:color w:val="000000" w:themeColor="text1"/>
          <w:sz w:val="24"/>
          <w:szCs w:val="24"/>
          <w:highlight w:val="none"/>
          <w14:textFill>
            <w14:solidFill>
              <w14:schemeClr w14:val="tx1"/>
            </w14:solidFill>
          </w14:textFill>
        </w:rPr>
      </w:pPr>
      <w:r/>
      <w:bookmarkStart w:id="1" w:name="_Toc24257"/>
      <w:r>
        <w:rPr>
          <w:rFonts w:hint="eastAsia" w:ascii="宋体" w:hAnsi="宋体" w:eastAsia="宋体" w:cs="宋体"/>
          <w:color w:val="000000" w:themeColor="text1"/>
          <w:sz w:val="24"/>
          <w:szCs w:val="24"/>
          <w:highlight w:val="none"/>
          <w14:textFill>
            <w14:solidFill>
              <w14:schemeClr w14:val="tx1"/>
            </w14:solidFill>
          </w14:textFill>
        </w:rPr>
        <w:t xml:space="preserve">第一章  投标邀请</w:t>
      </w:r>
      <w:bookmarkEnd w:id="1"/>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江苏筑融工程项目管理有限公司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徐州市铜山区棠张镇人民政府</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徐州百耀房地产开发有限公司XT2022-23号地块安置房项目桩基检测</w:t>
      </w:r>
      <w:r>
        <w:rPr>
          <w:rFonts w:hint="eastAsia" w:ascii="宋体" w:hAnsi="宋体" w:cs="宋体"/>
          <w:color w:val="000000" w:themeColor="text1"/>
          <w:sz w:val="24"/>
          <w:highlight w:val="none"/>
          <w14:textFill>
            <w14:solidFill>
              <w14:schemeClr w14:val="tx1"/>
            </w14:solidFill>
          </w14:textFill>
        </w:rPr>
        <w:t xml:space="preserve">”进行公开招标采购，现邀请符合相关条件的供应商投标。</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一、项目名称和项目编号</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徐州百耀房地产开发有限公司XT2022-23号地块安置房项目桩基检测</w:t>
      </w:r>
      <w:r>
        <w:rPr>
          <w:rFonts w:hint="eastAsia" w:ascii="宋体" w:hAnsi="宋体" w:cs="宋体"/>
          <w:color w:val="000000" w:themeColor="text1"/>
          <w:sz w:val="24"/>
          <w:highlight w:val="none"/>
          <w14:textFill>
            <w14:solidFill>
              <w14:schemeClr w14:val="tx1"/>
            </w14:solidFill>
          </w14:textFill>
        </w:rPr>
        <w:t xml:space="preserve"> </w:t>
      </w:r>
      <w:r/>
    </w:p>
    <w:p>
      <w:pPr>
        <w:pStyle w:val="696"/>
        <w:ind w:firstLine="600"/>
        <w:spacing w:line="351"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(二)项目编号：</w:t>
      </w:r>
      <w:r>
        <w:rPr>
          <w:rFonts w:hint="eastAsia" w:ascii="宋体" w:hAnsi="宋体" w:cs="宋体"/>
          <w:color w:val="000000" w:themeColor="text1"/>
          <w:sz w:val="24"/>
          <w:highlight w:val="none"/>
          <w:lang w:eastAsia="zh-CN"/>
          <w14:textFill>
            <w14:solidFill>
              <w14:schemeClr w14:val="tx1"/>
            </w14:solidFill>
          </w14:textFill>
        </w:rPr>
        <w:t xml:space="preserve">JSZC-320312-ZRXM-G2026-0004</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二、对投标人的资格要求：详见本项目公开招标公告。</w:t>
      </w:r>
      <w:r/>
    </w:p>
    <w:p>
      <w:pPr>
        <w:pStyle w:val="696"/>
        <w:numPr>
          <w:ilvl w:val="0"/>
          <w:numId w:val="2"/>
        </w:numPr>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获取招标文件</w:t>
      </w:r>
      <w:bookmarkEnd w:id="0"/>
      <w:r/>
      <w:r/>
    </w:p>
    <w:p>
      <w:pPr>
        <w:pStyle w:val="696"/>
        <w:ind w:firstLine="48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1．时间（时间期限）、地点、方式：详见本项目公开招标公告。</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2、获取地点：在“苏采云”系统报名成功后自行下载。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3、获取方式：本项目采用网上注册登记方式。</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3.1 潜在供应商访问电子招标投标交易平台的网络地址和方法：</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（2）潜在投标人访问“苏采云”系统的网络地址和方法：“苏采云”系统的网址：http://jszfcg.jsczt.cn/；或进入徐州政府采购网（网址：https://czj.xz.gov.cn/zfcg/）</w:t>
      </w:r>
      <w:r>
        <w:rPr>
          <w:rFonts w:hint="eastAsia" w:ascii="宋体" w:hAnsi="宋体" w:cs="宋体"/>
          <w:color w:val="000000" w:themeColor="text1"/>
          <w:sz w:val="24"/>
          <w:szCs w:val="24"/>
          <w:highlight w:val="none"/>
          <w:lang w:eastAsia="zh-CN" w:bidi="ar"/>
          <w14:textFill>
            <w14:solidFill>
              <w14:schemeClr w14:val="tx1"/>
            </w14:solidFill>
          </w14:textFill>
        </w:rPr>
        <w:t xml:space="preserve">，</w:t>
      </w:r>
      <w:r>
        <w:rPr>
          <w:rFonts w:hint="eastAsia" w:ascii="宋体" w:hAnsi="宋体" w:cs="宋体"/>
          <w:color w:val="000000" w:themeColor="text1"/>
          <w:sz w:val="24"/>
          <w:szCs w:val="24"/>
          <w:highlight w:val="none"/>
          <w:lang w:bidi="ar"/>
          <w14:textFill>
            <w14:solidFill>
              <w14:schemeClr w14:val="tx1"/>
            </w14:solidFill>
          </w14:textFill>
        </w:rPr>
        <w:t xml:space="preserve">点击“苏采云”进入系统。</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（6）苏采云系统使用谷歌浏览器参与开标。</w:t>
      </w:r>
      <w:r/>
    </w:p>
    <w:p>
      <w:pPr>
        <w:ind w:firstLine="720"/>
        <w:jc w:val="both"/>
        <w:spacing w:line="351"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4、售价：免费。</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四、投标有关信息</w:t>
      </w:r>
      <w:r/>
    </w:p>
    <w:p>
      <w:pPr>
        <w:ind w:firstLine="480"/>
        <w:spacing w:line="351" w:lineRule="auto"/>
        <w:widowControl w:val="off"/>
        <w:rPr>
          <w:rFonts w:hint="default"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投标截止时间：</w:t>
      </w:r>
      <w:r>
        <w:rPr>
          <w:rFonts w:hint="eastAsia" w:cs="宋体"/>
          <w:color w:val="000000" w:themeColor="text1"/>
          <w:sz w:val="24"/>
          <w:highlight w:val="none"/>
          <w:lang w:eastAsia="zh-CN"/>
          <w14:textFill>
            <w14:solidFill>
              <w14:schemeClr w14:val="tx1"/>
            </w14:solidFill>
          </w14:textFill>
        </w:rPr>
        <w:t xml:space="preserve">2026</w:t>
      </w:r>
      <w:r>
        <w:rPr>
          <w:rFonts w:hint="eastAsia" w:cs="宋体"/>
          <w:color w:val="000000" w:themeColor="text1"/>
          <w:sz w:val="24"/>
          <w:highlight w:val="none"/>
          <w14:textFill>
            <w14:solidFill>
              <w14:schemeClr w14:val="tx1"/>
            </w14:solidFill>
          </w14:textFill>
        </w:rPr>
        <w:t xml:space="preserve">年</w:t>
      </w:r>
      <w:r>
        <w:rPr>
          <w:rFonts w:hint="eastAsia"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月5日北京时间</w:t>
      </w:r>
      <w:r>
        <w:rPr>
          <w:rFonts w:hint="eastAsia" w:ascii="宋体" w:hAnsi="宋体" w:cs="宋体"/>
          <w:color w:val="000000" w:themeColor="text1"/>
          <w:sz w:val="24"/>
          <w:highlight w:val="none"/>
          <w:lang w:val="en-US" w:eastAsia="zh-CN"/>
          <w14:textFill>
            <w14:solidFill>
              <w14:schemeClr w14:val="tx1"/>
            </w14:solidFill>
          </w14:textFill>
        </w:rPr>
        <w:t xml:space="preserve">10:00</w:t>
      </w:r>
      <w:r/>
    </w:p>
    <w:p>
      <w:pPr>
        <w:ind w:firstLine="480"/>
        <w:spacing w:line="351" w:lineRule="auto"/>
        <w:widowControl w:val="off"/>
        <w:rPr>
          <w:rFonts w:hint="default"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cs="宋体"/>
          <w:color w:val="000000" w:themeColor="text1"/>
          <w:sz w:val="24"/>
          <w:highlight w:val="none"/>
          <w:lang w:eastAsia="zh-CN"/>
          <w14:textFill>
            <w14:solidFill>
              <w14:schemeClr w14:val="tx1"/>
            </w14:solidFill>
          </w14:textFill>
        </w:rPr>
        <w:t xml:space="preserve">2026</w:t>
      </w:r>
      <w:r>
        <w:rPr>
          <w:rFonts w:hint="eastAsia" w:cs="宋体"/>
          <w:color w:val="000000" w:themeColor="text1"/>
          <w:sz w:val="24"/>
          <w:highlight w:val="none"/>
          <w14:textFill>
            <w14:solidFill>
              <w14:schemeClr w14:val="tx1"/>
            </w14:solidFill>
          </w14:textFill>
        </w:rPr>
        <w:t xml:space="preserve">年</w:t>
      </w:r>
      <w:r>
        <w:rPr>
          <w:rFonts w:hint="eastAsia"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月5</w:t>
      </w:r>
      <w:r>
        <w:rPr>
          <w:rFonts w:hint="eastAsia" w:ascii="宋体" w:hAnsi="宋体" w:cs="宋体"/>
          <w:color w:val="000000" w:themeColor="text1"/>
          <w:sz w:val="24"/>
          <w:szCs w:val="22"/>
          <w:highlight w:val="none"/>
          <w14:textFill>
            <w14:solidFill>
              <w14:schemeClr w14:val="tx1"/>
            </w14:solidFill>
          </w14:textFill>
        </w:rPr>
        <w:t xml:space="preserve">日北京时</w:t>
      </w:r>
      <w:r>
        <w:rPr>
          <w:rFonts w:hint="eastAsia" w:ascii="宋体" w:hAnsi="宋体" w:cs="宋体"/>
          <w:b w:val="0"/>
          <w:bCs w:val="0"/>
          <w:color w:val="000000" w:themeColor="text1"/>
          <w:sz w:val="24"/>
          <w:highlight w:val="none"/>
          <w14:textFill>
            <w14:solidFill>
              <w14:schemeClr w14:val="tx1"/>
            </w14:solidFill>
          </w14:textFill>
        </w:rPr>
        <w:t xml:space="preserve">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10:00</w:t>
      </w:r>
      <w:r/>
    </w:p>
    <w:p>
      <w:pPr>
        <w:ind w:firstLine="480"/>
        <w:spacing w:line="351"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开标地点：“苏采云”系统“开标大厅”或进入徐州政府采购网，点击“苏采云”登录进入系统“开标大厅”。</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五、采购人</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（一）名称：</w:t>
      </w:r>
      <w:r>
        <w:rPr>
          <w:rFonts w:hint="eastAsia" w:ascii="宋体" w:hAnsi="宋体" w:cs="宋体"/>
          <w:color w:val="000000" w:themeColor="text1"/>
          <w:sz w:val="24"/>
          <w:highlight w:val="none"/>
          <w:lang w:eastAsia="zh-CN"/>
          <w14:textFill>
            <w14:solidFill>
              <w14:schemeClr w14:val="tx1"/>
            </w14:solidFill>
          </w14:textFill>
        </w:rPr>
        <w:t xml:space="preserve">徐州市铜山区棠张镇人民政府</w:t>
      </w:r>
      <w:r>
        <w:rPr>
          <w:rFonts w:ascii="宋体" w:hAnsi="宋体" w:cs="宋体"/>
          <w:color w:val="000000" w:themeColor="text1"/>
          <w:sz w:val="24"/>
          <w:highlight w:val="none"/>
          <w14:textFill>
            <w14:solidFill>
              <w14:schemeClr w14:val="tx1"/>
            </w14:solidFill>
          </w14:textFill>
        </w:rPr>
        <w:t xml:space="preserve"> </w:t>
      </w:r>
      <w:r/>
    </w:p>
    <w:p>
      <w:pPr>
        <w:pStyle w:val="696"/>
        <w:ind w:firstLine="600"/>
        <w:spacing w:line="351"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（二）地址：徐州市铜山区棠张镇府前街</w:t>
      </w:r>
      <w:r/>
    </w:p>
    <w:p>
      <w:pPr>
        <w:pStyle w:val="696"/>
        <w:ind w:firstLine="600"/>
        <w:spacing w:line="351"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（三）联系方式：</w:t>
      </w:r>
      <w:r>
        <w:rPr>
          <w:rFonts w:hint="eastAsia" w:ascii="宋体" w:hAnsi="宋体" w:cs="宋体"/>
          <w:color w:val="000000" w:themeColor="text1"/>
          <w:sz w:val="24"/>
          <w:highlight w:val="none"/>
          <w:lang w:val="en-US" w:eastAsia="zh-CN"/>
          <w14:textFill>
            <w14:solidFill>
              <w14:schemeClr w14:val="tx1"/>
            </w14:solidFill>
          </w14:textFill>
        </w:rPr>
        <w:t xml:space="preserve">0516-80265788</w:t>
      </w:r>
      <w:r/>
    </w:p>
    <w:p>
      <w:pPr>
        <w:pStyle w:val="696"/>
        <w:ind w:firstLine="600"/>
        <w:spacing w:line="351" w:lineRule="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孙英迪</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六、采购代理机构</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（一）名称：江苏筑融工程项目管理有限公司。</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（二）地址：徐州市泉山区矿大软件园C7-8层</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（三）联系方式：13365285979</w:t>
      </w:r>
      <w:r/>
    </w:p>
    <w:p>
      <w:pPr>
        <w:pStyle w:val="696"/>
        <w:ind w:firstLine="600"/>
        <w:spacing w:line="351"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（四）采购项目联系人：史婷婷</w:t>
      </w:r>
      <w:r/>
    </w:p>
    <w:p>
      <w:pPr>
        <w:spacing w:line="360" w:lineRule="auto"/>
        <w:rPr>
          <w:rStyle w:val="924"/>
          <w:rFonts w:ascii="宋体" w:hAnsi="宋体" w:eastAsia="宋体" w:cs="宋体"/>
          <w:color w:val="000000" w:themeColor="text1"/>
          <w:szCs w:val="30"/>
          <w:highlight w:val="none"/>
          <w14:textFill>
            <w14:solidFill>
              <w14:schemeClr w14:val="tx1"/>
            </w14:solidFill>
          </w14:textFill>
        </w:rPr>
      </w:pPr>
      <w:r/>
      <w:bookmarkStart w:id="2" w:name="_Toc522790131"/>
      <w:r/>
      <w:bookmarkStart w:id="3" w:name="_Toc6866"/>
      <w:r/>
      <w:r/>
    </w:p>
    <w:p>
      <w:pPr>
        <w:pStyle w:val="696"/>
        <w:jc w:val="center"/>
        <w:spacing w:line="360" w:lineRule="auto"/>
        <w:widowControl/>
        <w:rPr>
          <w:rStyle w:val="924"/>
          <w:rFonts w:hint="eastAsia" w:ascii="宋体" w:hAnsi="宋体" w:eastAsia="宋体" w:cs="宋体"/>
          <w:color w:val="000000" w:themeColor="text1"/>
          <w:szCs w:val="30"/>
          <w:highlight w:val="none"/>
          <w14:textFill>
            <w14:solidFill>
              <w14:schemeClr w14:val="tx1"/>
            </w14:solidFill>
          </w14:textFill>
        </w:rPr>
      </w:pPr>
      <w:r>
        <w:rPr>
          <w:rFonts w:hint="eastAsia" w:ascii="宋体" w:hAnsi="宋体" w:eastAsia="宋体" w:cs="宋体"/>
          <w:color w:val="000000" w:themeColor="text1"/>
          <w:szCs w:val="30"/>
          <w:highlight w:val="none"/>
          <w14:textFill>
            <w14:solidFill>
              <w14:schemeClr w14:val="tx1"/>
            </w14:solidFill>
          </w14:textFill>
        </w:rPr>
      </w:r>
      <w:r/>
    </w:p>
    <w:p>
      <w:pPr>
        <w:pStyle w:val="696"/>
        <w:jc w:val="center"/>
        <w:spacing w:line="360" w:lineRule="auto"/>
        <w:widowControl/>
        <w:rPr>
          <w:rStyle w:val="924"/>
          <w:rFonts w:hint="eastAsia" w:ascii="宋体" w:hAnsi="宋体" w:eastAsia="宋体" w:cs="宋体"/>
          <w:color w:val="000000" w:themeColor="text1"/>
          <w:szCs w:val="30"/>
          <w:highlight w:val="none"/>
          <w14:textFill>
            <w14:solidFill>
              <w14:schemeClr w14:val="tx1"/>
            </w14:solidFill>
          </w14:textFill>
        </w:rPr>
      </w:pPr>
      <w:r>
        <w:rPr>
          <w:rFonts w:hint="eastAsia" w:ascii="宋体" w:hAnsi="宋体" w:eastAsia="宋体" w:cs="宋体"/>
          <w:color w:val="000000" w:themeColor="text1"/>
          <w:szCs w:val="30"/>
          <w:highlight w:val="none"/>
          <w14:textFill>
            <w14:solidFill>
              <w14:schemeClr w14:val="tx1"/>
            </w14:solidFill>
          </w14:textFill>
        </w:rPr>
      </w:r>
      <w:r/>
    </w:p>
    <w:p>
      <w:pPr>
        <w:pStyle w:val="696"/>
        <w:jc w:val="center"/>
        <w:spacing w:line="360" w:lineRule="auto"/>
        <w:widowControl/>
        <w:rPr>
          <w:rFonts w:ascii="宋体" w:hAnsi="宋体" w:cs="宋体"/>
          <w:color w:val="000000" w:themeColor="text1"/>
          <w:sz w:val="24"/>
          <w:highlight w:val="none"/>
          <w14:textFill>
            <w14:solidFill>
              <w14:schemeClr w14:val="tx1"/>
            </w14:solidFill>
          </w14:textFill>
        </w:rPr>
      </w:pPr>
      <w:r>
        <w:rPr>
          <w:rStyle w:val="924"/>
          <w:rFonts w:hint="eastAsia" w:ascii="宋体" w:hAnsi="宋体" w:eastAsia="宋体" w:cs="宋体"/>
          <w:color w:val="000000" w:themeColor="text1"/>
          <w:szCs w:val="30"/>
          <w:highlight w:val="none"/>
          <w14:textFill>
            <w14:solidFill>
              <w14:schemeClr w14:val="tx1"/>
            </w14:solidFill>
          </w14:textFill>
        </w:rPr>
        <w:t xml:space="preserve">第二章  投标人须知</w:t>
      </w:r>
      <w:bookmarkEnd w:id="2"/>
      <w:r/>
      <w:bookmarkEnd w:id="3"/>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bookmarkStart w:id="4" w:name="_Toc522790132"/>
      <w:r>
        <w:rPr>
          <w:rFonts w:hint="eastAsia" w:ascii="宋体" w:hAnsi="宋体" w:cs="宋体"/>
          <w:color w:val="000000" w:themeColor="text1"/>
          <w:sz w:val="28"/>
          <w:szCs w:val="28"/>
          <w:highlight w:val="none"/>
          <w14:textFill>
            <w14:solidFill>
              <w14:schemeClr w14:val="tx1"/>
            </w14:solidFill>
          </w14:textFill>
        </w:rPr>
        <w:t xml:space="preserve">一、总则</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（六）投标人的资格条件：</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二、招标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（八）招标文件应包括以下内容：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第一章，投标邀请；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第二章，投标人须知；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第三章，投标资料表；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第四章，评标标准；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第五章，拟签订的合同文本；</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第六章，采购需求；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第七章，投标文件相关格式。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（九）招标文件澄清或者修改：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三、投标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（十二）投标文件的构成：</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（十四）投标报价要求：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3.采购人不支付报价以外的任何费用。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（十六）投标有效期：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（十七）投标文件的编制要求和签署要求：</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（2）投标人应对 CA 证书妥善保管，如被他人盗用投标，因此带来的结果均由投标人自行承担。</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2"/>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（十八）投标文件的盖章要求</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（二十二）本项目不允许分包。</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（二十四）有下列情形之一的，其投标无效。</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5.不同投标人的投标文件相互混装；</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7.电子投标文件未按规定期限投标的；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8.电子投标文件未按招标文件要求签署、盖章的；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11.纸质投标文件未按招标文件要求签署、盖章的；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12.不具备招标文件中规定的资格要求的；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13.报价超过招标文件中规定的预算金额或者最高限价的；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14.投标文件含有采购人不能接受的附加条件的；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15.法律、法规和招标文件规定的其他无效情形。</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（二十五）开标：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2.投标人不足3家的，不得开标。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3.开标过程由采购代理机构负责记录。</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5.投标人未参加开标的，视同认可开标结果。</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五、评标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（2）宣布评标纪律；</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（4）组织评标委员会推选评标组长（采购人代表不得担任组长）；</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（5）在评标期间采取必要的通讯管理措施，保证评标活动不受外界干扰；</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（6）根据评标委员会的要求介绍政府采购相关政策法规、招标文件；</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\o "http://www.caigou2003.com/" </w:instrText>
      </w:r>
      <w:r>
        <w:rPr>
          <w:color w:val="000000" w:themeColor="text1"/>
          <w:highlight w:val="none"/>
          <w14:textFill>
            <w14:solidFill>
              <w14:schemeClr w14:val="tx1"/>
            </w14:solidFill>
          </w14:textFill>
        </w:rPr>
        <w:fldChar w:fldCharType="separate"/>
      </w:r>
      <w:r>
        <w:rPr>
          <w:rStyle w:val="947"/>
          <w:rFonts w:hint="eastAsia" w:ascii="宋体" w:hAnsi="宋体" w:cs="宋体"/>
          <w:color w:val="000000" w:themeColor="text1"/>
          <w:sz w:val="24"/>
          <w:szCs w:val="24"/>
          <w:highlight w:val="none"/>
          <w14:textFill>
            <w14:solidFill>
              <w14:schemeClr w14:val="tx1"/>
            </w14:solidFill>
          </w14:textFill>
        </w:rPr>
        <w:t xml:space="preserve">政府采购</w:t>
      </w:r>
      <w:r>
        <w:rPr>
          <w:rStyle w:val="947"/>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（10）处理与评标有关的其他事项。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2.评标委员会负责具体评标事务，并独立履行下列职责：</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（3）对投标文件进行比较和评价；</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5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（二十八）评标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1.评标工作程序：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（1）投标文件初审。</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①资格审查。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②符合性审查。</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（2）澄清有关问题。</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（3）比较与评价。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（4）推荐中标候选供应商名单。</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（5）编写评审报告（评标报告）。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\o "http://lilun.caigou2003.com/recijiedu/2365668.html" </w:instrText>
      </w:r>
      <w:r>
        <w:rPr>
          <w:color w:val="000000" w:themeColor="text1"/>
          <w:highlight w:val="none"/>
          <w14:textFill>
            <w14:solidFill>
              <w14:schemeClr w14:val="tx1"/>
            </w14:solidFill>
          </w14:textFill>
        </w:rPr>
        <w:fldChar w:fldCharType="separate"/>
      </w:r>
      <w:r>
        <w:rPr>
          <w:rStyle w:val="947"/>
          <w:rFonts w:hint="eastAsia" w:ascii="宋体" w:hAnsi="宋体" w:cs="宋体"/>
          <w:color w:val="000000" w:themeColor="text1"/>
          <w:sz w:val="24"/>
          <w:szCs w:val="24"/>
          <w:highlight w:val="none"/>
          <w14:textFill>
            <w14:solidFill>
              <w14:schemeClr w14:val="tx1"/>
            </w14:solidFill>
          </w14:textFill>
        </w:rPr>
        <w:t xml:space="preserve">最低评标价法</w:t>
      </w:r>
      <w:r>
        <w:rPr>
          <w:rStyle w:val="947"/>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\o "http://lilun.caigou2003.com/recijiedu/2365667.html" </w:instrText>
      </w:r>
      <w:r>
        <w:rPr>
          <w:color w:val="000000" w:themeColor="text1"/>
          <w:highlight w:val="none"/>
          <w14:textFill>
            <w14:solidFill>
              <w14:schemeClr w14:val="tx1"/>
            </w14:solidFill>
          </w14:textFill>
        </w:rPr>
        <w:fldChar w:fldCharType="separate"/>
      </w:r>
      <w:r>
        <w:rPr>
          <w:rStyle w:val="947"/>
          <w:rFonts w:hint="eastAsia" w:ascii="宋体" w:hAnsi="宋体" w:cs="宋体"/>
          <w:color w:val="000000" w:themeColor="text1"/>
          <w:sz w:val="24"/>
          <w:szCs w:val="24"/>
          <w:highlight w:val="none"/>
          <w14:textFill>
            <w14:solidFill>
              <w14:schemeClr w14:val="tx1"/>
            </w14:solidFill>
          </w14:textFill>
        </w:rPr>
        <w:t xml:space="preserve">综合评分法</w:t>
      </w:r>
      <w:r>
        <w:rPr>
          <w:rStyle w:val="947"/>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w:t>
      </w:r>
      <w:r>
        <w:rPr>
          <w:rFonts w:hint="eastAsia" w:ascii="宋体" w:hAnsi="宋体" w:cs="宋体"/>
          <w:b w:val="0"/>
          <w:bCs w:val="0"/>
          <w:color w:val="000000" w:themeColor="text1"/>
          <w:sz w:val="24"/>
          <w:szCs w:val="24"/>
          <w:highlight w:val="none"/>
          <w14:textFill>
            <w14:solidFill>
              <w14:schemeClr w14:val="tx1"/>
            </w14:solidFill>
          </w14:textFill>
        </w:rPr>
        <w:t xml:space="preserve">投标文件的实质性内容。</w:t>
      </w:r>
      <w:r/>
    </w:p>
    <w:p>
      <w:pPr>
        <w:ind w:firstLine="600"/>
        <w:jc w:val="both"/>
        <w:spacing w:line="360"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（三十）</w:t>
      </w:r>
      <w:r>
        <w:rPr>
          <w:rFonts w:hint="eastAsia" w:ascii="宋体" w:hAnsi="宋体" w:cs="宋体"/>
          <w:b/>
          <w:bCs/>
          <w:color w:val="000000" w:themeColor="text1"/>
          <w:sz w:val="24"/>
          <w:szCs w:val="24"/>
          <w:highlight w:val="none"/>
          <w14:textFill>
            <w14:solidFill>
              <w14:schemeClr w14:val="tx1"/>
            </w14:solidFill>
          </w14:textFill>
        </w:rPr>
        <w:t xml:space="preserve">根据徐财购[2026]3号文件，实施政府采购异常低价审查的有关要求：</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14:textFill>
            <w14:solidFill>
              <w14:schemeClr w14:val="tx1"/>
            </w14:solidFill>
          </w14:textFill>
        </w:rPr>
        <w:t xml:space="preserve">评审中出现下列情形之一的，评审（评标）委员会应当启动异常低价投标（响应）审查程序：</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③投标（响应）报价低于采购项目最高限价（未设定最高限价的采购项目，以采购项目预算金额作为最高限价）45%的，即投标（响应）报价&lt;采购项目最高限价×45%；</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④评审（评标）委员会基于专业判断，认为供应商报价过低，有可能影响产品质量或者不能诚信履约的其他情形。</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相关法律法规对供应商报价有规定的，从其规定。</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14:textFill>
            <w14:solidFill>
              <w14:schemeClr w14:val="tx1"/>
            </w14:solidFill>
          </w14:textFill>
        </w:rPr>
        <w:t xml:space="preserve">评审（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jc w:val="both"/>
        <w:spacing w:line="360"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（三十二）废标条款：</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出现下列情形之一的，应予废标。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2.出现影响采购公正的违法、违规行为的；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4.因重大变故，采购任务取消的。</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六、定标</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七、政府采购合同</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（三十六）签订政府采购合同（合同签订方式）：</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3.中标或者中标人拒绝与采购人签订合同的，采购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（三十八）履约保证金：详见《第三章 投标资料表》。</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（三十九）腐败和欺诈行为：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（1）腐败和欺诈行为的含义：</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600"/>
        <w:jc w:val="both"/>
        <w:spacing w:line="360" w:lineRule="auto"/>
        <w:shd w:val="clear" w:color="ffffff" w:fill="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八、询问和质疑</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（四十）询问和质疑</w:t>
      </w:r>
      <w:r/>
    </w:p>
    <w:p>
      <w:pPr>
        <w:ind w:firstLine="600"/>
        <w:jc w:val="both"/>
        <w:spacing w:line="360"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szCs w:val="24"/>
          <w:highlight w:val="none"/>
          <w14:textFill>
            <w14:solidFill>
              <w14:schemeClr w14:val="tx1"/>
            </w14:solidFill>
          </w14:textFill>
        </w:rPr>
        <w:t xml:space="preserve"> </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九、电子招标投标交易平台</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（四十一）电子招标投标交易平台（即“苏采云”系统，网址：http://jszfcg.jsczt.cn/）相关要求是本招标文件的组成部分。</w:t>
      </w:r>
      <w:r/>
    </w:p>
    <w:p>
      <w:pPr>
        <w:pStyle w:val="696"/>
        <w:jc w:val="center"/>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5" w:name="_Toc12259"/>
      <w:r>
        <w:rPr>
          <w:rStyle w:val="924"/>
          <w:rFonts w:hint="eastAsia" w:ascii="宋体" w:hAnsi="宋体" w:eastAsia="宋体" w:cs="宋体"/>
          <w:color w:val="000000" w:themeColor="text1"/>
          <w:highlight w:val="none"/>
          <w14:textFill>
            <w14:solidFill>
              <w14:schemeClr w14:val="tx1"/>
            </w14:solidFill>
          </w14:textFill>
        </w:rPr>
        <w:t xml:space="preserve">第三章  投标资料表</w:t>
      </w:r>
      <w:bookmarkEnd w:id="4"/>
      <w:r/>
      <w:bookmarkEnd w:id="5"/>
      <w:r/>
      <w:r/>
    </w:p>
    <w:p>
      <w:pPr>
        <w:pStyle w:val="928"/>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654"/>
        <w:tblW w:w="100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696"/>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条款项号</w:t>
            </w:r>
            <w:r/>
          </w:p>
        </w:tc>
        <w:tc>
          <w:tcPr>
            <w:tcW w:w="8672" w:type="dxa"/>
            <w:textDirection w:val="lrTb"/>
            <w:noWrap w:val="false"/>
          </w:tcPr>
          <w:p>
            <w:pPr>
              <w:pStyle w:val="696"/>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    容</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8672" w:type="dxa"/>
            <w:textDirection w:val="lrTb"/>
            <w:noWrap w:val="false"/>
          </w:tcPr>
          <w:p>
            <w:pPr>
              <w:pStyle w:val="696"/>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总则</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8672" w:type="dxa"/>
            <w:vAlign w:val="center"/>
            <w:textDirection w:val="lrTb"/>
            <w:noWrap w:val="false"/>
          </w:tcPr>
          <w:p>
            <w:pPr>
              <w:pStyle w:val="696"/>
              <w:spacing w:line="346"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徐州市铜山区棠张镇人民政府</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8672" w:type="dxa"/>
            <w:vAlign w:val="center"/>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本次采购采用的政府采购方式：公开招标。</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p>
        </w:tc>
        <w:tc>
          <w:tcPr>
            <w:tcW w:w="8672" w:type="dxa"/>
            <w:vAlign w:val="center"/>
            <w:textDirection w:val="lrTb"/>
            <w:noWrap w:val="false"/>
          </w:tcPr>
          <w:p>
            <w:pPr>
              <w:pStyle w:val="696"/>
              <w:spacing w:line="346"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采购人确定的采购项目属性：</w:t>
            </w:r>
            <w:r>
              <w:rPr>
                <w:rFonts w:hint="eastAsia" w:ascii="宋体" w:hAnsi="宋体" w:cs="宋体"/>
                <w:color w:val="000000" w:themeColor="text1"/>
                <w:sz w:val="24"/>
                <w:highlight w:val="none"/>
                <w:lang w:val="en-US" w:eastAsia="zh-CN"/>
                <w14:textFill>
                  <w14:solidFill>
                    <w14:schemeClr w14:val="tx1"/>
                  </w14:solidFill>
                </w14:textFill>
              </w:rPr>
              <w:t xml:space="preserve">服务</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p>
        </w:tc>
        <w:tc>
          <w:tcPr>
            <w:tcW w:w="8672" w:type="dxa"/>
            <w:vAlign w:val="center"/>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本项目采购代理机构：江苏筑融工程项目管理有限公司</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投标人的资格条件：</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一、符合《中华人民共和国政府采购法》第二十二条的规定；</w:t>
            </w:r>
            <w:r/>
          </w:p>
          <w:p>
            <w:pPr>
              <w:pStyle w:val="696"/>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二、本项目属于专门面向中小微企业采购的项目，供应商应为中小微企业、监狱企业、残疾人福利性单位。</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同时明确相关事项如下：</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1、本项目不接受联合体参与采购活动。</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696"/>
              <w:jc w:val="left"/>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696"/>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(一)由采购人查询信用信息。</w:t>
            </w:r>
            <w:r/>
          </w:p>
          <w:p>
            <w:pPr>
              <w:pStyle w:val="696"/>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(二)查询渠道包括：</w:t>
            </w:r>
            <w:r/>
          </w:p>
          <w:p>
            <w:pPr>
              <w:pStyle w:val="696"/>
              <w:ind w:firstLine="70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www.creditchina.gov.cn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pStyle w:val="696"/>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www.ccgp.gov.cn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pStyle w:val="696"/>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3.“信用江苏”网（www.jscredit.gov.cn）；</w:t>
            </w:r>
            <w:r/>
          </w:p>
          <w:p>
            <w:pPr>
              <w:pStyle w:val="696"/>
              <w:ind w:firstLine="700"/>
              <w:spacing w:line="346"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4.“信用中国（江苏徐州）”网</w:t>
            </w:r>
            <w:r/>
          </w:p>
          <w:p>
            <w:pPr>
              <w:pStyle w:val="696"/>
              <w:ind w:firstLine="70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http://www.xuzhoucredit.gov.cn）；</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(三)截止时点（查询环节）：评标结束前。</w:t>
            </w:r>
            <w:r/>
          </w:p>
          <w:p>
            <w:pPr>
              <w:pStyle w:val="696"/>
              <w:ind w:left="980" w:hanging="56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(四)信用信息查询记录和证据留存的具体方式：网页截屏打印，与其他采</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购文件一并保存。</w:t>
            </w:r>
            <w:r/>
          </w:p>
          <w:p>
            <w:pPr>
              <w:pStyle w:val="696"/>
              <w:ind w:firstLine="42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(五)信用信息的使用规则：</w:t>
            </w:r>
            <w:r/>
          </w:p>
          <w:p>
            <w:pPr>
              <w:pStyle w:val="696"/>
              <w:ind w:firstLine="480"/>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中标单位</w:t>
            </w:r>
            <w:r>
              <w:rPr>
                <w:rFonts w:hint="eastAsia" w:ascii="宋体" w:hAnsi="宋体" w:cs="宋体"/>
                <w:b/>
                <w:bCs/>
                <w:color w:val="000000" w:themeColor="text1"/>
                <w:sz w:val="24"/>
                <w:highlight w:val="none"/>
                <w:lang w:val="en-US" w:eastAsia="zh-CN"/>
                <w14:textFill>
                  <w14:solidFill>
                    <w14:schemeClr w14:val="tx1"/>
                  </w14:solidFill>
                </w14:textFill>
              </w:rPr>
              <w:t xml:space="preserve">应</w:t>
            </w:r>
            <w:r>
              <w:rPr>
                <w:rFonts w:hint="eastAsia" w:ascii="宋体" w:hAnsi="宋体" w:cs="宋体"/>
                <w:b/>
                <w:bCs/>
                <w:color w:val="000000" w:themeColor="text1"/>
                <w:sz w:val="24"/>
                <w:highlight w:val="none"/>
                <w14:textFill>
                  <w14:solidFill>
                    <w14:schemeClr w14:val="tx1"/>
                  </w14:solidFill>
                </w14:textFill>
              </w:rPr>
              <w:t xml:space="preserve">在领取成交通知书前，一次性向采购代理机构足额支付招标代理服务费。此项费用含在投标报价中，投标人编制投标文件时考虑到投标报价中</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采购人不再另行支付。</w:t>
            </w:r>
            <w:r>
              <w:rPr>
                <w:rFonts w:hint="eastAsia" w:ascii="宋体" w:hAnsi="宋体" w:cs="宋体"/>
                <w:b/>
                <w:bCs/>
                <w:color w:val="000000" w:themeColor="text1"/>
                <w:sz w:val="24"/>
                <w:highlight w:val="none"/>
                <w:lang w:val="en-US" w:eastAsia="zh-CN"/>
                <w14:textFill>
                  <w14:solidFill>
                    <w14:schemeClr w14:val="tx1"/>
                  </w14:solidFill>
                </w14:textFill>
              </w:rPr>
              <w:t xml:space="preserve">收费</w:t>
            </w:r>
            <w:r>
              <w:rPr>
                <w:rFonts w:hint="eastAsia" w:ascii="宋体" w:hAnsi="宋体" w:cs="宋体"/>
                <w:b/>
                <w:bCs/>
                <w:color w:val="000000" w:themeColor="text1"/>
                <w:sz w:val="24"/>
                <w:highlight w:val="none"/>
                <w14:textFill>
                  <w14:solidFill>
                    <w14:schemeClr w14:val="tx1"/>
                  </w14:solidFill>
                </w14:textFill>
              </w:rPr>
              <w:t xml:space="preserve">标准见本章附件：《招标代理服务收费标准》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(七)1</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(八)2</w:t>
            </w:r>
            <w:r/>
          </w:p>
        </w:tc>
        <w:tc>
          <w:tcPr>
            <w:tcW w:w="8672" w:type="dxa"/>
            <w:textDirection w:val="lrTb"/>
            <w:noWrap w:val="false"/>
          </w:tcPr>
          <w:p>
            <w:pPr>
              <w:pStyle w:val="696"/>
              <w:spacing w:line="346"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不安排现场考察。</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(八)3</w:t>
            </w:r>
            <w:r/>
          </w:p>
        </w:tc>
        <w:tc>
          <w:tcPr>
            <w:tcW w:w="8672" w:type="dxa"/>
            <w:textDirection w:val="lrTb"/>
            <w:noWrap w:val="false"/>
          </w:tcPr>
          <w:p>
            <w:pPr>
              <w:pStyle w:val="696"/>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不安排开标前答疑会。</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p>
        </w:tc>
        <w:tc>
          <w:tcPr>
            <w:tcW w:w="8672" w:type="dxa"/>
            <w:textDirection w:val="lrTb"/>
            <w:noWrap w:val="false"/>
          </w:tcPr>
          <w:p>
            <w:pPr>
              <w:pStyle w:val="696"/>
              <w:jc w:val="left"/>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w:t>
            </w:r>
            <w:r/>
          </w:p>
        </w:tc>
      </w:tr>
      <w:tr>
        <w:trPr>
          <w:jc w:val="center"/>
          <w:trHeight w:val="510"/>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w:t>
            </w:r>
            <w:r/>
          </w:p>
        </w:tc>
        <w:tc>
          <w:tcPr>
            <w:tcW w:w="8672" w:type="dxa"/>
            <w:textDirection w:val="lrTb"/>
            <w:noWrap w:val="false"/>
          </w:tcPr>
          <w:p>
            <w:pPr>
              <w:pStyle w:val="696"/>
              <w:jc w:val="left"/>
              <w:spacing w:line="346"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投标文件的语言为中文</w:t>
            </w:r>
            <w:r/>
          </w:p>
        </w:tc>
      </w:tr>
      <w:tr>
        <w:trPr>
          <w:jc w:val="center"/>
          <w:trHeight w:val="510"/>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w:t>
            </w:r>
            <w:r/>
          </w:p>
        </w:tc>
        <w:tc>
          <w:tcPr>
            <w:tcW w:w="8672" w:type="dxa"/>
            <w:textDirection w:val="lrTb"/>
            <w:noWrap w:val="false"/>
          </w:tcPr>
          <w:p>
            <w:pPr>
              <w:pStyle w:val="696"/>
              <w:spacing w:line="360" w:lineRule="auto"/>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(十一)1</w:t>
            </w:r>
            <w:r/>
          </w:p>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672" w:type="dxa"/>
            <w:textDirection w:val="lrTb"/>
            <w:noWrap w:val="false"/>
          </w:tcPr>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线上投标文件编制要求：</w:t>
            </w:r>
            <w:r/>
          </w:p>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请按照以下要求（包括但不限于以下要求）制作：</w:t>
            </w:r>
            <w:r/>
          </w:p>
          <w:p>
            <w:pPr>
              <w:pStyle w:val="7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46" w:lineRule="auto"/>
              <w:rPr>
                <w:rFonts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一、基本目录</w:t>
            </w:r>
            <w:r/>
          </w:p>
          <w:p>
            <w:pPr>
              <w:jc w:val="both"/>
              <w:spacing w:line="346" w:lineRule="auto"/>
              <w:rPr>
                <w:rFonts w:hint="eastAsia" w:ascii="宋体" w:hAnsi="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1、《开标一览表》（加盖电子签章，政府采购客户端工具输入报价自动生成）。</w:t>
            </w:r>
            <w:r/>
          </w:p>
          <w:p>
            <w:pPr>
              <w:pStyle w:val="7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二、资格条件（必须提供，否则投标将被拒绝）</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(一)具有独立承担民事责任的能力，提供投标人合法有效的法人的营业执照或其他组织应提供合法证明文件的原件扫描件(加盖电子签章)；</w:t>
            </w:r>
            <w:r/>
          </w:p>
          <w:p>
            <w:pPr>
              <w:ind w:right="28"/>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(二)财务状况报告（即提供投标人的本项目开标时间前6个月内任何时间（不含开标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cs="宋体"/>
                <w:b/>
                <w:bCs/>
                <w:color w:val="000000" w:themeColor="text1"/>
                <w:sz w:val="24"/>
                <w:szCs w:val="24"/>
                <w:highlight w:val="none"/>
                <w14:textFill>
                  <w14:solidFill>
                    <w14:schemeClr w14:val="tx1"/>
                  </w14:solidFill>
                </w14:textFill>
              </w:rPr>
              <w:t xml:space="preserve">当月）的资产负债表、利润表扫描件各一份；或提供投标人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2025</w:t>
            </w:r>
            <w:r>
              <w:rPr>
                <w:rFonts w:hint="eastAsia" w:ascii="宋体" w:hAnsi="宋体" w:cs="宋体"/>
                <w:b/>
                <w:bCs/>
                <w:color w:val="000000" w:themeColor="text1"/>
                <w:sz w:val="24"/>
                <w:szCs w:val="24"/>
                <w:highlight w:val="none"/>
                <w14:textFill>
                  <w14:solidFill>
                    <w14:schemeClr w14:val="tx1"/>
                  </w14:solidFill>
                </w14:textFill>
              </w:rPr>
              <w:t xml:space="preserve">年度经审计的财务报告扫描件一份)；</w:t>
            </w:r>
            <w:r/>
          </w:p>
          <w:p>
            <w:pPr>
              <w:ind w:right="28"/>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(三)投标人的本项目开标时间前6个月内任何1个月（不含开标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时间</w:t>
            </w:r>
            <w:r>
              <w:rPr>
                <w:rFonts w:hint="eastAsia" w:ascii="宋体" w:hAnsi="宋体" w:cs="宋体"/>
                <w:b/>
                <w:bCs/>
                <w:color w:val="000000" w:themeColor="text1"/>
                <w:sz w:val="24"/>
                <w:szCs w:val="24"/>
                <w:highlight w:val="none"/>
                <w14:textFill>
                  <w14:solidFill>
                    <w14:schemeClr w14:val="tx1"/>
                  </w14:solidFill>
                </w14:textFill>
              </w:rPr>
              <w:t xml:space="preserve">当月）的依法缴纳税收扫描件和社会保障资金扫描件的相关材料各一份（依法免税或不需要缴纳社会保障资金的供应商,提供相应文件扫描件证明其依法免税或不需要缴纳社会保障资金)；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(四) 具备履行合同所必需的设备和专业技术能力的证明材料。即提供《具备履行合同所必需的设备和专业技术能力的书面声明》（加盖电子签章，格式见招标文件第七章《投标文件相关格式》）；</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（六）投标人《中小企业声明函》（加盖电子签章，格式见招标文件第七章《投标文件相关格式》）（请填写完整，必须提供）。查询渠道参考工业和信息化部发布的中小企业规模自测小程序。</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注：</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注：中小企业（含中型、小型、微型企业，下同），应当同时符合以下条件：</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　 ① 符合中小企业划分标准；</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小型、微型企业提供中型企业制造的货物的，视同为中型企业。</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（一）安置的残疾人占本单位在职职工人数的比例不低于25%（含25%），并且安置的残疾人人数不少于10人（含10人）；</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（二）依法与安置的每位残疾人签订了一年以上（含一年）的劳动合同或服务协议；</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（三）为安置的每位残疾人按月足额缴纳了基本养老保险、基本医疗保险、失业保险、工伤保险和生育保险等社会保险费；</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ind w:right="28" w:firstLine="482"/>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   具体以《三部门联合发布关于促进残疾人就业政府采购政策的通知》（财库〔2017〕141号）规定为准。</w:t>
            </w:r>
            <w:r/>
          </w:p>
          <w:p>
            <w:pPr>
              <w:ind w:right="28"/>
              <w:spacing w:line="346"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本项目特定资格要求：</w:t>
            </w:r>
            <w:r/>
          </w:p>
          <w:p>
            <w:pPr>
              <w:ind w:right="28"/>
              <w:spacing w:line="346"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（1）供应商须具备建设工程质量检测机构资质证书（核定项目必须包含：地基基础工程检测）；</w:t>
            </w:r>
            <w:r/>
          </w:p>
          <w:p>
            <w:pPr>
              <w:ind w:right="28"/>
              <w:spacing w:line="346"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（2）供应商须具备省级及以上质量技术监督部门颁发的中国计量认证（CMA认证）证书，且认证证书均处于有效期内。</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highlight w:val="none"/>
                <w14:textFill>
                  <w14:solidFill>
                    <w14:schemeClr w14:val="tx1"/>
                  </w14:solidFill>
                </w14:textFill>
              </w:rPr>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三、符合条件（必须提供，否则投标无效）</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(一)报价</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1、《开标一览表》。（加盖电子签章，格式见招标文件第七章《投标文件相关格式》。）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2、《分项价格表》。</w:t>
            </w:r>
            <w:r>
              <w:rPr>
                <w:rFonts w:hint="eastAsia" w:ascii="宋体" w:hAnsi="宋体" w:cs="宋体"/>
                <w:b/>
                <w:bCs/>
                <w:color w:val="000000" w:themeColor="text1"/>
                <w:sz w:val="24"/>
                <w:szCs w:val="24"/>
                <w:highlight w:val="none"/>
                <w14:textFill>
                  <w14:solidFill>
                    <w14:schemeClr w14:val="tx1"/>
                  </w14:solidFill>
                </w14:textFill>
              </w:rPr>
              <w:t xml:space="preserve">（加盖电子签章，格式见招标文件第七章《投标文件相关格式》。）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（二）商务资信</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1、《投标函》（加盖电子签章，格式见招标文件第七章《投标文件相关格式》。）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color w:val="000000" w:themeColor="text1"/>
                <w:sz w:val="24"/>
                <w:szCs w:val="24"/>
                <w:highlight w:val="none"/>
                <w14:textFill>
                  <w14:solidFill>
                    <w14:schemeClr w14:val="tx1"/>
                  </w14:solidFill>
                </w14:textFill>
              </w:rPr>
              <w:t xml:space="preserve">《授权委托书》。</w:t>
            </w:r>
            <w:r>
              <w:rPr>
                <w:rFonts w:hint="eastAsia" w:ascii="宋体" w:hAnsi="宋体" w:cs="宋体"/>
                <w:b/>
                <w:bCs/>
                <w:color w:val="000000" w:themeColor="text1"/>
                <w:sz w:val="24"/>
                <w:szCs w:val="24"/>
                <w:highlight w:val="none"/>
                <w14:textFill>
                  <w14:solidFill>
                    <w14:schemeClr w14:val="tx1"/>
                  </w14:solidFill>
                </w14:textFill>
              </w:rPr>
              <w:t xml:space="preserve">（加盖电子签章，格式见招标文件第七章《投标文件相关格式》。）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（三）技术响应</w:t>
            </w:r>
            <w:r/>
          </w:p>
          <w:p>
            <w:pPr>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1、《偏离表》（加盖电子签章，格式见招标文件第七章《投标文件相关格式》。）</w:t>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highlight w:val="none"/>
                <w14:textFill>
                  <w14:solidFill>
                    <w14:schemeClr w14:val="tx1"/>
                  </w14:solidFill>
                </w14:textFill>
              </w:rPr>
            </w:r>
            <w:r/>
          </w:p>
          <w:p>
            <w:pPr>
              <w:spacing w:line="346" w:lineRule="auto"/>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四、综合评审评分项</w:t>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（一）商务部分</w:t>
            </w:r>
            <w:r>
              <w:rPr>
                <w:rFonts w:hint="eastAsia" w:ascii="宋体" w:hAnsi="宋体" w:cs="宋体"/>
                <w:color w:val="000000" w:themeColor="text1"/>
                <w:sz w:val="24"/>
                <w:szCs w:val="24"/>
                <w:highlight w:val="none"/>
                <w14:textFill>
                  <w14:solidFill>
                    <w14:schemeClr w14:val="tx1"/>
                  </w14:solidFill>
                </w14:textFill>
              </w:rPr>
              <w:t xml:space="preserve">（要求见本文件第四章《评标标准》中《评分细则》）；</w:t>
            </w:r>
            <w:r/>
          </w:p>
          <w:p>
            <w:pPr>
              <w:spacing w:line="346"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技术部分</w:t>
            </w:r>
            <w:r>
              <w:rPr>
                <w:rFonts w:hint="eastAsia" w:ascii="宋体" w:hAnsi="宋体" w:cs="宋体"/>
                <w:color w:val="000000" w:themeColor="text1"/>
                <w:sz w:val="24"/>
                <w:szCs w:val="24"/>
                <w:highlight w:val="none"/>
                <w14:textFill>
                  <w14:solidFill>
                    <w14:schemeClr w14:val="tx1"/>
                  </w14:solidFill>
                </w14:textFill>
              </w:rPr>
              <w:t xml:space="preserve">（要求见本文件第四章《评标标准》中《评分细则》）；</w:t>
            </w:r>
            <w:r/>
          </w:p>
          <w:p>
            <w:pPr>
              <w:ind w:right="28"/>
              <w:spacing w:line="346"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696"/>
              <w:spacing w:line="346"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1.投标人应对以上文件的合法性、真实性负责。</w:t>
            </w:r>
            <w:r/>
          </w:p>
          <w:p>
            <w:pPr>
              <w:pStyle w:val="696"/>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(十一)2</w:t>
            </w:r>
            <w:r/>
          </w:p>
        </w:tc>
        <w:tc>
          <w:tcPr>
            <w:tcW w:w="8672" w:type="dxa"/>
            <w:textDirection w:val="lrTb"/>
            <w:noWrap w:val="false"/>
          </w:tcPr>
          <w:p>
            <w:pPr>
              <w:pStyle w:val="696"/>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商务条件见：</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1.招标文件第四章《评标标准》中《评分细则》</w:t>
            </w:r>
            <w:r/>
          </w:p>
          <w:p>
            <w:pPr>
              <w:pStyle w:val="696"/>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2.本文件第三章《投标资料表》中(十一)1</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(十一)3</w:t>
            </w:r>
            <w:r/>
          </w:p>
        </w:tc>
        <w:tc>
          <w:tcPr>
            <w:tcW w:w="8672" w:type="dxa"/>
            <w:textDirection w:val="lrTb"/>
            <w:noWrap w:val="false"/>
          </w:tcPr>
          <w:p>
            <w:pPr>
              <w:pStyle w:val="696"/>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总预算金额：199.24925万元。</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(十三)</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以人民币报价。</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w:t>
            </w:r>
            <w:r/>
          </w:p>
        </w:tc>
        <w:tc>
          <w:tcPr>
            <w:tcW w:w="8672" w:type="dxa"/>
            <w:textDirection w:val="lrTb"/>
            <w:noWrap w:val="false"/>
          </w:tcPr>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投标文件的密封、签署、盖章要求：</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一、投标文件的密封（加密）要求：</w:t>
            </w:r>
            <w:r/>
          </w:p>
          <w:p>
            <w:pPr>
              <w:jc w:val="both"/>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二、投标文件的签署要求：见招标文件第七章《投标文件相关格式》。</w:t>
            </w:r>
            <w:r/>
          </w:p>
          <w:p>
            <w:pPr>
              <w:pStyle w:val="696"/>
              <w:spacing w:line="346"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w:t>
            </w:r>
            <w:r/>
          </w:p>
        </w:tc>
        <w:tc>
          <w:tcPr>
            <w:tcW w:w="8672" w:type="dxa"/>
            <w:textDirection w:val="lrTb"/>
            <w:noWrap w:val="false"/>
          </w:tcPr>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投标文件的提交与接收： </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1.投标文件提交与接收时间：</w:t>
            </w:r>
            <w:r>
              <w:rPr>
                <w:rFonts w:hint="eastAsia" w:ascii="宋体" w:hAnsi="宋体" w:cs="宋体"/>
                <w:color w:val="000000" w:themeColor="text1"/>
                <w:sz w:val="24"/>
                <w:szCs w:val="24"/>
                <w:highlight w:val="none"/>
                <w:lang w:eastAsia="zh-CN"/>
                <w14:textFill>
                  <w14:solidFill>
                    <w14:schemeClr w14:val="tx1"/>
                  </w14:solidFill>
                </w14:textFill>
              </w:rPr>
              <w:t xml:space="preserve">2026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日北京时间10:00前。</w:t>
            </w:r>
            <w:r/>
          </w:p>
          <w:p>
            <w:pPr>
              <w:spacing w:line="346"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（十七）1</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线上要求：</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特别说明：通过“苏采云”系统提交政府采购客户端工具导出加密的投标文件（后缀名为zip）。投标文件不得超过150M！（具体见“苏采云”系统要求）</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（十七）2</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凭CA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(十八)1</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一、开标时间：202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日北京时间</w:t>
            </w:r>
            <w:r>
              <w:rPr>
                <w:rFonts w:hint="eastAsia" w:ascii="宋体" w:hAnsi="宋体" w:cs="宋体"/>
                <w:color w:val="000000" w:themeColor="text1"/>
                <w:sz w:val="24"/>
                <w:highlight w:val="none"/>
                <w:lang w:val="en-US" w:eastAsia="zh-CN"/>
                <w14:textFill>
                  <w14:solidFill>
                    <w14:schemeClr w14:val="tx1"/>
                  </w14:solidFill>
                </w14:textFill>
              </w:rPr>
              <w:t xml:space="preserve">10:00</w:t>
            </w:r>
            <w:r>
              <w:rPr>
                <w:rFonts w:hint="eastAsia" w:ascii="宋体" w:hAnsi="宋体" w:cs="宋体"/>
                <w:color w:val="000000" w:themeColor="text1"/>
                <w:sz w:val="24"/>
                <w:highlight w:val="none"/>
                <w14:textFill>
                  <w14:solidFill>
                    <w14:schemeClr w14:val="tx1"/>
                  </w14:solidFill>
                </w14:textFill>
              </w:rPr>
              <w:t xml:space="preserve">。</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二、开标地点：</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 http://jszfcg.jsczt.cn/）“开标大厅”或进入徐州政府采购网（网址：https://czj.xz.gov.cn/zfcg/，点击“苏采云”进入系统“开标大厅”。</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(十八)2</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招标文件规定的需要公布的内容：投标人名称、投标价格。</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(十九)</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采用综合评分法。</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w:t>
            </w:r>
            <w:r/>
          </w:p>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pStyle w:val="696"/>
              <w:spacing w:line="346"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政府采购合同</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696"/>
              <w:jc w:val="center"/>
              <w:spacing w:line="34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(二十二)</w:t>
            </w:r>
            <w:r/>
          </w:p>
        </w:tc>
        <w:tc>
          <w:tcPr>
            <w:tcW w:w="8672" w:type="dxa"/>
            <w:textDirection w:val="lrTb"/>
            <w:noWrap w:val="false"/>
          </w:tcPr>
          <w:p>
            <w:pPr>
              <w:jc w:val="both"/>
              <w:spacing w:line="346"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tc>
      </w:tr>
      <w:tr>
        <w:trPr>
          <w:jc w:val="center"/>
        </w:trPr>
        <w:tc>
          <w:tcPr>
            <w:tcW w:w="1342" w:type="dxa"/>
            <w:vAlign w:val="center"/>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w:t>
            </w:r>
            <w:r/>
          </w:p>
        </w:tc>
        <w:tc>
          <w:tcPr>
            <w:tcW w:w="8672" w:type="dxa"/>
            <w:textDirection w:val="lrTb"/>
            <w:noWrap w:val="false"/>
          </w:tcPr>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二、供应商在法定质疑期内一次性提出针对同一采购程序环节的质疑。</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质疑接收人：史婷婷；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联系电话：13365285979；</w:t>
            </w:r>
            <w:r/>
          </w:p>
          <w:p>
            <w:pPr>
              <w:pStyle w:val="696"/>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办公地址：徐州市泉山区矿大软件园C7-8层</w:t>
            </w:r>
            <w:r/>
          </w:p>
        </w:tc>
      </w:tr>
      <w:tr>
        <w:trPr>
          <w:jc w:val="center"/>
        </w:trPr>
        <w:tc>
          <w:tcPr>
            <w:tcW w:w="1342" w:type="dxa"/>
            <w:vAlign w:val="center"/>
            <w:vMerge w:val="restart"/>
            <w:textDirection w:val="lrTb"/>
            <w:noWrap w:val="false"/>
          </w:tcPr>
          <w:p>
            <w:pPr>
              <w:pStyle w:val="696"/>
              <w:jc w:val="center"/>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附加说明</w:t>
            </w:r>
            <w:r/>
          </w:p>
        </w:tc>
        <w:tc>
          <w:tcPr>
            <w:tcW w:w="8672" w:type="dxa"/>
            <w:textDirection w:val="lrTb"/>
            <w:noWrap w:val="false"/>
          </w:tcPr>
          <w:p>
            <w:pPr>
              <w:pStyle w:val="696"/>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696"/>
              <w:jc w:val="center"/>
              <w:spacing w:line="346"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8672" w:type="dxa"/>
            <w:textDirection w:val="lrTb"/>
            <w:noWrap w:val="false"/>
          </w:tcPr>
          <w:p>
            <w:pPr>
              <w:pStyle w:val="696"/>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pStyle w:val="696"/>
              <w:keepLines w:val="0"/>
              <w:keepNext w:val="0"/>
              <w:pageBreakBefore w:val="0"/>
              <w:spacing w:line="312" w:lineRule="auto"/>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696"/>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96"/>
              <w:keepLines w:val="0"/>
              <w:keepNext w:val="0"/>
              <w:pageBreakBefore w:val="0"/>
              <w:spacing w:line="312" w:lineRule="auto"/>
              <w:widowControl w:val="off"/>
              <w:rPr>
                <w:rFonts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696"/>
        <w:ind w:firstLine="600"/>
        <w:spacing w:line="346" w:lineRule="auto"/>
        <w:widowControl/>
        <w:rPr>
          <w:rFonts w:ascii="宋体" w:hAnsi="宋体" w:cs="宋体"/>
          <w:b/>
          <w:color w:val="000000" w:themeColor="text1"/>
          <w:sz w:val="24"/>
          <w:highlight w:val="none"/>
          <w14:textFill>
            <w14:solidFill>
              <w14:schemeClr w14:val="tx1"/>
            </w14:solidFill>
          </w14:textFill>
        </w:rPr>
      </w:pPr>
      <w:r/>
      <w:bookmarkStart w:id="6" w:name="_Toc522790133"/>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本章附件：招标代理服务收费标准</w:t>
      </w:r>
      <w:r/>
    </w:p>
    <w:tbl>
      <w:tblPr>
        <w:tblStyle w:val="693"/>
        <w:tblW w:w="81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jc w:val="center"/>
          <w:trHeight w:val="470"/>
        </w:trPr>
        <w:tc>
          <w:tcPr>
            <w:tcMar>
              <w:left w:w="108" w:type="dxa"/>
              <w:top w:w="0" w:type="dxa"/>
              <w:right w:w="108" w:type="dxa"/>
              <w:bottom w:w="0" w:type="dxa"/>
            </w:tcMar>
            <w:tcW w:w="5530"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中标或成交金额</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费率</w:t>
            </w:r>
            <w:r/>
          </w:p>
        </w:tc>
      </w:tr>
      <w:tr>
        <w:trPr>
          <w:jc w:val="center"/>
          <w:trHeight w:val="489"/>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最低收费金额(每个委托项目)</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5000元</w:t>
            </w:r>
            <w:r/>
          </w:p>
        </w:tc>
      </w:tr>
      <w:tr>
        <w:trPr>
          <w:jc w:val="center"/>
          <w:trHeight w:val="43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50万元以下（含50万元）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1.60%</w:t>
            </w:r>
            <w:r/>
          </w:p>
        </w:tc>
      </w:tr>
      <w:tr>
        <w:trPr>
          <w:jc w:val="center"/>
          <w:trHeight w:val="414"/>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50-400万元（含400万元）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1.50%</w:t>
            </w:r>
            <w:r/>
          </w:p>
        </w:tc>
      </w:tr>
      <w:tr>
        <w:trPr>
          <w:jc w:val="center"/>
          <w:trHeight w:val="605"/>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400-1000万元（含1000万元）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1000-5000万元（含5000万元）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0.80%</w:t>
            </w:r>
            <w:r/>
          </w:p>
        </w:tc>
      </w:tr>
      <w:tr>
        <w:trPr>
          <w:jc w:val="center"/>
          <w:trHeight w:val="486"/>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5000-1亿元（含1亿元）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0.25%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1-10亿（含10亿元）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0.05%</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10-50亿元（含50亿元）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0.01%</w:t>
            </w:r>
            <w:r/>
          </w:p>
        </w:tc>
      </w:tr>
      <w:tr>
        <w:trPr>
          <w:jc w:val="center"/>
          <w:trHeight w:val="480"/>
        </w:trPr>
        <w:tc>
          <w:tcPr>
            <w:tcMar>
              <w:left w:w="108" w:type="dxa"/>
              <w:top w:w="0" w:type="dxa"/>
              <w:right w:w="108" w:type="dxa"/>
              <w:bottom w:w="0" w:type="dxa"/>
            </w:tcMar>
            <w:tcW w:w="5530" w:type="dxa"/>
            <w:vAlign w:val="center"/>
            <w:textDirection w:val="lrTb"/>
            <w:noWrap w:val="false"/>
          </w:tcPr>
          <w:p>
            <w:pPr>
              <w:ind w:left="0" w:right="0" w:firstLine="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50亿元</w:t>
            </w:r>
            <w:r/>
          </w:p>
        </w:tc>
        <w:tc>
          <w:tcPr>
            <w:tcMar>
              <w:left w:w="108" w:type="dxa"/>
              <w:top w:w="0" w:type="dxa"/>
              <w:right w:w="108" w:type="dxa"/>
              <w:bottom w:w="0" w:type="dxa"/>
            </w:tcMar>
            <w:tcW w:w="2579" w:type="dxa"/>
            <w:vAlign w:val="center"/>
            <w:textDirection w:val="lrTb"/>
            <w:noWrap w:val="false"/>
          </w:tcPr>
          <w:p>
            <w:pPr>
              <w:ind w:left="0" w:right="0" w:firstLine="0"/>
              <w:jc w:val="center"/>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0.005%</w:t>
            </w:r>
            <w:r/>
          </w:p>
        </w:tc>
      </w:tr>
    </w:tbl>
    <w:p>
      <w:pPr>
        <w:ind w:left="0" w:right="0" w:firstLine="0"/>
        <w:jc w:val="both"/>
        <w:keepLines w:val="0"/>
        <w:keepNext w:val="0"/>
        <w:pageBreakBefore w:val="0"/>
        <w:spacing w:before="0" w:after="0" w:line="312"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highlight w:val="none"/>
          <w14:textFill>
            <w14:solidFill>
              <w14:schemeClr w14:val="tx1"/>
            </w14:solidFill>
          </w14:textFill>
        </w:rPr>
        <w:t xml:space="preserve">说明：</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2.代理服务费按差额定率累进法计算。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 * 费率（%）。</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6.有分包（分标段）的按一个项目计算。</w:t>
      </w:r>
      <w:r/>
    </w:p>
    <w:p>
      <w:pPr>
        <w:ind w:left="0" w:right="0" w:firstLine="0"/>
        <w:jc w:val="both"/>
        <w:keepLines w:val="0"/>
        <w:keepNext w:val="0"/>
        <w:pageBreakBefore w:val="0"/>
        <w:spacing w:before="0" w:after="0" w:line="312" w:lineRule="auto"/>
        <w:widowControl/>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highlight w:val="none"/>
          <w14:textFill>
            <w14:solidFill>
              <w14:schemeClr w14:val="tx1"/>
            </w14:solidFill>
          </w14:textFill>
        </w:rPr>
        <w:t xml:space="preserve">7.以上价格为协会指导价，双方可根据项目难易程度和优质优价原则协商确定。</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.本项目招标代理服务费由成交供应商支付。</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szCs w:val="22"/>
          <w:highlight w:val="none"/>
          <w:lang w:val="en-US" w:eastAsia="zh-CN"/>
          <w14:textFill>
            <w14:solidFill>
              <w14:schemeClr w14:val="tx1"/>
            </w14:solidFill>
          </w14:textFill>
        </w:rPr>
        <w:t xml:space="preserve">9</w:t>
      </w:r>
      <w:r>
        <w:rPr>
          <w:rFonts w:ascii="宋体" w:hAnsi="宋体" w:eastAsia="宋体" w:cs="宋体"/>
          <w:color w:val="000000" w:themeColor="text1"/>
          <w:sz w:val="24"/>
          <w:szCs w:val="22"/>
          <w:highlight w:val="none"/>
          <w14:textFill>
            <w14:solidFill>
              <w14:schemeClr w14:val="tx1"/>
            </w14:solidFill>
          </w14:textFill>
        </w:rPr>
        <w:t xml:space="preserve">.缴费账户名：江苏筑融工程项目管理有限公司</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szCs w:val="22"/>
          <w:highlight w:val="none"/>
          <w14:textFill>
            <w14:solidFill>
              <w14:schemeClr w14:val="tx1"/>
            </w14:solidFill>
          </w14:textFill>
        </w:rPr>
        <w:t xml:space="preserve">开户行：中国农业银行徐州塔东支行 </w:t>
      </w:r>
      <w:r/>
    </w:p>
    <w:p>
      <w:pPr>
        <w:ind w:left="0" w:right="0" w:firstLine="0"/>
        <w:jc w:val="both"/>
        <w:keepLines w:val="0"/>
        <w:keepNext w:val="0"/>
        <w:pageBreakBefore w:val="0"/>
        <w:spacing w:before="0" w:after="0" w:line="312" w:lineRule="auto"/>
        <w:widowControl/>
        <w:rPr>
          <w:rFonts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themeColor="text1"/>
          <w:sz w:val="24"/>
          <w:szCs w:val="22"/>
          <w:highlight w:val="none"/>
          <w14:textFill>
            <w14:solidFill>
              <w14:schemeClr w14:val="tx1"/>
            </w14:solidFill>
          </w14:textFill>
        </w:rPr>
        <w:t xml:space="preserve">账号：10247401040011531</w:t>
      </w:r>
      <w:r/>
    </w:p>
    <w:p>
      <w:pPr>
        <w:pStyle w:val="696"/>
        <w:ind w:left="68" w:firstLine="561"/>
        <w:spacing w:line="288"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6"/>
        <w:numPr>
          <w:ilvl w:val="0"/>
          <w:numId w:val="3"/>
        </w:numPr>
        <w:ind w:firstLine="420"/>
        <w:jc w:val="center"/>
        <w:spacing w:line="360" w:lineRule="auto"/>
        <w:widowControl/>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7" w:name="_Toc9429"/>
      <w:r>
        <w:rPr>
          <w:rStyle w:val="924"/>
          <w:rFonts w:hint="eastAsia" w:ascii="宋体" w:hAnsi="宋体" w:eastAsia="宋体" w:cs="宋体"/>
          <w:color w:val="000000" w:themeColor="text1"/>
          <w:highlight w:val="none"/>
          <w14:textFill>
            <w14:solidFill>
              <w14:schemeClr w14:val="tx1"/>
            </w14:solidFill>
          </w14:textFill>
        </w:rPr>
        <w:t xml:space="preserve"> 评标标准</w:t>
      </w:r>
      <w:bookmarkEnd w:id="6"/>
      <w:r/>
      <w:bookmarkEnd w:id="7"/>
      <w:r/>
      <w:r/>
    </w:p>
    <w:tbl>
      <w:tblPr>
        <w:tblStyle w:val="654"/>
        <w:tblpPr w:horzAnchor="page" w:tblpX="1305" w:vertAnchor="text" w:tblpY="237" w:leftFromText="180" w:topFromText="0" w:rightFromText="180" w:bottomFromText="0"/>
        <w:tblW w:w="96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1283"/>
        <w:gridCol w:w="7344"/>
      </w:tblGrid>
      <w:tr>
        <w:trPr>
          <w:trHeight w:val="377"/>
        </w:trPr>
        <w:tc>
          <w:tcPr>
            <w:gridSpan w:val="2"/>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spacing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7344" w:type="dxa"/>
            <w:vAlign w:val="center"/>
            <w:textDirection w:val="lrTb"/>
            <w:noWrap w:val="false"/>
          </w:tcPr>
          <w:p>
            <w:pPr>
              <w:jc w:val="center"/>
              <w:spacing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评分细则</w:t>
            </w:r>
            <w:r/>
          </w:p>
        </w:tc>
      </w:tr>
      <w:tr>
        <w:trPr>
          <w:trHeight w:val="99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p>
            <w:pPr>
              <w:jc w:val="center"/>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分。其他投标人的价格分按照下列公式计算：</w:t>
            </w:r>
            <w:r/>
          </w:p>
          <w:p>
            <w:pPr>
              <w:jc w:val="both"/>
              <w:spacing w:line="288"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投标报价得分=（评标基准价／各投标人评审价格）×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r>
      <w:tr>
        <w:trPr>
          <w:trHeight w:val="1634"/>
        </w:trPr>
        <w:tc>
          <w:tcPr>
            <w:tcBorders>
              <w:top w:val="single" w:color="000000" w:sz="4" w:space="0"/>
              <w:left w:val="single" w:color="000000" w:sz="4" w:space="0"/>
              <w:right w:val="single" w:color="000000" w:sz="4" w:space="0"/>
            </w:tcBorders>
            <w:tcW w:w="1007" w:type="dxa"/>
            <w:vAlign w:val="center"/>
            <w:vMerge w:val="restart"/>
            <w:textDirection w:val="lrTb"/>
            <w:noWrap w:val="false"/>
          </w:tcPr>
          <w:p>
            <w:pPr>
              <w:jc w:val="center"/>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商务部分（7分）</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w:t>
            </w:r>
            <w:r/>
          </w:p>
          <w:p>
            <w:pPr>
              <w:jc w:val="center"/>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（4分）</w:t>
            </w:r>
            <w:r/>
          </w:p>
        </w:tc>
        <w:tc>
          <w:tcPr>
            <w:tcBorders>
              <w:top w:val="single" w:color="000000" w:sz="4" w:space="0"/>
              <w:left w:val="single" w:color="000000" w:sz="4" w:space="0"/>
              <w:bottom w:val="single" w:color="000000"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自2022年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月1日（以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w:t>
            </w:r>
            <w:r>
              <w:rPr>
                <w:rFonts w:hint="eastAsia" w:ascii="宋体" w:hAnsi="宋体" w:eastAsia="宋体" w:cs="宋体"/>
                <w:color w:val="000000" w:themeColor="text1"/>
                <w:sz w:val="24"/>
                <w:szCs w:val="24"/>
                <w:highlight w:val="none"/>
                <w14:textFill>
                  <w14:solidFill>
                    <w14:schemeClr w14:val="tx1"/>
                  </w14:solidFill>
                </w14:textFill>
              </w:rPr>
              <w:t xml:space="preserve">时间为准）以来承接过类似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的，每提供一份得2分，本项最高得4分。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文件中须提供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合同，合同须能反映项目名称，签订时间和签章清晰可见，否则不得分</w:t>
            </w:r>
            <w:r/>
          </w:p>
        </w:tc>
      </w:tr>
      <w:tr>
        <w:trPr>
          <w:trHeight w:val="2754"/>
        </w:trPr>
        <w:tc>
          <w:tcPr>
            <w:tcBorders>
              <w:left w:val="single" w:color="000000" w:sz="4" w:space="0"/>
              <w:bottom w:val="single" w:color="000000" w:sz="4" w:space="0"/>
              <w:right w:val="single" w:color="000000" w:sz="4" w:space="0"/>
            </w:tcBorders>
            <w:tcW w:w="1007" w:type="dxa"/>
            <w:vAlign w:val="center"/>
            <w:vMerge w:val="continue"/>
            <w:textDirection w:val="lrTb"/>
            <w:noWrap w:val="false"/>
          </w:tcPr>
          <w:p>
            <w:pPr>
              <w:jc w:val="center"/>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资信评价（3分）</w:t>
            </w:r>
            <w:r/>
          </w:p>
        </w:tc>
        <w:tc>
          <w:tcPr>
            <w:tcBorders>
              <w:top w:val="single" w:color="000000" w:sz="4" w:space="0"/>
              <w:left w:val="single" w:color="000000" w:sz="4" w:space="0"/>
              <w:bottom w:val="single" w:color="000000"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具有有效期内的质量管理体系认证证书、职业健康安全管理体系认证证书、环境管理体系认证证书的，每提供一项认证得1分，本项最高得3分。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文件中须放入证书原件扫描件及国家市场监督管理总局全国认证认可信息公共服务平台(网址: http://cx.cnca.cn/CertECloud/result/skipResultList)查询证书状态为有效的截图证明材料，不提供的不得分。</w:t>
            </w:r>
            <w:r/>
          </w:p>
        </w:tc>
      </w:tr>
      <w:tr>
        <w:trPr>
          <w:trHeight w:val="90"/>
        </w:trPr>
        <w:tc>
          <w:tcPr>
            <w:tcBorders>
              <w:top w:val="single" w:color="000000" w:sz="4" w:space="0"/>
              <w:left w:val="single" w:color="000000" w:sz="4" w:space="0"/>
              <w:right w:val="single" w:color="000000" w:sz="4" w:space="0"/>
            </w:tcBorders>
            <w:tcW w:w="1007" w:type="dxa"/>
            <w:vAlign w:val="center"/>
            <w:vMerge w:val="restart"/>
            <w:textDirection w:val="lrTb"/>
            <w:noWrap w:val="false"/>
          </w:tcPr>
          <w:p>
            <w:pPr>
              <w:jc w:val="lef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技术部分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center"/>
              <w:spacing w:line="40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总体认识</w:t>
            </w:r>
            <w:r/>
          </w:p>
          <w:p>
            <w:pPr>
              <w:ind w:right="-160"/>
              <w:jc w:val="left"/>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提供的项目总体认识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包括项目特点、检测目标、具体检测项目等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进行综合评分；</w:t>
            </w:r>
            <w:r/>
          </w:p>
          <w:p>
            <w:pPr>
              <w:jc w:val="both"/>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全面性(5分)：全面具体详实得5分；较全面得3分；基本具备的得2分，不全面得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jc w:val="both"/>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针对性(4分)：针对性强得4分；针对性较强得3分，针对性欠缺的得1分。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未提供的不得分。最高得13分，最低得0分。</w:t>
            </w:r>
            <w:r/>
          </w:p>
        </w:tc>
      </w:tr>
      <w:tr>
        <w:trPr>
          <w:trHeight w:val="902"/>
        </w:trPr>
        <w:tc>
          <w:tcPr>
            <w:tcBorders>
              <w:left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ind w:right="-160"/>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实施方案</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实施方案</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检测方法</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检测数量、检测比例、检测流程</w:t>
            </w:r>
            <w:r>
              <w:rPr>
                <w:rFonts w:hint="eastAsia" w:ascii="宋体" w:hAnsi="宋体" w:eastAsia="宋体" w:cs="宋体"/>
                <w:color w:val="000000" w:themeColor="text1"/>
                <w:sz w:val="24"/>
                <w:szCs w:val="24"/>
                <w:highlight w:val="none"/>
                <w14:textFill>
                  <w14:solidFill>
                    <w14:schemeClr w14:val="tx1"/>
                  </w14:solidFill>
                </w14:textFill>
              </w:rPr>
              <w:t xml:space="preserve">等）进行综合评分；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全面性(5分)：全面具体详实得5分；较全面得3分；基本具备的得2分，不全面得1分。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针对性(5分)：针对性强得5分；针对性较强得3分，针对性欠缺的得1分。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未提供的不得分。最高得14分，最低得0分。</w:t>
            </w:r>
            <w:r/>
          </w:p>
        </w:tc>
      </w:tr>
      <w:tr>
        <w:trPr>
          <w:trHeight w:val="737"/>
        </w:trPr>
        <w:tc>
          <w:tcPr>
            <w:tcBorders>
              <w:left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left"/>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质量与进度保障方案</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质量与进度保障</w:t>
            </w:r>
            <w:r>
              <w:rPr>
                <w:rFonts w:hint="eastAsia" w:ascii="宋体" w:hAnsi="宋体" w:eastAsia="宋体" w:cs="宋体"/>
                <w:color w:val="000000" w:themeColor="text1"/>
                <w:sz w:val="24"/>
                <w:szCs w:val="24"/>
                <w:highlight w:val="none"/>
                <w14:textFill>
                  <w14:solidFill>
                    <w14:schemeClr w14:val="tx1"/>
                  </w14:solidFill>
                </w14:textFill>
              </w:rPr>
              <w:t xml:space="preserve">方案（包括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工期目标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检测进度节点安排、质量保障措施、检测成果提交等</w:t>
            </w:r>
            <w:r>
              <w:rPr>
                <w:rFonts w:hint="eastAsia" w:ascii="宋体" w:hAnsi="宋体" w:eastAsia="宋体" w:cs="宋体"/>
                <w:color w:val="000000" w:themeColor="text1"/>
                <w:sz w:val="24"/>
                <w:szCs w:val="24"/>
                <w:highlight w:val="none"/>
                <w14:textFill>
                  <w14:solidFill>
                    <w14:schemeClr w14:val="tx1"/>
                  </w14:solidFill>
                </w14:textFill>
              </w:rPr>
              <w:t xml:space="preserve">）进行综合评分；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全面性(5分)：全面具体详实得5分；较全面得3分；基本具备的得2分，不全面得1分。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针对性(4分)：针对性强得4分；针对性较强得3分，针对性欠缺的得1分。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未提供的不得分。最高得13分，最低得0分。</w:t>
            </w:r>
            <w:r/>
          </w:p>
        </w:tc>
      </w:tr>
      <w:tr>
        <w:trPr>
          <w:trHeight w:val="737"/>
        </w:trPr>
        <w:tc>
          <w:tcPr>
            <w:tcBorders>
              <w:left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left"/>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人员组织方案（1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提供的人员组织方案（包括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组织机构设置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具体人员配备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岗位职责、管理制度</w:t>
            </w:r>
            <w:r>
              <w:rPr>
                <w:rFonts w:hint="eastAsia" w:ascii="宋体" w:hAnsi="宋体" w:eastAsia="宋体" w:cs="宋体"/>
                <w:color w:val="000000" w:themeColor="text1"/>
                <w:sz w:val="24"/>
                <w:szCs w:val="24"/>
                <w:highlight w:val="none"/>
                <w14:textFill>
                  <w14:solidFill>
                    <w14:schemeClr w14:val="tx1"/>
                  </w14:solidFill>
                </w14:textFill>
              </w:rPr>
              <w:t xml:space="preserve">等）进行综合评分；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全面性(5分)：全面具体详实得5分；较全面得3分；基本具备的得2分，不全面得1分。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针对性(4分)：针对性强得4分；针对性较强得3分，针对性欠缺的得1分。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未提供的不得分。最高得13分，最低得0分。</w:t>
            </w:r>
            <w:r/>
          </w:p>
        </w:tc>
      </w:tr>
      <w:tr>
        <w:trPr>
          <w:trHeight w:val="737"/>
        </w:trPr>
        <w:tc>
          <w:tcPr>
            <w:tcBorders>
              <w:left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left"/>
              <w:spacing w:line="288"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设备配备方案（1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设备配备</w:t>
            </w:r>
            <w:r>
              <w:rPr>
                <w:rFonts w:hint="eastAsia" w:ascii="宋体" w:hAnsi="宋体" w:eastAsia="宋体" w:cs="宋体"/>
                <w:color w:val="000000" w:themeColor="text1"/>
                <w:sz w:val="24"/>
                <w:szCs w:val="24"/>
                <w:highlight w:val="none"/>
                <w14:textFill>
                  <w14:solidFill>
                    <w14:schemeClr w14:val="tx1"/>
                  </w14:solidFill>
                </w14:textFill>
              </w:rPr>
              <w:t xml:space="preserve">方案（包括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提供的</w:t>
            </w:r>
            <w:r>
              <w:rPr>
                <w:rFonts w:hint="eastAsia" w:ascii="宋体" w:hAnsi="宋体" w:eastAsia="宋体" w:cs="宋体"/>
                <w:color w:val="000000" w:themeColor="text1"/>
                <w:sz w:val="24"/>
                <w:szCs w:val="24"/>
                <w:highlight w:val="none"/>
                <w14:textFill>
                  <w14:solidFill>
                    <w14:schemeClr w14:val="tx1"/>
                  </w14:solidFill>
                </w14:textFill>
              </w:rPr>
              <w:t xml:space="preserve">检测设备</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类型、数量</w:t>
            </w:r>
            <w:r>
              <w:rPr>
                <w:rFonts w:hint="eastAsia" w:ascii="宋体" w:hAnsi="宋体" w:eastAsia="宋体" w:cs="宋体"/>
                <w:color w:val="000000" w:themeColor="text1"/>
                <w:sz w:val="24"/>
                <w:szCs w:val="24"/>
                <w:highlight w:val="none"/>
                <w14:textFill>
                  <w14:solidFill>
                    <w14:schemeClr w14:val="tx1"/>
                  </w14:solidFill>
                </w14:textFill>
              </w:rPr>
              <w:t xml:space="preserve">等）进行综合评分；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全面性(5分)：全面具体详实得5分；较全面得3分；基本具备的得2分，不全面得1分。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针对性(4分)：针对性强得4分；针对性较强得3分，针对性欠缺的得1分。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未提供的不得分。最高得13分，最低得0分。</w:t>
            </w:r>
            <w:r/>
          </w:p>
        </w:tc>
      </w:tr>
      <w:tr>
        <w:trPr>
          <w:trHeight w:val="3516"/>
        </w:trPr>
        <w:tc>
          <w:tcPr>
            <w:tcBorders>
              <w:left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left"/>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保障</w:t>
            </w:r>
            <w:r>
              <w:rPr>
                <w:rFonts w:hint="eastAsia" w:ascii="宋体" w:hAnsi="宋体" w:eastAsia="宋体" w:cs="宋体"/>
                <w:color w:val="000000" w:themeColor="text1"/>
                <w:sz w:val="24"/>
                <w:szCs w:val="24"/>
                <w:highlight w:val="none"/>
                <w14:textFill>
                  <w14:solidFill>
                    <w14:schemeClr w14:val="tx1"/>
                  </w14:solidFill>
                </w14:textFill>
              </w:rPr>
              <w:t xml:space="preserve">与环保措施（1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提供的安全保障与环保措施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人员安全管理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现场安全保障、应急预案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环保措施</w:t>
            </w:r>
            <w:r>
              <w:rPr>
                <w:rFonts w:hint="eastAsia" w:ascii="宋体" w:hAnsi="宋体" w:eastAsia="宋体" w:cs="宋体"/>
                <w:color w:val="000000" w:themeColor="text1"/>
                <w:sz w:val="24"/>
                <w:szCs w:val="24"/>
                <w:highlight w:val="none"/>
                <w14:textFill>
                  <w14:solidFill>
                    <w14:schemeClr w14:val="tx1"/>
                  </w14:solidFill>
                </w14:textFill>
              </w:rPr>
              <w:t xml:space="preserve">等）进行综合评分；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全面性(5分)：全面具体详实得5分；较全面得3分；基本具备的得2分，不全面得1分。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针对性(4分)：针对性强得4分；针对性较强得3分，针对性欠缺的得1分。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可行性（4分)：符合实际切实可行得4分；较切实可行得3分；可行性欠缺得1分；</w:t>
            </w:r>
            <w:r/>
          </w:p>
          <w:p>
            <w:pPr>
              <w:jc w:val="both"/>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未提供的不得分。最高得13分，最低得0分。</w:t>
            </w:r>
            <w:r/>
          </w:p>
        </w:tc>
      </w:tr>
      <w:tr>
        <w:trPr>
          <w:trHeight w:val="737"/>
        </w:trPr>
        <w:tc>
          <w:tcPr>
            <w:tcBorders>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1283" w:type="dxa"/>
            <w:vAlign w:val="center"/>
            <w:textDirection w:val="lrTb"/>
            <w:noWrap w:val="false"/>
          </w:tcPr>
          <w:p>
            <w:pPr>
              <w:jc w:val="left"/>
              <w:spacing w:line="288"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人员配备（4分）</w:t>
            </w:r>
            <w:r/>
          </w:p>
        </w:tc>
        <w:tc>
          <w:tcPr>
            <w:tcBorders>
              <w:top w:val="single" w:color="auto" w:sz="4" w:space="0"/>
              <w:left w:val="single" w:color="000000" w:sz="4" w:space="0"/>
              <w:bottom w:val="single" w:color="auto" w:sz="4" w:space="0"/>
              <w:right w:val="single" w:color="000000" w:sz="4" w:space="0"/>
            </w:tcBorders>
            <w:tcW w:w="7344" w:type="dxa"/>
            <w:vAlign w:val="center"/>
            <w:textDirection w:val="lrTb"/>
            <w:noWrap w:val="false"/>
          </w:tcPr>
          <w:p>
            <w:pPr>
              <w:jc w:val="both"/>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项目负责人具备工程类专业高级及以上职称的得4分；具有工程类专业中级职称的得2分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本项最高得4分。</w:t>
            </w:r>
            <w:r/>
          </w:p>
          <w:p>
            <w:pPr>
              <w:jc w:val="both"/>
              <w:spacing w:line="288"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注：响应文件中须提供人员证书扫描件方为有效，不提供的不得分。</w:t>
            </w:r>
            <w:r/>
          </w:p>
        </w:tc>
      </w:tr>
    </w:tbl>
    <w:p>
      <w:pPr>
        <w:pStyle w:val="696"/>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本章说明：本项目采用综合评分法。</w:t>
      </w:r>
      <w:bookmarkStart w:id="8" w:name="_Toc522790134"/>
      <w:r>
        <w:rPr>
          <w:rFonts w:hint="eastAsia" w:ascii="宋体" w:hAnsi="宋体" w:cs="宋体"/>
          <w:color w:val="000000" w:themeColor="text1"/>
          <w:highlight w:val="none"/>
          <w14:textFill>
            <w14:solidFill>
              <w14:schemeClr w14:val="tx1"/>
            </w14:solidFill>
          </w14:textFill>
        </w:rPr>
        <w:br w:type="page" w:clear="all"/>
      </w:r>
      <w:bookmarkStart w:id="9" w:name="_Toc14780"/>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sz w:val="36"/>
          <w:szCs w:val="44"/>
          <w:highlight w:val="none"/>
          <w14:textFill>
            <w14:solidFill>
              <w14:schemeClr w14:val="tx1"/>
            </w14:solidFill>
          </w14:textFill>
        </w:rPr>
        <w:t xml:space="preserve">第五章  拟签订的合同文本</w:t>
      </w:r>
      <w:bookmarkEnd w:id="8"/>
      <w:r/>
      <w:bookmarkEnd w:id="9"/>
      <w:r/>
      <w:bookmarkStart w:id="10" w:name="_Toc12097"/>
      <w:r/>
      <w:bookmarkStart w:id="11" w:name="_Toc522790135"/>
      <w:r/>
      <w:r/>
    </w:p>
    <w:p>
      <w:pPr>
        <w:ind w:firstLine="470"/>
        <w:spacing w:line="400" w:lineRule="atLeast"/>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政</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府</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采</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购</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合</w:t>
      </w:r>
      <w:r/>
    </w:p>
    <w:p>
      <w:pPr>
        <w:jc w:val="center"/>
        <w:widowControl w:val="off"/>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pPr>
      <w:r>
        <w:rPr>
          <w:rFonts w:ascii="宋体" w:hAnsi="宋体" w:eastAsia="宋体" w:cs="Times New Roman"/>
          <w:b/>
          <w:bCs/>
          <w:color w:val="000000" w:themeColor="text1"/>
          <w:sz w:val="72"/>
          <w:szCs w:val="72"/>
          <w:highlight w:val="none"/>
          <w:lang w:val="en-US" w:eastAsia="zh-CN" w:bidi="ar-SA"/>
          <w14:textFill>
            <w14:solidFill>
              <w14:schemeClr w14:val="tx1"/>
            </w14:solidFill>
          </w14:textFill>
        </w:rPr>
        <w:t xml:space="preserve">同</w:t>
      </w:r>
      <w:r/>
    </w:p>
    <w:p>
      <w:pPr>
        <w:jc w:val="both"/>
        <w:keepLines/>
        <w:keepNext/>
        <w:spacing w:before="280" w:after="290" w:line="376" w:lineRule="auto"/>
        <w:widowControl w:val="off"/>
        <w:rPr>
          <w:rFonts w:ascii="Calibri Light" w:hAnsi="Calibri Light" w:eastAsia="宋体" w:cs="Times New Roman"/>
          <w:b/>
          <w:bCs/>
          <w:color w:val="000000" w:themeColor="text1"/>
          <w:sz w:val="28"/>
          <w:szCs w:val="28"/>
          <w:highlight w:val="none"/>
          <w:lang w:val="en-US" w:eastAsia="zh-CN" w:bidi="ar-SA"/>
          <w14:textFill>
            <w14:solidFill>
              <w14:schemeClr w14:val="tx1"/>
            </w14:solidFill>
          </w14:textFill>
        </w:rPr>
        <w:outlineLvl w:val="3"/>
      </w:pPr>
      <w:r>
        <w:rPr>
          <w:rFonts w:ascii="Calibri Light" w:hAnsi="Calibri Light" w:eastAsia="宋体" w:cs="Times New Roman"/>
          <w:b/>
          <w:bCs/>
          <w:color w:val="000000" w:themeColor="text1"/>
          <w:sz w:val="28"/>
          <w:szCs w:val="28"/>
          <w:highlight w:val="none"/>
          <w:lang w:val="en-US" w:eastAsia="zh-CN" w:bidi="ar-SA"/>
          <w14:textFill>
            <w14:solidFill>
              <w14:schemeClr w14:val="tx1"/>
            </w14:solidFill>
          </w14:textFill>
        </w:rPr>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项目编号：</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采购人：</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项目名称：</w:t>
      </w:r>
      <w:r/>
    </w:p>
    <w:p>
      <w:pPr>
        <w:ind w:firstLine="560"/>
        <w:jc w:val="left"/>
        <w:spacing w:line="360" w:lineRule="auto"/>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中标</w:t>
      </w:r>
      <w:r>
        <w:rPr>
          <w:rFonts w:hint="eastAsia" w:ascii="宋体" w:hAnsi="宋体" w:eastAsia="宋体" w:cs="Times New Roman"/>
          <w:color w:val="000000" w:themeColor="text1"/>
          <w:sz w:val="28"/>
          <w:szCs w:val="28"/>
          <w:highlight w:val="none"/>
          <w:lang w:val="en-US" w:eastAsia="zh-CN" w:bidi="ar-SA"/>
          <w14:textFill>
            <w14:solidFill>
              <w14:schemeClr w14:val="tx1"/>
            </w14:solidFill>
          </w14:textFill>
        </w:rPr>
        <w:t xml:space="preserve">人</w:t>
      </w: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w:t>
      </w:r>
      <w:r/>
    </w:p>
    <w:p>
      <w:pPr>
        <w:ind w:firstLine="560"/>
        <w:jc w:val="both"/>
        <w:widowControl w:val="off"/>
        <w:rPr>
          <w:rFonts w:ascii="宋体" w:hAnsi="宋体" w:eastAsia="宋体" w:cs="Times New Roman"/>
          <w:color w:val="000000" w:themeColor="text1"/>
          <w:sz w:val="28"/>
          <w:szCs w:val="28"/>
          <w:highlight w:val="none"/>
          <w:lang w:val="en-US" w:eastAsia="zh-CN" w:bidi="ar-SA"/>
          <w14:textFill>
            <w14:solidFill>
              <w14:schemeClr w14:val="tx1"/>
            </w14:solidFill>
          </w14:textFill>
        </w:rPr>
      </w:pPr>
      <w:r>
        <w:rPr>
          <w:rFonts w:ascii="宋体" w:hAnsi="宋体" w:eastAsia="宋体" w:cs="Times New Roman"/>
          <w:color w:val="000000" w:themeColor="text1"/>
          <w:sz w:val="28"/>
          <w:szCs w:val="28"/>
          <w:highlight w:val="none"/>
          <w:lang w:val="en-US" w:eastAsia="zh-CN" w:bidi="ar-SA"/>
          <w14:textFill>
            <w14:solidFill>
              <w14:schemeClr w14:val="tx1"/>
            </w14:solidFill>
          </w14:textFill>
        </w:rPr>
        <w:t xml:space="preserve">签订日期：    年   月   日</w:t>
      </w:r>
      <w:r/>
    </w:p>
    <w:p>
      <w:pPr>
        <w:ind w:firstLine="480"/>
        <w:jc w:val="left"/>
        <w:spacing w:line="360" w:lineRule="auto"/>
        <w:widowControl w:val="off"/>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Times New Roman"/>
          <w:color w:val="000000" w:themeColor="text1"/>
          <w:sz w:val="24"/>
          <w:szCs w:val="24"/>
          <w:highlight w:val="none"/>
          <w:lang w:val="en-US" w:eastAsia="zh-CN" w:bidi="ar-SA"/>
          <w14:textFill>
            <w14:solidFill>
              <w14:schemeClr w14:val="tx1"/>
            </w14:solidFill>
          </w14:textFill>
        </w:rPr>
      </w:r>
      <w:r/>
    </w:p>
    <w:p>
      <w:pPr>
        <w:ind w:firstLine="480"/>
        <w:jc w:val="both"/>
        <w:spacing w:line="360" w:lineRule="auto"/>
        <w:widowControl w:val="off"/>
        <w:rPr>
          <w:rFonts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友情提醒：采购人与中标、成交</w:t>
      </w: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投标人</w:t>
      </w: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应当在中标、成交通知书发出之日起</w:t>
      </w:r>
      <w:r>
        <w:rPr>
          <w:rFonts w:hint="eastAsia"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30</w:t>
      </w:r>
      <w:r>
        <w:rPr>
          <w:rFonts w:asciiTheme="minorEastAsia" w:hAnsiTheme="minorEastAsia" w:eastAsiaTheme="minorEastAsia" w:cstheme="minorEastAsia"/>
          <w:bCs/>
          <w:color w:val="000000" w:themeColor="text1"/>
          <w:sz w:val="24"/>
          <w:szCs w:val="24"/>
          <w:highlight w:val="none"/>
          <w:lang w:val="en-US" w:eastAsia="zh-CN" w:bidi="ar-SA"/>
          <w14:textFill>
            <w14:solidFill>
              <w14:schemeClr w14:val="tx1"/>
            </w14:solidFill>
          </w14:textFill>
        </w:rPr>
        <w:t xml:space="preserve">日内，按照采购文件确定的事项签订政府采购合同。</w:t>
      </w:r>
      <w:r/>
    </w:p>
    <w:p>
      <w:pPr>
        <w:pStyle w:val="655"/>
        <w:spacing w:line="360" w:lineRule="auto"/>
        <w:rPr>
          <w:rFonts w:hint="default" w:asciiTheme="minorEastAsia" w:hAnsiTheme="minorEastAsia" w:eastAsiaTheme="minorEastAsia" w:cstheme="minorEastAsia"/>
          <w:bCs/>
          <w:color w:val="000000" w:themeColor="text1"/>
          <w:highlight w:val="none"/>
          <w14:textFill>
            <w14:solidFill>
              <w14:schemeClr w14:val="tx1"/>
            </w14:solidFill>
          </w14:textFill>
        </w:rPr>
      </w:pPr>
      <w:r>
        <w:rPr>
          <w:rFonts w:hint="default" w:asciiTheme="minorEastAsia" w:hAnsiTheme="minorEastAsia" w:eastAsiaTheme="minorEastAsia" w:cstheme="minorEastAsia"/>
          <w:bCs/>
          <w:color w:val="000000" w:themeColor="text1"/>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70"/>
        <w:spacing w:line="420" w:lineRule="exact"/>
        <w:widowControl w:val="off"/>
        <w:rPr>
          <w:rFonts w:hint="eastAsia"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w:t>
      </w:r>
      <w:r/>
    </w:p>
    <w:p>
      <w:pPr>
        <w:rPr>
          <w:rFonts w:hint="default" w:ascii="宋体" w:hAnsi="宋体"/>
          <w:b/>
          <w:color w:val="000000" w:themeColor="text1"/>
          <w:sz w:val="30"/>
          <w:highlight w:val="none"/>
          <w14:textFill>
            <w14:solidFill>
              <w14:schemeClr w14:val="tx1"/>
            </w14:solidFill>
          </w14:textFill>
        </w:rPr>
      </w:pPr>
      <w:r>
        <w:rPr>
          <w:rFonts w:hint="default" w:ascii="宋体" w:hAnsi="宋体"/>
          <w:b/>
          <w:color w:val="000000" w:themeColor="text1"/>
          <w:sz w:val="30"/>
          <w:highlight w:val="none"/>
          <w14:textFill>
            <w14:solidFill>
              <w14:schemeClr w14:val="tx1"/>
            </w14:solidFill>
          </w14:textFill>
        </w:rPr>
        <w:br w:type="page" w:clear="all"/>
      </w:r>
      <w:r/>
    </w:p>
    <w:p>
      <w:pPr>
        <w:pStyle w:val="697"/>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委托方(以下简称甲方)：</w:t>
      </w:r>
      <w:r/>
    </w:p>
    <w:p>
      <w:pPr>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受托方(以下简称乙方)：</w:t>
      </w:r>
      <w:r/>
    </w:p>
    <w:p>
      <w:pPr>
        <w:ind w:firstLine="473"/>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经甲、乙双方友好协商，甲方的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委托乙方进行基桩工程质量检测，特订立本合同。</w:t>
      </w:r>
      <w:r/>
    </w:p>
    <w:p>
      <w:pPr>
        <w:ind w:firstLine="482"/>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一、项目内容：</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通过承载力和完整性检测、孔内成像检测接桩质量、钻芯法检测预制桩桩身混凝土强度和预制桩钢筋配置检测等方式对桩基工程施工质量</w:t>
      </w:r>
      <w:r>
        <w:rPr>
          <w:rFonts w:hint="eastAsia" w:ascii="仿宋" w:hAnsi="仿宋" w:eastAsia="仿宋"/>
          <w:color w:val="000000" w:themeColor="text1"/>
          <w:sz w:val="24"/>
          <w:highlight w:val="yellow"/>
          <w:lang w:val="en-US" w:eastAsia="zh-CN" w:bidi="ar-SA"/>
          <w14:textFill>
            <w14:solidFill>
              <w14:schemeClr w14:val="tx1"/>
            </w14:solidFill>
          </w14:textFill>
        </w:rPr>
        <w:t xml:space="preserve">进行检测、综合评估并出具质量鉴定报告。</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具体内容详见招标文件以及乙方的响应文件。</w:t>
      </w:r>
      <w:r/>
    </w:p>
    <w:p>
      <w:pPr>
        <w:ind w:firstLine="482"/>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二、检测内容：</w:t>
      </w:r>
      <w:r/>
    </w:p>
    <w:tbl>
      <w:tblPr>
        <w:tblStyle w:val="654"/>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3058"/>
        <w:gridCol w:w="2102"/>
        <w:gridCol w:w="2395"/>
      </w:tblGrid>
      <w:tr>
        <w:trPr>
          <w:trHeight w:val="454"/>
          <w:tblHeader/>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检测项目</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检测数量（根）</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极限承载力（kN）</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单桩竖向抗压静载试验</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2700</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单桩竖向抗压静载试验</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3500</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单桩竖向抗拔静载试验</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440</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低应变法检测</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870</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高应变法检测</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222</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2700/3500</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高应变法检测</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440</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孔内成像法检测</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176</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桩顶标高</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870</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截面尺寸</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桩位偏差</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870</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预制桩钢筋配置</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r>
        <w:trPr>
          <w:trHeight w:val="454"/>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3058"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桩身混凝土抗压强度</w:t>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tc>
      </w:tr>
    </w:tbl>
    <w:p>
      <w:pPr>
        <w:ind w:firstLine="482"/>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三、乙方同意在执行国家现行技术规程和省（市）建设行政主管部门有关管理文件的前提下，</w:t>
      </w:r>
      <w:r>
        <w:rPr>
          <w:rFonts w:hint="eastAsia" w:ascii="仿宋" w:hAnsi="仿宋" w:eastAsia="仿宋"/>
          <w:b/>
          <w:color w:val="000000" w:themeColor="text1"/>
          <w:sz w:val="24"/>
          <w:highlight w:val="yellow"/>
          <w:lang w:val="en-US" w:eastAsia="zh-CN" w:bidi="ar-SA"/>
          <w14:textFill>
            <w14:solidFill>
              <w14:schemeClr w14:val="tx1"/>
            </w14:solidFill>
          </w14:textFill>
        </w:rPr>
        <w:t xml:space="preserve">承担以上检测业务并出具桩基础质量鉴定报告，并对所出具的检测报告及桩基础质量鉴定报告承担法律责任。</w:t>
      </w:r>
      <w:r>
        <w:rPr>
          <w:rFonts w:hint="eastAsia" w:ascii="仿宋" w:hAnsi="仿宋" w:eastAsia="仿宋"/>
          <w:b/>
          <w:color w:val="000000" w:themeColor="text1"/>
          <w:sz w:val="24"/>
          <w:highlight w:val="none"/>
          <w:lang w:val="en-US" w:eastAsia="zh-CN" w:bidi="ar-SA"/>
          <w14:textFill>
            <w14:solidFill>
              <w14:schemeClr w14:val="tx1"/>
            </w14:solidFill>
          </w14:textFill>
        </w:rPr>
        <w:t xml:space="preserve">    </w:t>
      </w:r>
      <w:r/>
    </w:p>
    <w:p>
      <w:pPr>
        <w:ind w:firstLine="482"/>
        <w:jc w:val="left"/>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四、甲方职责： </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1、保证测试所需场地。</w:t>
      </w:r>
      <w:r/>
    </w:p>
    <w:p>
      <w:pPr>
        <w:ind w:firstLine="480"/>
        <w:jc w:val="left"/>
        <w:spacing w:line="360" w:lineRule="auto"/>
        <w:rPr>
          <w:rFonts w:hint="eastAsia" w:ascii="仿宋" w:hAnsi="仿宋" w:eastAsia="仿宋"/>
          <w:color w:val="000000" w:themeColor="text1"/>
          <w:sz w:val="24"/>
          <w:highlight w:val="yellow"/>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2、填写现场检测委托协议书，</w:t>
      </w:r>
      <w:r>
        <w:rPr>
          <w:rFonts w:hint="eastAsia" w:ascii="仿宋" w:hAnsi="仿宋" w:eastAsia="仿宋"/>
          <w:color w:val="000000" w:themeColor="text1"/>
          <w:sz w:val="24"/>
          <w:highlight w:val="yellow"/>
          <w:lang w:val="en-US" w:eastAsia="zh-CN" w:bidi="ar-SA"/>
          <w14:textFill>
            <w14:solidFill>
              <w14:schemeClr w14:val="tx1"/>
            </w14:solidFill>
          </w14:textFill>
        </w:rPr>
        <w:t xml:space="preserve">检测时提供桩基图纸。</w:t>
      </w:r>
      <w:r/>
    </w:p>
    <w:p>
      <w:pPr>
        <w:ind w:firstLine="482"/>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五、乙方职责： </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1、负责测试设备的运输、安装及相应责任。</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2、承担因测试方案不当造成技术事故的责任。</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3、遵守甲方防火、安全等规章制度。</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4、提供完整有效的中文版</w:t>
      </w:r>
      <w:r>
        <w:rPr>
          <w:rFonts w:hint="eastAsia" w:ascii="仿宋" w:hAnsi="仿宋" w:eastAsia="仿宋"/>
          <w:color w:val="000000" w:themeColor="text1"/>
          <w:sz w:val="24"/>
          <w:highlight w:val="yellow"/>
          <w:lang w:val="en-US" w:eastAsia="zh-CN" w:bidi="ar-SA"/>
          <w14:textFill>
            <w14:solidFill>
              <w14:schemeClr w14:val="tx1"/>
            </w14:solidFill>
          </w14:textFill>
        </w:rPr>
        <w:t xml:space="preserve">《桩基础检测报告》</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及</w:t>
      </w:r>
      <w:r>
        <w:rPr>
          <w:rFonts w:hint="eastAsia" w:ascii="仿宋" w:hAnsi="仿宋" w:eastAsia="仿宋"/>
          <w:color w:val="000000" w:themeColor="text1"/>
          <w:sz w:val="24"/>
          <w:highlight w:val="yellow"/>
          <w:lang w:val="en-US" w:eastAsia="zh-CN" w:bidi="ar-SA"/>
          <w14:textFill>
            <w14:solidFill>
              <w14:schemeClr w14:val="tx1"/>
            </w14:solidFill>
          </w14:textFill>
        </w:rPr>
        <w:t xml:space="preserve">《桩基础质量鉴定报告》</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，一式</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份。 </w:t>
      </w:r>
      <w:r/>
    </w:p>
    <w:p>
      <w:pPr>
        <w:ind w:firstLine="482"/>
        <w:jc w:val="left"/>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六、工期：</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1、自全部试桩满足试验条件之日起至提交测试报告，现场检测的日历工期为</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天，全部现场测试完毕</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日内提交正式测试报告，</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日内提交正式</w:t>
      </w:r>
      <w:r>
        <w:rPr>
          <w:rFonts w:hint="eastAsia" w:ascii="仿宋" w:hAnsi="仿宋" w:eastAsia="仿宋"/>
          <w:color w:val="000000" w:themeColor="text1"/>
          <w:sz w:val="24"/>
          <w:highlight w:val="yellow"/>
          <w:lang w:val="en-US" w:eastAsia="zh-CN" w:bidi="ar-SA"/>
          <w14:textFill>
            <w14:solidFill>
              <w14:schemeClr w14:val="tx1"/>
            </w14:solidFill>
          </w14:textFill>
        </w:rPr>
        <w:t xml:space="preserve">质量鉴定报告</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2、出现因天气、不可抗力或环保等外因而影响进场时间或正常测试的情况，双方应及时协商，工期可顺延。</w:t>
      </w:r>
      <w:r/>
    </w:p>
    <w:p>
      <w:pPr>
        <w:ind w:firstLine="482"/>
        <w:jc w:val="left"/>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七、合同付款：</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本合同总金额为人民币大写金额</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元（小写金额：  元</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p>
    <w:p>
      <w:pPr>
        <w:ind w:firstLine="480"/>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本合同选择以下第</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种付款方式：</w:t>
      </w:r>
      <w:r/>
    </w:p>
    <w:p>
      <w:pPr>
        <w:ind w:firstLine="482"/>
        <w:jc w:val="left"/>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（一）付款方式（提交预付款保函的）</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百分之四十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40</w:t>
      </w:r>
      <w:bookmarkStart w:id="15" w:name="_GoBack"/>
      <w:r/>
      <w:bookmarkEnd w:id="15"/>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元整，在双方签订合同，乙方向甲方出具等额预付款保函后15日内，甲方办理政府采购资金结算手续支付给乙方。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百分之五十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50%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元整，乙方提交完整、合格、有效的CMA检测报告</w:t>
      </w:r>
      <w:r>
        <w:rPr>
          <w:rFonts w:hint="eastAsia" w:ascii="仿宋" w:hAnsi="仿宋" w:eastAsia="仿宋"/>
          <w:color w:val="000000" w:themeColor="text1"/>
          <w:sz w:val="24"/>
          <w:highlight w:val="yellow"/>
          <w:lang w:val="en-US" w:eastAsia="zh-CN" w:bidi="ar-SA"/>
          <w14:textFill>
            <w14:solidFill>
              <w14:schemeClr w14:val="tx1"/>
            </w14:solidFill>
          </w14:textFill>
        </w:rPr>
        <w:t xml:space="preserve">及质量鉴定报告</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后10日内，甲方办理政府采购资金结算手续支付给乙方。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10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元整，在项目竣工验收后10日内，甲方办理政府采购资金结算手续支付给乙方。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乙方需提交的支付文件包括：</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乙方出具的等额增值税发票；</w:t>
      </w:r>
      <w:r/>
    </w:p>
    <w:p>
      <w:pPr>
        <w:ind w:firstLine="482"/>
        <w:jc w:val="left"/>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（二）付款方式（不提交预付款保函的）</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百分之三十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30%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元整，在双方签订合同后15日内，甲方办理政府采购资金结算手续支付给乙方。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百分之六十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60%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元整，乙方提交完整、合格、有效的CMA检测报告</w:t>
      </w:r>
      <w:r>
        <w:rPr>
          <w:rFonts w:hint="eastAsia" w:ascii="仿宋" w:hAnsi="仿宋" w:eastAsia="仿宋"/>
          <w:color w:val="000000" w:themeColor="text1"/>
          <w:sz w:val="24"/>
          <w:highlight w:val="yellow"/>
          <w:lang w:val="en-US" w:eastAsia="zh-CN" w:bidi="ar-SA"/>
          <w14:textFill>
            <w14:solidFill>
              <w14:schemeClr w14:val="tx1"/>
            </w14:solidFill>
          </w14:textFill>
        </w:rPr>
        <w:t xml:space="preserve">及质量鉴定报告</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后10日内，甲方办理政府采购资金结算手续支付给乙方。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合同总价的</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百分之十</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10</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%)即￥</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，大写：人民币</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元整，在项目竣工验收后10日内，甲方办理政府采购资金结算手续支付给乙方。</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乙方需提交的支付文件包括：</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乙方出具的等额增值税发票；</w:t>
      </w:r>
      <w:r/>
    </w:p>
    <w:p>
      <w:pPr>
        <w:ind w:firstLine="480"/>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注：合同最终结算金额以实际完成的检测项目工程量乘以乙方中标时的单价进行结算。</w:t>
      </w:r>
      <w:r/>
    </w:p>
    <w:p>
      <w:pPr>
        <w:ind w:firstLine="482"/>
        <w:jc w:val="left"/>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八、验收</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1.验收主体：由甲方（铜山区棠张镇人民政府）组织，建设、施工、监理单位参与组成验收小组，必要时可邀请有关质量监督部门参与验收。</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2.验收时间：乙方提交完整、合格、有效的CMA检测</w:t>
      </w:r>
      <w:r>
        <w:rPr>
          <w:rFonts w:hint="eastAsia" w:ascii="仿宋" w:hAnsi="仿宋" w:eastAsia="仿宋"/>
          <w:color w:val="000000" w:themeColor="text1"/>
          <w:sz w:val="24"/>
          <w:highlight w:val="yellow"/>
          <w:lang w:val="en-US" w:eastAsia="zh-CN" w:bidi="ar-SA"/>
          <w14:textFill>
            <w14:solidFill>
              <w14:schemeClr w14:val="tx1"/>
            </w14:solidFill>
          </w14:textFill>
        </w:rPr>
        <w:t xml:space="preserve">及质量鉴定报告</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后7日内组织验收。</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3.验收标准：依据《建设工程质量管理条例》、《建筑基桩检测技术规范》、《建筑桩基技术规范》等国家规范性文件。</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4.验收内容：桩身完整性检测报告、单桩承载力检测报告以及其他专项检测报告、</w:t>
      </w:r>
      <w:r>
        <w:rPr>
          <w:rFonts w:hint="eastAsia" w:ascii="仿宋" w:hAnsi="仿宋" w:eastAsia="仿宋"/>
          <w:color w:val="000000" w:themeColor="text1"/>
          <w:sz w:val="24"/>
          <w:highlight w:val="yellow"/>
          <w:lang w:val="en-US" w:eastAsia="zh-CN" w:bidi="ar-SA"/>
          <w14:textFill>
            <w14:solidFill>
              <w14:schemeClr w14:val="tx1"/>
            </w14:solidFill>
          </w14:textFill>
        </w:rPr>
        <w:t xml:space="preserve">质量鉴定报告</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是否符合规范要求。</w:t>
      </w:r>
      <w:r/>
    </w:p>
    <w:p>
      <w:pPr>
        <w:ind w:firstLine="482"/>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九、处理争议：</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履行本合同如发生争议，应通过友好协商解决；如协商解决不成，任何一方均可向</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工程项目所在地</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人民法院提起诉讼。</w:t>
      </w:r>
      <w:r/>
    </w:p>
    <w:p>
      <w:pPr>
        <w:ind w:firstLine="482"/>
        <w:spacing w:line="360" w:lineRule="auto"/>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十、违约责任：</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由违约方承担相应责任，并按《中华人民共和国民法典》有关规定执行。</w:t>
      </w:r>
      <w:r/>
    </w:p>
    <w:p>
      <w:pPr>
        <w:ind w:firstLine="482"/>
        <w:spacing w:line="360" w:lineRule="auto"/>
        <w:tabs>
          <w:tab w:val="left" w:pos="360" w:leader="none"/>
        </w:tabs>
        <w:rPr>
          <w:rFonts w:hint="eastAsia" w:ascii="仿宋" w:hAnsi="仿宋" w:eastAsia="仿宋"/>
          <w:b/>
          <w:color w:val="000000" w:themeColor="text1"/>
          <w:sz w:val="24"/>
          <w:highlight w:val="none"/>
          <w:lang w:val="en-US" w:eastAsia="zh-CN" w:bidi="ar-SA"/>
          <w14:textFill>
            <w14:solidFill>
              <w14:schemeClr w14:val="tx1"/>
            </w14:solidFill>
          </w14:textFill>
        </w:rPr>
      </w:pPr>
      <w:r>
        <w:rPr>
          <w:rFonts w:hint="eastAsia" w:ascii="仿宋" w:hAnsi="仿宋" w:eastAsia="仿宋"/>
          <w:b/>
          <w:color w:val="000000" w:themeColor="text1"/>
          <w:sz w:val="24"/>
          <w:highlight w:val="none"/>
          <w:lang w:val="en-US" w:eastAsia="zh-CN" w:bidi="ar-SA"/>
          <w14:textFill>
            <w14:solidFill>
              <w14:schemeClr w14:val="tx1"/>
            </w14:solidFill>
          </w14:textFill>
        </w:rPr>
        <w:t xml:space="preserve">十、附则</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1、合同份数：本合同一式</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份，甲、乙双方各执</w:t>
      </w:r>
      <w:r>
        <w:rPr>
          <w:rFonts w:hint="eastAsia" w:ascii="仿宋" w:hAnsi="仿宋" w:eastAsia="仿宋"/>
          <w:color w:val="000000" w:themeColor="text1"/>
          <w:sz w:val="24"/>
          <w:highlight w:val="none"/>
          <w:u w:val="single"/>
          <w:lang w:val="en-US" w:eastAsia="zh-CN" w:bidi="ar-SA"/>
          <w14:textFill>
            <w14:solidFill>
              <w14:schemeClr w14:val="tx1"/>
            </w14:solidFill>
          </w14:textFill>
        </w:rPr>
        <w:t xml:space="preserve">  </w:t>
      </w:r>
      <w:r>
        <w:rPr>
          <w:rFonts w:hint="eastAsia" w:ascii="仿宋" w:hAnsi="仿宋" w:eastAsia="仿宋"/>
          <w:color w:val="000000" w:themeColor="text1"/>
          <w:sz w:val="24"/>
          <w:highlight w:val="none"/>
          <w:lang w:val="en-US" w:eastAsia="zh-CN" w:bidi="ar-SA"/>
          <w14:textFill>
            <w14:solidFill>
              <w14:schemeClr w14:val="tx1"/>
            </w14:solidFill>
          </w14:textFill>
        </w:rPr>
        <w:t xml:space="preserve">份。</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2、未尽事宜：本合同未尽事宜应按《中华人民共和国民法典》、《中华人民共和国政府采购法》以及其同相关法律、法规之规定解释。</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（以下无正文）</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甲方（签章）：_____________________________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地址： ____________________________________</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电话： ____________________________________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法定代表人或授权代表(签名)： _______________ </w:t>
      </w:r>
      <w:r/>
    </w:p>
    <w:p>
      <w:pPr>
        <w:spacing w:line="360" w:lineRule="auto"/>
        <w:rPr>
          <w:rFonts w:hint="eastAsia" w:ascii="仿宋" w:hAnsi="仿宋" w:eastAsia="仿宋"/>
          <w:color w:val="000000" w:themeColor="text1"/>
          <w:sz w:val="24"/>
          <w:highlight w:val="none"/>
          <w:u w:val="singl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    签订日期： _________________________________</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乙方（签章）： 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地址： ____________________________________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电话： ____________________________________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开户银行：________________________________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银行帐号： ________________________________  </w:t>
      </w:r>
      <w:r/>
    </w:p>
    <w:p>
      <w:pPr>
        <w:ind w:firstLine="480"/>
        <w:spacing w:line="360" w:lineRule="auto"/>
        <w:rPr>
          <w:rFonts w:hint="eastAsia" w:ascii="仿宋" w:hAnsi="仿宋" w:eastAsia="仿宋"/>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法定代表人（负责人）或授权代表(签名)： ________ </w:t>
      </w:r>
      <w:r/>
    </w:p>
    <w:p>
      <w:pPr>
        <w:ind w:firstLine="480"/>
        <w:spacing w:line="360" w:lineRule="auto"/>
        <w:rPr>
          <w:rFonts w:hint="eastAsia" w:ascii="宋体" w:hAnsi="宋体"/>
          <w:b/>
          <w:color w:val="000000" w:themeColor="text1"/>
          <w:sz w:val="24"/>
          <w:highlight w:val="none"/>
          <w:lang w:val="en-US" w:eastAsia="zh-CN" w:bidi="ar-SA"/>
          <w14:textFill>
            <w14:solidFill>
              <w14:schemeClr w14:val="tx1"/>
            </w14:solidFill>
          </w14:textFill>
        </w:rPr>
      </w:pPr>
      <w:r>
        <w:rPr>
          <w:rFonts w:hint="eastAsia" w:ascii="仿宋" w:hAnsi="仿宋" w:eastAsia="仿宋"/>
          <w:color w:val="000000" w:themeColor="text1"/>
          <w:sz w:val="24"/>
          <w:highlight w:val="none"/>
          <w:lang w:val="en-US" w:eastAsia="zh-CN" w:bidi="ar-SA"/>
          <w14:textFill>
            <w14:solidFill>
              <w14:schemeClr w14:val="tx1"/>
            </w14:solidFill>
          </w14:textFill>
        </w:rPr>
        <w:t xml:space="preserve">签订日期： ____________________________________</w:t>
      </w:r>
      <w:r/>
    </w:p>
    <w:p>
      <w:pPr>
        <w:pStyle w:val="697"/>
        <w:jc w:val="center"/>
        <w:spacing w:line="240" w:lineRule="auto"/>
        <w:widowControl/>
        <w:rPr>
          <w:rFonts w:hint="eastAsia" w:ascii="宋体" w:hAnsi="宋体" w:cs="宋体"/>
          <w:b/>
          <w:color w:val="000000" w:themeColor="text1"/>
          <w:sz w:val="36"/>
          <w:szCs w:val="2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r>
      <w:r/>
    </w:p>
    <w:p>
      <w:pPr>
        <w:rPr>
          <w:rFonts w:hint="eastAsia" w:ascii="宋体" w:hAnsi="宋体" w:cs="宋体"/>
          <w:b/>
          <w:color w:val="000000" w:themeColor="text1"/>
          <w:sz w:val="36"/>
          <w:szCs w:val="2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br w:type="page" w:clear="all"/>
      </w:r>
      <w:r/>
    </w:p>
    <w:p>
      <w:pPr>
        <w:pStyle w:val="697"/>
        <w:jc w:val="center"/>
        <w:spacing w:line="240" w:lineRule="auto"/>
        <w:widowControl/>
        <w:rPr>
          <w:rFonts w:hint="eastAsia" w:ascii="宋体" w:hAnsi="宋体"/>
          <w:b/>
          <w:color w:val="000000" w:themeColor="text1"/>
          <w:sz w:val="32"/>
          <w:highlight w:val="none"/>
          <w14:textFill>
            <w14:solidFill>
              <w14:schemeClr w14:val="tx1"/>
            </w14:solidFill>
          </w14:textFill>
        </w:rPr>
      </w:pPr>
      <w:r>
        <w:rPr>
          <w:rFonts w:hint="eastAsia" w:ascii="宋体" w:hAnsi="宋体" w:cs="宋体"/>
          <w:b/>
          <w:color w:val="000000" w:themeColor="text1"/>
          <w:sz w:val="36"/>
          <w:szCs w:val="22"/>
          <w:highlight w:val="none"/>
          <w14:textFill>
            <w14:solidFill>
              <w14:schemeClr w14:val="tx1"/>
            </w14:solidFill>
          </w14:textFill>
        </w:rPr>
        <w:t xml:space="preserve">第六章  </w:t>
      </w:r>
      <w:bookmarkEnd w:id="10"/>
      <w:r/>
      <w:bookmarkEnd w:id="11"/>
      <w:r/>
      <w:bookmarkStart w:id="12" w:name="_Toc522790136"/>
      <w:r/>
      <w:bookmarkStart w:id="13" w:name="_Toc17335"/>
      <w:r>
        <w:rPr>
          <w:rFonts w:hint="eastAsia" w:ascii="宋体" w:hAnsi="宋体" w:cs="宋体"/>
          <w:b/>
          <w:color w:val="000000" w:themeColor="text1"/>
          <w:sz w:val="36"/>
          <w:szCs w:val="22"/>
          <w:highlight w:val="none"/>
          <w14:textFill>
            <w14:solidFill>
              <w14:schemeClr w14:val="tx1"/>
            </w14:solidFill>
          </w14:textFill>
        </w:rPr>
        <w:t xml:space="preserve">项</w:t>
      </w:r>
      <w:r>
        <w:rPr>
          <w:rFonts w:hint="eastAsia" w:ascii="宋体" w:hAnsi="宋体" w:cs="宋体"/>
          <w:b/>
          <w:color w:val="000000" w:themeColor="text1"/>
          <w:sz w:val="36"/>
          <w:highlight w:val="none"/>
          <w14:textFill>
            <w14:solidFill>
              <w14:schemeClr w14:val="tx1"/>
            </w14:solidFill>
          </w14:textFill>
        </w:rPr>
        <w:t xml:space="preserve">目要求（采购需求）</w:t>
      </w:r>
      <w:r/>
    </w:p>
    <w:p>
      <w:pPr>
        <w:numPr>
          <w:ilvl w:val="0"/>
          <w:numId w:val="0"/>
        </w:numPr>
        <w:ind w:firstLine="482"/>
        <w:jc w:val="both"/>
        <w:spacing w:line="360" w:lineRule="auto"/>
        <w:rPr>
          <w:rFonts w:hint="eastAsia" w:ascii="宋体" w:hAnsi="宋体"/>
          <w:b/>
          <w:color w:val="000000" w:themeColor="text1"/>
          <w:sz w:val="24"/>
          <w:highlight w:val="none"/>
          <w:lang w:val="en-US" w:eastAsia="zh-CN"/>
          <w14:textFill>
            <w14:solidFill>
              <w14:schemeClr w14:val="tx1"/>
            </w14:solidFill>
          </w14:textFill>
        </w:rPr>
      </w:pPr>
      <w:r/>
      <w:bookmarkStart w:id="14" w:name="OLE_LINK3"/>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b/>
          <w:color w:val="000000" w:themeColor="text1"/>
          <w:sz w:val="24"/>
          <w:highlight w:val="none"/>
          <w:lang w:val="en-US" w:eastAsia="zh-CN"/>
          <w14:textFill>
            <w14:solidFill>
              <w14:schemeClr w14:val="tx1"/>
            </w14:solidFill>
          </w14:textFill>
        </w:rPr>
        <w:t xml:space="preserve">一、</w:t>
      </w:r>
      <w:bookmarkEnd w:id="1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项目说明</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1、本项目不接受超过1992492.50元人民币（采购项目预算金额）的报价。</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报价包括但不限于人工费、施工机械使用费、材料费、检测费、设备进出场费(包含试验桩检测需提前进出场的费用)、转场费、运输费、取土费、检测作业水电费、废弃物清运费、安全措施费、因检测工作不连续而造成的窝工费、各项辅助费用、配合费、风险费用、保险、政策性调价、市场变化(上涨或下浮)、加班费、税金、管理费、利润、代理费以及风险、责任和义务等一切与本工程相关的全部费用。</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2、项目名称：</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徐州百耀房地产开发有限公司XT2022-23号地块安置房项目桩基检测。</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3、项目内容：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通过承载力和完整性检测、孔内成像检测接桩质量、钻芯法检测预制桩桩身混凝土强度和预制桩钢筋配置检测等方式对桩基工程施工质量进行</w:t>
      </w:r>
      <w:r>
        <w:rPr>
          <w:rFonts w:hint="eastAsia" w:ascii="宋体" w:hAnsi="宋体" w:eastAsia="宋体" w:cs="宋体"/>
          <w:b w:val="0"/>
          <w:bCs w:val="0"/>
          <w:color w:val="000000" w:themeColor="text1"/>
          <w:sz w:val="24"/>
          <w:szCs w:val="24"/>
          <w:highlight w:val="yellow"/>
          <w:lang w:val="en-US" w:eastAsia="zh-CN"/>
          <w14:textFill>
            <w14:solidFill>
              <w14:schemeClr w14:val="tx1"/>
            </w14:solidFill>
          </w14:textFill>
        </w:rPr>
        <w:t xml:space="preserve">检测、综合评估并出具质量鉴定报告</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二、技术及服务要求</w:t>
      </w:r>
      <w:r/>
    </w:p>
    <w:p>
      <w:pPr>
        <w:ind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1、检测项目一览表</w:t>
      </w:r>
      <w:r/>
    </w:p>
    <w:tbl>
      <w:tblPr>
        <w:tblStyle w:val="654"/>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4"/>
        <w:gridCol w:w="3058"/>
        <w:gridCol w:w="2102"/>
        <w:gridCol w:w="2395"/>
      </w:tblGrid>
      <w:tr>
        <w:trPr>
          <w:trHeight w:val="454"/>
          <w:tblHeader/>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W w:w="3058"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检测项目</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检测数量（根）</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极限承载力（kN）</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单桩竖向抗压静载试验</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2700</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单桩竖向抗压静载试验</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3500</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单桩竖向抗拔静载试验</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低应变法检测</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870</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高应变法检测</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222</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2700/3500</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高应变法检测</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孔内成像法检测</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176</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桩顶标高</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870</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截面尺寸</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W w:w="3058" w:type="dxa"/>
            <w:vAlign w:val="center"/>
            <w:textDirection w:val="lrTb"/>
            <w:noWrap w:val="false"/>
          </w:tcPr>
          <w:p>
            <w:pPr>
              <w:ind w:firstLine="440"/>
              <w:jc w:val="left"/>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桩位偏差</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870</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W w:w="3058" w:type="dxa"/>
            <w:vAlign w:val="center"/>
            <w:textDirection w:val="lrTb"/>
            <w:noWrap w:val="false"/>
          </w:tcPr>
          <w:p>
            <w:pPr>
              <w:ind w:firstLine="48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预制桩钢筋配置</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454"/>
        </w:trPr>
        <w:tc>
          <w:tcPr>
            <w:shd w:val="clear" w:color="auto" w:fill="auto"/>
            <w:tcW w:w="96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W w:w="3058" w:type="dxa"/>
            <w:vAlign w:val="center"/>
            <w:textDirection w:val="lrTb"/>
            <w:noWrap w:val="false"/>
          </w:tcPr>
          <w:p>
            <w:pPr>
              <w:ind w:firstLine="480"/>
              <w:jc w:val="left"/>
              <w:keepLines w:val="0"/>
              <w:keepNext w:val="0"/>
              <w:pageBreakBefore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桩身混凝土抗压强度</w:t>
            </w:r>
            <w:r/>
          </w:p>
        </w:tc>
        <w:tc>
          <w:tcPr>
            <w:shd w:val="clear" w:color="auto" w:fill="auto"/>
            <w:tcW w:w="2102"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W w:w="239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bl>
    <w:p>
      <w:pPr>
        <w:ind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注：最终桩数据以审查通过施工图为准。</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2、技术服务的方法和依据：</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《建筑基桩检测技术规范》JGJ 106-2014</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《建筑地基基础检测规程》DB32/T 3916-2020</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《地基基础孔内成像检测标准》T/CECS 253-2022</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《建筑地基基础工程施工质量验收标准》GB 50202-2018 </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《钻芯检测离心高强混凝土抗压强度试验方法》GB/T 19496-2004 </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如以上所列规范中如国家或相关部门发布更新版本，应以最新版本为准。</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3、服务要求：</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 成交供应商应根据采购人提供的资料和图纸制定检测方案，通过采购人、监理单位、有关监督部门审批后方可进行检测。实施检测前，成交供应商还需将检测项目及检测数量提交采购人确认。</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 成交供应商必须根据检测技术方案，按合同工期组织完成检测工作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yellow"/>
          <w:lang w:val="en-US" w:eastAsia="zh-CN"/>
          <w14:textFill>
            <w14:solidFill>
              <w14:schemeClr w14:val="tx1"/>
            </w14:solidFill>
          </w14:textFill>
        </w:rPr>
        <w:t xml:space="preserve">并出具桩基检测报告及质量鉴定报告</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 成交供应商必须严格按照国家和省市颁布的现行规范和规定的质量标准进行检测并对所提交的检测结果负责。对其</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检测数据</w:t>
      </w:r>
      <w:r>
        <w:rPr>
          <w:rFonts w:hint="eastAsia" w:ascii="宋体" w:hAnsi="宋体" w:cs="宋体"/>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检测报告</w:t>
      </w:r>
      <w:r>
        <w:rPr>
          <w:rFonts w:hint="eastAsia" w:ascii="宋体" w:hAnsi="宋体" w:cs="宋体"/>
          <w:color w:val="000000" w:themeColor="text1"/>
          <w:sz w:val="24"/>
          <w:szCs w:val="24"/>
          <w:highlight w:val="yellow"/>
          <w:lang w:val="en-US" w:eastAsia="zh-CN"/>
          <w14:textFill>
            <w14:solidFill>
              <w14:schemeClr w14:val="tx1"/>
            </w14:solidFill>
          </w14:textFill>
        </w:rPr>
        <w:t xml:space="preserve">和质量鉴定</w:t>
      </w:r>
      <w:r>
        <w:rPr>
          <w:rFonts w:hint="eastAsia" w:ascii="宋体" w:hAnsi="宋体" w:cs="宋体"/>
          <w:color w:val="000000" w:themeColor="text1"/>
          <w:sz w:val="24"/>
          <w:szCs w:val="24"/>
          <w:highlight w:val="none"/>
          <w:lang w:val="en-US" w:eastAsia="zh-CN"/>
          <w14:textFill>
            <w14:solidFill>
              <w14:schemeClr w14:val="tx1"/>
            </w14:solidFill>
          </w14:textFill>
        </w:rPr>
        <w:t xml:space="preserve">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的真实性和准确性负责，不得弄虚作假，提供不真实的检测报告。</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4、其他要求：</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4.1 成交供应商在履约过程中若有出现安全事故，其责任及相应的赔偿均由成交供应商自行承担，采购人不承担所有责任及义务。</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 若成交供应商拟投入本项目的人员无法到位的，采购人有权取消采购合同，由此造成的损失由供应商全部承担。</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4.3 成交供应商应采取相关安全防护措施，保障安全生产，如有安全生产事故发生，由成交供应商自行承担全部责任。</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四、项目实施要求：</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1、交付地点：采购人指定地点。</w:t>
      </w:r>
      <w:r/>
    </w:p>
    <w:p>
      <w:pPr>
        <w:ind w:left="0" w:right="0" w:firstLine="480"/>
        <w:jc w:val="both"/>
        <w:keepLines w:val="0"/>
        <w:keepNext w:val="0"/>
        <w:pageBreakBefore w:val="0"/>
        <w:spacing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2、交付时间：50日历天内完成。</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3、交付条件：检测工作全部完成并提交合格报告。</w:t>
      </w:r>
      <w:r/>
    </w:p>
    <w:p>
      <w:pPr>
        <w:ind w:left="0" w:right="0" w:firstLine="480"/>
        <w:jc w:val="both"/>
        <w:keepLines w:val="0"/>
        <w:keepNext w:val="0"/>
        <w:pageBreakBefore w:val="0"/>
        <w:spacing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4、质量标准：合格，检测结果通过有关监督部门审核。</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5、成交供应商更换项目负责人，必须书面通知采购人，经采购人书面同意后才能更换且更换的项目负责人必须与原项目负责人具有同等或以上资格。</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6、本项目验收等相关费用由成交供应商支付。</w:t>
      </w:r>
      <w:r/>
    </w:p>
    <w:p>
      <w:pPr>
        <w:ind w:left="0" w:righ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保密要求：成交供应商对成果资料和采购人提供的所有资料负有保密责任。未经采购人同意，不得将采购人提供的资料再次提供给与本项目无关的任何单位及个人使用。供应商要妥善保管采购人提供的资料。如因供应商原因丢失或者泄密，应当负责赔偿采购人相关的经济损失，必要时采购人将追究其他法律责任。</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8、知识产权：成交供应商须保障采购人在使用该服务或其任何一部分时不受到第三方关于侵犯专利权、商标权或工业设 计权等知识产权的指控。如果任何第三方提出侵权指控与采购人无关，供应商须与第三方交涉并承担可能发生的责任与一切费用。如采购人因此而遭致损失的，供应商应赔偿该损失</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ind w:firstLine="482"/>
        <w:jc w:val="left"/>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val="zh-CN" w:eastAsia="en-US"/>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lang w:val="zh-CN" w:eastAsia="en-US" w:bidi="ar-SA"/>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zh-CN" w:eastAsia="en-US"/>
          <w14:textFill>
            <w14:solidFill>
              <w14:schemeClr w14:val="tx1"/>
            </w14:solidFill>
          </w14:textFill>
        </w:rPr>
        <w:t xml:space="preserve">其他要求</w:t>
      </w:r>
      <w:r/>
    </w:p>
    <w:p>
      <w:pPr>
        <w:pStyle w:val="696"/>
        <w:ind w:firstLine="480"/>
        <w:jc w:val="both"/>
        <w:spacing w:line="360" w:lineRule="auto"/>
        <w:rPr>
          <w:rStyle w:val="924"/>
          <w:rFonts w:ascii="宋体" w:hAnsi="宋体" w:eastAsia="宋体" w:cs="宋体"/>
          <w:color w:val="000000" w:themeColor="text1"/>
          <w:sz w:val="32"/>
          <w:szCs w:val="48"/>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《拟签订的合同文本》</w:t>
      </w:r>
      <w:r>
        <w:rPr>
          <w:rFonts w:hint="eastAsia" w:ascii="宋体" w:hAnsi="宋体"/>
          <w:color w:val="000000" w:themeColor="text1"/>
          <w:sz w:val="24"/>
          <w:highlight w:val="none"/>
          <w:lang w:eastAsia="zh-CN"/>
          <w14:textFill>
            <w14:solidFill>
              <w14:schemeClr w14:val="tx1"/>
            </w14:solidFill>
          </w14:textFill>
        </w:rPr>
        <w:t xml:space="preserve">。</w:t>
      </w:r>
      <w:r>
        <w:rPr>
          <w:rStyle w:val="924"/>
          <w:rFonts w:hint="eastAsia" w:ascii="宋体" w:hAnsi="宋体" w:eastAsia="宋体" w:cs="宋体"/>
          <w:color w:val="000000" w:themeColor="text1"/>
          <w:sz w:val="32"/>
          <w:szCs w:val="48"/>
          <w:highlight w:val="none"/>
          <w14:textFill>
            <w14:solidFill>
              <w14:schemeClr w14:val="tx1"/>
            </w14:solidFill>
          </w14:textFill>
        </w:rPr>
        <w:br w:type="page" w:clear="all"/>
      </w:r>
      <w:r/>
    </w:p>
    <w:p>
      <w:pPr>
        <w:pStyle w:val="696"/>
        <w:numPr>
          <w:ilvl w:val="0"/>
          <w:numId w:val="4"/>
        </w:numPr>
        <w:jc w:val="center"/>
        <w:spacing w:line="360" w:lineRule="auto"/>
        <w:rPr>
          <w:rStyle w:val="924"/>
          <w:rFonts w:ascii="宋体" w:hAnsi="宋体" w:eastAsia="宋体" w:cs="宋体"/>
          <w:color w:val="000000" w:themeColor="text1"/>
          <w:sz w:val="32"/>
          <w:szCs w:val="48"/>
          <w:highlight w:val="none"/>
          <w14:textFill>
            <w14:solidFill>
              <w14:schemeClr w14:val="tx1"/>
            </w14:solidFill>
          </w14:textFill>
        </w:rPr>
      </w:pPr>
      <w:r>
        <w:rPr>
          <w:rStyle w:val="924"/>
          <w:rFonts w:hint="eastAsia" w:ascii="宋体" w:hAnsi="宋体" w:eastAsia="宋体" w:cs="宋体"/>
          <w:color w:val="000000" w:themeColor="text1"/>
          <w:sz w:val="32"/>
          <w:szCs w:val="48"/>
          <w:highlight w:val="none"/>
          <w14:textFill>
            <w14:solidFill>
              <w14:schemeClr w14:val="tx1"/>
            </w14:solidFill>
          </w14:textFill>
        </w:rPr>
        <w:t xml:space="preserve"> 投标文件相关格式</w:t>
      </w:r>
      <w:bookmarkEnd w:id="12"/>
      <w:r/>
      <w:bookmarkEnd w:id="13"/>
      <w:r/>
      <w:r/>
    </w:p>
    <w:p>
      <w:pPr>
        <w:pStyle w:val="696"/>
        <w:jc w:val="center"/>
        <w:spacing w:line="360" w:lineRule="auto"/>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一、投标函格式</w:t>
      </w:r>
      <w:r/>
    </w:p>
    <w:p>
      <w:pPr>
        <w:pStyle w:val="696"/>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lang w:eastAsia="zh-CN"/>
          <w14:textFill>
            <w14:solidFill>
              <w14:schemeClr w14:val="tx1"/>
            </w14:solidFill>
          </w14:textFill>
        </w:rPr>
        <w:t xml:space="preserve">徐州市铜山区棠张镇人民政府</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u w:val="single"/>
          <w:lang w:eastAsia="zh-CN"/>
          <w14:textFill>
            <w14:solidFill>
              <w14:schemeClr w14:val="tx1"/>
            </w14:solidFill>
          </w14:textFill>
        </w:rPr>
        <w:t xml:space="preserve">徐州百耀房地产开发有限公司XT2022-23号地块安置房项目桩基检测</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JSZC-320312-ZRXM-G2026-0004</w:t>
      </w:r>
      <w:r>
        <w:rPr>
          <w:rFonts w:hint="eastAsia" w:ascii="宋体" w:hAnsi="宋体" w:cs="宋体"/>
          <w:color w:val="000000" w:themeColor="text1"/>
          <w:sz w:val="24"/>
          <w:highlight w:val="none"/>
          <w14:textFill>
            <w14:solidFill>
              <w14:schemeClr w14:val="tx1"/>
            </w14:solidFill>
          </w14:textFill>
        </w:rPr>
        <w:t xml:space="preserve">]招标文件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（投标人的名称）全权处理本次投标的有关事宜。</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据此函，投标人承诺并同意如下： </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投标人唯一投标报价见《开标一览表》。</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投标人将按招标文件的规定履行合同责任和义务。</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投标有效期为开标之日后90天。</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投标人同意在授予合同后，按照有关规定支付公证费(如有)。</w:t>
      </w:r>
      <w:r/>
    </w:p>
    <w:p>
      <w:pPr>
        <w:pStyle w:val="696"/>
        <w:ind w:right="29"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 江苏筑融工程项目管理有限公司有权将我单位本项目的《开标一览表》和《分项价格表》予以公示，公示的方式由江苏筑融工程项目管理有限公司确定。</w:t>
      </w:r>
      <w:r/>
    </w:p>
    <w:p>
      <w:pPr>
        <w:pStyle w:val="696"/>
        <w:ind w:right="29"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 与本投标有关的一切正式往来信函请寄：</w:t>
      </w:r>
      <w:r/>
    </w:p>
    <w:p>
      <w:pPr>
        <w:pStyle w:val="696"/>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p>
    <w:p>
      <w:pPr>
        <w:pStyle w:val="696"/>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w:t>
      </w:r>
      <w:r/>
    </w:p>
    <w:p>
      <w:pPr>
        <w:pStyle w:val="696"/>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w:t>
      </w:r>
      <w:r/>
    </w:p>
    <w:p>
      <w:pPr>
        <w:pStyle w:val="709"/>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709"/>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709"/>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696"/>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2"/>
          <w:szCs w:val="32"/>
          <w:highlight w:val="none"/>
          <w14:textFill>
            <w14:solidFill>
              <w14:schemeClr w14:val="tx1"/>
            </w14:solidFill>
          </w14:textFill>
        </w:rPr>
        <w:t xml:space="preserve">二、开标一览表格式</w:t>
      </w:r>
      <w:r/>
    </w:p>
    <w:p>
      <w:pPr>
        <w:pStyle w:val="7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6"/>
        <w:ind w:firstLine="601"/>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徐州百耀房地产开发有限公司XT2022-23号地块安置房项目</w:t>
      </w:r>
      <w:r/>
    </w:p>
    <w:p>
      <w:pPr>
        <w:pStyle w:val="696"/>
        <w:ind w:firstLine="601"/>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桩基检测</w:t>
      </w:r>
      <w:r/>
    </w:p>
    <w:p>
      <w:pPr>
        <w:pStyle w:val="696"/>
        <w:ind w:firstLine="601"/>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JSZC-320312-ZRXM-G2026-0004</w:t>
      </w:r>
      <w:r/>
    </w:p>
    <w:p>
      <w:pPr>
        <w:pStyle w:val="696"/>
        <w:ind w:firstLine="601"/>
        <w:jc w:val="righ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tbl>
      <w:tblPr>
        <w:tblStyle w:val="654"/>
        <w:tblW w:w="8941"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596"/>
        <w:gridCol w:w="2057"/>
        <w:gridCol w:w="2288"/>
      </w:tblGrid>
      <w:tr>
        <w:trPr>
          <w:cantSplit/>
          <w:jc w:val="center"/>
          <w:trHeight w:val="731"/>
        </w:trPr>
        <w:tc>
          <w:tcPr>
            <w:tcW w:w="4596"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w:t>
            </w:r>
            <w:r/>
          </w:p>
        </w:tc>
        <w:tc>
          <w:tcPr>
            <w:tcW w:w="2057"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项目内容</w:t>
            </w:r>
            <w:r/>
          </w:p>
        </w:tc>
        <w:tc>
          <w:tcPr>
            <w:tcW w:w="2288"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总价（小写）</w:t>
            </w:r>
            <w:r/>
          </w:p>
        </w:tc>
      </w:tr>
      <w:tr>
        <w:trPr>
          <w:cantSplit/>
          <w:jc w:val="center"/>
          <w:trHeight w:val="1250" w:hRule="exact"/>
        </w:trPr>
        <w:tc>
          <w:tcPr>
            <w:tcW w:w="459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徐州百耀房地产开发有限公司XT2022-23号地块安置房项目桩基检测</w:t>
            </w:r>
            <w:r/>
          </w:p>
        </w:tc>
        <w:tc>
          <w:tcPr>
            <w:tcW w:w="2057"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w:t>
            </w:r>
            <w:r/>
          </w:p>
        </w:tc>
        <w:tc>
          <w:tcPr>
            <w:tcW w:w="2288"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716" w:hRule="exact"/>
        </w:trPr>
        <w:tc>
          <w:tcPr>
            <w:tcW w:w="459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总价（大写）：</w:t>
            </w:r>
            <w:r/>
          </w:p>
        </w:tc>
        <w:tc>
          <w:tcPr>
            <w:gridSpan w:val="2"/>
            <w:tcW w:w="434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696"/>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both"/>
        <w:spacing w:line="360" w:lineRule="auto"/>
        <w:rPr>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：报价包括全部费用。采购人不再支付报价以外的任何费用。</w:t>
      </w:r>
      <w:r>
        <w:rPr>
          <w:rFonts w:hint="eastAsia" w:ascii="宋体" w:hAnsi="宋体" w:cs="宋体"/>
          <w:color w:val="000000" w:themeColor="text1"/>
          <w:spacing w:val="10"/>
          <w:sz w:val="24"/>
          <w:szCs w:val="24"/>
          <w:highlight w:val="none"/>
          <w:lang w:bidi="ar"/>
          <w14:textFill>
            <w14:solidFill>
              <w14:schemeClr w14:val="tx1"/>
            </w14:solidFill>
          </w14:textFill>
        </w:rPr>
        <w:t xml:space="preserve">否则</w:t>
      </w:r>
      <w:r>
        <w:rPr>
          <w:rFonts w:hint="eastAsia" w:ascii="宋体" w:hAnsi="宋体" w:cs="宋体"/>
          <w:color w:val="000000" w:themeColor="text1"/>
          <w:sz w:val="24"/>
          <w:szCs w:val="24"/>
          <w:highlight w:val="none"/>
          <w:lang w:bidi="ar"/>
          <w14:textFill>
            <w14:solidFill>
              <w14:schemeClr w14:val="tx1"/>
            </w14:solidFill>
          </w14:textFill>
        </w:rPr>
        <w:t xml:space="preserve">将视为未实质性响应招标文件。</w:t>
      </w:r>
      <w:r/>
    </w:p>
    <w:p>
      <w:pPr>
        <w:pStyle w:val="696"/>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6"/>
        <w:ind w:firstLine="27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6"/>
        <w:ind w:firstLine="27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9"/>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709"/>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709"/>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696"/>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696"/>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696"/>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696"/>
        <w:jc w:val="center"/>
        <w:spacing w:line="360" w:lineRule="auto"/>
        <w:widowControl/>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696"/>
        <w:jc w:val="center"/>
        <w:spacing w:line="360" w:lineRule="auto"/>
        <w:widowControl/>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三、分项价格表格式</w:t>
      </w:r>
      <w:r/>
    </w:p>
    <w:p>
      <w:pPr>
        <w:pStyle w:val="6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6"/>
        <w:ind w:firstLine="60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徐州百耀房地产开发有限公司XT2022-23号地块安置房项目</w:t>
      </w:r>
      <w:r/>
    </w:p>
    <w:p>
      <w:pPr>
        <w:pStyle w:val="696"/>
        <w:ind w:firstLine="60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桩基检测</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JSZC-320312-ZRXM-G2026-0004</w:t>
      </w:r>
      <w:r>
        <w:rPr>
          <w:rFonts w:hint="eastAsia" w:ascii="宋体" w:hAnsi="宋体" w:cs="宋体"/>
          <w:color w:val="000000" w:themeColor="text1"/>
          <w:sz w:val="24"/>
          <w:highlight w:val="none"/>
          <w14:textFill>
            <w14:solidFill>
              <w14:schemeClr w14:val="tx1"/>
            </w14:solidFill>
          </w14:textFill>
        </w:rPr>
        <w:t xml:space="preserve">  </w:t>
      </w:r>
      <w:r/>
    </w:p>
    <w:p>
      <w:pPr>
        <w:pStyle w:val="696"/>
        <w:ind w:firstLine="600"/>
        <w:jc w:val="both"/>
        <w:spacing w:line="360" w:lineRule="auto"/>
        <w:rPr>
          <w:rFonts w:hint="eastAsia"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p>
      <w:pPr>
        <w:pStyle w:val="717"/>
        <w:jc w:val="center"/>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r>
      <w:r/>
    </w:p>
    <w:tbl>
      <w:tblPr>
        <w:tblStyle w:val="654"/>
        <w:tblW w:w="8519"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04"/>
        <w:gridCol w:w="2699"/>
        <w:gridCol w:w="1575"/>
        <w:gridCol w:w="1635"/>
        <w:gridCol w:w="1806"/>
      </w:tblGrid>
      <w:tr>
        <w:trPr>
          <w:cantSplit/>
          <w:jc w:val="center"/>
          <w:trHeight w:val="731"/>
        </w:trPr>
        <w:tc>
          <w:tcPr>
            <w:tcW w:w="804" w:type="dxa"/>
            <w:vAlign w:val="center"/>
            <w:textDirection w:val="lrTb"/>
            <w:noWrap w:val="false"/>
          </w:tcPr>
          <w:p>
            <w:pPr>
              <w:jc w:val="center"/>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序号</w:t>
            </w:r>
            <w:r/>
          </w:p>
        </w:tc>
        <w:tc>
          <w:tcPr>
            <w:tcW w:w="2699"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检测项目</w:t>
            </w:r>
            <w:r/>
          </w:p>
        </w:tc>
        <w:tc>
          <w:tcPr>
            <w:tcW w:w="1575"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检测数量</w:t>
            </w:r>
            <w:r/>
          </w:p>
        </w:tc>
        <w:tc>
          <w:tcPr>
            <w:tcW w:w="1635" w:type="dxa"/>
            <w:vAlign w:val="center"/>
            <w:textDirection w:val="lrTb"/>
            <w:noWrap w:val="false"/>
          </w:tcPr>
          <w:p>
            <w:pPr>
              <w:jc w:val="center"/>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单价</w:t>
            </w:r>
            <w:r/>
          </w:p>
        </w:tc>
        <w:tc>
          <w:tcPr>
            <w:tcW w:w="1806" w:type="dxa"/>
            <w:vAlign w:val="center"/>
            <w:textDirection w:val="lrTb"/>
            <w:noWrap w:val="false"/>
          </w:tcPr>
          <w:p>
            <w:pPr>
              <w:jc w:val="center"/>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分项合计</w:t>
            </w:r>
            <w:r/>
          </w:p>
        </w:tc>
      </w:tr>
      <w:tr>
        <w:trPr>
          <w:cantSplit/>
          <w:jc w:val="center"/>
          <w:trHeight w:val="680" w:hRule="exact"/>
        </w:trPr>
        <w:tc>
          <w:tcPr>
            <w:tcW w:w="804" w:type="dxa"/>
            <w:vAlign w:val="center"/>
            <w:textDirection w:val="lrTb"/>
            <w:noWrap w:val="false"/>
          </w:tcPr>
          <w:p>
            <w:pPr>
              <w:jc w:val="center"/>
              <w:widowControl/>
              <w:rPr>
                <w:rFonts w:hint="default" w:ascii="Calibri" w:hAnsi="Calibri" w:eastAsia="宋体" w:cs="Times New Roman"/>
                <w:color w:val="000000" w:themeColor="text1"/>
                <w:sz w:val="21"/>
                <w:szCs w:val="24"/>
                <w:highlight w:val="none"/>
                <w:lang w:val="en-US" w:eastAsia="zh-CN"/>
                <w14:textFill>
                  <w14:solidFill>
                    <w14:schemeClr w14:val="tx1"/>
                  </w14:solidFill>
                </w14:textFill>
              </w:rPr>
            </w:pPr>
            <w:r>
              <w:rPr>
                <w:rFonts w:hint="eastAsia" w:ascii="Calibri" w:hAnsi="Calibri" w:eastAsia="宋体" w:cs="Times New Roman"/>
                <w:color w:val="000000" w:themeColor="text1"/>
                <w:sz w:val="21"/>
                <w:szCs w:val="24"/>
                <w:highlight w:val="none"/>
                <w:lang w:val="en-US" w:eastAsia="zh-CN"/>
                <w14:textFill>
                  <w14:solidFill>
                    <w14:schemeClr w14:val="tx1"/>
                  </w14:solidFill>
                </w14:textFill>
              </w:rPr>
              <w:t xml:space="preserve">1</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单桩竖向抗压静载试验</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36</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2</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单桩竖向抗压静载试验</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18</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3</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单桩竖向抗拔静载试验</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9</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4</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低应变法检测</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870</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5</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高应变法检测</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222</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6</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高应变法检测</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60</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7</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孔内成像法检测</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176</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8</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桩顶标高</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870</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9</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截面尺寸</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65</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2"/>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10</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桩位偏差</w:t>
            </w:r>
            <w:r/>
          </w:p>
        </w:tc>
        <w:tc>
          <w:tcPr>
            <w:tcW w:w="157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2"/>
                <w:szCs w:val="24"/>
                <w:highlight w:val="none"/>
                <w:lang w:val="en-US" w:eastAsia="zh-CN" w:bidi="ar"/>
                <w14:textFill>
                  <w14:solidFill>
                    <w14:schemeClr w14:val="tx1"/>
                  </w14:solidFill>
                </w14:textFill>
              </w:rPr>
              <w:t xml:space="preserve">870</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4"/>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11</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预制桩钢筋配置</w:t>
            </w:r>
            <w:r/>
          </w:p>
        </w:tc>
        <w:tc>
          <w:tcPr>
            <w:tcW w:w="1575" w:type="dxa"/>
            <w:vAlign w:val="center"/>
            <w:textDirection w:val="lrTb"/>
            <w:noWrap w:val="false"/>
          </w:tcPr>
          <w:p>
            <w:pPr>
              <w:jc w:val="center"/>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tcW w:w="804" w:type="dxa"/>
            <w:vAlign w:val="center"/>
            <w:textDirection w:val="lrTb"/>
            <w:noWrap w:val="false"/>
          </w:tcPr>
          <w:p>
            <w:pPr>
              <w:jc w:val="center"/>
              <w:widowControl/>
              <w:rPr>
                <w:rFonts w:hint="default" w:ascii="宋体" w:hAnsi="宋体" w:eastAsia="宋体" w:cs="Times New Roman"/>
                <w:color w:val="000000" w:themeColor="text1"/>
                <w:sz w:val="24"/>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12</w:t>
            </w:r>
            <w:r/>
          </w:p>
        </w:tc>
        <w:tc>
          <w:tcPr>
            <w:tcW w:w="2699"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
                <w14:textFill>
                  <w14:solidFill>
                    <w14:schemeClr w14:val="tx1"/>
                  </w14:solidFill>
                </w14:textFill>
              </w:rPr>
              <w:t xml:space="preserve">桩身混凝土抗压强度</w:t>
            </w:r>
            <w:r/>
          </w:p>
        </w:tc>
        <w:tc>
          <w:tcPr>
            <w:tcW w:w="1575" w:type="dxa"/>
            <w:vAlign w:val="center"/>
            <w:textDirection w:val="lrTb"/>
            <w:noWrap w:val="false"/>
          </w:tcPr>
          <w:p>
            <w:pPr>
              <w:jc w:val="center"/>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p>
        </w:tc>
        <w:tc>
          <w:tcPr>
            <w:tcW w:w="1635"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80" w:hRule="exact"/>
        </w:trPr>
        <w:tc>
          <w:tcPr>
            <w:gridSpan w:val="2"/>
            <w:tcW w:w="3503"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总价（大写）：</w:t>
            </w:r>
            <w:r/>
          </w:p>
        </w:tc>
        <w:tc>
          <w:tcPr>
            <w:gridSpan w:val="3"/>
            <w:tcW w:w="501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717"/>
        <w:jc w:val="center"/>
        <w:rPr>
          <w:rFonts w:hint="eastAsia" w:hAnsi="宋体" w:eastAsia="宋体" w:cs="宋体"/>
          <w:color w:val="000000" w:themeColor="text1"/>
          <w:sz w:val="24"/>
          <w:highlight w:val="none"/>
          <w:lang w:val="en-US" w:eastAsia="zh-CN"/>
          <w14:textFill>
            <w14:solidFill>
              <w14:schemeClr w14:val="tx1"/>
            </w14:solidFill>
          </w14:textFill>
        </w:rPr>
      </w:pPr>
      <w:r>
        <w:rPr>
          <w:rFonts w:hint="eastAsia" w:hAnsi="宋体" w:eastAsia="宋体" w:cs="宋体"/>
          <w:color w:val="000000" w:themeColor="text1"/>
          <w:sz w:val="24"/>
          <w:highlight w:val="none"/>
          <w:lang w:val="en-US" w:eastAsia="zh-CN"/>
          <w14:textFill>
            <w14:solidFill>
              <w14:schemeClr w14:val="tx1"/>
            </w14:solidFill>
          </w14:textFill>
        </w:rPr>
      </w:r>
      <w:r/>
    </w:p>
    <w:p>
      <w:pPr>
        <w:pStyle w:val="709"/>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09"/>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9"/>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09"/>
        <w:ind w:firstLine="312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709"/>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709"/>
        <w:ind w:firstLine="3120"/>
        <w:spacing w:line="360" w:lineRule="auto"/>
        <w:rPr>
          <w:rFonts w:ascii="宋体" w:hAnsi="宋体" w:cs="宋体" w:eastAsiaTheme="minorEastAsia"/>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p>
      <w:pPr>
        <w:pStyle w:val="696"/>
        <w:numPr>
          <w:ilvl w:val="0"/>
          <w:numId w:val="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本表中的报价即</w:t>
      </w:r>
      <w:r>
        <w:rPr>
          <w:rFonts w:hint="eastAsia" w:ascii="宋体" w:hAnsi="宋体" w:cs="宋体"/>
          <w:color w:val="000000" w:themeColor="text1"/>
          <w:sz w:val="24"/>
          <w:highlight w:val="none"/>
          <w14:textFill>
            <w14:solidFill>
              <w14:schemeClr w14:val="tx1"/>
            </w14:solidFill>
          </w14:textFill>
        </w:rPr>
        <w:t xml:space="preserve">《开标一览表》中的“</w:t>
      </w:r>
      <w:r>
        <w:rPr>
          <w:rFonts w:hint="eastAsia" w:ascii="宋体" w:hAnsi="宋体" w:cs="宋体"/>
          <w:color w:val="000000" w:themeColor="text1"/>
          <w:sz w:val="24"/>
          <w:highlight w:val="none"/>
          <w:lang w:val="en-US" w:eastAsia="zh-CN"/>
          <w14:textFill>
            <w14:solidFill>
              <w14:schemeClr w14:val="tx1"/>
            </w14:solidFill>
          </w14:textFill>
        </w:rPr>
        <w:t xml:space="preserve">总价</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696"/>
        <w:numPr>
          <w:ilvl w:val="0"/>
          <w:numId w:val="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如果不提供详细分项报价的，将视为没有实质性响应招标文件。</w:t>
      </w:r>
      <w:r/>
    </w:p>
    <w:p>
      <w:pPr>
        <w:pStyle w:val="696"/>
        <w:numPr>
          <w:ilvl w:val="0"/>
          <w:numId w:val="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投标人对以上数据的真实性负责。</w:t>
      </w:r>
      <w:r/>
    </w:p>
    <w:p>
      <w:pPr>
        <w:pStyle w:val="696"/>
        <w:numPr>
          <w:ilvl w:val="0"/>
          <w:numId w:val="5"/>
        </w:numPr>
        <w:ind w:firstLine="60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江苏筑融工程项目管理有限公司有权将以上内容进行公示。</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696"/>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四、偏离表格式</w:t>
      </w:r>
      <w:r/>
    </w:p>
    <w:p>
      <w:pPr>
        <w:pStyle w:val="696"/>
        <w:ind w:firstLine="60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徐州百耀房地产开发有限公司XT2022-23号地块安置房项目桩基检测</w:t>
      </w:r>
      <w:r/>
    </w:p>
    <w:p>
      <w:pPr>
        <w:pStyle w:val="696"/>
        <w:ind w:firstLine="60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JSZC-320312-ZRXM-G2026-0004</w:t>
      </w:r>
      <w:r/>
    </w:p>
    <w:tbl>
      <w:tblPr>
        <w:tblStyle w:val="654"/>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696"/>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pStyle w:val="696"/>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pStyle w:val="696"/>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pStyle w:val="696"/>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pStyle w:val="696"/>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2520" w:type="dxa"/>
            <w:vAlign w:val="center"/>
            <w:textDirection w:val="lrTb"/>
            <w:noWrap w:val="false"/>
          </w:tcPr>
          <w:p>
            <w:pPr>
              <w:pStyle w:val="696"/>
              <w:jc w:val="center"/>
              <w:spacing w:line="360" w:lineRule="auto"/>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trHeight w:val="794"/>
        </w:trPr>
        <w:tc>
          <w:tcPr>
            <w:tcW w:w="7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94"/>
        </w:trPr>
        <w:tc>
          <w:tcPr>
            <w:tcW w:w="7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520" w:type="dxa"/>
            <w:textDirection w:val="lrTb"/>
            <w:noWrap w:val="false"/>
          </w:tcPr>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696"/>
        <w:spacing w:line="360" w:lineRule="auto"/>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pStyle w:val="696"/>
        <w:ind w:firstLine="56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709"/>
        <w:ind w:firstLine="3984"/>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电子签章</w:t>
      </w:r>
      <w:r>
        <w:rPr>
          <w:rFonts w:ascii="宋体" w:hAnsi="宋体"/>
          <w:color w:val="000000" w:themeColor="text1"/>
          <w:sz w:val="24"/>
          <w:highlight w:val="none"/>
          <w14:textFill>
            <w14:solidFill>
              <w14:schemeClr w14:val="tx1"/>
            </w14:solidFill>
          </w14:textFill>
        </w:rPr>
        <w:t xml:space="preserve">）</w:t>
      </w:r>
      <w:r/>
    </w:p>
    <w:p>
      <w:pPr>
        <w:pStyle w:val="709"/>
        <w:ind w:firstLine="480"/>
        <w:spacing w:line="30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709"/>
        <w:ind w:firstLine="398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696"/>
        <w:jc w:val="center"/>
        <w:spacing w:line="360" w:lineRule="auto"/>
        <w:widowControl/>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rPr>
          <w:rFonts w:hint="eastAsia" w:hAnsi="宋体" w:eastAsia="宋体" w:cs="宋体"/>
          <w:b/>
          <w:bCs w:val="0"/>
          <w:color w:val="000000" w:themeColor="text1"/>
          <w:sz w:val="30"/>
          <w:szCs w:val="30"/>
          <w:highlight w:val="none"/>
          <w14:textFill>
            <w14:solidFill>
              <w14:schemeClr w14:val="tx1"/>
            </w14:solidFill>
          </w14:textFill>
        </w:rPr>
      </w:pPr>
      <w:r>
        <w:rPr>
          <w:rFonts w:hint="eastAsia" w:hAnsi="宋体" w:eastAsia="宋体" w:cs="宋体"/>
          <w:b/>
          <w:bCs w:val="0"/>
          <w:color w:val="000000" w:themeColor="text1"/>
          <w:sz w:val="30"/>
          <w:szCs w:val="30"/>
          <w:highlight w:val="none"/>
          <w14:textFill>
            <w14:solidFill>
              <w14:schemeClr w14:val="tx1"/>
            </w14:solidFill>
          </w14:textFill>
        </w:rPr>
        <w:br w:type="page" w:clear="all"/>
      </w:r>
      <w:r/>
    </w:p>
    <w:p>
      <w:pPr>
        <w:pStyle w:val="696"/>
        <w:jc w:val="center"/>
        <w:spacing w:line="360" w:lineRule="auto"/>
        <w:widowControl/>
        <w:rPr>
          <w:rFonts w:ascii="宋体" w:hAnsi="宋体" w:cs="宋体"/>
          <w:b/>
          <w:bCs w:val="0"/>
          <w:color w:val="000000" w:themeColor="text1"/>
          <w:sz w:val="30"/>
          <w:szCs w:val="30"/>
          <w:highlight w:val="none"/>
          <w14:textFill>
            <w14:solidFill>
              <w14:schemeClr w14:val="tx1"/>
            </w14:solidFill>
          </w14:textFill>
        </w:rPr>
      </w:pPr>
      <w:r>
        <w:rPr>
          <w:rFonts w:hint="eastAsia" w:ascii="宋体" w:hAnsi="宋体" w:cs="宋体"/>
          <w:b/>
          <w:bCs w:val="0"/>
          <w:color w:val="000000" w:themeColor="text1"/>
          <w:sz w:val="30"/>
          <w:szCs w:val="30"/>
          <w:highlight w:val="none"/>
          <w:lang w:val="en-US" w:eastAsia="zh-CN"/>
          <w14:textFill>
            <w14:solidFill>
              <w14:schemeClr w14:val="tx1"/>
            </w14:solidFill>
          </w14:textFill>
        </w:rPr>
        <w:t xml:space="preserve">五</w:t>
      </w:r>
      <w:r>
        <w:rPr>
          <w:rFonts w:hint="eastAsia" w:ascii="宋体" w:hAnsi="宋体" w:cs="宋体"/>
          <w:b/>
          <w:bCs w:val="0"/>
          <w:color w:val="000000" w:themeColor="text1"/>
          <w:sz w:val="30"/>
          <w:szCs w:val="30"/>
          <w:highlight w:val="none"/>
          <w14:textFill>
            <w14:solidFill>
              <w14:schemeClr w14:val="tx1"/>
            </w14:solidFill>
          </w14:textFill>
        </w:rPr>
        <w:t xml:space="preserve">、授权委托书格式</w:t>
      </w:r>
      <w:r/>
    </w:p>
    <w:p>
      <w:pPr>
        <w:pStyle w:val="696"/>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w:t>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法定代表人（负责人）：               职务：</w:t>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                   性别：男（女）  </w:t>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  岁                 民族：   族</w:t>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职务：</w:t>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w:t>
      </w:r>
      <w:r/>
    </w:p>
    <w:p>
      <w:pPr>
        <w:ind w:firstLine="60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兹委托（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）全权代表我企业（公司）参与（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）的招、投标活动及签订合同。（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）无转委托权。委托期限自</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日起至</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日止。</w:t>
      </w:r>
      <w:r/>
    </w:p>
    <w:p>
      <w:pPr>
        <w:pStyle w:val="696"/>
        <w:ind w:firstLine="63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特此授权委托。</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6"/>
        <w:ind w:firstLine="600"/>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委托人（电子签章）：         </w:t>
      </w:r>
      <w:r/>
    </w:p>
    <w:p>
      <w:pPr>
        <w:pStyle w:val="696"/>
        <w:ind w:firstLine="600"/>
        <w:spacing w:line="48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法定代表人（签字或盖章）：</w:t>
      </w:r>
      <w:r/>
    </w:p>
    <w:p>
      <w:pPr>
        <w:pStyle w:val="696"/>
        <w:ind w:firstLine="600"/>
        <w:spacing w:line="48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受托人（签字或盖章）：</w:t>
      </w:r>
      <w:r/>
    </w:p>
    <w:p>
      <w:pPr>
        <w:pStyle w:val="696"/>
        <w:ind w:firstLine="600"/>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受托人联系方式：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邮箱：</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7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4"/>
        <w:spacing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96"/>
        <w:ind w:right="600"/>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 </w:t>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法定代表人及</w:t>
      </w:r>
      <w:r>
        <w:rPr>
          <w:rFonts w:hint="eastAsia" w:ascii="宋体" w:hAnsi="宋体" w:cs="宋体"/>
          <w:color w:val="000000" w:themeColor="text1"/>
          <w:sz w:val="24"/>
          <w:highlight w:val="none"/>
          <w14:textFill>
            <w14:solidFill>
              <w14:schemeClr w14:val="tx1"/>
            </w14:solidFill>
          </w14:textFill>
        </w:rPr>
        <w:t xml:space="preserve">受托人身份证复印件附后)</w:t>
      </w:r>
      <w:r/>
    </w:p>
    <w:p>
      <w:pPr>
        <w:pStyle w:val="696"/>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pStyle w:val="696"/>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696"/>
        <w:ind w:firstLine="447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696"/>
        <w:jc w:val="center"/>
        <w:spacing w:line="360" w:lineRule="auto"/>
        <w:widowControl/>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pStyle w:val="696"/>
        <w:jc w:val="center"/>
        <w:spacing w:line="360" w:lineRule="auto"/>
        <w:widowControl/>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bCs/>
          <w:color w:val="000000" w:themeColor="text1"/>
          <w:sz w:val="30"/>
          <w:szCs w:val="30"/>
          <w:highlight w:val="none"/>
          <w14:textFill>
            <w14:solidFill>
              <w14:schemeClr w14:val="tx1"/>
            </w14:solidFill>
          </w14:textFill>
        </w:rPr>
        <w:t xml:space="preserve">、中小企业声明函格式</w:t>
      </w:r>
      <w:r/>
    </w:p>
    <w:p>
      <w:pPr>
        <w:ind w:firstLine="624"/>
        <w:spacing w:line="360" w:lineRule="auto"/>
        <w:rPr>
          <w:rFonts w:hint="eastAsia" w:ascii="宋体" w:hAnsi="宋体" w:eastAsia="宋体"/>
          <w:color w:val="000000" w:themeColor="text1"/>
          <w:spacing w:val="6"/>
          <w:sz w:val="24"/>
          <w:highlight w:val="none"/>
          <w:lang w:eastAsia="zh-CN"/>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项目名称：</w:t>
      </w:r>
      <w:r>
        <w:rPr>
          <w:rFonts w:hint="eastAsia" w:ascii="宋体" w:hAnsi="宋体"/>
          <w:color w:val="000000" w:themeColor="text1"/>
          <w:spacing w:val="6"/>
          <w:sz w:val="24"/>
          <w:highlight w:val="none"/>
          <w:lang w:eastAsia="zh-CN"/>
          <w14:textFill>
            <w14:solidFill>
              <w14:schemeClr w14:val="tx1"/>
            </w14:solidFill>
          </w14:textFill>
        </w:rPr>
        <w:t xml:space="preserve">徐州百耀房地产开发有限公司XT2022-23号地块安置房项目桩基检测</w:t>
      </w:r>
      <w:r/>
    </w:p>
    <w:p>
      <w:pPr>
        <w:ind w:firstLine="624"/>
        <w:spacing w:line="360" w:lineRule="auto"/>
        <w:rPr>
          <w:rFonts w:hint="eastAsia" w:ascii="宋体" w:hAnsi="宋体" w:eastAsia="宋体"/>
          <w:color w:val="000000" w:themeColor="text1"/>
          <w:spacing w:val="6"/>
          <w:sz w:val="24"/>
          <w:highlight w:val="none"/>
          <w:lang w:eastAsia="zh-CN"/>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项目编号：</w:t>
      </w:r>
      <w:r>
        <w:rPr>
          <w:rFonts w:hint="eastAsia" w:ascii="宋体" w:hAnsi="宋体"/>
          <w:color w:val="000000" w:themeColor="text1"/>
          <w:spacing w:val="6"/>
          <w:sz w:val="24"/>
          <w:highlight w:val="none"/>
          <w:lang w:eastAsia="zh-CN"/>
          <w14:textFill>
            <w14:solidFill>
              <w14:schemeClr w14:val="tx1"/>
            </w14:solidFill>
          </w14:textFill>
        </w:rPr>
        <w:t xml:space="preserve">JSZC-320312-ZRXM-G2026-0004</w:t>
      </w:r>
      <w:r/>
    </w:p>
    <w:p>
      <w:pPr>
        <w:ind w:firstLine="600"/>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olor w:val="000000" w:themeColor="text1"/>
          <w:sz w:val="24"/>
          <w:highlight w:val="none"/>
          <w:u w:val="single"/>
          <w:lang w:eastAsia="zh-CN"/>
          <w14:textFill>
            <w14:solidFill>
              <w14:schemeClr w14:val="tx1"/>
            </w14:solidFill>
          </w14:textFill>
        </w:rPr>
        <w:t xml:space="preserve">徐州市铜山区棠张镇人民政府</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lang w:eastAsia="zh-CN"/>
          <w14:textFill>
            <w14:solidFill>
              <w14:schemeClr w14:val="tx1"/>
            </w14:solidFill>
          </w14:textFill>
        </w:rPr>
        <w:t xml:space="preserve">徐州百耀房地产开发有限公司XT2022-23号地块安置房项目桩基检测</w:t>
      </w:r>
      <w:r>
        <w:rPr>
          <w:rFonts w:hint="eastAsia" w:ascii="宋体" w:hAnsi="宋体"/>
          <w:color w:val="000000" w:themeColor="text1"/>
          <w:sz w:val="24"/>
          <w:highlight w:val="none"/>
          <w14:textFill>
            <w14:solidFill>
              <w14:schemeClr w14:val="tx1"/>
            </w14:solidFill>
          </w14:textFill>
        </w:rPr>
        <w:t xml:space="preserve">采购活动，提供的服务全部由符合政策要求的中小企业承接。相关企业的具体情况如下：</w:t>
      </w:r>
      <w:r/>
    </w:p>
    <w:p>
      <w:pPr>
        <w:numPr>
          <w:ilvl w:val="0"/>
          <w:numId w:val="0"/>
        </w:numPr>
        <w:ind w:firstLine="480"/>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（科学研究和技术服务业）</w:t>
      </w:r>
      <w:r>
        <w:rPr>
          <w:rFonts w:hint="eastAsia" w:ascii="宋体" w:hAnsi="宋体"/>
          <w:color w:val="000000" w:themeColor="text1"/>
          <w:sz w:val="24"/>
          <w:highlight w:val="none"/>
          <w14:textFill>
            <w14:solidFill>
              <w14:schemeClr w14:val="tx1"/>
            </w14:solidFill>
          </w14:textFill>
        </w:rPr>
        <w:t xml:space="preserve">；承建（承接）企业为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万元，属于（中型企业、小型企业、微型企业）；</w:t>
      </w:r>
      <w:r/>
    </w:p>
    <w:p>
      <w:pPr>
        <w:jc w:val="both"/>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00"/>
        <w:jc w:val="both"/>
        <w:spacing w:line="480"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left="420"/>
        <w:spacing w:after="1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80"/>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企业名称（供应商名称）（电子签章）： </w:t>
      </w:r>
      <w:r/>
    </w:p>
    <w:p>
      <w:pPr>
        <w:ind w:right="480"/>
        <w:jc w:val="righ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  期：  年  月  日</w:t>
      </w:r>
      <w:r/>
    </w:p>
    <w:p>
      <w:pPr>
        <w:ind w:firstLine="60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00"/>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600"/>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left="420"/>
        <w:spacing w:after="120"/>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pStyle w:val="76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6"/>
        <w:jc w:val="left"/>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说明：</w:t>
      </w:r>
      <w:r/>
    </w:p>
    <w:p>
      <w:pPr>
        <w:pStyle w:val="757"/>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57"/>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2、从业人员、营业收入、资产总额填报供应商上一年度数据，无上一年度数据的新成立企业可不填报。</w:t>
      </w:r>
      <w:r/>
    </w:p>
    <w:p>
      <w:pPr>
        <w:pStyle w:val="757"/>
        <w:ind w:left="0"/>
        <w:spacing w:after="0"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757"/>
        <w:ind w:left="0"/>
        <w:spacing w:after="0" w:line="360" w:lineRule="auto"/>
        <w:rPr>
          <w:rFonts w:ascii="仿宋" w:hAnsi="仿宋" w:eastAsia="仿宋" w:cs="仿宋"/>
          <w:color w:val="000000" w:themeColor="text1"/>
          <w:sz w:val="24"/>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4、供应商提供的《中小企业声明函》与事实不符的，依照《政府采购法》第七十七条第一款的规定追究法律责任。</w:t>
      </w:r>
      <w:r/>
    </w:p>
    <w:p>
      <w:pPr>
        <w:pStyle w:val="696"/>
        <w:jc w:val="left"/>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1388745</wp:posOffset>
                </wp:positionH>
                <wp:positionV relativeFrom="paragraph">
                  <wp:posOffset>301625</wp:posOffset>
                </wp:positionV>
                <wp:extent cx="2459990" cy="5322570"/>
                <wp:effectExtent l="0" t="0" r="8890" b="11430"/>
                <wp:wrapNone/>
                <wp:docPr id="3"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descr="微信图片_20240806121821"/>
                        <pic:cNvPicPr>
                          <a:picLocks noChangeAspect="1"/>
                        </pic:cNvPicPr>
                        <pic:nvPr/>
                      </pic:nvPicPr>
                      <pic:blipFill>
                        <a:blip r:embed="rId14"/>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09.3pt;mso-position-horizontal:absolute;mso-position-vertical-relative:text;margin-top:23.8pt;mso-position-vertical:absolute;width:193.7pt;height:419.1pt;mso-wrap-distance-left:9.0pt;mso-wrap-distance-top:0.0pt;mso-wrap-distance-right:9.0pt;mso-wrap-distance-bottom:0.0pt;" stroked="false">
                <v:path textboxrect="0,0,0,0"/>
                <v:imagedata r:id="rId14" o:title=""/>
              </v:shape>
            </w:pict>
          </mc:Fallback>
        </mc:AlternateContent>
      </w:r>
      <w:r>
        <w:rPr>
          <w:rFonts w:hint="eastAsia" w:ascii="宋体" w:hAnsi="宋体" w:cs="宋体"/>
          <w:color w:val="000000" w:themeColor="text1"/>
          <w:sz w:val="22"/>
          <w:szCs w:val="22"/>
          <w:highlight w:val="none"/>
          <w14:textFill>
            <w14:solidFill>
              <w14:schemeClr w14:val="tx1"/>
            </w14:solidFill>
          </w14:textFill>
        </w:rPr>
        <w:t xml:space="preserve">“中小企业声明涵” 查询渠道用微信搜索“中小企业规模类型自测小程序”。看下列截图。</w:t>
      </w:r>
      <w:r/>
    </w:p>
    <w:p>
      <w:pPr>
        <w:pStyle w:val="696"/>
        <w:ind w:firstLine="600"/>
        <w:jc w:val="center"/>
        <w:spacing w:line="360" w:lineRule="auto"/>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p>
      <w:pPr>
        <w:pStyle w:val="696"/>
        <w:ind w:firstLine="600"/>
        <w:jc w:val="center"/>
        <w:spacing w:line="360" w:lineRule="auto"/>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p>
      <w:pPr>
        <w:pStyle w:val="696"/>
        <w:ind w:firstLine="600"/>
        <w:jc w:val="center"/>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696"/>
        <w:jc w:val="center"/>
        <w:spacing w:line="360" w:lineRule="auto"/>
        <w:rPr>
          <w:rFonts w:ascii="宋体" w:hAnsi="宋体" w:cs="宋体"/>
          <w:b/>
          <w:bCs/>
          <w:color w:val="000000" w:themeColor="text1"/>
          <w:spacing w:val="6"/>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七</w:t>
      </w:r>
      <w:r>
        <w:rPr>
          <w:rFonts w:hint="eastAsia" w:ascii="宋体" w:hAnsi="宋体" w:cs="宋体"/>
          <w:b/>
          <w:bCs/>
          <w:color w:val="000000" w:themeColor="text1"/>
          <w:sz w:val="30"/>
          <w:szCs w:val="30"/>
          <w:highlight w:val="none"/>
          <w14:textFill>
            <w14:solidFill>
              <w14:schemeClr w14:val="tx1"/>
            </w14:solidFill>
          </w14:textFill>
        </w:rPr>
        <w:t xml:space="preserve">、残疾人福利性单位声明函格式</w:t>
      </w:r>
      <w:r/>
    </w:p>
    <w:p>
      <w:pPr>
        <w:jc w:val="center"/>
        <w:spacing w:line="479" w:lineRule="atLeast"/>
        <w:rPr>
          <w:rFonts w:ascii="宋体" w:hAnsi="宋体" w:cs="宋体"/>
          <w:color w:val="000000" w:themeColor="text1"/>
          <w:sz w:val="16"/>
          <w:szCs w:val="1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szCs w:val="16"/>
          <w:highlight w:val="none"/>
          <w14:textFill>
            <w14:solidFill>
              <w14:schemeClr w14:val="tx1"/>
            </w14:solidFill>
          </w14:textFill>
        </w:rPr>
        <w:t xml:space="preserve">（如投标人不属于残疾人福利性单位不需要提供此声明函）</w:t>
      </w:r>
      <w:r/>
    </w:p>
    <w:p>
      <w:pPr>
        <w:pStyle w:val="696"/>
        <w:ind w:firstLine="624"/>
        <w:spacing w:line="360" w:lineRule="auto"/>
        <w:rPr>
          <w:rFonts w:ascii="宋体" w:hAnsi="宋体" w:cs="宋体"/>
          <w:color w:val="000000" w:themeColor="text1"/>
          <w:spacing w:val="6"/>
          <w:sz w:val="30"/>
          <w:szCs w:val="30"/>
          <w:highlight w:val="none"/>
          <w14:textFill>
            <w14:solidFill>
              <w14:schemeClr w14:val="tx1"/>
            </w14:solidFill>
          </w14:textFill>
        </w:rPr>
      </w:pPr>
      <w:r>
        <w:rPr>
          <w:rFonts w:ascii="宋体" w:hAnsi="宋体" w:cs="宋体"/>
          <w:color w:val="000000" w:themeColor="text1"/>
          <w:spacing w:val="6"/>
          <w:sz w:val="30"/>
          <w:szCs w:val="30"/>
          <w:highlight w:val="none"/>
          <w14:textFill>
            <w14:solidFill>
              <w14:schemeClr w14:val="tx1"/>
            </w14:solidFill>
          </w14:textFill>
        </w:rPr>
      </w:r>
      <w:r/>
    </w:p>
    <w:p>
      <w:pPr>
        <w:pStyle w:val="696"/>
        <w:ind w:firstLine="62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项目名称：</w:t>
      </w:r>
      <w:r>
        <w:rPr>
          <w:rFonts w:hint="eastAsia" w:ascii="宋体" w:hAnsi="宋体" w:cs="宋体"/>
          <w:color w:val="000000" w:themeColor="text1"/>
          <w:spacing w:val="6"/>
          <w:sz w:val="24"/>
          <w:highlight w:val="none"/>
          <w:lang w:eastAsia="zh-CN"/>
          <w14:textFill>
            <w14:solidFill>
              <w14:schemeClr w14:val="tx1"/>
            </w14:solidFill>
          </w14:textFill>
        </w:rPr>
        <w:t xml:space="preserve">徐州百耀房地产开发有限公司XT2022-23号地块安置房项目桩基检测</w:t>
      </w:r>
      <w:r/>
    </w:p>
    <w:p>
      <w:pPr>
        <w:pStyle w:val="696"/>
        <w:ind w:firstLine="62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项目编号：</w:t>
      </w:r>
      <w:r>
        <w:rPr>
          <w:rFonts w:hint="eastAsia" w:ascii="宋体" w:hAnsi="宋体" w:cs="宋体"/>
          <w:color w:val="000000" w:themeColor="text1"/>
          <w:spacing w:val="6"/>
          <w:sz w:val="24"/>
          <w:highlight w:val="none"/>
          <w:lang w:eastAsia="zh-CN"/>
          <w14:textFill>
            <w14:solidFill>
              <w14:schemeClr w14:val="tx1"/>
            </w14:solidFill>
          </w14:textFill>
        </w:rPr>
        <w:t xml:space="preserve">JSZC-320312-ZRXM-G2026-0004</w:t>
      </w:r>
      <w:r/>
    </w:p>
    <w:p>
      <w:pPr>
        <w:pStyle w:val="696"/>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highlight w:val="none"/>
          <w14:textFill>
            <w14:solidFill>
              <w14:schemeClr w14:val="tx1"/>
            </w14:solidFill>
          </w14:textFill>
        </w:rPr>
        <w:t xml:space="preserve">______</w:t>
      </w:r>
      <w:r>
        <w:rPr>
          <w:rFonts w:hint="eastAsia" w:ascii="宋体" w:hAnsi="宋体" w:cs="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z w:val="24"/>
          <w:highlight w:val="none"/>
          <w14:textFill>
            <w14:solidFill>
              <w14:schemeClr w14:val="tx1"/>
            </w14:solidFill>
          </w14:textFill>
        </w:rPr>
        <w:t xml:space="preserve">______</w:t>
      </w:r>
      <w:r>
        <w:rPr>
          <w:rFonts w:hint="eastAsia" w:ascii="宋体" w:hAnsi="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696"/>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pStyle w:val="696"/>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pStyle w:val="696"/>
        <w:ind w:firstLine="624"/>
        <w:spacing w:line="36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pStyle w:val="696"/>
        <w:ind w:firstLine="25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6"/>
        <w:ind w:firstLine="255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6"/>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696"/>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696"/>
        <w:ind w:firstLine="45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6"/>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696"/>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pStyle w:val="696"/>
        <w:ind w:firstLine="600"/>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八</w:t>
      </w:r>
      <w:r>
        <w:rPr>
          <w:rFonts w:hint="eastAsia" w:ascii="宋体" w:hAnsi="宋体" w:cs="宋体"/>
          <w:b/>
          <w:bCs/>
          <w:color w:val="000000" w:themeColor="text1"/>
          <w:sz w:val="30"/>
          <w:szCs w:val="30"/>
          <w:highlight w:val="none"/>
          <w14:textFill>
            <w14:solidFill>
              <w14:schemeClr w14:val="tx1"/>
            </w14:solidFill>
          </w14:textFill>
        </w:rPr>
        <w:t xml:space="preserve">、投标人参加政府采购活动前3年内在经营活动中没有重大违法记录的书面声明格式</w:t>
      </w:r>
      <w:r/>
    </w:p>
    <w:p>
      <w:pPr>
        <w:pStyle w:val="696"/>
        <w:ind w:firstLine="600"/>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徐州百耀房地产开发有限公司XT2022-23号地块安置房项目桩基检测</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JSZC-320312-ZRXM-G2026-0004</w:t>
      </w:r>
      <w:r>
        <w:rPr>
          <w:rFonts w:hint="eastAsia" w:ascii="宋体" w:hAnsi="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936"/>
        <w:ind w:firstLine="600"/>
        <w:spacing w:before="0" w:beforeAutospacing="0" w:after="0" w:afterAutospacing="0"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我单位对上述声明的真实性负责。如有虚假，将依法承担相应责任。</w:t>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6"/>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94"/>
        <w:spacing w:line="36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696"/>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pStyle w:val="696"/>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696"/>
        <w:ind w:firstLine="45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717"/>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718"/>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696"/>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17"/>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718"/>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696"/>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17"/>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718"/>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696"/>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17"/>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718"/>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17"/>
        <w:spacing w:line="360" w:lineRule="auto"/>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numPr>
          <w:ilvl w:val="0"/>
          <w:numId w:val="0"/>
        </w:numPr>
        <w:jc w:val="center"/>
        <w:spacing w:before="100" w:beforeAutospacing="1" w:after="100" w:afterAutospacing="1" w:line="240" w:lineRule="auto"/>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九、</w:t>
      </w:r>
      <w:r>
        <w:rPr>
          <w:rFonts w:hint="eastAsia" w:ascii="宋体" w:hAnsi="宋体" w:cs="宋体"/>
          <w:b/>
          <w:bCs/>
          <w:color w:val="000000" w:themeColor="text1"/>
          <w:sz w:val="30"/>
          <w:szCs w:val="30"/>
          <w:highlight w:val="none"/>
          <w14:textFill>
            <w14:solidFill>
              <w14:schemeClr w14:val="tx1"/>
            </w14:solidFill>
          </w14:textFill>
        </w:rPr>
        <w:t xml:space="preserve">具备履行合同所必需的设备和专业技术能力的书面声明</w:t>
      </w:r>
      <w:r/>
    </w:p>
    <w:p>
      <w:pPr>
        <w:numPr>
          <w:ilvl w:val="0"/>
          <w:numId w:val="0"/>
        </w:numPr>
        <w:jc w:val="center"/>
        <w:spacing w:before="100" w:beforeAutospacing="1" w:after="100" w:afterAutospacing="1"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格式</w:t>
      </w:r>
      <w:r/>
    </w:p>
    <w:p>
      <w:pPr>
        <w:ind w:firstLine="480"/>
        <w:jc w:val="both"/>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徐州百耀房地产开发有限公司XT2022-23号地块安置房项目桩基检测</w:t>
      </w:r>
      <w:r/>
    </w:p>
    <w:p>
      <w:pPr>
        <w:ind w:firstLine="480"/>
        <w:jc w:val="both"/>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JSZC-320312-ZRXM-G2026-0004</w:t>
      </w:r>
      <w:r/>
    </w:p>
    <w:p>
      <w:pP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供应商郑重声明：投标人具备履行合同（项目名称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所必需的设备和专业技术能力</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6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6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6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6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6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供应商对上述声明的真实性负责。如有虚假，将依法承担相应责任。</w:t>
      </w:r>
      <w:r/>
    </w:p>
    <w:p>
      <w:pPr>
        <w:jc w:val="both"/>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pStyle w:val="667"/>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r>
      <w:r/>
    </w:p>
    <w:p>
      <w:pPr>
        <w:pStyle w:val="667"/>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right"/>
        <w:rPr>
          <w:rFonts w:ascii="宋体" w:hAnsi="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rPr>
          <w:rFonts w:hint="eastAsia" w:ascii="宋体" w:hAnsi="宋体" w:cs="宋体"/>
          <w:color w:val="000000" w:themeColor="text1"/>
          <w:sz w:val="30"/>
          <w:szCs w:val="30"/>
          <w:highlight w:val="none"/>
          <w14:textFill>
            <w14:solidFill>
              <w14:schemeClr w14:val="tx1"/>
            </w14:solidFill>
          </w14:textFill>
        </w:rPr>
        <w:br w:type="page" w:clear="all"/>
      </w:r>
      <w:r/>
    </w:p>
    <w:p>
      <w:pPr>
        <w:numPr>
          <w:ilvl w:val="0"/>
          <w:numId w:val="0"/>
        </w:numPr>
        <w:jc w:val="center"/>
        <w:spacing w:before="100" w:beforeAutospacing="1" w:after="100" w:afterAutospacing="1" w:line="24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30"/>
          <w:szCs w:val="30"/>
          <w:highlight w:val="none"/>
          <w14:textFill>
            <w14:solidFill>
              <w14:schemeClr w14:val="tx1"/>
            </w14:solidFill>
          </w14:textFill>
        </w:rPr>
        <w:t xml:space="preserve">预付款保函支付条款模板</w:t>
      </w:r>
      <w:r/>
    </w:p>
    <w:p>
      <w:pPr>
        <w:ind w:firstLine="565"/>
        <w:spacing w:line="480" w:lineRule="exact"/>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ind w:left="140"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mbria">
    <w:panose1 w:val="02040503050406030204"/>
  </w:font>
  <w:font w:name="Symbol">
    <w:panose1 w:val="05050102010706020507"/>
  </w:font>
  <w:font w:name="新宋体">
    <w:panose1 w:val="02010609030101010101"/>
  </w:font>
  <w:font w:name="Calibri">
    <w:panose1 w:val="020F0502020204030204"/>
  </w:font>
  <w:font w:name="微软雅黑">
    <w:panose1 w:val="020B0503020204020204"/>
  </w:font>
  <w:font w:name="Courier New">
    <w:panose1 w:val="02070309020205020404"/>
  </w:font>
  <w:font w:name="仿宋">
    <w:panose1 w:val="02010609060101010101"/>
  </w:font>
  <w:font w:name="Verdana">
    <w:panose1 w:val="020B0604030504040204"/>
  </w:font>
  <w:font w:name="仿宋_GB2312">
    <w:panose1 w:val="02010609060101010101"/>
  </w:font>
  <w:font w:name="黑体">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1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3" w:default="1">
    <w:name w:val="Normal"/>
    <w:next w:val="655"/>
    <w:uiPriority w:val="0"/>
    <w:qFormat/>
    <w:rPr>
      <w:rFonts w:hint="default" w:ascii="Times New Roman" w:hAnsi="Times New Roman" w:eastAsia="宋体" w:cs="Times New Roman"/>
      <w:lang w:val="en-US" w:eastAsia="zh-CN" w:bidi="ar-SA"/>
    </w:rPr>
  </w:style>
  <w:style w:type="paragraph" w:styleId="644">
    <w:name w:val="Heading 1"/>
    <w:basedOn w:val="643"/>
    <w:next w:val="643"/>
    <w:link w:val="776"/>
    <w:uiPriority w:val="9"/>
    <w:qFormat/>
    <w:pPr>
      <w:keepLines/>
      <w:keepNext/>
      <w:spacing w:before="480" w:after="200"/>
      <w:outlineLvl w:val="0"/>
    </w:pPr>
    <w:rPr>
      <w:rFonts w:ascii="Arial" w:hAnsi="Arial" w:eastAsia="Arial" w:cs="Arial"/>
      <w:sz w:val="40"/>
      <w:szCs w:val="40"/>
    </w:rPr>
  </w:style>
  <w:style w:type="paragraph" w:styleId="645">
    <w:name w:val="Heading 2"/>
    <w:basedOn w:val="643"/>
    <w:next w:val="643"/>
    <w:uiPriority w:val="0"/>
    <w:qFormat/>
    <w:pPr>
      <w:keepLines/>
      <w:keepNext/>
      <w:spacing w:before="260" w:after="260" w:line="416" w:lineRule="auto"/>
      <w:outlineLvl w:val="1"/>
    </w:pPr>
    <w:rPr>
      <w:rFonts w:ascii="Calibri Light" w:hAnsi="Calibri Light"/>
      <w:b/>
      <w:bCs/>
      <w:sz w:val="24"/>
      <w:szCs w:val="32"/>
    </w:rPr>
  </w:style>
  <w:style w:type="paragraph" w:styleId="646">
    <w:name w:val="Heading 3"/>
    <w:basedOn w:val="643"/>
    <w:next w:val="643"/>
    <w:link w:val="778"/>
    <w:uiPriority w:val="9"/>
    <w:unhideWhenUsed/>
    <w:qFormat/>
    <w:pPr>
      <w:keepLines/>
      <w:keepNext/>
      <w:spacing w:before="320" w:after="200"/>
      <w:outlineLvl w:val="2"/>
    </w:pPr>
    <w:rPr>
      <w:rFonts w:ascii="Arial" w:hAnsi="Arial" w:eastAsia="Arial" w:cs="Arial"/>
      <w:sz w:val="30"/>
      <w:szCs w:val="30"/>
    </w:rPr>
  </w:style>
  <w:style w:type="paragraph" w:styleId="647">
    <w:name w:val="Heading 4"/>
    <w:next w:val="643"/>
    <w:link w:val="779"/>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648">
    <w:name w:val="Heading 5"/>
    <w:next w:val="643"/>
    <w:link w:val="78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649">
    <w:name w:val="Heading 6"/>
    <w:next w:val="643"/>
    <w:link w:val="78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650">
    <w:name w:val="Heading 7"/>
    <w:next w:val="643"/>
    <w:link w:val="78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51">
    <w:name w:val="Heading 8"/>
    <w:next w:val="643"/>
    <w:link w:val="78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652">
    <w:name w:val="Heading 9"/>
    <w:next w:val="643"/>
    <w:link w:val="78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Layout w:type="fixed"/>
      <w:tblCellMar>
        <w:left w:w="108" w:type="dxa"/>
        <w:top w:w="0" w:type="dxa"/>
        <w:right w:w="108" w:type="dxa"/>
        <w:bottom w:w="0" w:type="dxa"/>
      </w:tblCellMar>
    </w:tblPr>
  </w:style>
  <w:style w:type="paragraph" w:styleId="655">
    <w:name w:val="Body Text"/>
    <w:basedOn w:val="643"/>
    <w:next w:val="656"/>
    <w:uiPriority w:val="0"/>
    <w:qFormat/>
    <w:rPr>
      <w:rFonts w:ascii="Verdana" w:hAnsi="Verdana"/>
      <w:sz w:val="24"/>
      <w:szCs w:val="18"/>
    </w:rPr>
  </w:style>
  <w:style w:type="paragraph" w:styleId="656">
    <w:name w:val="Quote"/>
    <w:basedOn w:val="643"/>
    <w:next w:val="643"/>
    <w:link w:val="788"/>
    <w:uiPriority w:val="29"/>
    <w:qFormat/>
    <w:pPr>
      <w:ind w:left="720" w:right="720"/>
    </w:pPr>
    <w:rPr>
      <w:rFonts w:hint="default" w:ascii="Times New Roman" w:hAnsi="Times New Roman" w:eastAsia="宋体" w:cs="Times New Roman"/>
      <w:i/>
      <w:lang w:val="en-US" w:eastAsia="zh-CN" w:bidi="ar-SA"/>
    </w:rPr>
  </w:style>
  <w:style w:type="paragraph" w:styleId="657">
    <w:name w:val="annotation subject"/>
    <w:basedOn w:val="658"/>
    <w:next w:val="658"/>
    <w:link w:val="970"/>
    <w:uiPriority w:val="99"/>
    <w:semiHidden/>
    <w:unhideWhenUsed/>
    <w:qFormat/>
    <w:rPr>
      <w:b/>
      <w:bCs/>
    </w:rPr>
  </w:style>
  <w:style w:type="paragraph" w:styleId="658">
    <w:name w:val="annotation text"/>
    <w:basedOn w:val="643"/>
    <w:link w:val="969"/>
    <w:uiPriority w:val="99"/>
    <w:semiHidden/>
    <w:unhideWhenUsed/>
    <w:qFormat/>
  </w:style>
  <w:style w:type="paragraph" w:styleId="659">
    <w:name w:val="toc 7"/>
    <w:next w:val="643"/>
    <w:uiPriority w:val="39"/>
    <w:unhideWhenUsed/>
    <w:qFormat/>
    <w:pPr>
      <w:ind w:left="1701"/>
      <w:spacing w:after="57"/>
    </w:pPr>
    <w:rPr>
      <w:rFonts w:hint="default" w:ascii="Times New Roman" w:hAnsi="Times New Roman" w:eastAsia="宋体" w:cs="Times New Roman"/>
      <w:lang w:val="en-US" w:eastAsia="zh-CN" w:bidi="ar-SA"/>
    </w:rPr>
  </w:style>
  <w:style w:type="paragraph" w:styleId="660">
    <w:name w:val="Body Text First Indent"/>
    <w:basedOn w:val="655"/>
    <w:next w:val="661"/>
    <w:uiPriority w:val="99"/>
    <w:qFormat/>
    <w:pPr>
      <w:ind w:firstLine="420"/>
      <w:spacing w:after="120" w:line="440" w:lineRule="exact"/>
    </w:pPr>
    <w:rPr>
      <w:rFonts w:ascii="宋体"/>
    </w:rPr>
  </w:style>
  <w:style w:type="paragraph" w:styleId="661">
    <w:name w:val="Body Text First Indent 2"/>
    <w:basedOn w:val="662"/>
    <w:next w:val="643"/>
    <w:uiPriority w:val="99"/>
    <w:unhideWhenUsed/>
    <w:qFormat/>
    <w:pPr>
      <w:ind w:firstLine="420"/>
    </w:pPr>
    <w:rPr>
      <w:sz w:val="21"/>
      <w:szCs w:val="24"/>
    </w:rPr>
  </w:style>
  <w:style w:type="paragraph" w:styleId="662">
    <w:name w:val="Body Text Indent"/>
    <w:basedOn w:val="643"/>
    <w:next w:val="663"/>
    <w:uiPriority w:val="0"/>
    <w:qFormat/>
    <w:pPr>
      <w:ind w:left="420"/>
      <w:spacing w:after="120"/>
    </w:pPr>
  </w:style>
  <w:style w:type="paragraph" w:styleId="663">
    <w:name w:val="envelope return"/>
    <w:basedOn w:val="643"/>
    <w:uiPriority w:val="99"/>
    <w:unhideWhenUsed/>
    <w:qFormat/>
    <w:rPr>
      <w:rFonts w:ascii="Arial" w:hAnsi="Arial" w:cs="Arial"/>
    </w:rPr>
  </w:style>
  <w:style w:type="paragraph" w:styleId="664">
    <w:name w:val="Normal Indent"/>
    <w:basedOn w:val="643"/>
    <w:uiPriority w:val="0"/>
    <w:qFormat/>
    <w:pPr>
      <w:ind w:firstLine="420"/>
    </w:pPr>
  </w:style>
  <w:style w:type="paragraph" w:styleId="665">
    <w:name w:val="Caption"/>
    <w:next w:val="643"/>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666">
    <w:name w:val="index 5"/>
    <w:basedOn w:val="643"/>
    <w:next w:val="643"/>
    <w:uiPriority w:val="99"/>
    <w:qFormat/>
    <w:pPr>
      <w:ind w:left="798"/>
    </w:pPr>
  </w:style>
  <w:style w:type="paragraph" w:styleId="667">
    <w:name w:val="Block Text"/>
    <w:basedOn w:val="643"/>
    <w:next w:val="643"/>
    <w:uiPriority w:val="6"/>
    <w:qFormat/>
    <w:pPr>
      <w:ind w:left="256" w:right="6" w:firstLine="624"/>
    </w:pPr>
    <w:rPr>
      <w:rFonts w:eastAsia="仿宋"/>
      <w:sz w:val="28"/>
    </w:rPr>
  </w:style>
  <w:style w:type="paragraph" w:styleId="668">
    <w:name w:val="index 4"/>
    <w:basedOn w:val="643"/>
    <w:next w:val="643"/>
    <w:uiPriority w:val="99"/>
    <w:qFormat/>
    <w:pPr>
      <w:ind w:left="600"/>
    </w:pPr>
    <w:rPr>
      <w:sz w:val="24"/>
      <w:szCs w:val="24"/>
    </w:rPr>
  </w:style>
  <w:style w:type="paragraph" w:styleId="669">
    <w:name w:val="toc 5"/>
    <w:next w:val="643"/>
    <w:uiPriority w:val="39"/>
    <w:unhideWhenUsed/>
    <w:qFormat/>
    <w:pPr>
      <w:ind w:left="1134"/>
      <w:spacing w:after="57"/>
    </w:pPr>
    <w:rPr>
      <w:rFonts w:hint="default" w:ascii="Times New Roman" w:hAnsi="Times New Roman" w:eastAsia="宋体" w:cs="Times New Roman"/>
      <w:lang w:val="en-US" w:eastAsia="zh-CN" w:bidi="ar-SA"/>
    </w:rPr>
  </w:style>
  <w:style w:type="paragraph" w:styleId="670">
    <w:name w:val="toc 3"/>
    <w:next w:val="643"/>
    <w:uiPriority w:val="39"/>
    <w:unhideWhenUsed/>
    <w:qFormat/>
    <w:pPr>
      <w:ind w:left="567"/>
      <w:spacing w:after="57"/>
    </w:pPr>
    <w:rPr>
      <w:rFonts w:hint="default" w:ascii="Times New Roman" w:hAnsi="Times New Roman" w:eastAsia="宋体" w:cs="Times New Roman"/>
      <w:lang w:val="en-US" w:eastAsia="zh-CN" w:bidi="ar-SA"/>
    </w:rPr>
  </w:style>
  <w:style w:type="paragraph" w:styleId="671">
    <w:name w:val="Plain Text"/>
    <w:basedOn w:val="643"/>
    <w:uiPriority w:val="0"/>
    <w:qFormat/>
    <w:pPr>
      <w:spacing w:before="156" w:after="156" w:line="400" w:lineRule="exact"/>
    </w:pPr>
    <w:rPr>
      <w:rFonts w:ascii="宋体" w:hAnsi="Courier New"/>
    </w:rPr>
  </w:style>
  <w:style w:type="paragraph" w:styleId="672">
    <w:name w:val="toc 8"/>
    <w:next w:val="643"/>
    <w:uiPriority w:val="39"/>
    <w:unhideWhenUsed/>
    <w:qFormat/>
    <w:pPr>
      <w:ind w:left="1984"/>
      <w:spacing w:after="57"/>
    </w:pPr>
    <w:rPr>
      <w:rFonts w:hint="default" w:ascii="Times New Roman" w:hAnsi="Times New Roman" w:eastAsia="宋体" w:cs="Times New Roman"/>
      <w:lang w:val="en-US" w:eastAsia="zh-CN" w:bidi="ar-SA"/>
    </w:rPr>
  </w:style>
  <w:style w:type="paragraph" w:styleId="673">
    <w:name w:val="endnote text"/>
    <w:link w:val="920"/>
    <w:uiPriority w:val="99"/>
    <w:semiHidden/>
    <w:unhideWhenUsed/>
    <w:qFormat/>
    <w:rPr>
      <w:rFonts w:hint="default" w:ascii="Times New Roman" w:hAnsi="Times New Roman" w:eastAsia="宋体" w:cs="Times New Roman"/>
      <w:lang w:val="en-US" w:eastAsia="zh-CN" w:bidi="ar-SA"/>
    </w:rPr>
  </w:style>
  <w:style w:type="paragraph" w:styleId="674">
    <w:name w:val="Balloon Text"/>
    <w:basedOn w:val="643"/>
    <w:link w:val="968"/>
    <w:uiPriority w:val="99"/>
    <w:semiHidden/>
    <w:unhideWhenUsed/>
    <w:qFormat/>
    <w:rPr>
      <w:sz w:val="18"/>
      <w:szCs w:val="18"/>
    </w:rPr>
  </w:style>
  <w:style w:type="paragraph" w:styleId="675">
    <w:name w:val="Footer"/>
    <w:basedOn w:val="643"/>
    <w:link w:val="793"/>
    <w:uiPriority w:val="99"/>
    <w:unhideWhenUsed/>
    <w:qFormat/>
    <w:pPr>
      <w:tabs>
        <w:tab w:val="center" w:pos="7143" w:leader="none"/>
        <w:tab w:val="right" w:pos="14287" w:leader="none"/>
      </w:tabs>
    </w:pPr>
  </w:style>
  <w:style w:type="paragraph" w:styleId="676">
    <w:name w:val="Header"/>
    <w:basedOn w:val="643"/>
    <w:link w:val="791"/>
    <w:uiPriority w:val="99"/>
    <w:unhideWhenUsed/>
    <w:qFormat/>
    <w:pPr>
      <w:tabs>
        <w:tab w:val="center" w:pos="7143" w:leader="none"/>
        <w:tab w:val="right" w:pos="14287" w:leader="none"/>
      </w:tabs>
    </w:pPr>
  </w:style>
  <w:style w:type="paragraph" w:styleId="677">
    <w:name w:val="toc 1"/>
    <w:basedOn w:val="643"/>
    <w:next w:val="643"/>
    <w:uiPriority w:val="39"/>
    <w:unhideWhenUsed/>
    <w:qFormat/>
    <w:pPr>
      <w:spacing w:after="57"/>
    </w:pPr>
  </w:style>
  <w:style w:type="paragraph" w:styleId="678">
    <w:name w:val="toc 4"/>
    <w:next w:val="643"/>
    <w:uiPriority w:val="39"/>
    <w:unhideWhenUsed/>
    <w:qFormat/>
    <w:pPr>
      <w:ind w:left="850"/>
      <w:spacing w:after="57"/>
    </w:pPr>
    <w:rPr>
      <w:rFonts w:hint="default" w:ascii="Times New Roman" w:hAnsi="Times New Roman" w:eastAsia="宋体" w:cs="Times New Roman"/>
      <w:lang w:val="en-US" w:eastAsia="zh-CN" w:bidi="ar-SA"/>
    </w:rPr>
  </w:style>
  <w:style w:type="paragraph" w:styleId="679">
    <w:name w:val="Subtitle"/>
    <w:link w:val="78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680">
    <w:name w:val="footnote text"/>
    <w:basedOn w:val="643"/>
    <w:next w:val="666"/>
    <w:link w:val="919"/>
    <w:uiPriority w:val="99"/>
    <w:semiHidden/>
    <w:unhideWhenUsed/>
    <w:qFormat/>
    <w:pPr>
      <w:spacing w:after="40"/>
    </w:pPr>
    <w:rPr>
      <w:sz w:val="18"/>
    </w:rPr>
  </w:style>
  <w:style w:type="paragraph" w:styleId="681">
    <w:name w:val="toc 6"/>
    <w:next w:val="643"/>
    <w:uiPriority w:val="39"/>
    <w:unhideWhenUsed/>
    <w:qFormat/>
    <w:pPr>
      <w:ind w:left="1417"/>
      <w:spacing w:after="57"/>
    </w:pPr>
    <w:rPr>
      <w:rFonts w:hint="default" w:ascii="Times New Roman" w:hAnsi="Times New Roman" w:eastAsia="宋体" w:cs="Times New Roman"/>
      <w:lang w:val="en-US" w:eastAsia="zh-CN" w:bidi="ar-SA"/>
    </w:rPr>
  </w:style>
  <w:style w:type="paragraph" w:styleId="682">
    <w:name w:val="table of figures"/>
    <w:next w:val="643"/>
    <w:uiPriority w:val="99"/>
    <w:unhideWhenUsed/>
    <w:qFormat/>
    <w:rPr>
      <w:rFonts w:hint="default" w:ascii="Times New Roman" w:hAnsi="Times New Roman" w:eastAsia="宋体" w:cs="Times New Roman"/>
      <w:lang w:val="en-US" w:eastAsia="zh-CN" w:bidi="ar-SA"/>
    </w:rPr>
  </w:style>
  <w:style w:type="paragraph" w:styleId="683">
    <w:name w:val="toc 2"/>
    <w:next w:val="643"/>
    <w:uiPriority w:val="39"/>
    <w:unhideWhenUsed/>
    <w:qFormat/>
    <w:pPr>
      <w:ind w:left="283"/>
      <w:spacing w:after="57"/>
    </w:pPr>
    <w:rPr>
      <w:rFonts w:hint="default" w:ascii="Times New Roman" w:hAnsi="Times New Roman" w:eastAsia="宋体" w:cs="Times New Roman"/>
      <w:lang w:val="en-US" w:eastAsia="zh-CN" w:bidi="ar-SA"/>
    </w:rPr>
  </w:style>
  <w:style w:type="paragraph" w:styleId="684">
    <w:name w:val="toc 9"/>
    <w:next w:val="643"/>
    <w:uiPriority w:val="39"/>
    <w:unhideWhenUsed/>
    <w:qFormat/>
    <w:pPr>
      <w:ind w:left="2268"/>
      <w:spacing w:after="57"/>
    </w:pPr>
    <w:rPr>
      <w:rFonts w:hint="default" w:ascii="Times New Roman" w:hAnsi="Times New Roman" w:eastAsia="宋体" w:cs="Times New Roman"/>
      <w:lang w:val="en-US" w:eastAsia="zh-CN" w:bidi="ar-SA"/>
    </w:rPr>
  </w:style>
  <w:style w:type="paragraph" w:styleId="685">
    <w:name w:val="Normal (Web)"/>
    <w:basedOn w:val="643"/>
    <w:uiPriority w:val="99"/>
    <w:semiHidden/>
    <w:unhideWhenUsed/>
    <w:qFormat/>
    <w:rPr>
      <w:sz w:val="24"/>
    </w:rPr>
  </w:style>
  <w:style w:type="paragraph" w:styleId="686">
    <w:name w:val="Title"/>
    <w:basedOn w:val="643"/>
    <w:next w:val="643"/>
    <w:link w:val="786"/>
    <w:uiPriority w:val="10"/>
    <w:qFormat/>
    <w:pPr>
      <w:contextualSpacing/>
      <w:spacing w:before="300" w:after="200"/>
    </w:pPr>
    <w:rPr>
      <w:sz w:val="48"/>
      <w:szCs w:val="48"/>
    </w:rPr>
  </w:style>
  <w:style w:type="character" w:styleId="687">
    <w:name w:val="endnote reference"/>
    <w:uiPriority w:val="99"/>
    <w:semiHidden/>
    <w:unhideWhenUsed/>
    <w:qFormat/>
    <w:rPr>
      <w:vertAlign w:val="superscript"/>
    </w:rPr>
  </w:style>
  <w:style w:type="character" w:styleId="688">
    <w:name w:val="page number"/>
    <w:basedOn w:val="653"/>
    <w:uiPriority w:val="99"/>
    <w:qFormat/>
  </w:style>
  <w:style w:type="character" w:styleId="689">
    <w:name w:val="FollowedHyperlink"/>
    <w:basedOn w:val="653"/>
    <w:uiPriority w:val="99"/>
    <w:unhideWhenUsed/>
    <w:qFormat/>
    <w:rPr>
      <w:color w:val="800080"/>
      <w:u w:val="single"/>
    </w:rPr>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annotation reference"/>
    <w:basedOn w:val="653"/>
    <w:uiPriority w:val="99"/>
    <w:semiHidden/>
    <w:unhideWhenUsed/>
    <w:qFormat/>
    <w:rPr>
      <w:sz w:val="21"/>
      <w:szCs w:val="21"/>
    </w:rPr>
  </w:style>
  <w:style w:type="character" w:styleId="692">
    <w:name w:val="footnote reference"/>
    <w:uiPriority w:val="99"/>
    <w:unhideWhenUsed/>
    <w:qFormat/>
    <w:rPr>
      <w:vertAlign w:val="superscript"/>
    </w:rPr>
  </w:style>
  <w:style w:type="table" w:styleId="693">
    <w:name w:val="Table Grid"/>
    <w:basedOn w:val="6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694" w:customStyle="1">
    <w:name w:val="一级条标题"/>
    <w:basedOn w:val="695"/>
    <w:next w:val="7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5" w:customStyle="1">
    <w:name w:val="章标题"/>
    <w:basedOn w:val="696"/>
    <w:next w:val="696"/>
    <w:uiPriority w:val="0"/>
    <w:qFormat/>
    <w:pPr>
      <w:jc w:val="center"/>
      <w:spacing w:before="158" w:after="153" w:line="1292" w:lineRule="atLeast"/>
      <w:widowControl/>
    </w:pPr>
    <w:rPr>
      <w:rFonts w:ascii="Arial" w:hAnsi="Calibri" w:eastAsia="黑体"/>
      <w:sz w:val="31"/>
      <w:szCs w:val="22"/>
      <w:lang w:eastAsia="en-US" w:bidi="en-US"/>
    </w:rPr>
  </w:style>
  <w:style w:type="paragraph" w:styleId="696" w:customStyle="1">
    <w:name w:val="正文1"/>
    <w:basedOn w:val="697"/>
    <w:next w:val="699"/>
    <w:link w:val="939"/>
    <w:uiPriority w:val="0"/>
    <w:qFormat/>
  </w:style>
  <w:style w:type="paragraph" w:styleId="697" w:customStyle="1">
    <w:name w:val="正文11"/>
    <w:next w:val="6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customStyle="1">
    <w:name w:val="标题 21"/>
    <w:basedOn w:val="696"/>
    <w:next w:val="697"/>
    <w:uiPriority w:val="0"/>
    <w:qFormat/>
    <w:pPr>
      <w:jc w:val="center"/>
      <w:keepLines/>
      <w:keepNext/>
      <w:spacing w:before="260" w:after="260" w:line="360" w:lineRule="auto"/>
      <w:outlineLvl w:val="1"/>
    </w:pPr>
    <w:rPr>
      <w:rFonts w:ascii="Arial" w:hAnsi="Arial" w:eastAsia="仿宋"/>
      <w:bCs/>
      <w:sz w:val="24"/>
      <w:szCs w:val="32"/>
    </w:rPr>
  </w:style>
  <w:style w:type="paragraph" w:styleId="699" w:customStyle="1">
    <w:name w:val="文本块1"/>
    <w:basedOn w:val="696"/>
    <w:next w:val="700"/>
    <w:uiPriority w:val="0"/>
    <w:qFormat/>
    <w:pPr>
      <w:ind w:left="1440" w:right="1440"/>
      <w:spacing w:after="120"/>
    </w:pPr>
  </w:style>
  <w:style w:type="paragraph" w:styleId="700" w:customStyle="1">
    <w:name w:val="标题 41"/>
    <w:basedOn w:val="701"/>
    <w:next w:val="703"/>
    <w:link w:val="925"/>
    <w:uiPriority w:val="0"/>
    <w:qFormat/>
    <w:pPr>
      <w:keepLines/>
      <w:keepNext/>
      <w:spacing w:before="280" w:after="290" w:line="376" w:lineRule="auto"/>
      <w:outlineLvl w:val="3"/>
    </w:pPr>
    <w:rPr>
      <w:rFonts w:ascii="Calibri Light" w:hAnsi="Calibri Light" w:eastAsia="宋体"/>
      <w:sz w:val="28"/>
      <w:szCs w:val="28"/>
    </w:rPr>
  </w:style>
  <w:style w:type="paragraph" w:styleId="701" w:customStyle="1">
    <w:name w:val="正文1111"/>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customStyle="1">
    <w:name w:val="文本块11"/>
    <w:basedOn w:val="701"/>
    <w:uiPriority w:val="0"/>
    <w:qFormat/>
    <w:pPr>
      <w:ind w:left="420" w:right="33"/>
      <w:jc w:val="left"/>
    </w:pPr>
    <w:rPr>
      <w:sz w:val="24"/>
      <w:szCs w:val="20"/>
    </w:rPr>
  </w:style>
  <w:style w:type="paragraph" w:styleId="703" w:customStyle="1">
    <w:name w:val="正文12"/>
    <w:next w:val="700"/>
    <w:uiPriority w:val="0"/>
    <w:qFormat/>
    <w:pPr>
      <w:jc w:val="both"/>
      <w:widowControl w:val="off"/>
    </w:pPr>
    <w:rPr>
      <w:rFonts w:hint="default" w:ascii="Calibri" w:hAnsi="Calibri" w:eastAsia="宋体" w:cs="Times New Roman"/>
      <w:sz w:val="21"/>
      <w:szCs w:val="24"/>
      <w:lang w:val="en-US" w:eastAsia="zh-CN" w:bidi="ar-SA"/>
    </w:rPr>
  </w:style>
  <w:style w:type="paragraph" w:styleId="704" w:customStyle="1">
    <w:name w:val="段"/>
    <w:basedOn w:val="705"/>
    <w:next w:val="696"/>
    <w:uiPriority w:val="0"/>
    <w:qFormat/>
    <w:pPr>
      <w:ind w:firstLine="200"/>
      <w:widowControl/>
    </w:pPr>
    <w:rPr>
      <w:rFonts w:ascii="宋体"/>
    </w:rPr>
  </w:style>
  <w:style w:type="paragraph" w:styleId="705" w:customStyle="1">
    <w:name w:val="正文13"/>
    <w:next w:val="706"/>
    <w:uiPriority w:val="0"/>
    <w:unhideWhenUsed/>
    <w:qFormat/>
    <w:pPr>
      <w:jc w:val="both"/>
      <w:widowControl w:val="off"/>
    </w:pPr>
    <w:rPr>
      <w:rFonts w:hint="default" w:ascii="Times New Roman" w:hAnsi="Times New Roman" w:eastAsia="宋体" w:cs="Times New Roman"/>
      <w:sz w:val="21"/>
      <w:lang w:val="en-US" w:eastAsia="zh-CN" w:bidi="ar-SA"/>
    </w:rPr>
  </w:style>
  <w:style w:type="paragraph" w:styleId="706" w:customStyle="1">
    <w:name w:val="正文首行缩进1"/>
    <w:basedOn w:val="655"/>
    <w:next w:val="707"/>
    <w:uiPriority w:val="0"/>
    <w:qFormat/>
    <w:pPr>
      <w:ind w:firstLine="420"/>
      <w:spacing w:after="120"/>
    </w:pPr>
    <w:rPr>
      <w:rFonts w:ascii="Times New Roman"/>
      <w:szCs w:val="24"/>
    </w:rPr>
  </w:style>
  <w:style w:type="paragraph" w:styleId="707" w:customStyle="1">
    <w:name w:val="正文首行缩进 211"/>
    <w:basedOn w:val="708"/>
    <w:next w:val="709"/>
    <w:uiPriority w:val="0"/>
    <w:qFormat/>
    <w:pPr>
      <w:ind w:firstLine="420"/>
    </w:pPr>
    <w:rPr>
      <w:sz w:val="24"/>
    </w:rPr>
  </w:style>
  <w:style w:type="paragraph" w:styleId="708" w:customStyle="1">
    <w:name w:val="正文文本缩进11"/>
    <w:basedOn w:val="703"/>
    <w:next w:val="709"/>
    <w:uiPriority w:val="0"/>
    <w:qFormat/>
    <w:pPr>
      <w:ind w:firstLine="425"/>
      <w:spacing w:line="360" w:lineRule="auto"/>
    </w:pPr>
  </w:style>
  <w:style w:type="paragraph" w:styleId="709" w:customStyle="1">
    <w:name w:val="正文112"/>
    <w:next w:val="7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customStyle="1">
    <w:name w:val="标题 111"/>
    <w:next w:val="697"/>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711" w:customStyle="1">
    <w:name w:val="标题1"/>
    <w:basedOn w:val="712"/>
    <w:next w:val="709"/>
    <w:uiPriority w:val="0"/>
    <w:qFormat/>
    <w:pPr>
      <w:jc w:val="center"/>
      <w:spacing w:before="300" w:after="300"/>
      <w:outlineLvl w:val="0"/>
    </w:pPr>
    <w:rPr>
      <w:rFonts w:ascii="Cambria" w:hAnsi="Cambria" w:eastAsia="仿宋_GB2312"/>
      <w:b/>
      <w:bCs/>
      <w:sz w:val="36"/>
      <w:szCs w:val="32"/>
    </w:rPr>
  </w:style>
  <w:style w:type="paragraph" w:styleId="712" w:customStyle="1">
    <w:name w:val="正文111"/>
    <w:next w:val="7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customStyle="1">
    <w:name w:val="脚注文本11"/>
    <w:basedOn w:val="643"/>
    <w:next w:val="714"/>
    <w:uiPriority w:val="0"/>
    <w:unhideWhenUsed/>
    <w:qFormat/>
    <w:pPr>
      <w:spacing w:after="40"/>
    </w:pPr>
    <w:rPr>
      <w:sz w:val="18"/>
    </w:rPr>
  </w:style>
  <w:style w:type="paragraph" w:styleId="714" w:customStyle="1">
    <w:name w:val="索引 511"/>
    <w:basedOn w:val="643"/>
    <w:next w:val="712"/>
    <w:uiPriority w:val="0"/>
    <w:qFormat/>
    <w:pPr>
      <w:ind w:left="798"/>
    </w:pPr>
  </w:style>
  <w:style w:type="paragraph" w:styleId="715" w:customStyle="1">
    <w:name w:val="无间隔1"/>
    <w:uiPriority w:val="99"/>
    <w:qFormat/>
    <w:rPr>
      <w:rFonts w:hint="default" w:ascii="Tahoma" w:hAnsi="Tahoma" w:eastAsia="微软雅黑" w:cs="Times New Roman"/>
      <w:sz w:val="22"/>
      <w:szCs w:val="22"/>
      <w:lang w:val="en-US" w:eastAsia="zh-CN" w:bidi="ar-SA"/>
    </w:rPr>
  </w:style>
  <w:style w:type="paragraph" w:styleId="716" w:customStyle="1">
    <w:name w:val="标题 211"/>
    <w:basedOn w:val="701"/>
    <w:next w:val="69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17" w:customStyle="1">
    <w:name w:val="脚注文本1"/>
    <w:basedOn w:val="696"/>
    <w:next w:val="718"/>
    <w:link w:val="934"/>
    <w:uiPriority w:val="0"/>
    <w:qFormat/>
    <w:pPr>
      <w:jc w:val="left"/>
    </w:pPr>
    <w:rPr>
      <w:rFonts w:ascii="宋体" w:eastAsia="Times New Roman"/>
      <w:sz w:val="18"/>
      <w:szCs w:val="18"/>
    </w:rPr>
  </w:style>
  <w:style w:type="paragraph" w:styleId="718" w:customStyle="1">
    <w:name w:val="索引 51"/>
    <w:basedOn w:val="696"/>
    <w:next w:val="696"/>
    <w:uiPriority w:val="0"/>
    <w:qFormat/>
    <w:pPr>
      <w:ind w:left="798"/>
      <w:jc w:val="left"/>
    </w:pPr>
    <w:rPr>
      <w:rFonts w:ascii="Calibri" w:hAnsi="Calibri"/>
    </w:rPr>
  </w:style>
  <w:style w:type="paragraph" w:styleId="719" w:customStyle="1">
    <w:name w:val="目录 11"/>
    <w:basedOn w:val="697"/>
    <w:next w:val="643"/>
    <w:uiPriority w:val="0"/>
    <w:qFormat/>
    <w:pPr>
      <w:jc w:val="left"/>
      <w:spacing w:after="100" w:line="259" w:lineRule="auto"/>
      <w:widowControl/>
    </w:pPr>
    <w:rPr>
      <w:rFonts w:ascii="Calibri" w:hAnsi="Calibri"/>
      <w:sz w:val="22"/>
      <w:szCs w:val="22"/>
    </w:rPr>
  </w:style>
  <w:style w:type="character" w:styleId="720" w:customStyle="1">
    <w:name w:val="Heading 1 Char"/>
    <w:basedOn w:val="653"/>
    <w:uiPriority w:val="9"/>
    <w:qFormat/>
    <w:rPr>
      <w:rFonts w:ascii="Arial" w:hAnsi="Arial" w:eastAsia="Arial" w:cs="Arial"/>
      <w:sz w:val="40"/>
      <w:szCs w:val="40"/>
    </w:rPr>
  </w:style>
  <w:style w:type="character" w:styleId="721" w:customStyle="1">
    <w:name w:val="Heading 3 Char"/>
    <w:basedOn w:val="653"/>
    <w:uiPriority w:val="9"/>
    <w:qFormat/>
    <w:rPr>
      <w:rFonts w:ascii="Arial" w:hAnsi="Arial" w:eastAsia="Arial" w:cs="Arial"/>
      <w:sz w:val="30"/>
      <w:szCs w:val="30"/>
    </w:rPr>
  </w:style>
  <w:style w:type="character" w:styleId="722" w:customStyle="1">
    <w:name w:val="Heading 4 Char"/>
    <w:basedOn w:val="653"/>
    <w:uiPriority w:val="9"/>
    <w:qFormat/>
    <w:rPr>
      <w:rFonts w:ascii="Arial" w:hAnsi="Arial" w:eastAsia="Arial" w:cs="Arial"/>
      <w:b/>
      <w:bCs/>
      <w:sz w:val="26"/>
      <w:szCs w:val="26"/>
    </w:rPr>
  </w:style>
  <w:style w:type="character" w:styleId="723" w:customStyle="1">
    <w:name w:val="Heading 5 Char"/>
    <w:basedOn w:val="653"/>
    <w:uiPriority w:val="9"/>
    <w:qFormat/>
    <w:rPr>
      <w:rFonts w:ascii="Arial" w:hAnsi="Arial" w:eastAsia="Arial" w:cs="Arial"/>
      <w:b/>
      <w:bCs/>
      <w:sz w:val="24"/>
      <w:szCs w:val="24"/>
    </w:rPr>
  </w:style>
  <w:style w:type="character" w:styleId="724" w:customStyle="1">
    <w:name w:val="Heading 6 Char"/>
    <w:basedOn w:val="653"/>
    <w:uiPriority w:val="9"/>
    <w:qFormat/>
    <w:rPr>
      <w:rFonts w:ascii="Arial" w:hAnsi="Arial" w:eastAsia="Arial" w:cs="Arial"/>
      <w:b/>
      <w:bCs/>
      <w:sz w:val="22"/>
      <w:szCs w:val="22"/>
    </w:rPr>
  </w:style>
  <w:style w:type="character" w:styleId="725" w:customStyle="1">
    <w:name w:val="Heading 7 Char"/>
    <w:basedOn w:val="653"/>
    <w:uiPriority w:val="9"/>
    <w:qFormat/>
    <w:rPr>
      <w:rFonts w:ascii="Arial" w:hAnsi="Arial" w:eastAsia="Arial" w:cs="Arial"/>
      <w:b/>
      <w:bCs/>
      <w:i/>
      <w:iCs/>
      <w:sz w:val="22"/>
      <w:szCs w:val="22"/>
    </w:rPr>
  </w:style>
  <w:style w:type="character" w:styleId="726" w:customStyle="1">
    <w:name w:val="Heading 8 Char"/>
    <w:basedOn w:val="653"/>
    <w:uiPriority w:val="9"/>
    <w:qFormat/>
    <w:rPr>
      <w:rFonts w:ascii="Arial" w:hAnsi="Arial" w:eastAsia="Arial" w:cs="Arial"/>
      <w:i/>
      <w:iCs/>
      <w:sz w:val="22"/>
      <w:szCs w:val="22"/>
    </w:rPr>
  </w:style>
  <w:style w:type="character" w:styleId="727" w:customStyle="1">
    <w:name w:val="Heading 9 Char"/>
    <w:basedOn w:val="653"/>
    <w:uiPriority w:val="9"/>
    <w:qFormat/>
    <w:rPr>
      <w:rFonts w:ascii="Arial" w:hAnsi="Arial" w:eastAsia="Arial" w:cs="Arial"/>
      <w:i/>
      <w:iCs/>
      <w:sz w:val="21"/>
      <w:szCs w:val="21"/>
    </w:rPr>
  </w:style>
  <w:style w:type="character" w:styleId="728" w:customStyle="1">
    <w:name w:val="Title Char"/>
    <w:basedOn w:val="653"/>
    <w:uiPriority w:val="10"/>
    <w:qFormat/>
    <w:rPr>
      <w:sz w:val="48"/>
      <w:szCs w:val="48"/>
    </w:rPr>
  </w:style>
  <w:style w:type="character" w:styleId="729" w:customStyle="1">
    <w:name w:val="Subtitle Char"/>
    <w:basedOn w:val="653"/>
    <w:uiPriority w:val="11"/>
    <w:qFormat/>
    <w:rPr>
      <w:sz w:val="24"/>
      <w:szCs w:val="24"/>
    </w:rPr>
  </w:style>
  <w:style w:type="character" w:styleId="730" w:customStyle="1">
    <w:name w:val="Quote Char"/>
    <w:uiPriority w:val="29"/>
    <w:qFormat/>
    <w:rPr>
      <w:i/>
    </w:rPr>
  </w:style>
  <w:style w:type="character" w:styleId="731" w:customStyle="1">
    <w:name w:val="Intense Quote Char"/>
    <w:uiPriority w:val="30"/>
    <w:qFormat/>
    <w:rPr>
      <w:i/>
    </w:rPr>
  </w:style>
  <w:style w:type="character" w:styleId="732" w:customStyle="1">
    <w:name w:val="Header Char"/>
    <w:basedOn w:val="653"/>
    <w:uiPriority w:val="99"/>
    <w:qFormat/>
  </w:style>
  <w:style w:type="character" w:styleId="733" w:customStyle="1">
    <w:name w:val="Caption Char"/>
    <w:uiPriority w:val="99"/>
    <w:qFormat/>
  </w:style>
  <w:style w:type="table" w:styleId="734" w:customStyle="1">
    <w:name w:val="Plain Table 1"/>
    <w:basedOn w:val="6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6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6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6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6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3"/>
    <w:basedOn w:val="6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6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
    <w:basedOn w:val="6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
    <w:basedOn w:val="6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7 Colorful"/>
    <w:basedOn w:val="6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List Table 1 Light"/>
    <w:basedOn w:val="6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
    <w:basedOn w:val="6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8" w:customStyle="1">
    <w:name w:val="List Table 3"/>
    <w:basedOn w:val="6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
    <w:basedOn w:val="6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
    <w:basedOn w:val="6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1" w:customStyle="1">
    <w:name w:val="List Table 6 Colorful"/>
    <w:basedOn w:val="654"/>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2" w:customStyle="1">
    <w:name w:val="List Table 7 Colorful"/>
    <w:basedOn w:val="654"/>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3" w:customStyle="1">
    <w:name w:val="Footnote Text Char"/>
    <w:uiPriority w:val="99"/>
    <w:qFormat/>
    <w:rPr>
      <w:sz w:val="18"/>
    </w:rPr>
  </w:style>
  <w:style w:type="character" w:styleId="754" w:customStyle="1">
    <w:name w:val="Endnote Text Char"/>
    <w:uiPriority w:val="99"/>
    <w:qFormat/>
    <w:rPr>
      <w:sz w:val="20"/>
    </w:rPr>
  </w:style>
  <w:style w:type="paragraph" w:styleId="755" w:customStyle="1">
    <w:name w:val="TOC Heading"/>
    <w:uiPriority w:val="39"/>
    <w:unhideWhenUsed/>
    <w:qFormat/>
    <w:rPr>
      <w:rFonts w:hint="default" w:ascii="Times New Roman" w:hAnsi="Times New Roman" w:eastAsia="宋体" w:cs="Times New Roman"/>
    </w:rPr>
  </w:style>
  <w:style w:type="paragraph" w:styleId="756" w:customStyle="1">
    <w:name w:val="正文首行缩进 21"/>
    <w:basedOn w:val="757"/>
    <w:next w:val="712"/>
    <w:uiPriority w:val="0"/>
    <w:qFormat/>
    <w:pPr>
      <w:ind w:firstLine="420"/>
    </w:pPr>
  </w:style>
  <w:style w:type="paragraph" w:styleId="757" w:customStyle="1">
    <w:name w:val="正文文本缩进1"/>
    <w:basedOn w:val="697"/>
    <w:next w:val="758"/>
    <w:uiPriority w:val="0"/>
    <w:qFormat/>
    <w:pPr>
      <w:ind w:left="420"/>
      <w:spacing w:after="120"/>
    </w:pPr>
    <w:rPr>
      <w:rFonts w:ascii="Calibri" w:hAnsi="Calibri"/>
    </w:rPr>
  </w:style>
  <w:style w:type="paragraph" w:styleId="758" w:customStyle="1">
    <w:name w:val="寄信人地址1"/>
    <w:basedOn w:val="703"/>
    <w:uiPriority w:val="0"/>
    <w:qFormat/>
    <w:pPr>
      <w:ind w:firstLine="200"/>
    </w:pPr>
    <w:rPr>
      <w:rFonts w:ascii="Arial" w:hAnsi="Arial" w:eastAsia="仿宋_GB2312"/>
    </w:rPr>
  </w:style>
  <w:style w:type="paragraph" w:styleId="759" w:customStyle="1">
    <w:name w:val="寄信人地址11"/>
    <w:basedOn w:val="701"/>
    <w:uiPriority w:val="0"/>
    <w:qFormat/>
    <w:pPr>
      <w:jc w:val="both"/>
      <w:widowControl w:val="off"/>
    </w:pPr>
    <w:rPr>
      <w:rFonts w:hint="default" w:ascii="Arial" w:hAnsi="Arial" w:eastAsia="宋体" w:cs="Times New Roman"/>
      <w:sz w:val="21"/>
      <w:szCs w:val="24"/>
      <w:lang w:val="en-US" w:eastAsia="zh-CN" w:bidi="ar-SA"/>
    </w:rPr>
  </w:style>
  <w:style w:type="paragraph" w:styleId="760" w:customStyle="1">
    <w:name w:val="正文文本1"/>
    <w:basedOn w:val="696"/>
    <w:next w:val="694"/>
    <w:uiPriority w:val="0"/>
    <w:qFormat/>
    <w:pPr>
      <w:spacing w:after="120"/>
    </w:pPr>
    <w:rPr>
      <w:rFonts w:ascii="Calibri" w:hAnsi="Calibri"/>
    </w:rPr>
  </w:style>
  <w:style w:type="paragraph" w:styleId="761" w:customStyle="1">
    <w:name w:val="正文文本111"/>
    <w:next w:val="703"/>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762" w:customStyle="1">
    <w:name w:val="标题 411"/>
    <w:basedOn w:val="703"/>
    <w:next w:val="697"/>
    <w:uiPriority w:val="0"/>
    <w:qFormat/>
    <w:pPr>
      <w:keepLines/>
      <w:keepNext/>
      <w:spacing w:before="280" w:after="290" w:line="376" w:lineRule="auto"/>
      <w:outlineLvl w:val="3"/>
    </w:pPr>
    <w:rPr>
      <w:rFonts w:ascii="Arial" w:hAnsi="Arial" w:eastAsia="黑体"/>
      <w:b/>
      <w:bCs/>
      <w:sz w:val="28"/>
      <w:szCs w:val="28"/>
    </w:rPr>
  </w:style>
  <w:style w:type="paragraph" w:styleId="763" w:customStyle="1">
    <w:name w:val="目录 111"/>
    <w:basedOn w:val="712"/>
    <w:next w:val="643"/>
    <w:uiPriority w:val="0"/>
    <w:qFormat/>
  </w:style>
  <w:style w:type="paragraph" w:styleId="764" w:customStyle="1">
    <w:name w:val="正文缩进1"/>
    <w:basedOn w:val="696"/>
    <w:next w:val="712"/>
    <w:uiPriority w:val="0"/>
    <w:qFormat/>
    <w:pPr>
      <w:ind w:firstLine="420"/>
    </w:pPr>
  </w:style>
  <w:style w:type="paragraph" w:styleId="76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766" w:customStyle="1">
    <w:name w:val="标题 3 Char"/>
    <w:basedOn w:val="767"/>
    <w:link w:val="768"/>
    <w:uiPriority w:val="0"/>
    <w:qFormat/>
    <w:rPr>
      <w:rFonts w:ascii="Tahoma" w:hAnsi="Tahoma" w:eastAsia="微软雅黑"/>
      <w:b/>
      <w:bCs/>
      <w:sz w:val="32"/>
      <w:szCs w:val="32"/>
    </w:rPr>
  </w:style>
  <w:style w:type="character" w:styleId="767" w:customStyle="1">
    <w:name w:val="默认段落字体1"/>
    <w:uiPriority w:val="0"/>
    <w:qFormat/>
  </w:style>
  <w:style w:type="paragraph" w:styleId="768" w:customStyle="1">
    <w:name w:val="标题 31"/>
    <w:basedOn w:val="696"/>
    <w:next w:val="696"/>
    <w:link w:val="766"/>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769" w:customStyle="1">
    <w:name w:val="正文文本12"/>
    <w:basedOn w:val="709"/>
    <w:next w:val="700"/>
    <w:uiPriority w:val="0"/>
    <w:qFormat/>
    <w:pPr>
      <w:spacing w:after="120"/>
    </w:pPr>
  </w:style>
  <w:style w:type="paragraph" w:styleId="770" w:customStyle="1">
    <w:name w:val="索引 411"/>
    <w:basedOn w:val="643"/>
    <w:next w:val="643"/>
    <w:uiPriority w:val="0"/>
    <w:qFormat/>
    <w:pPr>
      <w:ind w:left="1260"/>
    </w:pPr>
  </w:style>
  <w:style w:type="paragraph" w:styleId="771" w:customStyle="1">
    <w:name w:val="正文首行缩进11"/>
    <w:basedOn w:val="772"/>
    <w:next w:val="707"/>
    <w:uiPriority w:val="0"/>
    <w:qFormat/>
    <w:pPr>
      <w:ind w:firstLine="420"/>
    </w:pPr>
    <w:rPr>
      <w:rFonts w:ascii="Times New Roman"/>
      <w:sz w:val="24"/>
    </w:rPr>
  </w:style>
  <w:style w:type="paragraph" w:styleId="772" w:customStyle="1">
    <w:name w:val="正文文本11"/>
    <w:basedOn w:val="703"/>
    <w:next w:val="697"/>
    <w:uiPriority w:val="0"/>
    <w:qFormat/>
    <w:pPr>
      <w:spacing w:after="120"/>
    </w:pPr>
  </w:style>
  <w:style w:type="paragraph" w:styleId="773" w:customStyle="1">
    <w:name w:val="BodyText1I"/>
    <w:basedOn w:val="774"/>
    <w:next w:val="697"/>
    <w:uiPriority w:val="0"/>
    <w:qFormat/>
    <w:pPr>
      <w:ind w:firstLine="420"/>
    </w:pPr>
  </w:style>
  <w:style w:type="paragraph" w:styleId="774" w:customStyle="1">
    <w:name w:val="BodyText"/>
    <w:basedOn w:val="697"/>
    <w:next w:val="697"/>
    <w:uiPriority w:val="0"/>
    <w:qFormat/>
    <w:pPr>
      <w:spacing w:after="120"/>
    </w:pPr>
  </w:style>
  <w:style w:type="paragraph" w:styleId="7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776" w:customStyle="1">
    <w:name w:val="标题 1 字符"/>
    <w:link w:val="644"/>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标题 3 字符"/>
    <w:link w:val="646"/>
    <w:uiPriority w:val="9"/>
    <w:qFormat/>
    <w:rPr>
      <w:rFonts w:ascii="Arial" w:hAnsi="Arial" w:eastAsia="Arial" w:cs="Arial"/>
      <w:sz w:val="30"/>
      <w:szCs w:val="30"/>
    </w:rPr>
  </w:style>
  <w:style w:type="character" w:styleId="779" w:customStyle="1">
    <w:name w:val="标题 4 字符"/>
    <w:link w:val="647"/>
    <w:uiPriority w:val="9"/>
    <w:qFormat/>
    <w:rPr>
      <w:rFonts w:ascii="Arial" w:hAnsi="Arial" w:eastAsia="Arial" w:cs="Arial"/>
      <w:b/>
      <w:bCs/>
      <w:sz w:val="26"/>
      <w:szCs w:val="26"/>
    </w:rPr>
  </w:style>
  <w:style w:type="character" w:styleId="780" w:customStyle="1">
    <w:name w:val="标题 5 字符"/>
    <w:link w:val="648"/>
    <w:uiPriority w:val="9"/>
    <w:qFormat/>
    <w:rPr>
      <w:rFonts w:ascii="Arial" w:hAnsi="Arial" w:eastAsia="Arial" w:cs="Arial"/>
      <w:b/>
      <w:bCs/>
      <w:sz w:val="24"/>
      <w:szCs w:val="24"/>
    </w:rPr>
  </w:style>
  <w:style w:type="character" w:styleId="781" w:customStyle="1">
    <w:name w:val="标题 6 字符"/>
    <w:link w:val="649"/>
    <w:uiPriority w:val="9"/>
    <w:qFormat/>
    <w:rPr>
      <w:rFonts w:ascii="Arial" w:hAnsi="Arial" w:eastAsia="Arial" w:cs="Arial"/>
      <w:b/>
      <w:bCs/>
      <w:sz w:val="22"/>
      <w:szCs w:val="22"/>
    </w:rPr>
  </w:style>
  <w:style w:type="character" w:styleId="782" w:customStyle="1">
    <w:name w:val="标题 7 字符"/>
    <w:link w:val="650"/>
    <w:uiPriority w:val="9"/>
    <w:qFormat/>
    <w:rPr>
      <w:rFonts w:ascii="Arial" w:hAnsi="Arial" w:eastAsia="Arial" w:cs="Arial"/>
      <w:b/>
      <w:bCs/>
      <w:i/>
      <w:iCs/>
      <w:sz w:val="22"/>
      <w:szCs w:val="22"/>
    </w:rPr>
  </w:style>
  <w:style w:type="character" w:styleId="783" w:customStyle="1">
    <w:name w:val="标题 8 字符"/>
    <w:link w:val="651"/>
    <w:uiPriority w:val="9"/>
    <w:qFormat/>
    <w:rPr>
      <w:rFonts w:ascii="Arial" w:hAnsi="Arial" w:eastAsia="Arial" w:cs="Arial"/>
      <w:i/>
      <w:iCs/>
      <w:sz w:val="22"/>
      <w:szCs w:val="22"/>
    </w:rPr>
  </w:style>
  <w:style w:type="character" w:styleId="784" w:customStyle="1">
    <w:name w:val="标题 9 字符"/>
    <w:link w:val="652"/>
    <w:uiPriority w:val="9"/>
    <w:qFormat/>
    <w:rPr>
      <w:rFonts w:ascii="Arial" w:hAnsi="Arial" w:eastAsia="Arial" w:cs="Arial"/>
      <w:i/>
      <w:iCs/>
      <w:sz w:val="21"/>
      <w:szCs w:val="21"/>
    </w:rPr>
  </w:style>
  <w:style w:type="paragraph" w:styleId="785">
    <w:name w:val="No Spacing"/>
    <w:uiPriority w:val="1"/>
    <w:qFormat/>
    <w:rPr>
      <w:rFonts w:hint="default" w:ascii="Times New Roman" w:hAnsi="Times New Roman" w:eastAsia="宋体" w:cs="Times New Roman"/>
      <w:lang w:val="en-US" w:eastAsia="zh-CN" w:bidi="ar-SA"/>
    </w:rPr>
  </w:style>
  <w:style w:type="character" w:styleId="786" w:customStyle="1">
    <w:name w:val="标题 字符"/>
    <w:link w:val="686"/>
    <w:uiPriority w:val="10"/>
    <w:qFormat/>
    <w:rPr>
      <w:sz w:val="48"/>
      <w:szCs w:val="48"/>
    </w:rPr>
  </w:style>
  <w:style w:type="character" w:styleId="787" w:customStyle="1">
    <w:name w:val="副标题 字符"/>
    <w:link w:val="679"/>
    <w:uiPriority w:val="11"/>
    <w:qFormat/>
    <w:rPr>
      <w:sz w:val="24"/>
      <w:szCs w:val="24"/>
    </w:rPr>
  </w:style>
  <w:style w:type="character" w:styleId="788" w:customStyle="1">
    <w:name w:val="引用 字符"/>
    <w:link w:val="656"/>
    <w:uiPriority w:val="29"/>
    <w:qFormat/>
    <w:rPr>
      <w:i/>
    </w:rPr>
  </w:style>
  <w:style w:type="paragraph" w:styleId="789">
    <w:name w:val="Intense Quote"/>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790" w:customStyle="1">
    <w:name w:val="明显引用 字符"/>
    <w:link w:val="789"/>
    <w:uiPriority w:val="30"/>
    <w:qFormat/>
    <w:rPr>
      <w:i/>
    </w:rPr>
  </w:style>
  <w:style w:type="character" w:styleId="791" w:customStyle="1">
    <w:name w:val="页眉 字符"/>
    <w:link w:val="676"/>
    <w:uiPriority w:val="99"/>
    <w:qFormat/>
  </w:style>
  <w:style w:type="character" w:styleId="792" w:customStyle="1">
    <w:name w:val="Footer Char"/>
    <w:uiPriority w:val="99"/>
    <w:qFormat/>
  </w:style>
  <w:style w:type="character" w:styleId="793" w:customStyle="1">
    <w:name w:val="页脚 字符"/>
    <w:link w:val="675"/>
    <w:uiPriority w:val="99"/>
    <w:qFormat/>
  </w:style>
  <w:style w:type="table" w:styleId="7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字符"/>
    <w:link w:val="680"/>
    <w:uiPriority w:val="99"/>
    <w:qFormat/>
    <w:rPr>
      <w:sz w:val="18"/>
    </w:rPr>
  </w:style>
  <w:style w:type="character" w:styleId="920" w:customStyle="1">
    <w:name w:val="尾注文本 字符"/>
    <w:link w:val="673"/>
    <w:uiPriority w:val="99"/>
    <w:qFormat/>
    <w:rPr>
      <w:sz w:val="20"/>
    </w:rPr>
  </w:style>
  <w:style w:type="paragraph" w:styleId="921" w:customStyle="1">
    <w:name w:val="TOC 标题1"/>
    <w:uiPriority w:val="39"/>
    <w:unhideWhenUsed/>
    <w:qFormat/>
    <w:rPr>
      <w:rFonts w:hint="default" w:ascii="Times New Roman" w:hAnsi="Times New Roman" w:eastAsia="宋体" w:cs="Times New Roman"/>
      <w:lang w:val="en-US" w:eastAsia="zh-CN" w:bidi="ar-SA"/>
    </w:rPr>
  </w:style>
  <w:style w:type="paragraph" w:styleId="922" w:customStyle="1">
    <w:name w:val="标题 11"/>
    <w:basedOn w:val="696"/>
    <w:next w:val="696"/>
    <w:link w:val="924"/>
    <w:uiPriority w:val="0"/>
    <w:qFormat/>
    <w:pPr>
      <w:jc w:val="center"/>
      <w:keepLines/>
      <w:keepNext/>
      <w:spacing w:line="578" w:lineRule="auto"/>
      <w:outlineLvl w:val="0"/>
    </w:pPr>
    <w:rPr>
      <w:rFonts w:eastAsia="新宋体"/>
      <w:b/>
      <w:bCs/>
      <w:sz w:val="30"/>
      <w:szCs w:val="44"/>
    </w:rPr>
  </w:style>
  <w:style w:type="table" w:styleId="923" w:customStyle="1">
    <w:name w:val="普通表格1"/>
    <w:uiPriority w:val="0"/>
    <w:qFormat/>
    <w:tblPr>
      <w:tblLayout w:type="fixed"/>
      <w:tblCellMar>
        <w:left w:w="0" w:type="dxa"/>
        <w:top w:w="0" w:type="dxa"/>
        <w:right w:w="0" w:type="dxa"/>
        <w:bottom w:w="0" w:type="dxa"/>
      </w:tblCellMar>
    </w:tblPr>
  </w:style>
  <w:style w:type="character" w:styleId="924" w:customStyle="1">
    <w:name w:val="标题 1 Char"/>
    <w:link w:val="922"/>
    <w:uiPriority w:val="0"/>
    <w:qFormat/>
    <w:rPr>
      <w:rFonts w:eastAsia="新宋体"/>
      <w:b/>
      <w:bCs/>
      <w:sz w:val="30"/>
      <w:szCs w:val="44"/>
    </w:rPr>
  </w:style>
  <w:style w:type="character" w:styleId="925" w:customStyle="1">
    <w:name w:val="标题 4 Char"/>
    <w:basedOn w:val="767"/>
    <w:link w:val="700"/>
    <w:uiPriority w:val="0"/>
    <w:semiHidden/>
    <w:qFormat/>
    <w:rPr>
      <w:rFonts w:ascii="Calibri Light" w:hAnsi="Calibri Light" w:eastAsia="宋体"/>
      <w:b/>
      <w:bCs/>
      <w:sz w:val="28"/>
      <w:szCs w:val="28"/>
    </w:rPr>
  </w:style>
  <w:style w:type="paragraph" w:styleId="926" w:customStyle="1">
    <w:name w:val="批注文字1"/>
    <w:basedOn w:val="696"/>
    <w:uiPriority w:val="0"/>
    <w:qFormat/>
    <w:pPr>
      <w:jc w:val="left"/>
    </w:pPr>
  </w:style>
  <w:style w:type="paragraph" w:styleId="927" w:customStyle="1">
    <w:name w:val="纯文本1"/>
    <w:basedOn w:val="696"/>
    <w:uiPriority w:val="0"/>
    <w:qFormat/>
    <w:rPr>
      <w:rFonts w:ascii="宋体" w:hAnsi="Courier New"/>
      <w:sz w:val="20"/>
      <w:szCs w:val="20"/>
    </w:rPr>
  </w:style>
  <w:style w:type="paragraph" w:styleId="928" w:customStyle="1">
    <w:name w:val="日期1"/>
    <w:basedOn w:val="696"/>
    <w:next w:val="696"/>
    <w:uiPriority w:val="0"/>
    <w:qFormat/>
    <w:rPr>
      <w:rFonts w:eastAsia="仿宋_GB2312"/>
      <w:sz w:val="28"/>
      <w:szCs w:val="20"/>
    </w:rPr>
  </w:style>
  <w:style w:type="paragraph" w:styleId="929" w:customStyle="1">
    <w:name w:val="批注框文本1"/>
    <w:basedOn w:val="696"/>
    <w:link w:val="930"/>
    <w:uiPriority w:val="0"/>
    <w:qFormat/>
    <w:rPr>
      <w:sz w:val="18"/>
      <w:szCs w:val="18"/>
    </w:rPr>
  </w:style>
  <w:style w:type="character" w:styleId="930" w:customStyle="1">
    <w:name w:val="批注框文本 Char"/>
    <w:basedOn w:val="767"/>
    <w:link w:val="929"/>
    <w:uiPriority w:val="0"/>
    <w:qFormat/>
    <w:rPr>
      <w:rFonts w:ascii="Times New Roman" w:hAnsi="Times New Roman" w:eastAsia="宋体"/>
      <w:sz w:val="18"/>
      <w:szCs w:val="18"/>
    </w:rPr>
  </w:style>
  <w:style w:type="paragraph" w:styleId="931" w:customStyle="1">
    <w:name w:val="页脚1"/>
    <w:basedOn w:val="696"/>
    <w:link w:val="932"/>
    <w:uiPriority w:val="0"/>
    <w:qFormat/>
    <w:pPr>
      <w:jc w:val="left"/>
      <w:tabs>
        <w:tab w:val="center" w:pos="4153" w:leader="none"/>
        <w:tab w:val="right" w:pos="8306" w:leader="none"/>
      </w:tabs>
    </w:pPr>
    <w:rPr>
      <w:sz w:val="18"/>
      <w:szCs w:val="18"/>
    </w:rPr>
  </w:style>
  <w:style w:type="character" w:styleId="932" w:customStyle="1">
    <w:name w:val="页脚 Char"/>
    <w:basedOn w:val="767"/>
    <w:link w:val="931"/>
    <w:uiPriority w:val="0"/>
    <w:qFormat/>
    <w:rPr>
      <w:rFonts w:ascii="Times New Roman" w:hAnsi="Times New Roman" w:eastAsia="宋体"/>
      <w:sz w:val="18"/>
      <w:szCs w:val="18"/>
    </w:rPr>
  </w:style>
  <w:style w:type="paragraph" w:styleId="933" w:customStyle="1">
    <w:name w:val="页眉1"/>
    <w:basedOn w:val="696"/>
    <w:uiPriority w:val="0"/>
    <w:qFormat/>
    <w:pPr>
      <w:jc w:val="center"/>
      <w:tabs>
        <w:tab w:val="center" w:pos="4153" w:leader="none"/>
        <w:tab w:val="right" w:pos="8306" w:leader="none"/>
      </w:tabs>
      <w:pBdr>
        <w:bottom w:val="single" w:color="000000" w:sz="6" w:space="1"/>
      </w:pBdr>
    </w:pPr>
    <w:rPr>
      <w:sz w:val="18"/>
      <w:szCs w:val="18"/>
    </w:rPr>
  </w:style>
  <w:style w:type="character" w:styleId="934" w:customStyle="1">
    <w:name w:val="脚注文本 Char"/>
    <w:basedOn w:val="767"/>
    <w:link w:val="717"/>
    <w:uiPriority w:val="0"/>
    <w:qFormat/>
    <w:rPr>
      <w:rFonts w:ascii="宋体" w:hAnsi="Times New Roman" w:eastAsia="Times New Roman"/>
      <w:sz w:val="18"/>
      <w:szCs w:val="18"/>
    </w:rPr>
  </w:style>
  <w:style w:type="paragraph" w:styleId="935" w:customStyle="1">
    <w:name w:val="目录 21"/>
    <w:basedOn w:val="696"/>
    <w:next w:val="696"/>
    <w:uiPriority w:val="0"/>
    <w:qFormat/>
    <w:pPr>
      <w:ind w:left="420"/>
    </w:pPr>
  </w:style>
  <w:style w:type="paragraph" w:styleId="936" w:customStyle="1">
    <w:name w:val="普通(网站)1"/>
    <w:basedOn w:val="696"/>
    <w:uiPriority w:val="0"/>
    <w:qFormat/>
    <w:pPr>
      <w:jc w:val="left"/>
      <w:spacing w:before="100" w:beforeAutospacing="1" w:after="100" w:afterAutospacing="1"/>
      <w:widowControl/>
    </w:pPr>
    <w:rPr>
      <w:rFonts w:ascii="宋体" w:hAnsi="宋体"/>
      <w:sz w:val="24"/>
    </w:rPr>
  </w:style>
  <w:style w:type="table" w:styleId="937" w:customStyle="1">
    <w:name w:val="网格型1"/>
    <w:basedOn w:val="923"/>
    <w:uiPriority w:val="0"/>
    <w:qFormat/>
    <w:tblPr/>
  </w:style>
  <w:style w:type="character" w:styleId="938" w:customStyle="1">
    <w:name w:val="页码1"/>
    <w:basedOn w:val="767"/>
    <w:uiPriority w:val="0"/>
    <w:qFormat/>
  </w:style>
  <w:style w:type="character" w:styleId="939" w:customStyle="1">
    <w:name w:val="超链接11"/>
    <w:link w:val="696"/>
    <w:uiPriority w:val="0"/>
    <w:qFormat/>
    <w:rPr>
      <w:color w:val="0000ff"/>
      <w:u w:val="single"/>
    </w:rPr>
  </w:style>
  <w:style w:type="paragraph" w:styleId="940" w:customStyle="1">
    <w:name w:val="p0"/>
    <w:basedOn w:val="696"/>
    <w:uiPriority w:val="0"/>
    <w:qFormat/>
    <w:pPr>
      <w:widowControl/>
    </w:pPr>
    <w:rPr>
      <w:szCs w:val="21"/>
    </w:rPr>
  </w:style>
  <w:style w:type="paragraph" w:styleId="941">
    <w:name w:val="List Paragraph"/>
    <w:basedOn w:val="643"/>
    <w:uiPriority w:val="0"/>
    <w:qFormat/>
    <w:pPr>
      <w:ind w:firstLine="420"/>
    </w:pPr>
  </w:style>
  <w:style w:type="character" w:styleId="942" w:customStyle="1">
    <w:name w:val="NormalCharacter"/>
    <w:uiPriority w:val="0"/>
    <w:semiHidden/>
    <w:qFormat/>
    <w:rPr>
      <w:sz w:val="28"/>
      <w:lang w:val="en-US" w:eastAsia="zh-CN" w:bidi="ar-SA"/>
    </w:rPr>
  </w:style>
  <w:style w:type="paragraph" w:styleId="943" w:customStyle="1">
    <w:name w:val="179"/>
    <w:basedOn w:val="696"/>
    <w:uiPriority w:val="0"/>
    <w:qFormat/>
    <w:pPr>
      <w:ind w:firstLine="420"/>
      <w:jc w:val="left"/>
      <w:widowControl/>
    </w:pPr>
    <w:rPr>
      <w:rFonts w:ascii="宋体" w:hAnsi="宋体"/>
      <w:sz w:val="24"/>
    </w:rPr>
  </w:style>
  <w:style w:type="paragraph" w:styleId="94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45" w:customStyle="1">
    <w:name w:val="样式 样式 样式 样式 小四 左 首行缩进:  2 字符 + 首行缩进:  2 字符 Char + 右  0 字符1 + 首行缩...3"/>
    <w:basedOn w:val="696"/>
    <w:uiPriority w:val="0"/>
    <w:qFormat/>
    <w:pPr>
      <w:ind w:firstLine="480"/>
      <w:jc w:val="left"/>
      <w:spacing w:line="360" w:lineRule="auto"/>
    </w:pPr>
    <w:rPr>
      <w:sz w:val="24"/>
    </w:rPr>
  </w:style>
  <w:style w:type="paragraph" w:styleId="946" w:customStyle="1">
    <w:name w:val="标准"/>
    <w:basedOn w:val="696"/>
    <w:uiPriority w:val="0"/>
    <w:qFormat/>
    <w:pPr>
      <w:ind w:firstLine="200"/>
      <w:spacing w:line="360" w:lineRule="auto"/>
    </w:pPr>
    <w:rPr>
      <w:szCs w:val="21"/>
    </w:rPr>
  </w:style>
  <w:style w:type="character" w:styleId="947" w:customStyle="1">
    <w:name w:val="超链接1"/>
    <w:uiPriority w:val="0"/>
    <w:qFormat/>
    <w:rPr>
      <w:rFonts w:ascii="Times New Roman" w:hAnsi="Times New Roman" w:eastAsia="宋体" w:cs="Times New Roman"/>
      <w:lang w:val="en-US" w:eastAsia="zh-CN" w:bidi="ar-SA"/>
    </w:rPr>
  </w:style>
  <w:style w:type="paragraph" w:styleId="948" w:customStyle="1">
    <w:name w:val="Table Paragraph"/>
    <w:basedOn w:val="696"/>
    <w:uiPriority w:val="0"/>
    <w:qFormat/>
    <w:pPr>
      <w:jc w:val="left"/>
    </w:pPr>
    <w:rPr>
      <w:rFonts w:ascii="Arial Unicode MS" w:hAnsi="Arial Unicode MS" w:eastAsia="Arial Unicode MS"/>
      <w:sz w:val="22"/>
      <w:szCs w:val="22"/>
      <w:lang w:val="zh-CN" w:bidi="zh-CN"/>
    </w:rPr>
  </w:style>
  <w:style w:type="paragraph" w:styleId="949" w:customStyle="1">
    <w:name w:val="首行缩进"/>
    <w:basedOn w:val="643"/>
    <w:next w:val="643"/>
    <w:uiPriority w:val="0"/>
    <w:qFormat/>
    <w:pPr>
      <w:ind w:firstLine="420"/>
      <w:spacing w:line="360" w:lineRule="auto"/>
    </w:pPr>
  </w:style>
  <w:style w:type="paragraph" w:styleId="950" w:customStyle="1">
    <w:name w:val="_HT_正文"/>
    <w:basedOn w:val="643"/>
    <w:uiPriority w:val="0"/>
    <w:qFormat/>
    <w:pPr>
      <w:ind w:firstLine="200"/>
      <w:jc w:val="both"/>
      <w:spacing w:line="360" w:lineRule="auto"/>
    </w:pPr>
    <w:rPr>
      <w:sz w:val="24"/>
    </w:rPr>
  </w:style>
  <w:style w:type="paragraph" w:styleId="951" w:customStyle="1">
    <w:name w:val="副标题1"/>
    <w:basedOn w:val="697"/>
    <w:next w:val="697"/>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952" w:customStyle="1">
    <w:name w:val="标题 22"/>
    <w:basedOn w:val="643"/>
    <w:next w:val="643"/>
    <w:uiPriority w:val="0"/>
    <w:qFormat/>
    <w:pPr>
      <w:keepLines/>
      <w:keepNext/>
    </w:pPr>
    <w:rPr>
      <w:rFonts w:ascii="Arial" w:hAnsi="Arial"/>
      <w:sz w:val="28"/>
    </w:rPr>
  </w:style>
  <w:style w:type="paragraph" w:styleId="953" w:customStyle="1">
    <w:name w:val="列出段落1"/>
    <w:basedOn w:val="709"/>
    <w:uiPriority w:val="0"/>
    <w:qFormat/>
    <w:pPr>
      <w:ind w:firstLine="420"/>
    </w:pPr>
    <w:rPr>
      <w:rFonts w:ascii="Calibri" w:hAnsi="Calibri"/>
      <w:sz w:val="22"/>
      <w:szCs w:val="22"/>
    </w:rPr>
  </w:style>
  <w:style w:type="paragraph" w:styleId="954" w:customStyle="1">
    <w:name w:val="正文121"/>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表格文字"/>
    <w:basedOn w:val="709"/>
    <w:next w:val="769"/>
    <w:uiPriority w:val="0"/>
    <w:qFormat/>
    <w:pPr>
      <w:jc w:val="left"/>
    </w:pPr>
    <w:rPr>
      <w:bCs/>
      <w:spacing w:val="10"/>
      <w:sz w:val="20"/>
      <w:szCs w:val="20"/>
    </w:rPr>
  </w:style>
  <w:style w:type="paragraph" w:styleId="956" w:customStyle="1">
    <w:name w:val="正文113"/>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BodyText1I2"/>
    <w:basedOn w:val="958"/>
    <w:uiPriority w:val="0"/>
    <w:qFormat/>
    <w:pPr>
      <w:ind w:firstLine="420"/>
      <w:spacing w:line="240" w:lineRule="auto"/>
    </w:pPr>
    <w:rPr>
      <w:sz w:val="21"/>
    </w:rPr>
  </w:style>
  <w:style w:type="paragraph" w:styleId="958" w:customStyle="1">
    <w:name w:val="BodyTextIndent"/>
    <w:basedOn w:val="956"/>
    <w:next w:val="959"/>
    <w:uiPriority w:val="0"/>
    <w:qFormat/>
    <w:pPr>
      <w:ind w:left="420" w:firstLine="200"/>
      <w:spacing w:after="120" w:line="360" w:lineRule="auto"/>
    </w:pPr>
    <w:rPr>
      <w:rFonts w:ascii="Verdana" w:hAnsi="Verdana"/>
      <w:sz w:val="24"/>
      <w:szCs w:val="28"/>
    </w:rPr>
  </w:style>
  <w:style w:type="paragraph" w:styleId="959" w:customStyle="1">
    <w:name w:val="EnvelopeReturn"/>
    <w:basedOn w:val="643"/>
    <w:uiPriority w:val="0"/>
    <w:qFormat/>
    <w:rPr>
      <w:rFonts w:ascii="Arial" w:hAnsi="Arial"/>
    </w:rPr>
  </w:style>
  <w:style w:type="table" w:styleId="960" w:customStyle="1">
    <w:name w:val="Table Normal"/>
    <w:uiPriority w:val="0"/>
    <w:semiHidden/>
    <w:unhideWhenUsed/>
    <w:qFormat/>
    <w:tblPr>
      <w:tblLayout w:type="fixed"/>
      <w:tblCellMar>
        <w:left w:w="0" w:type="dxa"/>
        <w:top w:w="0" w:type="dxa"/>
        <w:right w:w="0" w:type="dxa"/>
        <w:bottom w:w="0" w:type="dxa"/>
      </w:tblCellMar>
    </w:tblPr>
  </w:style>
  <w:style w:type="paragraph" w:styleId="961" w:customStyle="1">
    <w:name w:val="Table Text"/>
    <w:basedOn w:val="643"/>
    <w:uiPriority w:val="0"/>
    <w:semiHidden/>
    <w:qFormat/>
    <w:rPr>
      <w:rFonts w:ascii="Arial" w:hAnsi="Arial" w:eastAsia="Arial" w:cs="Arial"/>
      <w:sz w:val="21"/>
      <w:szCs w:val="21"/>
      <w:lang w:eastAsia="en-US"/>
    </w:rPr>
  </w:style>
  <w:style w:type="character" w:styleId="962" w:customStyle="1">
    <w:name w:val="font11"/>
    <w:basedOn w:val="653"/>
    <w:uiPriority w:val="0"/>
    <w:qFormat/>
    <w:rPr>
      <w:rFonts w:hint="eastAsia" w:ascii="宋体" w:hAnsi="宋体" w:eastAsia="宋体" w:cs="宋体"/>
      <w:color w:val="000000"/>
      <w:sz w:val="22"/>
      <w:szCs w:val="22"/>
      <w:u w:val="none"/>
    </w:rPr>
  </w:style>
  <w:style w:type="paragraph" w:styleId="963" w:customStyle="1">
    <w:name w:val="样式"/>
    <w:uiPriority w:val="0"/>
    <w:qFormat/>
    <w:pPr>
      <w:widowControl w:val="off"/>
    </w:pPr>
    <w:rPr>
      <w:rFonts w:hint="default" w:ascii="宋体" w:hAnsi="宋体" w:eastAsia="宋体" w:cs="宋体"/>
      <w:sz w:val="24"/>
      <w:szCs w:val="24"/>
      <w:lang w:val="en-US" w:eastAsia="zh-CN" w:bidi="he-IL"/>
    </w:rPr>
  </w:style>
  <w:style w:type="paragraph" w:styleId="964" w:customStyle="1">
    <w:name w:val="页眉11"/>
    <w:basedOn w:val="701"/>
    <w:uiPriority w:val="0"/>
    <w:qFormat/>
    <w:pPr>
      <w:jc w:val="center"/>
      <w:tabs>
        <w:tab w:val="center" w:pos="4153" w:leader="none"/>
        <w:tab w:val="right" w:pos="8306" w:leader="none"/>
      </w:tabs>
      <w:pBdr>
        <w:bottom w:val="single" w:color="000000" w:sz="6" w:space="1"/>
      </w:pBdr>
    </w:pPr>
    <w:rPr>
      <w:sz w:val="18"/>
      <w:szCs w:val="18"/>
    </w:rPr>
  </w:style>
  <w:style w:type="paragraph" w:styleId="965" w:customStyle="1">
    <w:name w:val="页脚11"/>
    <w:basedOn w:val="701"/>
    <w:uiPriority w:val="0"/>
    <w:qFormat/>
    <w:pPr>
      <w:jc w:val="left"/>
      <w:tabs>
        <w:tab w:val="center" w:pos="4153" w:leader="none"/>
        <w:tab w:val="right" w:pos="8306" w:leader="none"/>
      </w:tabs>
    </w:pPr>
    <w:rPr>
      <w:sz w:val="18"/>
      <w:szCs w:val="18"/>
    </w:rPr>
  </w:style>
  <w:style w:type="character" w:styleId="966" w:customStyle="1">
    <w:name w:val="15"/>
    <w:basedOn w:val="653"/>
    <w:uiPriority w:val="0"/>
    <w:qFormat/>
    <w:rPr>
      <w:rFonts w:hint="default" w:ascii="Times New Roman" w:hAnsi="Times New Roman" w:cs="Times New Roman"/>
    </w:rPr>
  </w:style>
  <w:style w:type="character" w:styleId="967" w:customStyle="1">
    <w:name w:val="16"/>
    <w:basedOn w:val="653"/>
    <w:uiPriority w:val="0"/>
    <w:qFormat/>
    <w:rPr>
      <w:rFonts w:hint="default" w:ascii="Times New Roman" w:hAnsi="Times New Roman" w:cs="Times New Roman"/>
    </w:rPr>
  </w:style>
  <w:style w:type="character" w:styleId="968" w:customStyle="1">
    <w:name w:val="批注框文本 字符"/>
    <w:basedOn w:val="653"/>
    <w:link w:val="674"/>
    <w:uiPriority w:val="99"/>
    <w:semiHidden/>
    <w:qFormat/>
    <w:rPr>
      <w:sz w:val="18"/>
      <w:szCs w:val="18"/>
    </w:rPr>
  </w:style>
  <w:style w:type="character" w:styleId="969" w:customStyle="1">
    <w:name w:val="批注文字 字符"/>
    <w:basedOn w:val="653"/>
    <w:link w:val="658"/>
    <w:uiPriority w:val="99"/>
    <w:semiHidden/>
    <w:qFormat/>
  </w:style>
  <w:style w:type="character" w:styleId="970" w:customStyle="1">
    <w:name w:val="批注主题 字符"/>
    <w:basedOn w:val="969"/>
    <w:link w:val="657"/>
    <w:uiPriority w:val="99"/>
    <w:semiHidden/>
    <w:qFormat/>
    <w:rPr>
      <w:b/>
      <w:bCs/>
    </w:rPr>
  </w:style>
  <w:style w:type="paragraph" w:styleId="971" w:customStyle="1">
    <w:name w:val="T表格中正文"/>
    <w:basedOn w:val="643"/>
    <w:uiPriority w:val="0"/>
    <w:qFormat/>
    <w:pPr>
      <w:jc w:val="center"/>
      <w:spacing w:line="460" w:lineRule="exact"/>
    </w:pPr>
    <w:rPr>
      <w:rFonts w:eastAsia="仿宋"/>
      <w:sz w:val="24"/>
    </w:rPr>
  </w:style>
  <w:style w:type="paragraph" w:styleId="972" w:customStyle="1">
    <w:name w:val="Body text|2"/>
    <w:basedOn w:val="643"/>
    <w:uiPriority w:val="0"/>
    <w:qFormat/>
    <w:pPr>
      <w:ind w:left="1080"/>
      <w:spacing w:before="1120" w:after="2760"/>
    </w:pPr>
    <w:rPr>
      <w:rFonts w:ascii="宋体" w:hAnsi="宋体" w:cs="宋体"/>
      <w:sz w:val="32"/>
      <w:szCs w:val="32"/>
      <w:lang w:val="zh-TW" w:eastAsia="zh-TW" w:bidi="zh-TW"/>
    </w:rPr>
  </w:style>
  <w:style w:type="character" w:styleId="973" w:customStyle="1">
    <w:name w:val="fontstyle01"/>
    <w:basedOn w:val="653"/>
    <w:uiPriority w:val="0"/>
    <w:qFormat/>
    <w:rPr>
      <w:rFonts w:ascii="宋体" w:hAnsi="宋体" w:eastAsia="宋体" w:cs="宋体"/>
      <w:color w:val="000000"/>
      <w:sz w:val="22"/>
      <w:szCs w:val="22"/>
    </w:rPr>
  </w:style>
  <w:style w:type="character" w:styleId="974" w:customStyle="1">
    <w:name w:val="font31"/>
    <w:basedOn w:val="653"/>
    <w:uiPriority w:val="0"/>
    <w:qFormat/>
    <w:rPr>
      <w:rFonts w:hint="eastAsia" w:ascii="宋体" w:hAnsi="宋体" w:eastAsia="宋体" w:cs="宋体"/>
      <w:color w:val="000000"/>
      <w:sz w:val="20"/>
      <w:szCs w:val="20"/>
      <w:u w:val="none"/>
    </w:rPr>
  </w:style>
  <w:style w:type="paragraph" w:styleId="975" w:customStyle="1">
    <w:name w:val="目录 1112"/>
    <w:basedOn w:val="643"/>
    <w:next w:val="643"/>
    <w:uiPriority w:val="39"/>
    <w:qFormat/>
  </w:style>
  <w:style w:type="paragraph" w:styleId="976" w:customStyle="1">
    <w:name w:val="BlockQuote"/>
    <w:uiPriority w:val="0"/>
    <w:qFormat/>
    <w:pPr>
      <w:ind w:left="256" w:right="6" w:firstLine="624"/>
      <w:jc w:val="both"/>
      <w:widowControl w:val="off"/>
    </w:pPr>
    <w:rPr>
      <w:rFonts w:hint="default" w:ascii="Calibri" w:hAnsi="Calibri" w:eastAsia="仿宋_GB2312" w:cs="Times New Roman"/>
      <w:sz w:val="28"/>
      <w:szCs w:val="24"/>
    </w:rPr>
  </w:style>
  <w:style w:type="paragraph" w:styleId="977" w:customStyle="1">
    <w:name w:val="*正文"/>
    <w:basedOn w:val="643"/>
    <w:uiPriority w:val="0"/>
    <w:unhideWhenUsed/>
    <w:qFormat/>
    <w:pPr>
      <w:ind w:firstLine="200"/>
      <w:spacing w:line="360" w:lineRule="auto"/>
    </w:pPr>
    <w:rPr>
      <w:rFonts w:hint="default" w:ascii="宋体" w:hAnsi="Calibri"/>
      <w:sz w:val="24"/>
    </w:rPr>
  </w:style>
  <w:style w:type="character" w:styleId="978" w:customStyle="1">
    <w:name w:val="font41"/>
    <w:basedOn w:val="653"/>
    <w:uiPriority w:val="0"/>
    <w:unhideWhenUsed/>
    <w:qFormat/>
    <w:rPr>
      <w:rFonts w:hint="default" w:ascii="Calibri" w:hAnsi="Calibri" w:eastAsia="宋体"/>
      <w:color w:val="000000"/>
      <w:sz w:val="28"/>
    </w:rPr>
  </w:style>
  <w:style w:type="paragraph" w:styleId="979" w:customStyle="1">
    <w:name w:val="正文缩进11"/>
    <w:basedOn w:val="703"/>
    <w:uiPriority w:val="99"/>
    <w:unhideWhenUsed/>
    <w:qFormat/>
    <w:pPr>
      <w:ind w:firstLine="420"/>
    </w:pPr>
    <w:rPr>
      <w:rFonts w:hint="default" w:eastAsia="Times New Roman"/>
      <w:sz w:val="24"/>
    </w:rPr>
  </w:style>
  <w:style w:type="character" w:styleId="980" w:customStyle="1">
    <w:name w:val="NormalCharacter1"/>
    <w:uiPriority w:val="0"/>
    <w:unhideWhenUsed/>
    <w:qFormat/>
    <w:rPr>
      <w:rFonts w:hint="default"/>
      <w:sz w:val="21"/>
      <w:lang w:val="en-US" w:eastAsia="zh-CN" w:bidi="ar-SA"/>
    </w:rPr>
  </w:style>
  <w:style w:type="numbering" w:styleId="8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F618250F-90F1-4823-A3F7-20196547CA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19</cp:revision>
  <dcterms:created xsi:type="dcterms:W3CDTF">2024-02-20T07:23:00Z</dcterms:created>
  <dcterms:modified xsi:type="dcterms:W3CDTF">2026-05-18T03:58:09Z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EE86B23345574FD097F8E97565E527CA_13</vt:lpwstr>
  </property>
  <property fmtid="{D5CDD505-2E9C-101B-9397-08002B2CF9AE}" pid="4" name="KSOTemplateDocerSaveRecord">
    <vt:lpwstr>eyJoZGlkIjoiYmY0NjkzMjhmMmFmNzk0MTdmZTNlMmZhNWU3NjkzZmYiLCJ1c2VySWQiOiIxNTIxNjMxODE3In0=</vt:lpwstr>
  </property>
</Properties>
</file>