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rPr>
          <w:rFonts w:hint="eastAsia" w:ascii="宋体" w:hAnsi="宋体" w:cs="宋体"/>
          <w:b/>
          <w:spacing w:val="76"/>
          <w:sz w:val="24"/>
        </w:rPr>
      </w:pPr>
      <w:r>
        <w:rPr>
          <w:rFonts w:hint="eastAsia" w:ascii="宋体" w:hAnsi="宋体" w:cs="宋体"/>
          <w:b/>
          <w:spacing w:val="76"/>
          <w:sz w:val="24"/>
        </w:rPr>
      </w:r>
      <w:r/>
    </w:p>
    <w:p>
      <w:pPr>
        <w:pStyle w:val="772"/>
        <w:ind w:firstLine="0"/>
        <w:rPr>
          <w:rFonts w:hint="eastAsia" w:ascii="宋体" w:hAnsi="宋体" w:cs="宋体"/>
          <w:b/>
          <w:spacing w:val="76"/>
          <w:sz w:val="24"/>
        </w:rPr>
      </w:pPr>
      <w:r>
        <w:rPr>
          <w:rFonts w:hint="eastAsia" w:ascii="宋体" w:hAnsi="宋体" w:cs="宋体"/>
          <w:b/>
          <w:spacing w:val="76"/>
          <w:sz w:val="24"/>
        </w:rPr>
      </w:r>
      <w:r/>
    </w:p>
    <w:p>
      <w:pPr>
        <w:pStyle w:val="772"/>
        <w:rPr>
          <w:rFonts w:hint="eastAsia" w:ascii="宋体" w:hAnsi="宋体" w:cs="宋体"/>
          <w:b/>
          <w:spacing w:val="76"/>
          <w:sz w:val="24"/>
        </w:rPr>
      </w:pPr>
      <w:r>
        <w:rPr>
          <w:rFonts w:hint="eastAsia" w:ascii="宋体" w:hAnsi="宋体" w:cs="宋体"/>
          <w:b/>
          <w:spacing w:val="76"/>
          <w:sz w:val="24"/>
        </w:rPr>
      </w:r>
      <w:r/>
    </w:p>
    <w:p>
      <w:pPr>
        <w:pStyle w:val="734"/>
        <w:jc w:val="center"/>
        <w:rPr>
          <w:rFonts w:hint="eastAsia" w:ascii="宋体" w:hAnsi="宋体" w:cs="宋体"/>
          <w:b/>
          <w:spacing w:val="76"/>
          <w:sz w:val="156"/>
        </w:rPr>
      </w:pPr>
      <w:r>
        <w:rPr>
          <w:rFonts w:hint="eastAsia" w:ascii="宋体" w:hAnsi="宋体" w:cs="宋体"/>
          <w:b/>
          <w:spacing w:val="76"/>
          <w:sz w:val="156"/>
        </w:rPr>
        <w:t xml:space="preserve">招标文件</w:t>
      </w:r>
      <w:r>
        <w:rPr>
          <w:rFonts w:hint="eastAsia" w:ascii="宋体" w:hAnsi="宋体" w:cs="宋体"/>
          <w:b/>
          <w:spacing w:val="76"/>
          <w:sz w:val="156"/>
        </w:rPr>
      </w:r>
      <w:r/>
    </w:p>
    <w:p>
      <w:pPr>
        <w:pStyle w:val="734"/>
        <w:jc w:val="center"/>
        <w:rPr>
          <w:rFonts w:hint="eastAsia" w:ascii="宋体" w:hAnsi="宋体" w:eastAsia="宋体" w:cs="宋体"/>
          <w:b/>
          <w:sz w:val="24"/>
          <w:lang w:val="en-US" w:eastAsia="zh-CN"/>
        </w:rPr>
      </w:pPr>
      <w:r>
        <w:rPr>
          <w:rFonts w:hint="eastAsia" w:ascii="宋体" w:hAnsi="宋体" w:cs="宋体"/>
          <w:b/>
          <w:sz w:val="24"/>
          <w:lang w:val="en-US" w:eastAsia="zh-CN"/>
        </w:rPr>
        <w:t xml:space="preserve">（</w:t>
      </w:r>
      <w:r>
        <w:rPr>
          <w:rFonts w:hint="eastAsia" w:ascii="宋体" w:hAnsi="宋体" w:cs="宋体"/>
          <w:b/>
          <w:sz w:val="24"/>
          <w:lang w:val="en-US" w:eastAsia="zh-CN"/>
        </w:rPr>
        <w:t xml:space="preserve">更正后</w:t>
      </w:r>
      <w:r>
        <w:rPr>
          <w:rFonts w:hint="eastAsia" w:ascii="宋体" w:hAnsi="宋体" w:cs="宋体"/>
          <w:b/>
          <w:sz w:val="24"/>
          <w:lang w:val="en-US" w:eastAsia="zh-CN"/>
        </w:rPr>
        <w:t xml:space="preserve">）</w:t>
      </w:r>
      <w:r>
        <w:rPr>
          <w:rFonts w:hint="eastAsia" w:ascii="宋体" w:hAnsi="宋体" w:eastAsia="宋体" w:cs="宋体"/>
          <w:b/>
          <w:sz w:val="24"/>
          <w:lang w:val="en-US" w:eastAsia="zh-CN"/>
        </w:rPr>
      </w:r>
      <w:r/>
    </w:p>
    <w:p>
      <w:pPr>
        <w:pStyle w:val="734"/>
        <w:rPr>
          <w:rFonts w:hint="eastAsia" w:ascii="宋体" w:hAnsi="宋体" w:cs="宋体"/>
          <w:b/>
          <w:sz w:val="24"/>
        </w:rPr>
      </w:pPr>
      <w:r>
        <w:rPr>
          <w:rFonts w:hint="eastAsia" w:ascii="宋体" w:hAnsi="宋体" w:cs="宋体"/>
          <w:b/>
          <w:sz w:val="24"/>
        </w:rPr>
      </w:r>
      <w:r/>
    </w:p>
    <w:p>
      <w:pPr>
        <w:pStyle w:val="772"/>
        <w:ind w:firstLine="0"/>
        <w:rPr>
          <w:rFonts w:hint="eastAsia" w:ascii="宋体" w:hAnsi="宋体" w:cs="宋体"/>
          <w:sz w:val="32"/>
        </w:rPr>
      </w:pPr>
      <w:r>
        <w:rPr>
          <w:rFonts w:hint="eastAsia" w:ascii="宋体" w:hAnsi="宋体" w:cs="宋体"/>
          <w:sz w:val="32"/>
        </w:rPr>
      </w:r>
      <w:r/>
    </w:p>
    <w:p>
      <w:pPr>
        <w:pStyle w:val="772"/>
        <w:ind w:firstLine="0"/>
        <w:rPr>
          <w:rFonts w:hint="eastAsia" w:ascii="宋体" w:hAnsi="宋体" w:cs="宋体"/>
          <w:sz w:val="32"/>
        </w:rPr>
      </w:pPr>
      <w:r>
        <w:rPr>
          <w:rFonts w:hint="eastAsia" w:ascii="宋体" w:hAnsi="宋体" w:cs="宋体"/>
          <w:sz w:val="32"/>
        </w:rPr>
      </w:r>
      <w:r/>
    </w:p>
    <w:p>
      <w:pPr>
        <w:pStyle w:val="734"/>
        <w:ind w:firstLine="640"/>
        <w:spacing w:line="600" w:lineRule="exact"/>
        <w:rPr>
          <w:rFonts w:hint="eastAsia" w:ascii="宋体" w:hAnsi="宋体" w:cs="宋体"/>
          <w:color w:val="000000"/>
          <w:sz w:val="32"/>
          <w:szCs w:val="32"/>
        </w:rPr>
      </w:pPr>
      <w:r>
        <w:rPr>
          <w:rFonts w:hint="eastAsia" w:ascii="宋体" w:hAnsi="宋体" w:cs="宋体"/>
          <w:color w:val="000000"/>
          <w:sz w:val="32"/>
          <w:szCs w:val="32"/>
        </w:rPr>
        <w:t xml:space="preserve">项目编号：JSZC-320300-HWZX-G2026-0236</w:t>
      </w:r>
      <w:r>
        <w:rPr>
          <w:rFonts w:hint="eastAsia" w:ascii="宋体" w:hAnsi="宋体" w:cs="宋体"/>
          <w:color w:val="000000"/>
          <w:sz w:val="32"/>
          <w:szCs w:val="32"/>
        </w:rPr>
      </w:r>
      <w:r/>
    </w:p>
    <w:p>
      <w:pPr>
        <w:pStyle w:val="734"/>
        <w:ind w:firstLine="960"/>
        <w:spacing w:line="600" w:lineRule="exact"/>
        <w:rPr>
          <w:rFonts w:hint="eastAsia" w:ascii="宋体" w:hAnsi="宋体" w:cs="宋体"/>
          <w:sz w:val="32"/>
          <w:szCs w:val="32"/>
        </w:rPr>
      </w:pPr>
      <w:r>
        <w:rPr>
          <w:rFonts w:hint="eastAsia" w:ascii="宋体" w:hAnsi="宋体" w:cs="宋体"/>
          <w:sz w:val="32"/>
          <w:szCs w:val="32"/>
        </w:rPr>
      </w:r>
      <w:r/>
    </w:p>
    <w:p>
      <w:pPr>
        <w:pStyle w:val="734"/>
        <w:ind w:firstLine="640"/>
        <w:spacing w:line="600" w:lineRule="exact"/>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徐州医科大学校外住宿点家具</w:t>
      </w:r>
      <w:r>
        <w:rPr>
          <w:rFonts w:hint="eastAsia" w:ascii="宋体" w:hAnsi="宋体" w:eastAsia="宋体" w:cs="宋体"/>
          <w:sz w:val="32"/>
          <w:szCs w:val="32"/>
          <w:lang w:eastAsia="zh-CN"/>
        </w:rPr>
      </w:r>
      <w:r/>
    </w:p>
    <w:p>
      <w:pPr>
        <w:pStyle w:val="734"/>
        <w:ind w:firstLine="960"/>
        <w:spacing w:line="600" w:lineRule="exact"/>
        <w:rPr>
          <w:rFonts w:hint="eastAsia" w:ascii="宋体" w:hAnsi="宋体" w:cs="宋体"/>
          <w:sz w:val="32"/>
          <w:szCs w:val="32"/>
        </w:rPr>
      </w:pPr>
      <w:r>
        <w:rPr>
          <w:rFonts w:hint="eastAsia" w:ascii="宋体" w:hAnsi="宋体" w:cs="宋体"/>
          <w:sz w:val="32"/>
          <w:szCs w:val="32"/>
        </w:rPr>
      </w:r>
      <w:r/>
    </w:p>
    <w:p>
      <w:pPr>
        <w:pStyle w:val="734"/>
        <w:ind w:firstLine="640"/>
        <w:spacing w:line="600" w:lineRule="exact"/>
        <w:rPr>
          <w:rFonts w:hint="eastAsia" w:ascii="宋体" w:hAnsi="宋体" w:cs="宋体"/>
          <w:sz w:val="32"/>
          <w:szCs w:val="32"/>
        </w:rPr>
      </w:pPr>
      <w:r>
        <w:rPr>
          <w:rFonts w:hint="eastAsia" w:ascii="宋体" w:hAnsi="宋体" w:cs="宋体"/>
          <w:sz w:val="32"/>
          <w:szCs w:val="32"/>
        </w:rPr>
        <w:t xml:space="preserve">采 购 人：徐州医科大学</w:t>
      </w:r>
      <w:r>
        <w:rPr>
          <w:rFonts w:hint="eastAsia" w:ascii="宋体" w:hAnsi="宋体" w:cs="宋体"/>
          <w:sz w:val="32"/>
          <w:szCs w:val="32"/>
        </w:rPr>
      </w:r>
      <w:r/>
    </w:p>
    <w:p>
      <w:pPr>
        <w:pStyle w:val="734"/>
        <w:ind w:right="-159" w:firstLine="2112"/>
        <w:spacing w:line="300" w:lineRule="auto"/>
        <w:rPr>
          <w:rFonts w:hint="eastAsia" w:ascii="宋体" w:hAnsi="宋体" w:cs="宋体"/>
          <w:sz w:val="32"/>
          <w:szCs w:val="32"/>
        </w:rPr>
      </w:pPr>
      <w:r>
        <w:rPr>
          <w:rFonts w:hint="eastAsia" w:ascii="宋体" w:hAnsi="宋体" w:cs="宋体"/>
          <w:sz w:val="32"/>
          <w:szCs w:val="32"/>
        </w:rPr>
      </w:r>
      <w:r/>
    </w:p>
    <w:p>
      <w:pPr>
        <w:pStyle w:val="734"/>
        <w:rPr>
          <w:rFonts w:hint="eastAsia" w:ascii="宋体" w:hAnsi="宋体" w:cs="宋体"/>
          <w:sz w:val="32"/>
          <w:szCs w:val="32"/>
        </w:rPr>
      </w:pPr>
      <w:r>
        <w:rPr>
          <w:rFonts w:hint="eastAsia" w:ascii="宋体" w:hAnsi="宋体" w:cs="宋体"/>
          <w:sz w:val="32"/>
          <w:szCs w:val="32"/>
        </w:rPr>
      </w:r>
      <w:r/>
    </w:p>
    <w:p>
      <w:pPr>
        <w:pStyle w:val="756"/>
        <w:ind w:firstLine="0"/>
        <w:rPr>
          <w:rFonts w:hint="eastAsia" w:ascii="宋体" w:hAnsi="宋体" w:cs="宋体"/>
          <w:sz w:val="32"/>
          <w:szCs w:val="32"/>
        </w:rPr>
      </w:pPr>
      <w:r>
        <w:rPr>
          <w:rFonts w:hint="eastAsia" w:ascii="宋体" w:hAnsi="宋体" w:cs="宋体"/>
          <w:sz w:val="32"/>
          <w:szCs w:val="32"/>
        </w:rPr>
      </w:r>
      <w:r/>
    </w:p>
    <w:p>
      <w:pPr>
        <w:pStyle w:val="734"/>
        <w:rPr>
          <w:rFonts w:hint="eastAsia" w:ascii="宋体" w:hAnsi="宋体" w:cs="宋体"/>
          <w:sz w:val="32"/>
          <w:szCs w:val="32"/>
        </w:rPr>
      </w:pPr>
      <w:r>
        <w:rPr>
          <w:rFonts w:hint="eastAsia" w:ascii="宋体" w:hAnsi="宋体" w:cs="宋体"/>
          <w:sz w:val="32"/>
          <w:szCs w:val="32"/>
        </w:rPr>
      </w:r>
      <w:r/>
    </w:p>
    <w:p>
      <w:pPr>
        <w:pStyle w:val="777"/>
        <w:rPr>
          <w:rFonts w:hint="eastAsia"/>
        </w:rPr>
      </w:pPr>
      <w:r>
        <w:rPr>
          <w:rFonts w:hint="eastAsia"/>
        </w:rPr>
      </w:r>
      <w:r/>
    </w:p>
    <w:p>
      <w:pPr>
        <w:pStyle w:val="734"/>
        <w:rPr>
          <w:rFonts w:hint="eastAsia"/>
        </w:rPr>
      </w:pPr>
      <w:r>
        <w:rPr>
          <w:rFonts w:hint="eastAsia"/>
        </w:rPr>
      </w:r>
      <w:r/>
    </w:p>
    <w:p>
      <w:pPr>
        <w:pStyle w:val="734"/>
        <w:rPr>
          <w:rFonts w:hint="eastAsia" w:ascii="宋体" w:hAnsi="宋体" w:cs="宋体"/>
          <w:sz w:val="32"/>
          <w:szCs w:val="32"/>
        </w:rPr>
      </w:pPr>
      <w:r>
        <w:rPr>
          <w:rFonts w:hint="eastAsia" w:ascii="宋体" w:hAnsi="宋体" w:cs="宋体"/>
          <w:sz w:val="32"/>
          <w:szCs w:val="32"/>
        </w:rPr>
      </w:r>
      <w:r/>
    </w:p>
    <w:p>
      <w:pPr>
        <w:pStyle w:val="780"/>
        <w:rPr>
          <w:rFonts w:hint="eastAsia" w:ascii="宋体" w:hAnsi="宋体" w:cs="宋体"/>
          <w:sz w:val="32"/>
          <w:szCs w:val="32"/>
        </w:rPr>
      </w:pPr>
      <w:r>
        <w:rPr>
          <w:rFonts w:hint="eastAsia" w:ascii="宋体" w:hAnsi="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5" o:title=""/>
              </v:shape>
            </w:pict>
          </mc:Fallback>
        </mc:AlternateContent>
      </w:r>
      <w:r>
        <w:rPr>
          <w:rFonts w:hint="eastAsia" w:ascii="宋体" w:hAnsi="宋体" w:cs="宋体"/>
          <w:sz w:val="32"/>
          <w:szCs w:val="32"/>
        </w:rPr>
      </w:r>
      <w:r/>
    </w:p>
    <w:p>
      <w:pPr>
        <w:pStyle w:val="734"/>
        <w:ind w:right="-159" w:firstLine="1440"/>
        <w:spacing w:line="300" w:lineRule="auto"/>
        <w:rPr>
          <w:rFonts w:hint="eastAsia" w:ascii="宋体" w:hAnsi="宋体" w:cs="宋体"/>
          <w:sz w:val="32"/>
          <w:szCs w:val="32"/>
        </w:rPr>
      </w:pPr>
      <w:r>
        <w:rPr>
          <w:rFonts w:hint="eastAsia" w:ascii="宋体" w:hAnsi="宋体" w:cs="宋体"/>
          <w:sz w:val="32"/>
          <w:szCs w:val="32"/>
        </w:rPr>
      </w:r>
      <w:r/>
    </w:p>
    <w:p>
      <w:pPr>
        <w:pStyle w:val="734"/>
        <w:ind w:right="-159" w:firstLine="2112"/>
        <w:spacing w:line="300" w:lineRule="auto"/>
        <w:rPr>
          <w:rFonts w:hint="eastAsia" w:ascii="宋体" w:hAnsi="宋体" w:cs="宋体"/>
          <w:sz w:val="32"/>
          <w:szCs w:val="32"/>
        </w:rPr>
      </w:pPr>
      <w:r>
        <w:rPr>
          <w:rFonts w:hint="eastAsia" w:ascii="宋体" w:hAnsi="宋体" w:cs="宋体"/>
          <w:sz w:val="32"/>
          <w:szCs w:val="32"/>
        </w:rPr>
      </w:r>
      <w:r/>
    </w:p>
    <w:p>
      <w:pPr>
        <w:pStyle w:val="734"/>
        <w:jc w:val="center"/>
        <w:spacing w:line="360" w:lineRule="auto"/>
        <w:rPr>
          <w:rFonts w:hint="eastAsia" w:ascii="宋体" w:hAnsi="宋体" w:cs="宋体"/>
          <w:sz w:val="32"/>
          <w:szCs w:val="32"/>
        </w:rPr>
      </w:pPr>
      <w:r>
        <w:rPr>
          <w:rFonts w:hint="eastAsia" w:ascii="宋体" w:hAnsi="宋体" w:cs="宋体"/>
          <w:sz w:val="32"/>
          <w:szCs w:val="32"/>
        </w:rPr>
        <w:t xml:space="preserve">采购代理机构：江苏海外集团国际工程咨询有限公司</w:t>
      </w:r>
      <w:r>
        <w:rPr>
          <w:rFonts w:hint="eastAsia" w:ascii="宋体" w:hAnsi="宋体" w:cs="宋体"/>
          <w:sz w:val="32"/>
          <w:szCs w:val="32"/>
        </w:rPr>
      </w:r>
      <w:r/>
    </w:p>
    <w:p>
      <w:pPr>
        <w:pStyle w:val="734"/>
        <w:jc w:val="center"/>
        <w:spacing w:line="360" w:lineRule="auto"/>
        <w:rPr>
          <w:rFonts w:hint="eastAsia" w:ascii="宋体" w:hAnsi="宋体" w:cs="宋体"/>
          <w:sz w:val="32"/>
          <w:szCs w:val="32"/>
        </w:rPr>
      </w:pPr>
      <w:r>
        <w:rPr>
          <w:rFonts w:hint="eastAsia" w:ascii="宋体" w:hAnsi="宋体" w:cs="宋体"/>
          <w:bCs/>
          <w:sz w:val="32"/>
          <w:szCs w:val="32"/>
        </w:rPr>
        <w:t xml:space="preserve">二〇二六年五月</w:t>
      </w:r>
      <w:r>
        <w:rPr>
          <w:rFonts w:hint="eastAsia" w:ascii="宋体" w:hAnsi="宋体" w:cs="宋体"/>
          <w:sz w:val="32"/>
          <w:szCs w:val="32"/>
        </w:rPr>
      </w:r>
      <w:r/>
    </w:p>
    <w:p>
      <w:pPr>
        <w:pStyle w:val="734"/>
        <w:rPr>
          <w:rFonts w:hint="eastAsia" w:ascii="宋体" w:hAnsi="宋体" w:cs="宋体"/>
          <w:sz w:val="32"/>
          <w:szCs w:val="32"/>
        </w:rPr>
      </w:pPr>
      <w:r>
        <w:rPr>
          <w:rFonts w:hint="eastAsia" w:ascii="宋体" w:hAnsi="宋体" w:cs="宋体"/>
          <w:sz w:val="32"/>
          <w:szCs w:val="32"/>
        </w:rPr>
      </w:r>
      <w:r/>
    </w:p>
    <w:p>
      <w:pPr>
        <w:pStyle w:val="734"/>
        <w:jc w:val="center"/>
        <w:rPr>
          <w:rFonts w:hint="eastAsia" w:ascii="宋体" w:hAnsi="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sz w:val="44"/>
        </w:rPr>
      </w:r>
      <w:r/>
    </w:p>
    <w:p>
      <w:pPr>
        <w:pStyle w:val="734"/>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hint="eastAsia" w:ascii="宋体" w:hAnsi="宋体" w:cs="宋体"/>
        </w:rPr>
      </w:r>
      <w:r/>
    </w:p>
    <w:p>
      <w:pPr>
        <w:pStyle w:val="734"/>
        <w:jc w:val="center"/>
        <w:spacing w:line="51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734"/>
        <w:jc w:val="center"/>
        <w:spacing w:line="519"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第一章 投标邀请</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第二章 投标人须知</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第三章 投标资料表</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第四章 评标标准</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第五章 拟签订的合同文本</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第六章 采购需求</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第七章 投标文件相关格式</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jc w:val="center"/>
        <w:spacing w:line="51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734"/>
        <w:jc w:val="center"/>
        <w:spacing w:line="51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44"/>
        </w:rPr>
      </w:r>
      <w:r/>
    </w:p>
    <w:p>
      <w:pPr>
        <w:pStyle w:val="734"/>
        <w:jc w:val="center"/>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徐州医科大学</w:t>
      </w:r>
      <w:r>
        <w:rPr>
          <w:rFonts w:hint="eastAsia" w:ascii="宋体" w:hAnsi="宋体" w:cs="宋体"/>
          <w:b/>
          <w:sz w:val="36"/>
          <w:szCs w:val="36"/>
        </w:rPr>
      </w:r>
      <w:r/>
    </w:p>
    <w:p>
      <w:pPr>
        <w:pStyle w:val="734"/>
        <w:jc w:val="center"/>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w:t>
      </w:r>
      <w:r>
        <w:rPr>
          <w:rFonts w:hint="eastAsia" w:ascii="宋体" w:hAnsi="宋体" w:cs="宋体"/>
          <w:b/>
          <w:sz w:val="36"/>
          <w:szCs w:val="36"/>
          <w:lang w:eastAsia="zh-CN"/>
        </w:rPr>
        <w:t xml:space="preserve">徐州医科大学校外住宿点家具</w:t>
      </w:r>
      <w:r>
        <w:rPr>
          <w:rFonts w:hint="eastAsia" w:ascii="宋体" w:hAnsi="宋体" w:cs="宋体"/>
          <w:b/>
          <w:sz w:val="36"/>
          <w:szCs w:val="36"/>
        </w:rPr>
        <w:t xml:space="preserve">》</w:t>
      </w:r>
      <w:r>
        <w:rPr>
          <w:rFonts w:hint="eastAsia" w:ascii="宋体" w:hAnsi="宋体" w:cs="宋体"/>
          <w:b/>
          <w:sz w:val="36"/>
          <w:szCs w:val="36"/>
        </w:rPr>
      </w:r>
      <w:r/>
    </w:p>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rPr>
          <w:rFonts w:hint="eastAsia" w:ascii="宋体" w:hAnsi="宋体" w:cs="宋体"/>
          <w:sz w:val="24"/>
        </w:rPr>
      </w:r>
      <w:r/>
    </w:p>
    <w:p>
      <w:pPr>
        <w:pStyle w:val="734"/>
        <w:ind w:firstLine="600"/>
        <w:spacing w:line="360"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b/>
          <w:sz w:val="28"/>
          <w:szCs w:val="28"/>
        </w:rPr>
      </w:r>
      <w:r/>
    </w:p>
    <w:p>
      <w:pPr>
        <w:pStyle w:val="734"/>
        <w:jc w:val="center"/>
        <w:rPr>
          <w:rFonts w:hint="eastAsia" w:ascii="宋体" w:hAnsi="宋体" w:cs="宋体"/>
          <w:b/>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rPr>
      </w:r>
      <w:r/>
    </w:p>
    <w:p>
      <w:pPr>
        <w:pStyle w:val="734"/>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第一章 投标邀请</w:t>
      </w:r>
      <w:r>
        <w:rPr>
          <w:rFonts w:hint="eastAsia" w:ascii="宋体" w:hAnsi="宋体" w:cs="宋体"/>
          <w:sz w:val="30"/>
          <w:szCs w:val="30"/>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江苏海外集团国际工程咨询有限公司</w:t>
      </w:r>
      <w:r>
        <w:rPr>
          <w:rFonts w:hint="eastAsia" w:ascii="宋体" w:hAnsi="宋体" w:cs="宋体"/>
          <w:color w:val="000000"/>
          <w:sz w:val="24"/>
        </w:rPr>
        <w:t xml:space="preserve">对</w:t>
      </w:r>
      <w:r>
        <w:rPr>
          <w:rFonts w:hint="eastAsia" w:ascii="宋体" w:hAnsi="宋体" w:cs="宋体"/>
          <w:color w:val="000000"/>
          <w:sz w:val="24"/>
          <w:u w:val="single"/>
          <w:lang w:eastAsia="zh-CN"/>
        </w:rPr>
        <w:t xml:space="preserve">徐州医科大学校外住宿点家具</w:t>
      </w:r>
      <w:r>
        <w:rPr>
          <w:rFonts w:hint="eastAsia" w:ascii="宋体" w:hAnsi="宋体" w:cs="宋体"/>
          <w:color w:val="000000"/>
          <w:sz w:val="24"/>
        </w:rPr>
        <w:t xml:space="preserve">进行公开招标采购，现邀请符合相关条件的供应商投标。</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一、项目名称和项目编号</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（二）项目编号： JSZC-320300-HWZX-G2026-0236</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二、对投标人的资格要求</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四、投标有关信息</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（一）投标截止时间：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（三）开标地点：“苏采云”系统“开标大厅”或进入徐州政府采购网--办事指南--供应商--供应商登录入口，点击“苏采云”进入系统“开标大厅”。</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五、采购人</w:t>
      </w:r>
      <w:r>
        <w:rPr>
          <w:rFonts w:hint="eastAsia" w:ascii="宋体" w:hAnsi="宋体" w:cs="宋体"/>
          <w:b/>
          <w:bCs/>
          <w:color w:val="000000"/>
          <w:sz w:val="24"/>
        </w:rPr>
      </w:r>
      <w:r/>
    </w:p>
    <w:p>
      <w:pPr>
        <w:pStyle w:val="734"/>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（一）名称：徐州医科大学</w:t>
      </w:r>
      <w:r>
        <w:rPr>
          <w:rFonts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（二）地址：徐州市铜山路209号</w:t>
      </w:r>
      <w:r>
        <w:rPr>
          <w:rFonts w:hint="eastAsia" w:ascii="宋体" w:hAnsi="宋体" w:cs="宋体"/>
          <w:color w:val="000000"/>
          <w:sz w:val="24"/>
        </w:rPr>
      </w:r>
      <w:r/>
    </w:p>
    <w:p>
      <w:pPr>
        <w:pStyle w:val="734"/>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（三）采购项目联系人：张老师</w:t>
      </w:r>
      <w:r>
        <w:rPr>
          <w:rFonts w:ascii="宋体" w:hAnsi="宋体" w:cs="宋体"/>
          <w:color w:val="000000"/>
          <w:sz w:val="24"/>
        </w:rPr>
      </w:r>
      <w:r/>
    </w:p>
    <w:p>
      <w:pPr>
        <w:pStyle w:val="734"/>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（四）联系电话：13905214069</w:t>
      </w:r>
      <w:r>
        <w:rPr>
          <w:rFonts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六、采购代理机构</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（一）名称：江苏海外集团国际工程咨询有限公司</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（二）地址：江苏省徐州市泉山区金山东路北侧徐州软件园C-11号楼1011室</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（三）采购项目联系人：孙逊、赵丽梅</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（四）联系电话：0516-83999206</w:t>
      </w:r>
      <w:r>
        <w:rPr>
          <w:rFonts w:hint="eastAsia" w:ascii="宋体" w:hAnsi="宋体" w:cs="宋体"/>
          <w:color w:val="000000"/>
          <w:sz w:val="24"/>
        </w:rPr>
      </w:r>
      <w:r/>
    </w:p>
    <w:p>
      <w:pPr>
        <w:pStyle w:val="734"/>
        <w:ind w:firstLine="300"/>
        <w:spacing w:line="519" w:lineRule="atLeast"/>
        <w:rPr>
          <w:rFonts w:hint="eastAsia" w:ascii="宋体" w:hAnsi="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r>
      <w:r/>
    </w:p>
    <w:p>
      <w:pPr>
        <w:pStyle w:val="734"/>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734"/>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734"/>
        <w:jc w:val="center"/>
        <w:spacing w:line="720" w:lineRule="atLeast"/>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
          <w:color w:val="000000"/>
          <w:sz w:val="30"/>
        </w:rPr>
      </w:r>
      <w:r/>
    </w:p>
    <w:p>
      <w:pPr>
        <w:pStyle w:val="734"/>
        <w:jc w:val="cente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第二章 投标人须知</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一、总则</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（一）采购人。采购人即指依法进行政府采购的国家机关、事业单位和团体组织。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（二）政府招标采购方式。政府采购货物或服务（以下简称“货物服务”）的招标方式，分为公开招标和邀请招标。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（五）采购人委托采购代理机构代理招标的，采购代理机构必须在采购人委托的范围内依法开展采购活动。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（六）投标人的资格条件：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投标人是指响应招标、参加投标竞争的法人、其他组织或者自然人。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2.投标人授权代表系指法定代表人或受法人委托的受托人。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二、招标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（八）招标文件应包括以下内容：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第一章，投标邀请；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第二章，投标人须知；</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第三章，投标资料表；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第四章，评标标准；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第五章，拟签订的合同文本；</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第六章，采购需求；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第七章，投标文件相关格式。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（九）招标文件澄清或者修改：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2.现场考察以本文件第三章《投标资料表》中的要求为准。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3.开标前答疑会以本文件第三章《投标资料表》中的要求为准。</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（十）投标人应当按照招标文件的要求编制投标文件。投标文件应对招标文件提出的要求和条件作出实质性响应。</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（十二）投标文件的构成：</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1.投标文件的构成以本文件第三章《投标资料表》中的要求为准。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2.投标人应当提交的资格、资信证明文件，以本文件第三章《投标资料表》中的所提要求为准。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（十三）投标函和价格表、商务条件、交货和提供服务的时间：</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1.投标函和价格表的要求见本章（十二）、（十三），格式见本文件第七章《投标文件相关格式》中《投标函》和《开标一览表》。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2.商务条件以本文件第三章《投标资料表》中的要求为准。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3.交货和提供服务的时间，以本文件第三章《投标资料表》中所提要求为准。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（十四）投标报价要求：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1.投标人应按照招标文件的要求报出分项价格和总价。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2.投标人应按照招标文件的要求进行报价，如投标人作出偏离，应在《偏离表》中列出。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3.采购人不支付报价以外的任何费用。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4.投标人所报的价格，在合同执行过程中是固定的，不得以任何理由予以变更。投标人提交滑动价格的投标文件，在资格、符合性检查时按照无效投标处理。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5.投标人只能提交一个投标价格，投标人提交多个价格的投标文件，在资格性、符合性检查时按照无效投标处理。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（十五）投标货币。以本文件第三章《投标资料表》中所提要求为准。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（十六）投标有效期：</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1.投标有效期为开标之日后90天。采购人可以要求对投标有效期延长一次，但该延长期最长不得超过30天。</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（十七）投标文件的编制要求和签署要求：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（2）投标人应对 CA 证书妥善保管，如被他人盗用投标，因此带来的结果均由投标人自行承担。</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（3）投标人应当对招标文件提出的要求和条件作出实质性响应，并在电子投标系统逐条应答。</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（十八）投标文件的盖章要求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1.投标文件的盖章要求以招标文件第三章《投标资料表》中的要求为准。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（二十二）本项目不允许分包。</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在评标过程中发现投标人有上述情形的，评标委员会应当认定其投标无效，并书面报告本级财政部门。</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（二十四）有下列情形之一的，其投标无效。</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1.不同投标人的投标文件，由同一单位或者个人编制；</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2.不同投标人委托同一单位或者个人办理投标事宜；</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3.不同投标人的投标文件中，所载明的项目管理成员或联系人为同一人；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4.不同投标人的投标文件，异常一致或者投标报价呈规律性差异；</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5.不同投标人的投标文件相互混装；</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7.投标文件未按规定期限投标的；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8.投标文件未按招标文件要求</w:t>
      </w:r>
      <w:r>
        <w:rPr>
          <w:rFonts w:hint="eastAsia" w:ascii="宋体" w:hAnsi="宋体" w:cs="宋体"/>
          <w:color w:val="000000"/>
          <w:sz w:val="24"/>
          <w:lang w:val="en-US" w:eastAsia="zh-CN"/>
        </w:rPr>
        <w:t xml:space="preserve">签署和盖</w:t>
      </w:r>
      <w:r>
        <w:rPr>
          <w:rFonts w:hint="eastAsia" w:ascii="宋体" w:hAnsi="宋体" w:cs="宋体"/>
          <w:color w:val="000000"/>
          <w:sz w:val="24"/>
        </w:rPr>
        <w:t xml:space="preserve">章的；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9.投标人未在规定时间内解密电子投标文件的；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10.投标文件未按招标文件规定的内容和要求填写的；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.不具备招标文件中规定的资格要求的；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.报价超过招标文件中规定的预算金额或者最高限价的；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.投标文件含有采购人不能接受的条件的；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.法律、法规和招标文件规定的其他无效情形。</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四、开标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（二十五）开标：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1.所有投标单位凭 CA 证书在到达开标时间时，解密各自投标文件，由工作人员操作系统进行开标、并宣读各投标人的《开标一览表》。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2.投标人不足3家的，不得开标。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3.开标过程由采购代理机构负责记录。</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4.投标人代表对开标过程和开标记录有疑义的，或者认为采购人、采购代理机构相关工作人员有需要回避情形的，应当场提出询问或者提出回避申请。</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5.投标人未参加开标的，视同认可开标结果。</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五、评标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（二十六）公开招标采购项目开标结束后，采购人依法对投标人的资格进行审查。合格投标人不足3家的，不得评标。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1.评标工作由采购代理机构负责组织，并履行下列职责：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（2）宣布评标纪律；</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（3）公布投标人名单，告知评审专家应当回避的情形；</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（4）组织评标委员会推选评标组长（采购人代表不得担任组长）；</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（5）在评标期间采取必要的通讯管理措施，保证评标活动不受外界干扰；</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（6）根据评标委员会的要求介绍政府采购相关政策法规、招标文件；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（8）核对评标结果，对有《</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"http://www.caigou2003.com/" \o "http://www.caigou2003.com/"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政府采购</w:t>
      </w:r>
      <w:r>
        <w:rPr>
          <w:rStyle w:val="822"/>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（10）处理与评标有关的其他事项。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2.评标委员会负责具体评标事务，并独立履行下列职责：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（1）审查、评价投标文件是否符合招标文件的商务、技术等实质性要求；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（2）要求投标人对投标文件有关事项作出澄清或者说明；</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（3）对投标文件进行比较和评价；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（4）确定中标候选人名单，以及根据采购人委托直接确定中标人；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（5）向采购人、采购代理机构或有关部门报告评标中发现的违法行为。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（二十七）评标方法分为最低评标价法和综合评分法。</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（二十八）评标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1.评标工作程序：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（1）投标文件初审。</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①资格性审查。</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②符合性审查。</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（2）澄清有关问题。</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（3）比较与评价。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（4）推荐中标候选供应商名单。</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（5）编写评审报告（评标报告）。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"http://lilun.caigou2003.com/recijiedu/2365668.html" \o "http://lilun.caigou2003.com/recijiedu/2365668.html"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最低评标价法</w:t>
      </w:r>
      <w:r>
        <w:rPr>
          <w:rStyle w:val="822"/>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"http://lilun.caigou2003.com/recijiedu/2365667.html" \o "http://lilun.caigou2003.com/recijiedu/2365667.html"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综合评分法</w:t>
      </w:r>
      <w:r>
        <w:rPr>
          <w:rStyle w:val="822"/>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非单一产品采购项目，多家投标人提供的核心产品品牌相同的，按前两款规定处理。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（二十九）投标文件报价出现前后不一致的，按照下列规定修正：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1.投标文件中开标一览表（报价表）内容与投标文件中相应内容不一致的，以开标一览表（报价表）为准；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2.大写金额和小写金额不一致的，以大写金额为准；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3.单价金额小数点或者百分比有明显错位的，以开标一览表的总价为准，并修改单价；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4.总价金额与按单价合计金额不一致的，以单价金额计算结果为准。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（三十）实施政府采购异常低价审查的有关要求：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（一）评审中出现下列情形之一的，评审（评标）委员会应当启动异常低价投标（响应）审查程序：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1.投标（响应）报价低于全部通过符合性审查供应商投标（响应）报价平均值</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，即投标（响应）报价&lt;全部通过符合性审查供应商投标（响应）报价平均值</w:t>
      </w:r>
      <w:r>
        <w:rPr>
          <w:rFonts w:hint="eastAsia" w:ascii="宋体" w:hAnsi="宋体" w:cs="宋体"/>
          <w:b/>
          <w:bCs/>
          <w:color w:val="000000"/>
          <w:sz w:val="24"/>
        </w:rPr>
        <w:t xml:space="preserve">×50%；</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2.投标（响应）报价低于通过符合性审查的次低报价供应商投标（响应）报价</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，即投标（响应）报价&lt;通过符合性审查的次低报价供应商投标（响应）报价</w:t>
      </w:r>
      <w:r>
        <w:rPr>
          <w:rFonts w:hint="eastAsia" w:ascii="宋体" w:hAnsi="宋体" w:cs="宋体"/>
          <w:b/>
          <w:bCs/>
          <w:color w:val="000000"/>
          <w:sz w:val="24"/>
        </w:rPr>
        <w:t xml:space="preserve">×50%；</w:t>
      </w:r>
      <w:r>
        <w:rPr>
          <w:rFonts w:hint="eastAsia" w:ascii="宋体" w:hAnsi="宋体" w:cs="宋体"/>
          <w:color w:val="000000"/>
          <w:sz w:val="24"/>
        </w:rPr>
      </w:r>
      <w:r/>
    </w:p>
    <w:p>
      <w:pPr>
        <w:pStyle w:val="734"/>
        <w:ind w:firstLine="48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3.投标（响应）报价低于采购项目最高限价（未设定最高限价的采购项目，以采购项目预算金额作为最高限价）</w:t>
      </w:r>
      <w:r>
        <w:rPr>
          <w:rFonts w:hint="eastAsia" w:ascii="宋体" w:hAnsi="宋体" w:cs="宋体"/>
          <w:b/>
          <w:bCs/>
          <w:color w:val="000000"/>
          <w:sz w:val="24"/>
        </w:rPr>
        <w:t xml:space="preserve">45%的，</w:t>
      </w:r>
      <w:r>
        <w:rPr>
          <w:rFonts w:hint="eastAsia" w:ascii="宋体" w:hAnsi="宋体" w:cs="宋体"/>
          <w:color w:val="000000"/>
          <w:sz w:val="24"/>
        </w:rPr>
        <w:t xml:space="preserve">即投标（响应）报价&lt;采购项目最高限价</w:t>
      </w:r>
      <w:r>
        <w:rPr>
          <w:rFonts w:hint="eastAsia" w:ascii="宋体" w:hAnsi="宋体" w:cs="宋体"/>
          <w:b/>
          <w:bCs/>
          <w:color w:val="000000"/>
          <w:sz w:val="24"/>
        </w:rPr>
        <w:t xml:space="preserve">×45%；</w:t>
      </w:r>
      <w:r>
        <w:rPr>
          <w:rFonts w:hint="eastAsia" w:ascii="宋体" w:hAnsi="宋体" w:cs="宋体"/>
          <w:b/>
          <w:bCs/>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4.评审（评标）委员会基于专业判断，认为供应商报价过低，有可能影响产品质量或者不能诚信履约的其他情形。</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 xml:space="preserve">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（三十二）废标条款：</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出现下列情形之一的，应予废标。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1.符合专业条件的供应商或者对招标文件作实质响应的供应商不足三家的；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2.出现影响采购公正的违法、违规行为的；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3.投标人的报价均超过了采购预算，采购人不能支付的；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4.因重大变故，采购任务取消的。</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六、定标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（三十三）采购代理机构应当在评标结束后2个工作日内将评标报告送采购人。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（三十四）采购人应当自收到评标报告之日起5个工作日内，在评标报告确定的中标候选人名单中按顺序确定中标人。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七、政府采购合同</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（三十六）签订政府采购合同（合同签订方式）：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采购人不得向中标人提出任何不合理的要求作为签订合同的条件。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（三十八）履约保证金：详见《第三章 投标资料表》。</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（三十九）腐败和欺诈行为：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（1）腐败和欺诈行为的含义：</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（2）如果被推荐的中标人有腐败和欺诈行为，将取消其中标资格。</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八、询问和质疑</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（四十）询问和质疑</w:t>
      </w:r>
      <w:r>
        <w:rPr>
          <w:rFonts w:hint="eastAsia" w:ascii="宋体" w:hAnsi="宋体" w:cs="宋体"/>
          <w:color w:val="000000"/>
          <w:sz w:val="24"/>
        </w:rPr>
      </w:r>
      <w:r/>
    </w:p>
    <w:p>
      <w:pPr>
        <w:pStyle w:val="734"/>
        <w:ind w:firstLine="480"/>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xml:space="preserve"> </w:t>
      </w:r>
      <w:r>
        <w:rPr>
          <w:rFonts w:hint="eastAsia" w:ascii="宋体" w:hAnsi="宋体" w:cs="宋体"/>
          <w:b/>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九、电子招标投标交易平台</w:t>
      </w:r>
      <w:r>
        <w:rPr>
          <w:rFonts w:hint="eastAsia" w:ascii="宋体" w:hAnsi="宋体" w:cs="宋体"/>
          <w:color w:val="000000"/>
          <w:sz w:val="24"/>
        </w:rPr>
      </w:r>
      <w:r/>
    </w:p>
    <w:p>
      <w:pPr>
        <w:pStyle w:val="734"/>
        <w:ind w:firstLine="480"/>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（四十一）电子招标投标交易平台（即“苏采云”系统，网址：http://jszfcg.jsczt.cn/）相关要求是本招标文件的组成部分。</w:t>
      </w:r>
      <w:r>
        <w:rPr>
          <w:rFonts w:hint="eastAsia" w:ascii="宋体" w:hAnsi="宋体" w:cs="宋体"/>
          <w:color w:val="000000"/>
        </w:rPr>
        <w:br w:type="page" w:clear="all"/>
      </w:r>
      <w:r>
        <w:rPr>
          <w:rFonts w:hint="eastAsia" w:ascii="宋体" w:hAnsi="宋体" w:cs="宋体"/>
          <w:color w:val="000000"/>
        </w:rPr>
      </w:r>
      <w:r/>
    </w:p>
    <w:p>
      <w:pPr>
        <w:pStyle w:val="734"/>
        <w:jc w:val="center"/>
        <w:spacing w:line="360" w:lineRule="auto"/>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第三章 投标资料表</w:t>
      </w:r>
      <w:r>
        <w:rPr>
          <w:rFonts w:hint="eastAsia" w:ascii="宋体" w:hAnsi="宋体" w:cs="宋体"/>
          <w:color w:val="000000"/>
          <w:sz w:val="30"/>
          <w:szCs w:val="30"/>
        </w:rPr>
      </w:r>
      <w:r/>
    </w:p>
    <w:p>
      <w:pPr>
        <w:pStyle w:val="734"/>
        <w:ind w:firstLine="60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s="宋体"/>
          <w:color w:val="000000"/>
          <w:sz w:val="24"/>
        </w:rPr>
      </w:r>
      <w:r/>
    </w:p>
    <w:tbl>
      <w:tblPr>
        <w:tblW w:w="5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条款项号</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内 容</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总则</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本项目采购人：徐州医科大学</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本次采购采用的政府采购方式：公开招标</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采购人确定的采购项目属性：货物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本项目采购代理机构：江苏海外集团国际工程咨询有限公司</w:t>
            </w:r>
            <w:r>
              <w:rPr>
                <w:rFonts w:hint="eastAsia" w:ascii="宋体" w:hAnsi="宋体" w:cs="宋体"/>
                <w:color w:val="000000"/>
                <w:sz w:val="24"/>
              </w:rPr>
            </w:r>
            <w:r/>
          </w:p>
        </w:tc>
      </w:tr>
      <w:tr>
        <w:trPr>
          <w:trHeight w:val="508"/>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投标人的资格条件：</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rPr>
                <w:rFonts w:hint="eastAsia" w:ascii="宋体" w:hAnsi="宋体" w:cs="宋体"/>
                <w:color w:val="000000"/>
                <w:sz w:val="24"/>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二、此项目属于专门面向中小微企业采购的项目，投标人所提供的货物全部由符合政策要求的中小企业制造，投标人提供的货物的制造商应全部为中小微企业、监狱企业、残疾人福利性单位。</w:t>
            </w:r>
            <w:r>
              <w:rPr>
                <w:rFonts w:hint="eastAsia" w:ascii="宋体" w:hAnsi="宋体" w:cs="宋体"/>
                <w:b/>
                <w:color w:val="000000"/>
                <w:sz w:val="24"/>
                <w:highlight w:val="none"/>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同时明确相关事项如下：</w:t>
            </w:r>
            <w:r>
              <w:rPr>
                <w:rFonts w:hint="eastAsia" w:ascii="宋体" w:hAnsi="宋体" w:cs="宋体"/>
                <w:b/>
                <w:color w:val="000000"/>
                <w:sz w:val="24"/>
                <w:highlight w:val="none"/>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1、本项目不接受联合体参与采购活动。</w:t>
            </w:r>
            <w:r>
              <w:rPr>
                <w:rFonts w:hint="eastAsia" w:ascii="宋体" w:hAnsi="宋体" w:cs="宋体"/>
                <w:b/>
                <w:color w:val="000000"/>
                <w:sz w:val="24"/>
                <w:highlight w:val="none"/>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2、单位负责人为同一人或者存在直接控股、管理关系的不同供应商，不得参加同一合同项下的政府采购活动。</w:t>
            </w:r>
            <w:r>
              <w:rPr>
                <w:rFonts w:hint="eastAsia" w:ascii="宋体" w:hAnsi="宋体" w:cs="宋体"/>
                <w:b/>
                <w:color w:val="000000"/>
                <w:sz w:val="24"/>
                <w:highlight w:val="none"/>
              </w:rPr>
            </w:r>
            <w:r/>
          </w:p>
          <w:p>
            <w:pPr>
              <w:pStyle w:val="734"/>
              <w:ind w:firstLine="2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3、为本采购项目提供整体设计、规范编制或者项目管理、监理、检测等服务的供应商，不得再参加本采购项目的采购活动。</w:t>
            </w:r>
            <w:r>
              <w:rPr>
                <w:rFonts w:hint="eastAsia" w:ascii="宋体" w:hAnsi="宋体" w:cs="宋体"/>
                <w:color w:val="000000"/>
                <w:sz w:val="24"/>
                <w:highlight w:val="none"/>
              </w:rPr>
            </w:r>
            <w:r/>
          </w:p>
          <w:p>
            <w:pPr>
              <w:pStyle w:val="734"/>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三、查询及使用供应商信用记录：</w:t>
            </w:r>
            <w:r>
              <w:rPr>
                <w:rFonts w:hint="eastAsia" w:ascii="宋体" w:hAnsi="宋体" w:cs="宋体"/>
                <w:b/>
                <w:bCs/>
                <w:color w:val="000000"/>
                <w:sz w:val="24"/>
                <w:highlight w:val="none"/>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(一)由采购人查询信用信息。</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(二)查询渠道包括：</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1、“信用中国”网（www.creditchina.gov.cn）；</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2、中国政府采购网（www.ccgp.gov.cn）；</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3、“信用江苏”网（http://credit.jiangsu.gov.cn）；</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4、“信用中国（江苏徐州）”（http://www.xuzhoucredit.gov.cn）；</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(三)截止时点（查询环节）：开标后资格审查结束前。</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(四)信用信息查询记录和证据留存的具体方式：网页截屏打印，与其他采购文件一并保存。</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(五)信用信息的使用规则：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招标代理服务费由中标人支付。标准按《招标代理服务收费标准》收取（见附件）。</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招标</w:t>
            </w:r>
            <w:r>
              <w:rPr>
                <w:rFonts w:hint="eastAsia" w:ascii="宋体" w:hAnsi="宋体" w:cs="宋体"/>
                <w:b/>
                <w:bCs/>
                <w:color w:val="000000"/>
                <w:sz w:val="24"/>
              </w:rPr>
            </w:r>
            <w:r/>
          </w:p>
        </w:tc>
      </w:tr>
      <w:tr>
        <w:trPr>
          <w:trHeight w:val="1504"/>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(九)1</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tabs>
                <w:tab w:val="left" w:pos="5760" w:leader="none"/>
              </w:tabs>
              <w:rPr>
                <w:rFonts w:hint="eastAsia" w:ascii="宋体" w:hAnsi="宋体" w:cs="宋体"/>
                <w:color w:val="000000"/>
                <w:sz w:val="24"/>
              </w:rPr>
            </w:pPr>
            <w:r>
              <w:rPr>
                <w:rFonts w:hint="eastAsia" w:ascii="宋体" w:hAnsi="宋体" w:cs="宋体"/>
                <w:b/>
                <w:bCs/>
                <w:color w:val="000000"/>
                <w:sz w:val="24"/>
              </w:rPr>
              <w:t xml:space="preserve">自行现场勘察。</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不安排开标前答疑会。</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投标文件的语言为中文</w:t>
            </w:r>
            <w:r>
              <w:rPr>
                <w:rFonts w:hint="eastAsia" w:ascii="宋体" w:hAnsi="宋体" w:cs="宋体"/>
                <w:color w:val="000000"/>
                <w:sz w:val="24"/>
              </w:rPr>
            </w:r>
            <w:r/>
          </w:p>
        </w:tc>
      </w:tr>
      <w:tr>
        <w:trPr>
          <w:trHeight w:val="472"/>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(十二)1</w:t>
            </w:r>
            <w:r>
              <w:rPr>
                <w:rFonts w:hint="eastAsia" w:ascii="宋体" w:hAnsi="宋体" w:cs="宋体"/>
                <w:color w:val="000000"/>
                <w:sz w:val="24"/>
              </w:rPr>
            </w:r>
            <w:r/>
          </w:p>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线上投标文件编制要求：</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请按照以下要求（包括但不限于以下要求）制作：</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一、基本目录</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1、《开标一览表》（加盖电子签章，政府采购客户端工具输入报价自动生成）；</w:t>
            </w:r>
            <w:r>
              <w:rPr>
                <w:rFonts w:hint="eastAsia" w:ascii="宋体" w:hAnsi="宋体" w:cs="宋体"/>
                <w:b/>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2、所投产品的环境标志产品认证证书原件的扫描件（如有）。</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3、所投产品的节能产品认证证书原件的扫描件（如有）。</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4、其它（包含但不限于本国产品的声明函等，如有）。</w:t>
            </w:r>
            <w:r>
              <w:rPr>
                <w:rFonts w:hint="eastAsia" w:ascii="宋体" w:hAnsi="宋体" w:cs="宋体"/>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二、资格条件（必须提供，否则投标将被拒绝）</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（一）投标人合法有效的营业执照扫描件，或事业单位法人证书扫描件，或民办非企业单位登记证书扫描件；</w:t>
            </w:r>
            <w:r>
              <w:rPr>
                <w:rFonts w:hint="eastAsia" w:ascii="宋体" w:hAnsi="宋体" w:cs="宋体"/>
                <w:color w:val="000000"/>
                <w:sz w:val="24"/>
              </w:rPr>
            </w:r>
            <w:r/>
          </w:p>
          <w:p>
            <w:pPr>
              <w:pStyle w:val="734"/>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（二）财务状况报告（即提供投标人的本项目开标时间（不含开标当月）前6个月内任何时间的</w:t>
            </w:r>
            <w:r>
              <w:rPr>
                <w:rFonts w:hint="eastAsia" w:ascii="宋体" w:hAnsi="宋体" w:cs="宋体"/>
                <w:b/>
                <w:color w:val="000000"/>
                <w:sz w:val="24"/>
              </w:rPr>
              <w:t xml:space="preserve">资产负债表、利润表扫描件各一份</w:t>
            </w:r>
            <w:r>
              <w:rPr>
                <w:rFonts w:hint="eastAsia" w:ascii="宋体" w:hAnsi="宋体" w:cs="宋体"/>
                <w:color w:val="000000"/>
                <w:sz w:val="24"/>
              </w:rPr>
              <w:t xml:space="preserve">；</w:t>
            </w:r>
            <w:r>
              <w:rPr>
                <w:rFonts w:hint="eastAsia" w:ascii="宋体" w:hAnsi="宋体" w:cs="宋体"/>
                <w:b/>
                <w:bCs/>
                <w:color w:val="000000"/>
                <w:sz w:val="24"/>
              </w:rPr>
              <w:t xml:space="preserve">或</w:t>
            </w:r>
            <w:r>
              <w:rPr>
                <w:rFonts w:hint="eastAsia" w:ascii="宋体" w:hAnsi="宋体" w:cs="宋体"/>
                <w:color w:val="000000"/>
                <w:sz w:val="24"/>
              </w:rPr>
              <w:t xml:space="preserve">提供投标人或2024年度（或2025年度）</w:t>
            </w:r>
            <w:r>
              <w:rPr>
                <w:rFonts w:hint="eastAsia" w:ascii="宋体" w:hAnsi="宋体" w:cs="宋体"/>
                <w:b/>
                <w:bCs/>
                <w:color w:val="000000"/>
                <w:sz w:val="24"/>
              </w:rPr>
              <w:t xml:space="preserve">经审计</w:t>
            </w:r>
            <w:r>
              <w:rPr>
                <w:rFonts w:hint="eastAsia" w:ascii="宋体" w:hAnsi="宋体" w:cs="宋体"/>
                <w:color w:val="000000"/>
                <w:sz w:val="24"/>
              </w:rPr>
              <w:t xml:space="preserve">的财务报告扫描件一份；</w:t>
            </w:r>
            <w:r>
              <w:rPr>
                <w:rFonts w:hint="eastAsia" w:ascii="宋体" w:hAnsi="宋体" w:cs="宋体"/>
                <w:b/>
                <w:bCs/>
                <w:color w:val="000000"/>
                <w:sz w:val="24"/>
              </w:rPr>
              <w:t xml:space="preserve">或</w:t>
            </w:r>
            <w:r>
              <w:rPr>
                <w:rFonts w:hint="eastAsia" w:ascii="宋体" w:hAnsi="宋体" w:cs="宋体"/>
                <w:color w:val="000000"/>
                <w:sz w:val="24"/>
              </w:rPr>
              <w:t xml:space="preserve">财政部门认可的政府采购专业担保机构出具的有效的投标担保函扫描件一份；</w:t>
            </w:r>
            <w:r>
              <w:rPr>
                <w:rFonts w:hint="eastAsia" w:ascii="宋体" w:hAnsi="宋体" w:cs="宋体"/>
                <w:b/>
                <w:bCs/>
                <w:color w:val="000000"/>
                <w:sz w:val="24"/>
              </w:rPr>
              <w:t xml:space="preserve">或</w:t>
            </w:r>
            <w:r>
              <w:rPr>
                <w:rFonts w:hint="eastAsia" w:ascii="宋体" w:hAnsi="宋体" w:cs="宋体"/>
                <w:color w:val="000000"/>
                <w:sz w:val="24"/>
              </w:rPr>
              <w:t xml:space="preserve">投标人的本项目开标时间（不含开标当月）前6个月内银行出具的</w:t>
            </w:r>
            <w:r>
              <w:rPr>
                <w:rFonts w:hint="eastAsia" w:ascii="宋体" w:hAnsi="宋体" w:cs="宋体"/>
                <w:b/>
                <w:color w:val="000000"/>
                <w:sz w:val="24"/>
              </w:rPr>
              <w:t xml:space="preserve">资信证明扫描件</w:t>
            </w:r>
            <w:r>
              <w:rPr>
                <w:rFonts w:hint="eastAsia" w:ascii="宋体" w:hAnsi="宋体" w:cs="宋体"/>
                <w:color w:val="000000"/>
                <w:sz w:val="24"/>
              </w:rPr>
              <w:t xml:space="preserve">一份）；</w:t>
            </w:r>
            <w:r>
              <w:rPr>
                <w:rFonts w:hint="eastAsia" w:ascii="宋体" w:hAnsi="宋体" w:cs="宋体"/>
                <w:color w:val="000000"/>
                <w:sz w:val="24"/>
              </w:rPr>
            </w:r>
            <w:r/>
          </w:p>
          <w:p>
            <w:pPr>
              <w:pStyle w:val="734"/>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（三）投标人的本项目开标时间（不含开标当月）前6个月内任何1个月的</w:t>
            </w:r>
            <w:r>
              <w:rPr>
                <w:rFonts w:hint="eastAsia" w:ascii="宋体" w:hAnsi="宋体" w:cs="宋体"/>
                <w:b/>
                <w:color w:val="000000"/>
                <w:sz w:val="24"/>
              </w:rPr>
              <w:t xml:space="preserve">依法缴纳税收扫描件和社会保障资金扫描件</w:t>
            </w:r>
            <w:r>
              <w:rPr>
                <w:rFonts w:hint="eastAsia" w:ascii="宋体" w:hAnsi="宋体" w:cs="宋体"/>
                <w:color w:val="000000"/>
                <w:sz w:val="24"/>
              </w:rPr>
              <w:t xml:space="preserve">的相关材料</w:t>
            </w:r>
            <w:r>
              <w:rPr>
                <w:rFonts w:hint="eastAsia" w:ascii="宋体" w:hAnsi="宋体" w:cs="宋体"/>
                <w:b/>
                <w:color w:val="000000"/>
                <w:sz w:val="24"/>
              </w:rPr>
              <w:t xml:space="preserve">各一份</w:t>
            </w:r>
            <w:r>
              <w:rPr>
                <w:rFonts w:hint="eastAsia" w:ascii="宋体" w:hAnsi="宋体" w:cs="宋体"/>
                <w:color w:val="000000"/>
                <w:sz w:val="24"/>
              </w:rPr>
              <w:t xml:space="preserve">（依法免税或不需要缴纳社会保障资金的供应商,提供相应文件扫描件证明其依法免税或不需要缴纳社会保障资金)；</w:t>
            </w:r>
            <w:r>
              <w:rPr>
                <w:rFonts w:hint="eastAsia" w:ascii="宋体" w:hAnsi="宋体" w:cs="宋体"/>
                <w:color w:val="000000"/>
                <w:sz w:val="24"/>
              </w:rPr>
            </w:r>
            <w:r/>
          </w:p>
          <w:p>
            <w:pPr>
              <w:pStyle w:val="734"/>
              <w:ind w:right="28"/>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（四）具备履行合同所必需的设备和专业技术能力的证明材料。</w:t>
            </w:r>
            <w:r>
              <w:rPr>
                <w:rFonts w:hint="eastAsia" w:ascii="宋体" w:hAnsi="宋体" w:cs="宋体"/>
                <w:b/>
                <w:bCs/>
                <w:color w:val="000000"/>
                <w:sz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Cs/>
                <w:color w:val="000000"/>
                <w:sz w:val="24"/>
              </w:rPr>
            </w:r>
            <w:r/>
          </w:p>
          <w:p>
            <w:pPr>
              <w:pStyle w:val="734"/>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（五）投标人参加政府采购活动前3年内在经营活动中没有重大违法记录的书面声明，加盖</w:t>
            </w:r>
            <w:r>
              <w:rPr>
                <w:rFonts w:hint="eastAsia" w:ascii="宋体" w:hAnsi="宋体" w:cs="宋体"/>
                <w:b/>
                <w:color w:val="000000"/>
                <w:sz w:val="24"/>
              </w:rPr>
              <w:t xml:space="preserve">电子签章</w:t>
            </w:r>
            <w:r>
              <w:rPr>
                <w:rFonts w:hint="eastAsia" w:ascii="宋体" w:hAnsi="宋体" w:cs="宋体"/>
                <w:color w:val="000000"/>
                <w:sz w:val="24"/>
              </w:rPr>
              <w:t xml:space="preserve">，格式见本文件第七章《投标文件相关格式》。</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（六）投标人提供的货物全部由符合政策要求的中小企业制造，提供《中小企业声明函》（填写完整，加盖电子签章，格式见招标文件第七章《投标文件相关格式》，</w:t>
            </w:r>
            <w:r>
              <w:rPr>
                <w:rFonts w:hint="eastAsia" w:ascii="宋体" w:hAnsi="宋体" w:cs="宋体"/>
                <w:b/>
                <w:bCs/>
                <w:color w:val="000000"/>
                <w:sz w:val="24"/>
              </w:rPr>
              <w:t xml:space="preserve">必须提供</w:t>
            </w:r>
            <w:r>
              <w:rPr>
                <w:rFonts w:hint="eastAsia" w:ascii="宋体" w:hAnsi="宋体" w:cs="宋体"/>
                <w:color w:val="000000"/>
                <w:sz w:val="24"/>
              </w:rPr>
              <w:t xml:space="preserve">）。 </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《中小企业声明函》查询渠道参考工业和信息化部发布的中小企业规模自测小程序。中小企业规模自测小程序详见《中小企业声明函》。</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2、监狱企业制造的，提供省级以上监狱管理局、戒毒管理局（含新疆生产建设兵团）出具的属于监狱企业的证明文件原件的扫描件。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注：具体以《财政部 司法部关于政府采购支持监狱企业发展有关问题的通知》（财库〔2014〕68号）的规定为准。</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3、享受政府采购支持政策的残疾人福利性单位制造的，提供《残疾人福利性单位声明函》（加盖电子签章，格式见招标文件第七章《投标文件相关格式》）。</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①安置的残疾人占本单位在职职工人数的比例不低于25%（含25%），并且安置的残疾人人数不少于10人（含10人）；</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②依法与安置的每位残疾人签订了一年以上（含一年）的劳动合同或服务协议；</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4"/>
              </w:rPr>
            </w:r>
            <w:r/>
          </w:p>
          <w:p>
            <w:pPr>
              <w:pStyle w:val="734"/>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具体以《三部门联合发布关于促进残疾人就业政府采购政策的通知》（财库〔2017〕141号）规定为准。</w:t>
            </w:r>
            <w:r>
              <w:rPr>
                <w:rFonts w:hint="eastAsia"/>
                <w:color w:val="000000"/>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(一)报价</w:t>
            </w:r>
            <w:r>
              <w:rPr>
                <w:rFonts w:hint="eastAsia" w:ascii="宋体" w:hAnsi="宋体" w:cs="宋体"/>
                <w:b/>
                <w:bCs/>
                <w:color w:val="000000"/>
                <w:sz w:val="24"/>
              </w:rPr>
            </w:r>
            <w:r/>
          </w:p>
          <w:p>
            <w:pPr>
              <w:pStyle w:val="734"/>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报价符合性审查</w:t>
            </w:r>
            <w:r>
              <w:rPr>
                <w:rFonts w:hint="eastAsia" w:ascii="宋体" w:hAnsi="宋体" w:cs="宋体"/>
                <w:b/>
                <w:bCs/>
                <w:color w:val="000000"/>
                <w:sz w:val="24"/>
                <w:lang w:eastAsia="zh-CN"/>
              </w:rPr>
              <w:t xml:space="preserve">》。</w:t>
            </w:r>
            <w:r>
              <w:rPr>
                <w:rFonts w:hint="eastAsia" w:ascii="宋体" w:hAnsi="宋体" w:cs="宋体"/>
                <w:b w:val="0"/>
                <w:bCs w:val="0"/>
                <w:color w:val="000000"/>
                <w:sz w:val="24"/>
                <w:lang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000000"/>
                <w:sz w:val="24"/>
                <w:lang w:eastAsia="zh-CN"/>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《开标一览表》。</w:t>
            </w:r>
            <w:r>
              <w:rPr>
                <w:rFonts w:hint="eastAsia" w:ascii="宋体" w:hAnsi="宋体" w:cs="宋体"/>
                <w:color w:val="000000"/>
                <w:sz w:val="24"/>
              </w:rPr>
              <w:t xml:space="preserve">政府采购客户端工具输入报价自动生成。</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、《分项价格表》。</w:t>
            </w:r>
            <w:r>
              <w:rPr>
                <w:rFonts w:hint="eastAsia" w:ascii="宋体" w:hAnsi="宋体" w:cs="宋体"/>
                <w:bCs/>
                <w:color w:val="000000"/>
                <w:sz w:val="24"/>
              </w:rPr>
              <w:t xml:space="preserve">要求加盖电子签章，格式见本文件第七章《投标文件相关格式》（必须提供，否则在符合性审查时按照投标无效处理）。</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（二）商务资信</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1、《投标函》</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w:t>
            </w:r>
            <w:r>
              <w:rPr>
                <w:rFonts w:hint="eastAsia" w:ascii="宋体" w:hAnsi="宋体" w:cs="宋体"/>
                <w:b/>
                <w:color w:val="000000"/>
                <w:sz w:val="24"/>
              </w:rPr>
              <w:t xml:space="preserve">《授权委托书》。</w:t>
            </w:r>
            <w:r>
              <w:rPr>
                <w:rFonts w:hint="eastAsia" w:ascii="宋体" w:hAnsi="宋体" w:cs="宋体"/>
                <w:bCs/>
                <w:color w:val="000000"/>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w:t>
            </w:r>
            <w:r>
              <w:rPr>
                <w:rFonts w:hint="eastAsia" w:ascii="宋体" w:hAnsi="宋体" w:cs="宋体"/>
                <w:b/>
                <w:bCs/>
                <w:color w:val="000000"/>
                <w:sz w:val="24"/>
              </w:rPr>
              <w:t xml:space="preserve">法律、法规和招标文件规定的其他投标无效情形。</w:t>
            </w:r>
            <w:r>
              <w:rPr>
                <w:rFonts w:hint="eastAsia" w:ascii="宋体" w:hAnsi="宋体" w:cs="宋体"/>
                <w:b/>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（三）技术响应</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1、《偏离表》</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（一）技术部分</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1、所投产品的技术规格（含相关证明材料）</w:t>
            </w:r>
            <w:r>
              <w:rPr>
                <w:rFonts w:hint="eastAsia" w:ascii="宋体" w:hAnsi="宋体" w:cs="宋体"/>
                <w:color w:val="000000"/>
                <w:sz w:val="24"/>
              </w:rPr>
              <w:t xml:space="preserve">（要求见招标文件第六章《采购需求》及第四章《评标标准》中《评分细则》）；</w:t>
            </w:r>
            <w:r>
              <w:rPr>
                <w:rFonts w:hint="eastAsia" w:ascii="宋体" w:hAnsi="宋体" w:cs="宋体"/>
                <w:b/>
                <w:bCs/>
                <w:color w:val="000000"/>
                <w:sz w:val="24"/>
              </w:rPr>
            </w:r>
            <w:r/>
          </w:p>
          <w:p>
            <w:pPr>
              <w:pStyle w:val="734"/>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2、样品</w:t>
            </w:r>
            <w:r>
              <w:rPr>
                <w:rFonts w:hint="eastAsia" w:ascii="宋体" w:hAnsi="宋体" w:cs="宋体"/>
                <w:color w:val="000000"/>
                <w:sz w:val="24"/>
              </w:rPr>
              <w:t xml:space="preserve">（要求见招标文件第六章《采购需求》及第四章《评标标准》中《评分细则》）；</w:t>
            </w:r>
            <w:r>
              <w:rPr>
                <w:rFonts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3、评分细则中评分得分需提供的相关证明文件扫描件。</w:t>
            </w:r>
            <w:r>
              <w:rPr>
                <w:rFonts w:hint="eastAsia" w:ascii="宋体" w:hAnsi="宋体" w:cs="宋体"/>
                <w:b/>
                <w:bCs/>
                <w:color w:val="000000"/>
                <w:sz w:val="24"/>
              </w:rPr>
            </w:r>
            <w:r/>
          </w:p>
          <w:p>
            <w:pPr>
              <w:pStyle w:val="734"/>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w:t>
            </w:r>
            <w:r>
              <w:rPr>
                <w:rFonts w:hint="eastAsia" w:ascii="宋体" w:hAnsi="宋体" w:cs="宋体"/>
                <w:b/>
                <w:bCs/>
                <w:color w:val="000000"/>
                <w:sz w:val="24"/>
              </w:rPr>
              <w:t xml:space="preserve">商务部分</w:t>
            </w:r>
            <w:r>
              <w:rPr>
                <w:rFonts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1、质量管控方案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2、项目实施及验收方案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3、售后服务方案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4、投标人业绩</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5、检测报告</w:t>
            </w:r>
            <w:r>
              <w:rPr>
                <w:rFonts w:hint="eastAsia" w:ascii="宋体" w:hAnsi="宋体" w:cs="宋体"/>
                <w:color w:val="000000"/>
                <w:sz w:val="24"/>
              </w:rPr>
              <w:t xml:space="preserve">（要求见本文件第四章《评标标准》中《评分细则》）；</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6、认证证书</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7、投标人其它证明文件及材料扫描件。</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734"/>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五、其他部分</w:t>
            </w:r>
            <w:r>
              <w:rPr>
                <w:rFonts w:ascii="宋体" w:hAnsi="宋体" w:cs="宋体"/>
                <w:b/>
                <w:bCs/>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投标人《关于符合本国产品标准的声明函》（填写完整，加盖公章，格式见招标文件第七章《投标文件相关格式》）</w:t>
            </w:r>
            <w:r>
              <w:rPr>
                <w:rFonts w:hint="eastAsia" w:ascii="宋体" w:hAnsi="宋体" w:cs="宋体"/>
                <w:color w:val="000000"/>
                <w:sz w:val="24"/>
              </w:rPr>
              <w:t xml:space="preserve">（请填写完整，如不填写完整或未按要求填写的，视为非本国产品）</w:t>
            </w:r>
            <w:r>
              <w:rPr>
                <w:rFonts w:hint="eastAsia" w:ascii="宋体" w:hAnsi="宋体" w:cs="宋体"/>
                <w:bCs/>
                <w:color w:val="000000"/>
                <w:sz w:val="24"/>
              </w:rPr>
              <w:t xml:space="preserve">。</w:t>
            </w:r>
            <w:r>
              <w:rPr>
                <w:rFonts w:hint="eastAsia" w:ascii="宋体" w:hAnsi="宋体" w:cs="宋体"/>
                <w:b/>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1、本国产品应当符合以下条件：</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（一）在中国境内生产</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产品应当在中国境内生产，即在中华人民共和国关境内实现从原材料、组件到产品的属性改变。</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1.为确保产品在运输或者储存期间保持某种状态而进行的操作；</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2.为产品运输或者销售进行的包装或者展示；</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3.在产品或者其包装上粘贴或者印刷品牌、标志、标识以及其他用于区别的标记；</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4.简单的上漆、磨光和分装；</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5.其他不属于属性改变的情形。</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（二）在中国境内生产的组件成本占比达到规定比例</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产品在中国境内生产的组件成本占比应当达到规定比例，计算公式为：</w:t>
            </w:r>
            <w:r>
              <w:rPr>
                <w:rFonts w:hint="eastAsia" w:ascii="宋体" w:hAnsi="宋体" w:cs="宋体"/>
                <w:bCs/>
                <w:color w:val="000000"/>
                <w:sz w:val="24"/>
              </w:rPr>
            </w:r>
            <w:r/>
          </w:p>
          <w:p>
            <w:pPr>
              <w:pStyle w:val="734"/>
              <w:jc w:val="center"/>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mc:AlternateContent>
                <mc:Choice Requires="wpg">
                  <w:drawing>
                    <wp:inline xmlns:wp="http://schemas.openxmlformats.org/drawingml/2006/wordprocessingDrawing" distT="0" distB="0" distL="0" distR="0">
                      <wp:extent cx="3276410" cy="49558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6" o:title=""/>
                    </v:shape>
                  </w:pict>
                </mc:Fallback>
              </mc:AlternateConten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（三）特定产品的关键组件、关键工序符合相关要求</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2、本国产品标准的适用范围</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3、对本国产品的支持政策</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具体以《国务院办公厅关于在政府采购中实施本国产品标准及相关政策的通知》（国办发〔2025〕34号）规定为准。</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注：中国境内生产的组件成本核算基本规则</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一、产品的一级组件是指直接组成产品的组件。产品的二级组件是指直接组成产品一级组件的组件。一级组件不可分解的，视同二级组件。</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三、产品总成本和组件成本以相关会计核算数据、采购合同、进货记录等为基础进行计算。</w:t>
            </w:r>
            <w:r>
              <w:rPr>
                <w:rFonts w:hint="eastAsia" w:ascii="宋体" w:hAnsi="宋体" w:cs="宋体"/>
                <w:bCs/>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四、需要对成本核算规则予以进一步明确的其他有关事项，由财政部会同有关部门另行规定。</w:t>
            </w:r>
            <w:r>
              <w:rPr>
                <w:rFonts w:hint="eastAsia" w:ascii="宋体" w:hAnsi="宋体" w:cs="宋体"/>
                <w:b/>
                <w:color w:val="000000"/>
                <w:sz w:val="24"/>
              </w:rPr>
            </w:r>
            <w:r/>
          </w:p>
          <w:p>
            <w:pPr>
              <w:pStyle w:val="734"/>
              <w:rPr>
                <w:rFonts w:hint="eastAsia" w:ascii="宋体" w:hAnsi="宋体" w:cs="宋体"/>
                <w:color w:val="000000"/>
                <w:sz w:val="24"/>
              </w:rPr>
            </w:pPr>
            <w:r>
              <w:rPr>
                <w:rFonts w:hint="eastAsia" w:ascii="宋体" w:hAnsi="宋体" w:cs="宋体"/>
                <w:b/>
                <w:color w:val="000000"/>
                <w:sz w:val="24"/>
              </w:rPr>
              <w:t xml:space="preserve">注</w:t>
            </w:r>
            <w:r>
              <w:rPr>
                <w:rFonts w:hint="eastAsia" w:ascii="宋体" w:hAnsi="宋体" w:cs="宋体"/>
                <w:color w:val="000000"/>
                <w:sz w:val="24"/>
              </w:rPr>
              <w:t xml:space="preserve">：</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1、投标人应对以上文件的合法性、真实性负责。</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商务条件见：</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一、本文件第四章《评标标准》中《评分细则》。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二、本文件第三章《投标资料表》中(十二)1和(十二)2。</w:t>
            </w:r>
            <w:r>
              <w:rPr>
                <w:rFonts w:hint="eastAsia" w:ascii="宋体" w:hAnsi="宋体" w:cs="宋体"/>
                <w:color w:val="000000"/>
                <w:sz w:val="24"/>
              </w:rPr>
            </w:r>
            <w:r/>
          </w:p>
        </w:tc>
      </w:tr>
      <w:tr>
        <w:trPr>
          <w:trHeight w:val="669"/>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交货和提供服务的时间：见本文件第五章 《拟签订的合同文本》及或本文件第六章《采购需求》。</w:t>
            </w:r>
            <w:r>
              <w:rPr>
                <w:rFonts w:hint="eastAsia" w:ascii="宋体" w:hAnsi="宋体" w:cs="宋体"/>
                <w:color w:val="000000"/>
                <w:sz w:val="24"/>
              </w:rPr>
            </w:r>
            <w:r/>
          </w:p>
        </w:tc>
      </w:tr>
      <w:tr>
        <w:trPr>
          <w:trHeight w:val="1425"/>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2"/>
              <w:jc w:val="left"/>
              <w:rPr>
                <w:rFonts w:hint="eastAsia" w:ascii="宋体" w:hAnsi="宋体" w:cs="宋体"/>
                <w:b/>
                <w:bCs/>
                <w:color w:val="000000"/>
                <w:sz w:val="24"/>
              </w:rPr>
            </w:pPr>
            <w:r>
              <w:rPr>
                <w:rFonts w:hint="eastAsia" w:ascii="宋体" w:hAnsi="宋体" w:cs="宋体"/>
                <w:b/>
                <w:bCs/>
                <w:color w:val="000000"/>
                <w:sz w:val="24"/>
              </w:rPr>
              <w:t xml:space="preserve">本项目不接受超过人民币590.40万元（项目采购预算）的投标报价。</w:t>
            </w:r>
            <w:r>
              <w:rPr>
                <w:rFonts w:hint="eastAsia" w:ascii="宋体" w:hAnsi="宋体" w:cs="宋体"/>
                <w:b/>
                <w:bCs/>
                <w:color w:val="000000"/>
                <w:sz w:val="24"/>
              </w:rPr>
            </w:r>
            <w:r/>
          </w:p>
          <w:p>
            <w:pPr>
              <w:pStyle w:val="734"/>
              <w:ind w:firstLine="480"/>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采购人不再支付报价以外的任何费用。</w:t>
            </w:r>
            <w:r>
              <w:rPr>
                <w:rFonts w:hint="eastAsia" w:ascii="宋体" w:hAnsi="宋体" w:cs="宋体"/>
                <w:color w:val="000000"/>
                <w:sz w:val="24"/>
              </w:rPr>
            </w:r>
            <w:r/>
          </w:p>
        </w:tc>
      </w:tr>
      <w:tr>
        <w:trPr>
          <w:trHeight w:val="347"/>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以人民币报价。</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2"/>
                <w:rFonts w:hint="eastAsia" w:ascii="宋体" w:hAnsi="宋体" w:cs="宋体"/>
                <w:color w:val="000000"/>
                <w:sz w:val="24"/>
              </w:rPr>
              <w:fldChar w:fldCharType="end"/>
            </w:r>
            <w:r>
              <w:rPr>
                <w:rFonts w:hint="eastAsia" w:ascii="宋体" w:hAnsi="宋体" w:cs="宋体"/>
                <w:color w:val="000000"/>
                <w:sz w:val="24"/>
              </w:rPr>
            </w:r>
            <w:r/>
          </w:p>
          <w:p>
            <w:pPr>
              <w:pStyle w:val="734"/>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特别说明：政府采购客户端工具需要导出加密的投标文件（后缀名为</w:t>
            </w:r>
            <w:r>
              <w:rPr>
                <w:rFonts w:hint="eastAsia" w:ascii="宋体" w:hAnsi="宋体" w:cs="宋体"/>
                <w:b/>
                <w:bCs/>
                <w:color w:val="000000"/>
                <w:sz w:val="24"/>
              </w:rPr>
              <w:t xml:space="preserve">zip</w:t>
            </w:r>
            <w:r>
              <w:rPr>
                <w:rFonts w:hint="eastAsia" w:ascii="宋体" w:hAnsi="宋体" w:cs="宋体"/>
                <w:color w:val="000000"/>
                <w:sz w:val="24"/>
              </w:rPr>
              <w:t xml:space="preserve">）。</w:t>
            </w:r>
            <w:r>
              <w:rPr>
                <w:rFonts w:hint="eastAsia" w:ascii="宋体" w:hAnsi="宋体" w:cs="宋体"/>
                <w:b/>
                <w:bCs/>
                <w:color w:val="000000"/>
                <w:sz w:val="24"/>
              </w:rPr>
              <w:t xml:space="preserve">投标文件不得超过150M！</w:t>
            </w:r>
            <w:r>
              <w:rPr>
                <w:rFonts w:hint="eastAsia" w:ascii="宋体" w:hAnsi="宋体" w:cs="宋体"/>
                <w:color w:val="000000"/>
                <w:sz w:val="24"/>
              </w:rPr>
              <w:t xml:space="preserve">名为</w:t>
            </w:r>
            <w:r>
              <w:rPr>
                <w:rFonts w:hint="eastAsia" w:ascii="宋体" w:hAnsi="宋体" w:cs="宋体"/>
                <w:b/>
                <w:bCs/>
                <w:color w:val="000000"/>
                <w:sz w:val="24"/>
              </w:rPr>
              <w:t xml:space="preserve">“.kedt”</w:t>
            </w:r>
            <w:r>
              <w:rPr>
                <w:rFonts w:hint="eastAsia" w:ascii="宋体" w:hAnsi="宋体" w:cs="宋体"/>
                <w:color w:val="000000"/>
                <w:sz w:val="24"/>
              </w:rPr>
              <w:t xml:space="preserve">）后，离线编制投标文件。采购文件（后缀名为</w:t>
            </w:r>
            <w:r>
              <w:rPr>
                <w:rFonts w:hint="eastAsia" w:ascii="宋体" w:hAnsi="宋体" w:cs="宋体"/>
                <w:b/>
                <w:bCs/>
                <w:color w:val="000000"/>
                <w:sz w:val="24"/>
              </w:rPr>
              <w:t xml:space="preserve">“.kedt”）。</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见本文件第三章《投标资料表》中(十二)1和(十二)2</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left="560" w:hanging="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投标文件的提交与接收： </w:t>
            </w:r>
            <w:r>
              <w:rPr>
                <w:rFonts w:hint="eastAsia" w:ascii="宋体" w:hAnsi="宋体" w:cs="宋体"/>
                <w:color w:val="000000"/>
                <w:sz w:val="24"/>
              </w:rPr>
            </w:r>
            <w:r/>
          </w:p>
          <w:p>
            <w:pPr>
              <w:pStyle w:val="734"/>
              <w:ind w:left="564" w:hanging="157"/>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1、投标文件提交与接收时间：2026年</w:t>
            </w:r>
            <w:r>
              <w:rPr>
                <w:rFonts w:hint="eastAsia" w:ascii="宋体" w:hAnsi="宋体" w:cs="宋体"/>
                <w:b/>
                <w:bCs/>
                <w:color w:val="000000"/>
                <w:sz w:val="24"/>
                <w:u w:val="single"/>
                <w:lang w:val="en-US" w:eastAsia="zh-CN"/>
              </w:rPr>
              <w:t xml:space="preserve">6</w:t>
            </w:r>
            <w:r>
              <w:rPr>
                <w:rFonts w:hint="eastAsia" w:ascii="宋体" w:hAnsi="宋体" w:cs="宋体"/>
                <w:b/>
                <w:bCs/>
                <w:color w:val="000000"/>
                <w:sz w:val="24"/>
              </w:rPr>
              <w:t xml:space="preserve">月</w:t>
            </w:r>
            <w:r>
              <w:rPr>
                <w:rFonts w:hint="eastAsia" w:ascii="宋体" w:hAnsi="宋体" w:cs="宋体"/>
                <w:b/>
                <w:bCs/>
                <w:color w:val="000000"/>
                <w:sz w:val="24"/>
                <w:u w:val="single"/>
                <w:lang w:val="en-US" w:eastAsia="zh-CN"/>
              </w:rPr>
              <w:t xml:space="preserve">1</w:t>
            </w:r>
            <w:r>
              <w:rPr>
                <w:rFonts w:hint="eastAsia" w:ascii="宋体" w:hAnsi="宋体" w:cs="宋体"/>
                <w:b/>
                <w:bCs/>
                <w:color w:val="000000"/>
                <w:sz w:val="24"/>
                <w:u w:val="single"/>
                <w:lang w:val="en-US" w:eastAsia="zh-CN"/>
              </w:rPr>
              <w:t xml:space="preserve">2</w:t>
            </w:r>
            <w:r>
              <w:rPr>
                <w:rFonts w:hint="eastAsia" w:ascii="宋体" w:hAnsi="宋体" w:cs="宋体"/>
                <w:b/>
                <w:bCs/>
                <w:color w:val="000000"/>
                <w:sz w:val="24"/>
              </w:rPr>
              <w:t xml:space="preserve">日</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0前。</w:t>
            </w:r>
            <w:r>
              <w:rPr>
                <w:rFonts w:hint="eastAsia" w:ascii="宋体" w:hAnsi="宋体" w:cs="宋体"/>
                <w:b/>
                <w:bCs/>
                <w:color w:val="000000"/>
                <w:sz w:val="24"/>
              </w:rPr>
            </w:r>
            <w:r/>
          </w:p>
          <w:p>
            <w:pPr>
              <w:pStyle w:val="734"/>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2、投标文件提交与接收地点：</w:t>
            </w:r>
            <w:r>
              <w:rPr>
                <w:rFonts w:hint="eastAsia" w:ascii="宋体" w:hAnsi="宋体" w:cs="宋体"/>
                <w:color w:val="000000"/>
                <w:sz w:val="24"/>
              </w:rPr>
              <w:t xml:space="preserve">投标人应当通过“苏采云”系统提交数据电文形式的投标文件（即电子投标），“苏采云”系统自动接收。</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电子投标文件应由其法定代表人或法定代表人授权代表在规定的网上投标时间内，</w:t>
            </w:r>
            <w:r>
              <w:rPr>
                <w:rFonts w:hint="eastAsia" w:ascii="宋体" w:hAnsi="宋体" w:cs="宋体"/>
                <w:b/>
                <w:color w:val="000000"/>
                <w:sz w:val="24"/>
              </w:rPr>
              <w:t xml:space="preserve">凭 CA 证书登陆“苏采云”系统在线编制投标文件（电子数据），并在投标截止时间之前上传投标文件。并于开标时凭CA锁进行解密。</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rPr>
                <w:rFonts w:ascii="宋体" w:hAnsi="宋体" w:cs="宋体"/>
                <w:color w:val="000000"/>
                <w:sz w:val="24"/>
              </w:rPr>
            </w:r>
            <w:r/>
          </w:p>
          <w:p>
            <w:pPr>
              <w:pStyle w:val="734"/>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ascii="宋体" w:hAnsi="宋体" w:cs="宋体"/>
                <w:color w:val="000000"/>
                <w:sz w:val="24"/>
              </w:rPr>
            </w:r>
            <w:r/>
          </w:p>
          <w:p>
            <w:pPr>
              <w:pStyle w:val="734"/>
              <w:ind w:firstLine="480"/>
              <w:jc w:val="left"/>
              <w:widowControl/>
              <w:rPr>
                <w:rFonts w:hint="eastAsia" w:ascii="宋体" w:hAnsi="宋体" w:cs="宋体"/>
                <w:color w:val="000000"/>
                <w:sz w:val="24"/>
              </w:rPr>
            </w:pPr>
            <w:r>
              <w:rPr>
                <w:rFonts w:hint="eastAsia" w:ascii="宋体" w:hAnsi="宋体" w:cs="宋体"/>
                <w:bCs/>
                <w:color w:val="000000"/>
                <w:sz w:val="24"/>
              </w:rPr>
              <w:t xml:space="preserve">“苏采云”系统生成开标记录并向社会公众公布，但依法应当保密的除外。</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jc w:val="left"/>
              <w:widowControl/>
              <w:rPr>
                <w:rFonts w:hint="eastAsia" w:ascii="宋体" w:hAnsi="宋体" w:cs="宋体"/>
                <w:color w:val="000000"/>
                <w:sz w:val="24"/>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jc w:val="left"/>
              <w:widowControl/>
              <w:rPr>
                <w:rFonts w:hint="eastAsia" w:ascii="宋体" w:hAnsi="宋体" w:cs="宋体"/>
                <w:color w:val="000000"/>
                <w:sz w:val="24"/>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spacing w:before="0" w:beforeAutospacing="0" w:after="0" w:afterAutospacing="0"/>
              <w:shd w:val="clear" w:color="auto" w:fill="ffffff"/>
              <w:rPr>
                <w:rFonts w:hint="eastAsia"/>
                <w:color w:val="000000"/>
              </w:rPr>
            </w:pPr>
            <w:r>
              <w:rPr>
                <w:rFonts w:hint="eastAsia"/>
                <w:color w:val="000000"/>
              </w:rPr>
              <w:t xml:space="preserve">投标文件解密失败的补救方案：无。</w:t>
            </w:r>
            <w:r>
              <w:rPr>
                <w:rFonts w:hint="eastAsia"/>
                <w:color w:val="000000"/>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w:t>
            </w:r>
            <w:r>
              <w:rPr>
                <w:rFonts w:hint="eastAsia" w:ascii="宋体" w:hAnsi="宋体" w:cs="宋体"/>
                <w:b/>
                <w:bCs/>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rPr>
                <w:rFonts w:hint="eastAsia" w:ascii="宋体" w:hAnsi="宋体" w:cs="宋体"/>
                <w:b/>
                <w:bCs/>
                <w:color w:val="000000"/>
                <w:sz w:val="24"/>
              </w:rPr>
            </w:r>
            <w:r/>
          </w:p>
          <w:p>
            <w:pPr>
              <w:pStyle w:val="734"/>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0（标准时间）</w:t>
            </w:r>
            <w:r>
              <w:rPr>
                <w:rFonts w:hint="eastAsia" w:ascii="宋体" w:hAnsi="宋体" w:cs="宋体"/>
                <w:color w:val="000000"/>
                <w:sz w:val="24"/>
              </w:rPr>
            </w:r>
            <w:r/>
          </w:p>
          <w:p>
            <w:pPr>
              <w:pStyle w:val="734"/>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rPr>
                <w:rFonts w:hint="eastAsia" w:ascii="宋体" w:hAnsi="宋体" w:cs="宋体"/>
                <w:color w:val="000000"/>
                <w:sz w:val="24"/>
              </w:rPr>
              <w:t xml:space="preserve">“苏采云”系统（网址： http://jszfcg.jsczt.cn/）“开标大厅”或进入徐州政府采购网（网址：https://czj.xz.gov.cn/zfcg/index.html）--办事指南--供应商--供应商登录入口，点击“苏采云”进入系统“开标大厅”。</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招标文件规定的需要宣布的内容：宣读投标人名称、投标价格。</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评标</w:t>
            </w:r>
            <w:r>
              <w:rPr>
                <w:rFonts w:hint="eastAsia" w:ascii="宋体" w:hAnsi="宋体" w:cs="宋体"/>
                <w:b/>
                <w:bCs/>
                <w:color w:val="000000"/>
                <w:sz w:val="24"/>
              </w:rPr>
            </w:r>
            <w:r/>
          </w:p>
        </w:tc>
      </w:tr>
      <w:tr>
        <w:trPr>
          <w:trHeight w:val="369"/>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rPr>
                <w:rFonts w:hint="eastAsia" w:ascii="宋体" w:hAnsi="宋体" w:cs="宋体"/>
                <w:color w:val="000000"/>
                <w:sz w:val="24"/>
              </w:rPr>
            </w:r>
            <w:r/>
          </w:p>
        </w:tc>
      </w:tr>
      <w:tr>
        <w:trPr>
          <w:trHeight w:val="212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二、采用综合评分法的，按评审后得分由高到低顺序排列。得分相同的，按投标报价由低到高顺序排列。得分且投标报价相同的，按项目实施方案得分顺序排列。</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三、采购人应当自收到评标报告之日起5个工作日内，在评标报告确定的中标候选人名单中按得分最高顺序确定一名中标人。</w:t>
            </w:r>
            <w:r>
              <w:rPr>
                <w:rFonts w:hint="eastAsia" w:ascii="宋体" w:hAnsi="宋体" w:cs="宋体"/>
                <w:color w:val="000000"/>
                <w:sz w:val="24"/>
              </w:rPr>
            </w:r>
            <w:r/>
          </w:p>
        </w:tc>
      </w:tr>
      <w:tr>
        <w:trPr>
          <w:trHeight w:val="3764"/>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ascii="宋体" w:hAnsi="宋体" w:cs="宋体"/>
                <w:color w:val="000000"/>
                <w:sz w:val="24"/>
              </w:rPr>
            </w:pPr>
            <w:r/>
            <w:bookmarkStart w:id="0" w:name="OLE_LINK7"/>
            <w:r/>
            <w:bookmarkStart w:id="1"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Pr>
                <w:rFonts w:ascii="宋体" w:hAnsi="宋体" w:cs="宋体"/>
                <w:color w:val="000000"/>
                <w:sz w:val="24"/>
              </w:rPr>
            </w:r>
            <w:r/>
          </w:p>
          <w:p>
            <w:pPr>
              <w:pStyle w:val="734"/>
              <w:ind w:firstLine="482"/>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政府采购合同</w:t>
            </w:r>
            <w:r>
              <w:rPr>
                <w:rFonts w:hint="eastAsia" w:ascii="宋体" w:hAnsi="宋体" w:cs="宋体"/>
                <w:b/>
                <w:bCs/>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采购人与中标、中标人应当在中标、成交通知书发出之日起30日内，按照采购文件确定的事项签订政府采购合同。</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（三十八）</w:t>
            </w:r>
            <w:r>
              <w:rPr>
                <w:rFonts w:hint="eastAsia" w:ascii="宋体" w:hAnsi="宋体" w:cs="宋体"/>
                <w:b/>
                <w:bCs/>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履约保证金：5%，以支票、汇票、本票、电汇或者金融机构、担保机构出具的保函等非现金形式缴纳。</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质疑接收人：孙逊      联系电话：0516-83999055</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地址：徐州市泉山区金山东路北侧徐州软件园C-11号楼1011室</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附加说明</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中标人在收到中标通知书时，须向采购人和采购代理机构提交《开标一览表》和《分项价格表》的数据文件（WORD格式）。</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邮箱：jocxz03@jocite.com</w:t>
            </w:r>
            <w:r>
              <w:rPr>
                <w:rFonts w:hint="eastAsia" w:ascii="宋体" w:hAnsi="宋体" w:cs="宋体"/>
                <w:color w:val="000000"/>
                <w:sz w:val="24"/>
              </w:rPr>
            </w:r>
            <w:r/>
          </w:p>
        </w:tc>
      </w:tr>
      <w:tr>
        <w:trPr>
          <w:trHeight w:val="5018"/>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4、招标文件中如需“授权代表签字或盖章”，供应商可打印成文档。签字或盖章后再扫描上传，最后再电子签章。</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w:t>
            </w:r>
            <w:r>
              <w:rPr>
                <w:rFonts w:hint="eastAsia" w:ascii="宋体" w:hAnsi="宋体" w:cs="宋体"/>
                <w:color w:val="000000"/>
                <w:sz w:val="24"/>
              </w:rPr>
            </w:r>
            <w:r/>
          </w:p>
          <w:p>
            <w:pPr>
              <w:pStyle w:val="746"/>
              <w:rPr>
                <w:rFonts w:eastAsia="宋体"/>
                <w:lang w:val="en-US" w:eastAsia="zh-CN"/>
              </w:rPr>
            </w:pPr>
            <w:r>
              <w:rPr>
                <w:rFonts w:hint="eastAsia"/>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rPr>
                <w:rFonts w:eastAsia="宋体"/>
                <w:lang w:val="en-US" w:eastAsia="zh-CN"/>
              </w:rPr>
            </w:r>
            <w:r/>
          </w:p>
        </w:tc>
      </w:tr>
    </w:tbl>
    <w:p>
      <w:pPr>
        <w:pStyle w:val="734"/>
        <w:ind w:firstLine="600"/>
        <w:spacing w:line="23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734"/>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734"/>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本章附件：招标代理服务收费标准</w:t>
      </w:r>
      <w:r>
        <w:rPr>
          <w:rFonts w:hint="eastAsia" w:ascii="宋体" w:hAnsi="宋体" w:cs="宋体"/>
          <w:b/>
          <w:bCs/>
          <w:color w:val="000000"/>
          <w:sz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中标或者成交金额</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rPr>
                <w:rFonts w:hint="eastAsia" w:ascii="宋体" w:hAnsi="宋体" w:cs="宋体"/>
                <w:color w:val="000000"/>
                <w:sz w:val="24"/>
              </w:rPr>
            </w:r>
            <w:r/>
          </w:p>
        </w:tc>
      </w:tr>
    </w:tbl>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4、代理服务费应收取金额=代理服务费基准金额（按差额定率累进法计算的）的合计数*30%。</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6、有分包（分标段）项目按采购包收费。</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7、上该表为自行约定的代理服务费标准。</w:t>
      </w:r>
      <w:r>
        <w:rPr>
          <w:rFonts w:hint="eastAsia" w:ascii="宋体" w:hAnsi="宋体" w:cs="宋体"/>
          <w:color w:val="000000"/>
          <w:sz w:val="24"/>
          <w:highlight w:val="none"/>
        </w:rPr>
      </w:r>
      <w:r/>
    </w:p>
    <w:p>
      <w:pPr>
        <w:pStyle w:val="734"/>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8、本项目最高收费不高于4万元。</w:t>
      </w:r>
      <w:r>
        <w:rPr>
          <w:rFonts w:hint="eastAsia" w:ascii="宋体" w:hAnsi="宋体" w:eastAsia="宋体" w:cs="宋体"/>
          <w:bCs/>
          <w:color w:val="000000"/>
          <w:sz w:val="24"/>
          <w:highlight w:val="none"/>
          <w:lang w:val="en-US" w:eastAsia="zh-CN"/>
        </w:rPr>
      </w:r>
      <w:r/>
    </w:p>
    <w:p>
      <w:pPr>
        <w:pStyle w:val="734"/>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9、根据苏财规[2026]1号文件有关规定，本项目代理服务费由中标人支付，各投标人在投标报价时应充分考虑在内。</w:t>
      </w:r>
      <w:r>
        <w:rPr>
          <w:rFonts w:hint="eastAsia" w:ascii="宋体" w:hAnsi="宋体" w:eastAsia="宋体" w:cs="宋体"/>
          <w:bCs/>
          <w:color w:val="000000"/>
          <w:sz w:val="24"/>
          <w:highlight w:val="none"/>
          <w:lang w:val="en-US" w:eastAsia="zh-CN"/>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、账户信息：</w:t>
      </w:r>
      <w:r>
        <w:rPr>
          <w:rFonts w:hint="eastAsia" w:ascii="宋体" w:hAnsi="宋体" w:cs="宋体"/>
          <w:bCs/>
          <w:color w:val="000000"/>
          <w:sz w:val="24"/>
          <w:highlight w:val="none"/>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账户名：江苏海外集团国际工程咨询有限公司徐州分公司</w:t>
      </w:r>
      <w:r>
        <w:rPr>
          <w:rFonts w:hint="eastAsia" w:ascii="宋体" w:hAnsi="宋体" w:cs="宋体"/>
          <w:bCs/>
          <w:color w:val="000000"/>
          <w:sz w:val="24"/>
          <w:highlight w:val="none"/>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开户银行：上海浦东发展银行股份有限公司徐州分行</w:t>
      </w:r>
      <w:r>
        <w:rPr>
          <w:rFonts w:hint="eastAsia" w:ascii="宋体" w:hAnsi="宋体" w:cs="宋体"/>
          <w:bCs/>
          <w:color w:val="000000"/>
          <w:sz w:val="24"/>
          <w:highlight w:val="none"/>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账号：11110154740005866</w:t>
      </w:r>
      <w:r>
        <w:rPr>
          <w:rFonts w:hint="eastAsia" w:ascii="宋体" w:hAnsi="宋体" w:cs="宋体"/>
          <w:bCs/>
          <w:color w:val="000000"/>
          <w:sz w:val="24"/>
          <w:highlight w:val="none"/>
        </w:rPr>
      </w:r>
      <w:r/>
    </w:p>
    <w:p>
      <w:pPr>
        <w:pStyle w:val="734"/>
        <w:spacing w:line="400" w:lineRule="exac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8"/>
          <w:szCs w:val="28"/>
        </w:rPr>
      </w:r>
      <w:r/>
    </w:p>
    <w:p>
      <w:pPr>
        <w:pStyle w:val="734"/>
        <w:numPr>
          <w:ilvl w:val="0"/>
          <w:numId w:val="2"/>
        </w:numPr>
        <w:jc w:val="center"/>
        <w:spacing w:line="360" w:lineRule="auto"/>
        <w:rPr>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评标标准</w:t>
      </w:r>
      <w:r>
        <w:rPr>
          <w:rFonts w:hint="eastAsia" w:ascii="宋体" w:hAnsi="宋体" w:cs="宋体"/>
          <w:b/>
          <w:color w:val="000000"/>
          <w:sz w:val="32"/>
          <w:szCs w:val="32"/>
        </w:rPr>
      </w:r>
      <w:r/>
    </w:p>
    <w:tbl>
      <w:tblPr>
        <w:tblW w:w="9836" w:type="dxa"/>
        <w:jc w:val="center"/>
        <w:tblInd w:w="-27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92"/>
        <w:gridCol w:w="1297"/>
        <w:gridCol w:w="1117"/>
        <w:gridCol w:w="5248"/>
        <w:gridCol w:w="882"/>
      </w:tblGrid>
      <w:tr>
        <w:trPr>
          <w:trHeight w:val="806"/>
        </w:trPr>
        <w:tc>
          <w:tcPr>
            <w:gridSpan w:val="2"/>
            <w:tcW w:w="2589"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z w:val="24"/>
              </w:rPr>
              <w:t xml:space="preserve">评审因素</w:t>
            </w:r>
            <w:r>
              <w:rPr>
                <w:rFonts w:hint="eastAsia" w:ascii="宋体" w:hAnsi="宋体" w:cs="宋体"/>
                <w:b/>
                <w:bCs/>
                <w:color w:val="000000"/>
                <w:sz w:val="24"/>
              </w:rPr>
            </w:r>
            <w:r/>
          </w:p>
        </w:tc>
        <w:tc>
          <w:tcPr>
            <w:gridSpan w:val="2"/>
            <w:tcW w:w="6365"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z w:val="24"/>
              </w:rPr>
              <w:t xml:space="preserve">评审因素细化和量化</w:t>
            </w:r>
            <w:r>
              <w:rPr>
                <w:rFonts w:hint="eastAsia" w:ascii="宋体" w:hAnsi="宋体" w:cs="宋体"/>
                <w:b/>
                <w:bCs/>
                <w:color w:val="000000"/>
                <w:sz w:val="24"/>
              </w:rPr>
            </w:r>
            <w:r/>
          </w:p>
        </w:tc>
        <w:tc>
          <w:tcPr>
            <w:tcW w:w="882" w:type="dxa"/>
            <w:vAlign w:val="top"/>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z w:val="24"/>
              </w:rPr>
              <w:t xml:space="preserve">是否为客观分</w:t>
            </w:r>
            <w:r>
              <w:rPr>
                <w:rFonts w:hint="eastAsia" w:ascii="宋体" w:hAnsi="宋体" w:cs="宋体"/>
                <w:b/>
                <w:bCs/>
                <w:color w:val="000000"/>
                <w:sz w:val="24"/>
              </w:rPr>
            </w:r>
            <w:r/>
          </w:p>
        </w:tc>
      </w:tr>
      <w:tr>
        <w:trPr/>
        <w:tc>
          <w:tcPr>
            <w:tcW w:w="129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价格部分</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（30分）</w:t>
            </w: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价格</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 30分）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各投标人价格得分=最低报价（投标人的最低评审价格）÷各投标人评审价格×30</w:t>
            </w:r>
            <w:r>
              <w:rPr>
                <w:rFonts w:hint="eastAsia"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注：促进本国产品优惠政策：政府采购活动中既有本国产品又有非本国产品参与竞争的，依法对本国产品给予价格评审优惠，对本国产品的报价给予20%的价格扣除，用扣除后的价格参与评审。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该投标人的评审价格=《开标一览表》中的“总价”*（100%-20%）</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享受价格评审优惠不改变最终中标价格，政府采购合同仍按照中标供应商的报价签订。</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00"/>
        </w:trPr>
        <w:tc>
          <w:tcPr>
            <w:tcW w:w="1292"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技术部分（27分）</w:t>
            </w: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所投产品的技术规格(技术性能)</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（15分）</w:t>
            </w:r>
            <w:r>
              <w:rPr>
                <w:rFonts w:hint="eastAsia" w:ascii="宋体" w:hAnsi="宋体" w:cs="宋体"/>
                <w:color w:val="000000"/>
                <w:sz w:val="24"/>
              </w:rPr>
            </w:r>
            <w:r/>
          </w:p>
        </w:tc>
        <w:tc>
          <w:tcPr>
            <w:gridSpan w:val="2"/>
            <w:tcW w:w="6365"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完全符合招标文件第六章《采购需求》要求的，得基本分15分；每有一项不满足或负偏离的，从基本分中减1分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扣完为止</w:t>
            </w:r>
            <w:r>
              <w:rPr>
                <w:rFonts w:hint="eastAsia" w:ascii="宋体" w:hAnsi="宋体" w:cs="宋体"/>
                <w:color w:val="000000"/>
                <w:sz w:val="24"/>
              </w:rPr>
              <w:t xml:space="preserve">；</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本项最高得15分，最低得0分。</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注：要求提供样品的所投产品，只对除工艺及样式之外的技术规格（技术技能）进行评审”。</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94"/>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样品（12分）</w:t>
            </w:r>
            <w:r>
              <w:rPr>
                <w:rFonts w:hint="eastAsia" w:ascii="宋体" w:hAnsi="宋体" w:cs="宋体"/>
                <w:color w:val="000000"/>
                <w:sz w:val="24"/>
              </w:rPr>
            </w:r>
            <w:r/>
          </w:p>
        </w:tc>
        <w:tc>
          <w:tcPr>
            <w:tcW w:w="111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lang w:bidi="ar"/>
              </w:rPr>
              <w:t xml:space="preserve">单人床（4分）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734"/>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332"/>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734"/>
              <w:rPr>
                <w:rFonts w:hint="eastAsia"/>
                <w:color w:val="000000"/>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color w:val="000000"/>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样品-衣柜（4分）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734"/>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样品-学习桌（4分）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734"/>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90"/>
        </w:trPr>
        <w:tc>
          <w:tcPr>
            <w:tcW w:w="1292"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商务部分</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（43分）</w:t>
            </w:r>
            <w:r>
              <w:rPr>
                <w:rFonts w:hint="eastAsia" w:ascii="宋体" w:hAnsi="宋体" w:cs="宋体"/>
                <w:color w:val="000000"/>
                <w:sz w:val="24"/>
              </w:rPr>
            </w:r>
            <w:r/>
          </w:p>
        </w:tc>
        <w:tc>
          <w:tcPr>
            <w:gridSpan w:val="2"/>
            <w:tcW w:w="241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质量管控方案</w:t>
            </w:r>
            <w:r>
              <w:rPr>
                <w:rFonts w:hint="eastAsia" w:ascii="宋体" w:hAnsi="宋体" w:cs="宋体"/>
                <w:color w:val="000000"/>
                <w:sz w:val="24"/>
              </w:rPr>
            </w:r>
            <w:r/>
          </w:p>
          <w:p>
            <w:pPr>
              <w:pStyle w:val="734"/>
              <w:jc w:val="center"/>
              <w:rPr>
                <w:rFonts w:hint="eastAsia" w:ascii="宋体" w:hAnsi="宋体" w:cs="宋体"/>
                <w:color w:val="000000"/>
                <w:sz w:val="24"/>
                <w:highlight w:val="yellow"/>
              </w:rPr>
            </w:pPr>
            <w:r>
              <w:rPr>
                <w:rFonts w:hint="eastAsia" w:ascii="宋体" w:hAnsi="宋体" w:cs="宋体"/>
                <w:color w:val="000000"/>
                <w:sz w:val="24"/>
              </w:rPr>
              <w:t xml:space="preserve">（2分）</w:t>
            </w:r>
            <w:r>
              <w:rPr>
                <w:rFonts w:hint="eastAsia" w:ascii="宋体" w:hAnsi="宋体" w:cs="宋体"/>
                <w:color w:val="000000"/>
                <w:sz w:val="24"/>
                <w:highlight w:val="yellow"/>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、质量管控要求”的2项内容,进行完善，详细描述且列出具体方案措施。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72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项目实施及验收方案（12分）</w:t>
            </w: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配送安装方案（6分）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、配送、安装要求”中“（一）配送、安装具体要求”的6项内容，进行完善，详细描述且列出具体方案措施。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配送安装保障措施</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（4分）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、配送、安装要求”中“（二）配送安装保障措施要求”的4项内容，进行完善，详细描述且列出具体方案措施。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验收方案（2分）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十</w:t>
            </w:r>
            <w:r>
              <w:rPr>
                <w:rFonts w:hint="eastAsia" w:ascii="宋体" w:hAnsi="宋体" w:cs="宋体"/>
                <w:color w:val="000000"/>
                <w:sz w:val="24"/>
              </w:rPr>
              <w:t xml:space="preserve">、验收标准（验收要求、验收标准和程序）要求”，进行完善，详细描述且列出具体方案措施。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未提供的得0分，本项最高得2分，最低得0分。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71"/>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售后服务方案（16分）</w:t>
            </w:r>
            <w:r>
              <w:rPr>
                <w:rFonts w:hint="eastAsia" w:ascii="宋体" w:hAnsi="宋体" w:cs="宋体"/>
                <w:color w:val="000000"/>
                <w:sz w:val="24"/>
              </w:rPr>
            </w:r>
            <w:r/>
          </w:p>
        </w:tc>
        <w:tc>
          <w:tcPr>
            <w:tcW w:w="1117"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质保期（3分）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质保期5年及以下的不得分；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质保期在5年基础上，每增加1年（增加不满1年不得分），得1分。</w:t>
            </w:r>
            <w:r>
              <w:rPr>
                <w:rFonts w:hint="eastAsia" w:ascii="宋体" w:hAnsi="宋体" w:cs="宋体"/>
                <w:color w:val="000000"/>
                <w:sz w:val="24"/>
              </w:rPr>
            </w:r>
            <w:r/>
          </w:p>
          <w:p>
            <w:pPr>
              <w:pStyle w:val="734"/>
              <w:jc w:val="left"/>
              <w:widowControl/>
              <w:rPr>
                <w:rFonts w:hint="eastAsia" w:ascii="宋体" w:hAnsi="宋体" w:cs="宋体"/>
                <w:color w:val="000000"/>
                <w:sz w:val="24"/>
              </w:rPr>
            </w:pPr>
            <w:r>
              <w:rPr>
                <w:rFonts w:hint="eastAsia" w:ascii="宋体" w:hAnsi="宋体" w:cs="宋体"/>
                <w:color w:val="000000"/>
                <w:sz w:val="24"/>
              </w:rPr>
              <w:t xml:space="preserve">本项最高得3分，最低得0分。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475"/>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质保期内的售后服务方案</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（6分）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（二）</w:t>
            </w:r>
            <w:r>
              <w:rPr>
                <w:rFonts w:hint="eastAsia" w:ascii="宋体" w:hAnsi="宋体" w:cs="宋体"/>
                <w:color w:val="000000"/>
                <w:sz w:val="24"/>
              </w:rPr>
              <w:t xml:space="preserve">质保期内的服务要求”的4项内容，进行完善，详细描述且列出具体方案措施。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分，扣完为止；单项内容每存在一处缺陷扣</w:t>
            </w:r>
            <w:r>
              <w:rPr>
                <w:rFonts w:hint="eastAsia" w:ascii="宋体" w:hAnsi="宋体" w:cs="宋体"/>
                <w:color w:val="000000"/>
                <w:sz w:val="24"/>
                <w:lang w:val="en-US" w:eastAsia="zh-CN"/>
              </w:rPr>
              <w:t xml:space="preserve">0.75</w:t>
            </w:r>
            <w:r>
              <w:rPr>
                <w:rFonts w:hint="eastAsia" w:ascii="宋体" w:hAnsi="宋体" w:cs="宋体"/>
                <w:color w:val="000000"/>
                <w:sz w:val="24"/>
              </w:rPr>
              <w:t xml:space="preserve">分，单项内容分（1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99"/>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质保期后的售后服务方案</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（3分）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（三）</w:t>
            </w:r>
            <w:r>
              <w:rPr>
                <w:rFonts w:hint="eastAsia" w:ascii="宋体" w:hAnsi="宋体" w:cs="宋体"/>
                <w:color w:val="000000"/>
                <w:sz w:val="24"/>
              </w:rPr>
              <w:t xml:space="preserve">质保期后的服务要求”的3项内容，进行完善，详细描述且列出具体方案措施。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3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售后服务保障措施方案（4分）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（四）</w:t>
            </w:r>
            <w:r>
              <w:rPr>
                <w:rFonts w:hint="eastAsia" w:ascii="宋体" w:hAnsi="宋体" w:cs="宋体"/>
                <w:color w:val="000000"/>
                <w:sz w:val="24"/>
              </w:rPr>
              <w:t xml:space="preserve">售后服务保障措施要求”的4项内容，进行完善，详细描述且列出具体方案措施。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投标人业绩（4分）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投标文件中提供投标人为卖方(乙方)，合同签订日期在2023年1月1日之后，与本项目相同或类似的项目，每提供一份得2分，最高得4分，未提供的得0分。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注：投标文件中提供合同原件扫描件，否则此项不得分。</w:t>
            </w:r>
            <w:r>
              <w:rPr>
                <w:rFonts w:hint="eastAsia" w:ascii="宋体" w:hAnsi="宋体" w:cs="宋体"/>
                <w:color w:val="000000"/>
                <w:sz w:val="24"/>
              </w:rPr>
            </w:r>
            <w:r/>
          </w:p>
        </w:tc>
        <w:tc>
          <w:tcPr>
            <w:tcW w:w="882" w:type="dxa"/>
            <w:vAlign w:val="center"/>
            <w:textDirection w:val="lrTb"/>
            <w:noWrap w:val="false"/>
          </w:tcPr>
          <w:p>
            <w:pPr>
              <w:pStyle w:val="734"/>
              <w:jc w:val="center"/>
              <w:spacing w:after="100"/>
              <w:widowControl/>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8910"/>
        </w:trPr>
        <w:tc>
          <w:tcPr>
            <w:tcW w:w="1292" w:type="dxa"/>
            <w:vAlign w:val="top"/>
            <w:vMerge w:val="continue"/>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检测报告（6分）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1、单人床的检测报告：检测报告内容包含但不限于：①甲醛释放量；②产品有害物质（苯、甲苯、二甲苯、总挥发性有机化合物）；③外观要求：虫蛀材、腐朽材、贯通裂缝。检测报告内容全部合格的得1分。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ff0000"/>
                <w:sz w:val="24"/>
              </w:rPr>
              <w:t xml:space="preserve">学习椅</w:t>
            </w:r>
            <w:r>
              <w:rPr>
                <w:rFonts w:hint="eastAsia" w:ascii="宋体" w:hAnsi="宋体" w:cs="宋体"/>
                <w:color w:val="000000"/>
                <w:sz w:val="24"/>
              </w:rPr>
              <w:t xml:space="preserve">的检测报告：检测报告内容包含但不限于：①金属件应无漏喷、锈蚀、脱色、掉色等；②附着力；③座面和椅背静载荷试验、座面冲击试验。检测报告内容全部合格的得1分。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3、学习桌的检测报告：检测报告内容包含但不限于：①燃烧性能：不低于B1级、最大烟密度；②5min内放出的总能量；③热释放速率峰值。检测报告内容全部合格的得1分。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4、床垫的检测报告：检测报告内容包含但不限于：①面料外观；</w:t>
            </w:r>
            <w:r>
              <w:rPr>
                <w:rFonts w:hint="eastAsia" w:ascii="宋体" w:hAnsi="宋体" w:cs="宋体"/>
                <w:color w:val="ff0000"/>
                <w:sz w:val="24"/>
              </w:rPr>
              <w:t xml:space="preserve">②芯料物理性能（密度、含水率）</w:t>
            </w:r>
            <w:r>
              <w:rPr>
                <w:rFonts w:hint="eastAsia" w:ascii="宋体" w:hAnsi="宋体" w:cs="宋体"/>
                <w:color w:val="000000"/>
                <w:sz w:val="24"/>
              </w:rPr>
              <w:t xml:space="preserve">；③甲醛释放量。检测报告内容全部合格的得1分。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5、实木多层板的检测报告：检测报告内容包含但不限于：①甲醛释放量；②胶合强度；③静曲强度。检测报告内容全部合格的得1分。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6、三合一连接件的检测报告：检测报告内容包含但不限于：①盐雾试验；②三合一连接件偏心体抗压强度。检测报告内容全部合格的得1分。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未提供不得分，本项最高得6分，最低得0分。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1、检验报告要求：检测报告须有CNAS或CMA标志。</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2、检验时间：2024年1月1日至本项目开标时间前。</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3、检测标准：见招标文件第六章《采购需求》。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3、如投标人提供的检测报告中检测对象名称不一致，以实际检测对象类别为准。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认证证书（3分）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投标文件中提供所投核心产品制造商有效的质量管理体系认证证书、环境管理体系认证证书及职业健康管理体系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rPr>
            </w:r>
            <w:r/>
          </w:p>
          <w:p>
            <w:pPr>
              <w:pStyle w:val="986"/>
              <w:rPr>
                <w:rFonts w:hint="eastAsia" w:ascii="宋体" w:hAnsi="宋体" w:cs="宋体"/>
                <w:color w:val="000000"/>
                <w:sz w:val="24"/>
                <w:szCs w:val="24"/>
              </w:rPr>
            </w:pPr>
            <w:r>
              <w:rPr>
                <w:rFonts w:hint="eastAsia" w:ascii="宋体" w:hAnsi="宋体" w:cs="宋体"/>
                <w:color w:val="000000"/>
                <w:sz w:val="24"/>
                <w:szCs w:val="24"/>
              </w:rPr>
              <w:t xml:space="preserve">2、投标文件中提供所投核心产品制造商有效的中国环境标志产品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p>
            <w:pPr>
              <w:pStyle w:val="986"/>
              <w:rPr>
                <w:rFonts w:hint="eastAsia" w:ascii="宋体" w:hAnsi="宋体" w:cs="宋体"/>
                <w:color w:val="000000"/>
                <w:sz w:val="24"/>
                <w:szCs w:val="24"/>
              </w:rPr>
            </w:pPr>
            <w:r>
              <w:rPr>
                <w:rFonts w:hint="eastAsia" w:ascii="宋体" w:hAnsi="宋体" w:cs="宋体"/>
                <w:color w:val="000000"/>
                <w:sz w:val="24"/>
                <w:szCs w:val="24"/>
              </w:rPr>
              <w:t xml:space="preserve">3、投标文件中提供所投核心产品制造商有效的有害物质限量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bl>
    <w:p>
      <w:pPr>
        <w:pStyle w:val="734"/>
        <w:ind w:firstLine="600"/>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本章说明：本项目采用综合评分法，结果保留2位小数</w:t>
      </w:r>
      <w:r>
        <w:rPr>
          <w:rFonts w:hint="eastAsia" w:ascii="宋体" w:hAnsi="宋体" w:cs="宋体"/>
          <w:color w:val="000000"/>
          <w:sz w:val="24"/>
        </w:rPr>
      </w:r>
      <w:r/>
    </w:p>
    <w:p>
      <w:pPr>
        <w:pStyle w:val="734"/>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第五章 拟签订的合同文本</w:t>
      </w:r>
      <w:r>
        <w:rPr>
          <w:rFonts w:hint="eastAsia" w:ascii="宋体" w:hAnsi="宋体" w:cs="宋体"/>
          <w:b/>
          <w:bCs/>
          <w:color w:val="000000"/>
          <w:sz w:val="32"/>
          <w:szCs w:val="32"/>
        </w:rPr>
      </w:r>
      <w:r/>
    </w:p>
    <w:p>
      <w:pPr>
        <w:pStyle w:val="734"/>
        <w:rPr>
          <w:rFonts w:hint="eastAsia" w:ascii="宋体" w:hAnsi="宋体" w:cs="宋体"/>
          <w:b/>
          <w:color w:val="000000"/>
          <w:sz w:val="52"/>
          <w:szCs w:val="36"/>
        </w:rPr>
      </w:pPr>
      <w:r>
        <w:rPr>
          <w:rFonts w:hint="eastAsia" w:ascii="宋体" w:hAnsi="宋体" w:cs="宋体"/>
          <w:b/>
          <w:color w:val="000000"/>
          <w:sz w:val="52"/>
          <w:szCs w:val="36"/>
        </w:rPr>
      </w:r>
      <w:r/>
    </w:p>
    <w:p>
      <w:pPr>
        <w:pStyle w:val="734"/>
        <w:jc w:val="center"/>
        <w:rPr>
          <w:rFonts w:hint="eastAsia" w:ascii="宋体" w:hAnsi="宋体" w:cs="宋体"/>
          <w:b/>
          <w:color w:val="000000"/>
          <w:sz w:val="72"/>
          <w:szCs w:val="72"/>
        </w:rPr>
      </w:pPr>
      <w:r>
        <w:rPr>
          <w:rFonts w:hint="eastAsia" w:ascii="宋体" w:hAnsi="宋体" w:cs="宋体"/>
          <w:b/>
          <w:color w:val="000000"/>
          <w:sz w:val="72"/>
          <w:szCs w:val="72"/>
        </w:rPr>
        <w:t xml:space="preserve">政 府 采 购 合 同</w:t>
      </w:r>
      <w:r>
        <w:rPr>
          <w:rFonts w:hint="eastAsia" w:ascii="宋体" w:hAnsi="宋体" w:cs="宋体"/>
          <w:b/>
          <w:color w:val="000000"/>
          <w:sz w:val="72"/>
          <w:szCs w:val="72"/>
        </w:rPr>
      </w:r>
      <w:r/>
    </w:p>
    <w:p>
      <w:pPr>
        <w:pStyle w:val="734"/>
        <w:jc w:val="left"/>
        <w:rPr>
          <w:rFonts w:hint="eastAsia" w:ascii="宋体" w:hAnsi="宋体" w:cs="宋体"/>
          <w:b/>
          <w:color w:val="000000"/>
          <w:sz w:val="36"/>
          <w:szCs w:val="36"/>
        </w:rPr>
      </w:pPr>
      <w:r>
        <w:rPr>
          <w:rFonts w:hint="eastAsia" w:ascii="宋体" w:hAnsi="宋体" w:cs="宋体"/>
          <w:b/>
          <w:color w:val="000000"/>
          <w:sz w:val="36"/>
          <w:szCs w:val="36"/>
        </w:rPr>
      </w:r>
      <w:r/>
    </w:p>
    <w:p>
      <w:pPr>
        <w:pStyle w:val="734"/>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项目编号：JSZC-320300-HWZX-G2026-0236</w:t>
      </w: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eastAsia="宋体" w:cs="宋体"/>
          <w:b/>
          <w:color w:val="000000"/>
          <w:sz w:val="30"/>
          <w:szCs w:val="30"/>
          <w:lang w:eastAsia="zh-CN"/>
        </w:rPr>
      </w:pPr>
      <w:r>
        <w:rPr>
          <w:rFonts w:hint="eastAsia" w:ascii="宋体" w:hAnsi="宋体" w:cs="宋体"/>
          <w:b/>
          <w:color w:val="000000"/>
          <w:sz w:val="30"/>
          <w:szCs w:val="30"/>
        </w:rPr>
        <w:t xml:space="preserve">项目名称：</w:t>
      </w:r>
      <w:r>
        <w:rPr>
          <w:rFonts w:hint="eastAsia" w:ascii="宋体" w:hAnsi="宋体" w:cs="宋体"/>
          <w:b/>
          <w:color w:val="000000"/>
          <w:sz w:val="30"/>
          <w:szCs w:val="30"/>
          <w:lang w:eastAsia="zh-CN"/>
        </w:rPr>
        <w:t xml:space="preserve">徐州医科大学校外住宿点家具</w:t>
      </w:r>
      <w:r>
        <w:rPr>
          <w:rFonts w:hint="eastAsia" w:ascii="宋体" w:hAnsi="宋体" w:eastAsia="宋体" w:cs="宋体"/>
          <w:b/>
          <w:color w:val="000000"/>
          <w:sz w:val="30"/>
          <w:szCs w:val="30"/>
          <w:lang w:eastAsia="zh-CN"/>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采购单位：徐州医科大学</w:t>
      </w: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中标供应商（乙方）：</w:t>
      </w: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签订日期：    年  月  日</w:t>
      </w:r>
      <w:r>
        <w:rPr>
          <w:rFonts w:hint="eastAsia" w:ascii="宋体" w:hAnsi="宋体" w:cs="宋体"/>
          <w:b/>
          <w:color w:val="000000"/>
          <w:sz w:val="30"/>
          <w:szCs w:val="30"/>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780"/>
        <w:ind w:left="0" w:right="0"/>
        <w:spacing w:after="0" w:line="360" w:lineRule="auto"/>
        <w:rPr>
          <w:rFonts w:hint="eastAsia" w:ascii="宋体" w:hAnsi="宋体" w:cs="宋体"/>
          <w:b/>
          <w:color w:val="000000"/>
          <w:sz w:val="24"/>
        </w:rPr>
      </w:pPr>
      <w:r>
        <w:rPr>
          <w:rFonts w:hint="eastAsia" w:ascii="宋体" w:hAnsi="宋体" w:cs="宋体"/>
          <w:b/>
          <w:color w:val="000000"/>
          <w:sz w:val="24"/>
        </w:rPr>
      </w:r>
      <w:r/>
    </w:p>
    <w:p>
      <w:pPr>
        <w:pStyle w:val="780"/>
        <w:ind w:left="0" w:right="0"/>
        <w:spacing w:after="0" w:line="360" w:lineRule="auto"/>
        <w:rPr>
          <w:rFonts w:hint="eastAsia" w:ascii="宋体" w:hAnsi="宋体" w:cs="宋体"/>
          <w:b/>
          <w:color w:val="000000"/>
          <w:sz w:val="24"/>
        </w:rPr>
      </w:pPr>
      <w:r>
        <w:rPr>
          <w:rFonts w:hint="eastAsia" w:ascii="宋体" w:hAnsi="宋体" w:cs="宋体"/>
          <w:b/>
          <w:color w:val="000000"/>
          <w:sz w:val="24"/>
        </w:rPr>
        <w:t xml:space="preserve">友情提醒：采购人与中标、成交供应商应当在中标、成交通知书发出之日起三十日内，按照采购文件确定的事项签订政府采购合同。</w:t>
      </w:r>
      <w:r>
        <w:rPr>
          <w:rFonts w:hint="eastAsia" w:ascii="宋体" w:hAnsi="宋体" w:cs="宋体"/>
          <w:b/>
          <w:color w:val="000000"/>
          <w:sz w:val="24"/>
        </w:rPr>
      </w:r>
      <w:r/>
    </w:p>
    <w:p>
      <w:pPr>
        <w:pStyle w:val="780"/>
        <w:ind w:left="0" w:right="0"/>
        <w:spacing w:after="0" w:line="360" w:lineRule="auto"/>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color w:val="000000"/>
          <w:sz w:val="24"/>
        </w:rPr>
      </w:r>
      <w:r/>
    </w:p>
    <w:p>
      <w:pPr>
        <w:pStyle w:val="736"/>
        <w:jc w:val="cente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第一节 政府采购合同协议书</w:t>
      </w:r>
      <w:r>
        <w:rPr>
          <w:rFonts w:hint="eastAsia" w:ascii="宋体" w:hAnsi="宋体" w:eastAsia="宋体" w:cs="宋体"/>
          <w:b w:val="0"/>
          <w:bCs w:val="0"/>
          <w:color w:val="000000"/>
          <w:sz w:val="28"/>
          <w:szCs w:val="28"/>
        </w:rPr>
      </w:r>
      <w:r/>
    </w:p>
    <w:p>
      <w:pPr>
        <w:pStyle w:val="734"/>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color w:val="000000"/>
          <w:sz w:val="28"/>
          <w:szCs w:val="28"/>
        </w:rPr>
      </w:r>
      <w:r/>
    </w:p>
    <w:p>
      <w:pPr>
        <w:pStyle w:val="734"/>
        <w:ind w:left="420"/>
        <w:spacing w:line="400" w:lineRule="exact"/>
        <w:rPr>
          <w:rFonts w:hint="eastAsia"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left="420"/>
        <w:spacing w:line="400" w:lineRule="exact"/>
        <w:rPr>
          <w:rFonts w:hint="eastAsia" w:ascii="宋体" w:hAnsi="宋体" w:cs="宋体"/>
          <w:color w:val="000000"/>
          <w:sz w:val="24"/>
        </w:rPr>
      </w:pPr>
      <w:r>
        <w:rPr>
          <w:rFonts w:hint="eastAsia" w:ascii="宋体" w:hAnsi="宋体" w:cs="宋体"/>
          <w:color w:val="000000"/>
          <w:sz w:val="24"/>
        </w:rPr>
        <w:t xml:space="preserve">乙方（全称）：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spacing w:line="400" w:lineRule="exact"/>
        <w:rPr>
          <w:rFonts w:hint="eastAsia" w:ascii="宋体" w:hAnsi="宋体" w:cs="宋体"/>
          <w:color w:val="000000"/>
          <w:sz w:val="24"/>
        </w:rPr>
      </w:pPr>
      <w:r>
        <w:rPr>
          <w:rFonts w:hint="eastAsia" w:ascii="宋体" w:hAnsi="宋体" w:cs="宋体"/>
          <w:color w:val="000000"/>
          <w:sz w:val="24"/>
        </w:rPr>
      </w:r>
      <w:r/>
    </w:p>
    <w:p>
      <w:pPr>
        <w:pStyle w:val="734"/>
        <w:ind w:left="420" w:firstLine="480"/>
        <w:spacing w:line="400" w:lineRule="exact"/>
        <w:rPr>
          <w:rFonts w:hint="eastAsia" w:ascii="宋体" w:hAnsi="宋体" w:cs="宋体"/>
          <w:color w:val="000000"/>
          <w:szCs w:val="21"/>
        </w:rPr>
      </w:pPr>
      <w:r>
        <w:rPr>
          <w:rFonts w:hint="eastAsia" w:ascii="宋体" w:hAnsi="宋体" w:cs="宋体"/>
          <w:color w:val="000000"/>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cs="宋体"/>
          <w:color w:val="000000"/>
          <w:szCs w:val="21"/>
        </w:rPr>
        <w:t xml:space="preserve">   </w:t>
      </w:r>
      <w:r>
        <w:rPr>
          <w:rFonts w:hint="eastAsia" w:ascii="宋体" w:hAnsi="宋体" w:cs="宋体"/>
          <w:color w:val="000000"/>
          <w:szCs w:val="21"/>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1.项目信息</w:t>
      </w:r>
      <w:r>
        <w:rPr>
          <w:rFonts w:hint="eastAsia" w:ascii="宋体" w:hAnsi="宋体" w:cs="宋体"/>
          <w:b/>
          <w:color w:val="000000"/>
          <w:sz w:val="24"/>
        </w:rPr>
      </w:r>
      <w:r/>
    </w:p>
    <w:p>
      <w:pPr>
        <w:pStyle w:val="734"/>
        <w:ind w:firstLine="240"/>
        <w:spacing w:line="400" w:lineRule="exact"/>
        <w:rPr>
          <w:rFonts w:ascii="宋体" w:hAnsi="宋体" w:cs="宋体"/>
          <w:color w:val="000000"/>
          <w:sz w:val="24"/>
        </w:rPr>
      </w:pPr>
      <w:r>
        <w:rPr>
          <w:rFonts w:hint="eastAsia" w:ascii="宋体" w:hAnsi="宋体" w:cs="宋体"/>
          <w:color w:val="000000"/>
          <w:sz w:val="24"/>
        </w:rPr>
        <w:t xml:space="preserve">（1）采购项目名称：</w:t>
      </w:r>
      <w:r>
        <w:rPr>
          <w:rFonts w:hint="eastAsia" w:ascii="宋体" w:hAnsi="宋体" w:cs="宋体"/>
          <w:color w:val="000000"/>
          <w:sz w:val="24"/>
          <w:u w:val="single"/>
        </w:rPr>
        <w:t xml:space="preserve">         </w:t>
      </w:r>
      <w:r>
        <w:rPr>
          <w:rFonts w:ascii="宋体" w:hAnsi="宋体" w:cs="宋体"/>
          <w:color w:val="000000"/>
          <w:sz w:val="24"/>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   采购项目编号：</w:t>
      </w:r>
      <w:r>
        <w:rPr>
          <w:rFonts w:hint="eastAsia" w:ascii="宋体" w:hAnsi="宋体" w:cs="宋体"/>
          <w:color w:val="000000"/>
          <w:sz w:val="24"/>
          <w:u w:val="single"/>
        </w:rPr>
      </w:r>
      <w:r/>
    </w:p>
    <w:p>
      <w:pPr>
        <w:pStyle w:val="734"/>
        <w:ind w:firstLine="240"/>
        <w:spacing w:line="400" w:lineRule="exact"/>
        <w:rPr>
          <w:rFonts w:ascii="宋体" w:hAnsi="宋体" w:cs="宋体"/>
          <w:color w:val="000000"/>
          <w:sz w:val="24"/>
          <w:u w:val="single"/>
        </w:rPr>
      </w:pPr>
      <w:r>
        <w:rPr>
          <w:rFonts w:hint="eastAsia" w:ascii="宋体" w:hAnsi="宋体" w:cs="宋体"/>
          <w:color w:val="000000"/>
          <w:sz w:val="24"/>
        </w:rPr>
        <w:t xml:space="preserve">（2）采购计划编号：</w:t>
      </w:r>
      <w:r>
        <w:rPr>
          <w:rFonts w:hint="eastAsia" w:ascii="宋体" w:hAnsi="宋体" w:cs="宋体"/>
          <w:color w:val="000000"/>
          <w:sz w:val="24"/>
          <w:u w:val="single"/>
        </w:rPr>
        <w:t xml:space="preserve">                           </w:t>
      </w:r>
      <w:r>
        <w:rPr>
          <w:rFonts w:ascii="宋体" w:hAnsi="宋体" w:cs="宋体"/>
          <w:color w:val="000000"/>
          <w:sz w:val="24"/>
          <w:u w:val="single"/>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（3）项目内容：</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采购标的及数量（台/套/个/架/组等）：</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采购标的的技术要求、商务要求具体见附件。</w:t>
      </w:r>
      <w:r>
        <w:rPr>
          <w:rFonts w:hint="eastAsia" w:ascii="宋体" w:hAnsi="宋体" w:cs="宋体"/>
          <w:color w:val="000000"/>
          <w:sz w:val="24"/>
          <w:u w:val="single"/>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①涉及信息类产品，请填写该产品关键部件的品牌、型号：</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标的名称：</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40"/>
        <w:spacing w:line="400" w:lineRule="exact"/>
        <w:rPr>
          <w:rFonts w:hint="eastAsia" w:ascii="宋体" w:hAnsi="宋体" w:cs="宋体"/>
          <w:color w:val="000000"/>
          <w:sz w:val="24"/>
        </w:rPr>
      </w:pPr>
      <w:r>
        <w:rPr>
          <w:rFonts w:hint="eastAsia" w:ascii="宋体" w:hAnsi="宋体" w:cs="宋体"/>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②涉及车辆采购，请填写是否属于新能源汽车：</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数量：</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firstLine="440"/>
        <w:spacing w:line="400" w:lineRule="exact"/>
        <w:rPr>
          <w:rFonts w:hint="eastAsia" w:ascii="宋体" w:hAnsi="宋体" w:cs="宋体"/>
          <w:color w:val="000000"/>
          <w:sz w:val="24"/>
        </w:rPr>
      </w:pPr>
      <w:r>
        <w:rPr>
          <w:rFonts w:hint="eastAsia" w:ascii="宋体" w:hAnsi="宋体" w:cs="宋体"/>
          <w:color w:val="000000"/>
          <w:sz w:val="24"/>
        </w:rPr>
        <w:t xml:space="preserve">    否</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（4）政府采购组织形式：</w:t>
      </w:r>
      <w:r>
        <w:rPr>
          <w:rFonts w:ascii="Wingdings" w:hAnsi="Wingdings" w:eastAsia="Wingdings" w:cs="Wingdings"/>
          <w:color w:val="000000"/>
          <w:sz w:val="24"/>
        </w:rPr>
        <w:t xml:space="preserve"></w:t>
      </w:r>
      <w:r>
        <w:rPr>
          <w:rFonts w:hint="eastAsia" w:ascii="宋体" w:hAnsi="宋体" w:cs="宋体"/>
          <w:color w:val="000000"/>
          <w:sz w:val="24"/>
        </w:rPr>
        <w:t xml:space="preserve">政府集中采购  </w:t>
      </w:r>
      <w:r>
        <w:rPr>
          <w:rFonts w:ascii="Wingdings" w:hAnsi="Wingdings" w:eastAsia="Wingdings" w:cs="Wingdings"/>
          <w:color w:val="000000"/>
          <w:sz w:val="24"/>
        </w:rPr>
        <w:t xml:space="preserve"></w:t>
      </w:r>
      <w:r>
        <w:rPr>
          <w:rFonts w:hint="eastAsia" w:ascii="宋体" w:hAnsi="宋体" w:cs="宋体"/>
          <w:color w:val="000000"/>
          <w:sz w:val="24"/>
        </w:rPr>
        <w:t xml:space="preserve">部门集中采购  </w:t>
      </w:r>
      <w:r>
        <w:rPr>
          <w:rFonts w:ascii="Wingdings" w:hAnsi="Wingdings" w:eastAsia="Wingdings" w:cs="Wingdings"/>
          <w:color w:val="000000"/>
          <w:sz w:val="24"/>
        </w:rPr>
        <w:t xml:space="preserve"></w:t>
      </w:r>
      <w:r>
        <w:rPr>
          <w:rFonts w:hint="eastAsia" w:ascii="宋体" w:hAnsi="宋体" w:cs="宋体"/>
          <w:color w:val="000000"/>
          <w:sz w:val="24"/>
        </w:rPr>
        <w:t xml:space="preserve">分散采购</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5</w:t>
      </w:r>
      <w:r>
        <w:rPr>
          <w:rFonts w:hint="eastAsia" w:ascii="宋体" w:hAnsi="宋体" w:cs="宋体"/>
          <w:color w:val="000000"/>
          <w:sz w:val="24"/>
        </w:rPr>
        <w:t xml:space="preserve">）政府采购方式：</w:t>
      </w:r>
      <w:r>
        <w:rPr>
          <w:rFonts w:ascii="Wingdings" w:hAnsi="Wingdings" w:eastAsia="Wingdings" w:cs="Wingdings"/>
          <w:color w:val="000000"/>
          <w:sz w:val="24"/>
        </w:rPr>
        <w:t xml:space="preserve">¨</w:t>
      </w:r>
      <w:r>
        <w:rPr>
          <w:rFonts w:hint="eastAsia" w:ascii="宋体" w:hAnsi="宋体" w:cs="宋体"/>
          <w:color w:val="000000"/>
          <w:sz w:val="24"/>
        </w:rPr>
        <w:t xml:space="preserve">公开招标 </w:t>
      </w:r>
      <w:r>
        <w:rPr>
          <w:rFonts w:ascii="Wingdings" w:hAnsi="Wingdings" w:eastAsia="Wingdings" w:cs="Wingdings"/>
          <w:color w:val="000000"/>
          <w:sz w:val="24"/>
        </w:rPr>
        <w:t xml:space="preserve"></w:t>
      </w:r>
      <w:r>
        <w:rPr>
          <w:rFonts w:hint="eastAsia" w:ascii="宋体" w:hAnsi="宋体" w:cs="宋体"/>
          <w:color w:val="000000"/>
          <w:sz w:val="24"/>
        </w:rPr>
        <w:t xml:space="preserve">邀请招标 </w:t>
      </w:r>
      <w:r>
        <w:rPr>
          <w:rFonts w:ascii="Wingdings" w:hAnsi="Wingdings" w:eastAsia="Wingdings" w:cs="Wingdings"/>
          <w:color w:val="000000"/>
          <w:sz w:val="24"/>
        </w:rPr>
        <w:t xml:space="preserve"></w:t>
      </w:r>
      <w:r>
        <w:rPr>
          <w:rFonts w:hint="eastAsia" w:ascii="宋体" w:hAnsi="宋体" w:cs="宋体"/>
          <w:color w:val="000000"/>
          <w:sz w:val="24"/>
        </w:rPr>
        <w:t xml:space="preserve">竞争性谈判 </w:t>
      </w:r>
      <w:r>
        <w:rPr>
          <w:rFonts w:ascii="Wingdings" w:hAnsi="Wingdings" w:eastAsia="Wingdings" w:cs="Wingdings"/>
          <w:color w:val="000000"/>
          <w:sz w:val="24"/>
        </w:rPr>
        <w:t xml:space="preserve"></w:t>
      </w:r>
      <w:r>
        <w:rPr>
          <w:rFonts w:hint="eastAsia" w:ascii="宋体" w:hAnsi="宋体" w:cs="宋体"/>
          <w:color w:val="000000"/>
          <w:sz w:val="24"/>
        </w:rPr>
        <w:t xml:space="preserve">竞争性磋商</w:t>
      </w:r>
      <w:r>
        <w:rPr>
          <w:rFonts w:hint="eastAsia" w:ascii="宋体" w:hAnsi="宋体" w:cs="宋体"/>
          <w:color w:val="000000"/>
          <w:sz w:val="24"/>
        </w:rPr>
      </w:r>
      <w:r/>
    </w:p>
    <w:p>
      <w:pPr>
        <w:pStyle w:val="734"/>
        <w:ind w:firstLine="420"/>
        <w:spacing w:line="400" w:lineRule="exact"/>
        <w:rPr>
          <w:rFonts w:hint="eastAsia" w:ascii="宋体" w:hAnsi="宋体" w:cs="宋体"/>
          <w:color w:val="000000"/>
          <w:sz w:val="24"/>
          <w:u w:val="single"/>
        </w:rPr>
      </w:pPr>
      <w:r>
        <w:rPr>
          <w:rFonts w:hint="eastAsia" w:ascii="宋体" w:hAnsi="宋体" w:eastAsia="华文楷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询价 </w:t>
      </w:r>
      <w:r>
        <w:rPr>
          <w:rFonts w:ascii="Wingdings" w:hAnsi="Wingdings" w:eastAsia="Wingdings" w:cs="Wingdings"/>
          <w:color w:val="000000"/>
          <w:sz w:val="24"/>
        </w:rPr>
        <w:t xml:space="preserve"></w:t>
      </w:r>
      <w:r>
        <w:rPr>
          <w:rFonts w:hint="eastAsia" w:ascii="宋体" w:hAnsi="宋体" w:cs="宋体"/>
          <w:color w:val="000000"/>
          <w:sz w:val="24"/>
        </w:rPr>
        <w:t xml:space="preserve">单一来源 </w:t>
      </w:r>
      <w:r>
        <w:rPr>
          <w:rFonts w:ascii="Wingdings" w:hAnsi="Wingdings" w:eastAsia="Wingdings" w:cs="Wingdings"/>
          <w:color w:val="000000"/>
          <w:sz w:val="24"/>
        </w:rPr>
        <w:t xml:space="preserve"></w:t>
      </w:r>
      <w:r>
        <w:rPr>
          <w:rFonts w:hint="eastAsia" w:ascii="宋体" w:hAnsi="宋体" w:cs="宋体"/>
          <w:color w:val="000000"/>
          <w:sz w:val="24"/>
        </w:rPr>
        <w:t xml:space="preserve">框架协议 </w:t>
      </w:r>
      <w:r>
        <w:rPr>
          <w:rFonts w:ascii="Wingdings" w:hAnsi="Wingdings" w:eastAsia="Wingdings" w:cs="Wingdings"/>
          <w:color w:val="000000"/>
          <w:sz w:val="24"/>
        </w:rPr>
        <w:t xml:space="preserve"></w:t>
      </w:r>
      <w:r>
        <w:rPr>
          <w:rFonts w:hint="eastAsia" w:ascii="宋体" w:hAnsi="宋体" w:cs="宋体"/>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240"/>
        <w:spacing w:line="400" w:lineRule="exact"/>
        <w:rPr>
          <w:rFonts w:hint="eastAsia" w:ascii="宋体" w:hAnsi="宋体"/>
          <w:color w:val="000000"/>
          <w:sz w:val="24"/>
        </w:rPr>
      </w:pPr>
      <w:r>
        <w:rPr>
          <w:rFonts w:hint="eastAsia" w:ascii="宋体" w:hAnsi="宋体" w:eastAsia="华文楷体" w:cs="华文楷体"/>
          <w:color w:val="000000"/>
          <w:sz w:val="24"/>
        </w:rPr>
        <w:t xml:space="preserve">（</w:t>
      </w:r>
      <w:r>
        <w:rPr>
          <w:rFonts w:ascii="宋体" w:hAnsi="宋体" w:eastAsia="华文楷体" w:cs="华文楷体"/>
          <w:color w:val="000000"/>
          <w:sz w:val="24"/>
          <w:lang w:val="en"/>
        </w:rPr>
        <w:t xml:space="preserve">6</w:t>
      </w:r>
      <w:r>
        <w:rPr>
          <w:rFonts w:hint="eastAsia" w:ascii="宋体" w:hAnsi="宋体" w:eastAsia="华文楷体" w:cs="华文楷体"/>
          <w:color w:val="000000"/>
          <w:sz w:val="24"/>
        </w:rPr>
        <w:t xml:space="preserve">）</w:t>
      </w:r>
      <w:r>
        <w:rPr>
          <w:rFonts w:hint="eastAsia" w:ascii="宋体" w:hAnsi="宋体"/>
          <w:color w:val="000000"/>
          <w:sz w:val="24"/>
        </w:rPr>
        <w:t xml:space="preserve">中标（成交）采购标的制造商是否为中小企业：</w:t>
      </w: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rPr>
          <w:rFonts w:hint="eastAsia" w:ascii="宋体" w:hAnsi="宋体"/>
          <w:iCs/>
          <w:color w:val="000000"/>
          <w:sz w:val="24"/>
        </w:rPr>
      </w:pPr>
      <w:r>
        <w:rPr>
          <w:rFonts w:hint="eastAsia" w:ascii="宋体" w:hAnsi="宋体"/>
          <w:color w:val="000000"/>
          <w:sz w:val="24"/>
        </w:rPr>
        <w:t xml:space="preserve">         本合同是否为专门面向中小企业的采购合同（中小企业预留合同）：</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734"/>
        <w:spacing w:line="400" w:lineRule="exact"/>
        <w:rPr>
          <w:rFonts w:hint="eastAsia" w:ascii="宋体" w:hAnsi="宋体"/>
          <w:iCs/>
          <w:color w:val="000000"/>
          <w:sz w:val="24"/>
        </w:rPr>
      </w:pPr>
      <w:r>
        <w:rPr>
          <w:rFonts w:hint="eastAsia"/>
          <w:color w:val="000000"/>
          <w:sz w:val="24"/>
        </w:rPr>
        <w:t xml:space="preserve">         若本项目不专门面向中小企业采购，是否给予小微企业评审优惠：</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734"/>
        <w:spacing w:line="400" w:lineRule="exact"/>
        <w:rPr>
          <w:rFonts w:hint="eastAsia" w:ascii="宋体" w:hAnsi="宋体"/>
          <w:iCs/>
          <w:color w:val="000000"/>
          <w:sz w:val="24"/>
        </w:rPr>
      </w:pPr>
      <w:r>
        <w:rPr>
          <w:rFonts w:hint="eastAsia"/>
          <w:color w:val="000000"/>
          <w:sz w:val="24"/>
        </w:rPr>
        <w:t xml:space="preserve">         中标（成交）采购标的制造商是否为残疾人福利性单位：</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734"/>
        <w:spacing w:line="400" w:lineRule="exact"/>
        <w:rPr>
          <w:color w:val="000000"/>
          <w:sz w:val="24"/>
        </w:rPr>
      </w:pPr>
      <w:r>
        <w:rPr>
          <w:rFonts w:hint="eastAsia"/>
          <w:color w:val="000000"/>
          <w:sz w:val="24"/>
        </w:rPr>
        <w:t xml:space="preserve">         中标（成交）采购标的制造商是否为监狱企业：</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color w:val="000000"/>
          <w:sz w:val="24"/>
        </w:rPr>
      </w:r>
      <w:r/>
    </w:p>
    <w:p>
      <w:pPr>
        <w:pStyle w:val="734"/>
        <w:ind w:firstLine="480"/>
        <w:spacing w:line="40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lang w:val="en"/>
        </w:rPr>
        <w:t xml:space="preserve">7</w:t>
      </w:r>
      <w:r>
        <w:rPr>
          <w:rFonts w:hint="eastAsia" w:ascii="宋体" w:hAnsi="宋体"/>
          <w:color w:val="000000"/>
          <w:sz w:val="24"/>
        </w:rPr>
        <w:t xml:space="preserve">）合同是否分包：</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ascii="宋体" w:hAnsi="宋体"/>
          <w:color w:val="000000"/>
          <w:sz w:val="24"/>
        </w:rPr>
      </w:r>
      <w:r/>
    </w:p>
    <w:p>
      <w:pPr>
        <w:pStyle w:val="734"/>
        <w:ind w:firstLine="960"/>
        <w:spacing w:line="400" w:lineRule="exact"/>
        <w:rPr>
          <w:rFonts w:hint="eastAsia" w:ascii="宋体" w:hAnsi="宋体"/>
          <w:color w:val="000000"/>
          <w:sz w:val="24"/>
          <w:u w:val="single"/>
        </w:rPr>
      </w:pPr>
      <w:r>
        <w:rPr>
          <w:rFonts w:hint="eastAsia" w:ascii="宋体" w:hAnsi="宋体"/>
          <w:color w:val="000000"/>
          <w:sz w:val="24"/>
        </w:rPr>
        <w:t xml:space="preserve"> 分包主要内容：</w:t>
      </w:r>
      <w:r>
        <w:rPr>
          <w:rFonts w:hint="eastAsia" w:ascii="宋体" w:hAnsi="宋体"/>
          <w:color w:val="000000"/>
          <w:sz w:val="24"/>
          <w:u w:val="single"/>
        </w:rPr>
        <w:t xml:space="preserve">                                            </w:t>
      </w:r>
      <w:r>
        <w:rPr>
          <w:rFonts w:hint="eastAsia" w:ascii="宋体" w:hAnsi="宋体"/>
          <w:color w:val="000000"/>
          <w:sz w:val="24"/>
          <w:u w:val="single"/>
        </w:rPr>
      </w:r>
      <w:r/>
    </w:p>
    <w:p>
      <w:pPr>
        <w:pStyle w:val="734"/>
        <w:ind w:firstLine="960"/>
        <w:spacing w:line="400" w:lineRule="exact"/>
        <w:rPr>
          <w:rFonts w:hint="eastAsia" w:ascii="宋体" w:hAnsi="宋体"/>
          <w:color w:val="000000"/>
          <w:sz w:val="24"/>
        </w:rPr>
      </w:pPr>
      <w:r>
        <w:rPr>
          <w:rFonts w:hint="eastAsia" w:ascii="宋体" w:hAnsi="宋体"/>
          <w:color w:val="000000"/>
          <w:sz w:val="24"/>
        </w:rPr>
        <w:t xml:space="preserve"> 分包供应商/制造商名称（如供应商和制造商不同，请分别填写）：</w:t>
      </w:r>
      <w:r>
        <w:rPr>
          <w:rFonts w:hint="eastAsia" w:ascii="宋体" w:hAnsi="宋体"/>
          <w:color w:val="000000"/>
          <w:sz w:val="24"/>
        </w:rPr>
      </w:r>
      <w:r/>
    </w:p>
    <w:p>
      <w:pPr>
        <w:pStyle w:val="734"/>
        <w:ind w:firstLine="960"/>
        <w:spacing w:line="400" w:lineRule="exact"/>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u w:val="single"/>
        </w:rPr>
      </w:r>
      <w:r/>
    </w:p>
    <w:p>
      <w:pPr>
        <w:pStyle w:val="734"/>
        <w:ind w:firstLine="960"/>
        <w:spacing w:line="400" w:lineRule="exact"/>
        <w:rPr>
          <w:rFonts w:hint="eastAsia" w:ascii="宋体" w:hAnsi="宋体"/>
          <w:color w:val="000000"/>
          <w:sz w:val="24"/>
        </w:rPr>
      </w:pPr>
      <w:r>
        <w:rPr>
          <w:rFonts w:hint="eastAsia" w:ascii="宋体" w:hAnsi="宋体"/>
          <w:color w:val="000000"/>
          <w:sz w:val="24"/>
        </w:rPr>
        <w:t xml:space="preserve"> 分包供应商/制造商类型（如果供应商和制造商不同，只填写制造商类型）：</w:t>
      </w:r>
      <w:r>
        <w:rPr>
          <w:rFonts w:hint="eastAsia" w:ascii="宋体" w:hAnsi="宋体"/>
          <w:color w:val="000000"/>
          <w:sz w:val="24"/>
        </w:rPr>
      </w:r>
      <w:r/>
    </w:p>
    <w:p>
      <w:pPr>
        <w:pStyle w:val="734"/>
        <w:ind w:firstLine="960"/>
        <w:spacing w:line="400" w:lineRule="exact"/>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大型企业  </w:t>
      </w:r>
      <w:r>
        <w:rPr>
          <w:rFonts w:ascii="Wingdings" w:hAnsi="Wingdings" w:eastAsia="Wingdings" w:cs="Wingdings"/>
          <w:iCs/>
          <w:color w:val="000000"/>
          <w:sz w:val="24"/>
        </w:rPr>
        <w:t xml:space="preserve"></w:t>
      </w:r>
      <w:r>
        <w:rPr>
          <w:rFonts w:hint="eastAsia" w:ascii="宋体" w:hAnsi="宋体"/>
          <w:iCs/>
          <w:color w:val="000000"/>
          <w:sz w:val="24"/>
        </w:rPr>
        <w:t xml:space="preserve">中型企业  </w:t>
      </w:r>
      <w:r>
        <w:rPr>
          <w:rFonts w:ascii="Wingdings" w:hAnsi="Wingdings" w:eastAsia="Wingdings" w:cs="Wingdings"/>
          <w:iCs/>
          <w:color w:val="000000"/>
          <w:sz w:val="24"/>
        </w:rPr>
        <w:t xml:space="preserve"></w:t>
      </w:r>
      <w:r>
        <w:rPr>
          <w:rFonts w:hint="eastAsia" w:ascii="宋体" w:hAnsi="宋体"/>
          <w:iCs/>
          <w:color w:val="000000"/>
          <w:sz w:val="24"/>
        </w:rPr>
        <w:t xml:space="preserve">小微型企业  </w:t>
      </w:r>
      <w:r>
        <w:rPr>
          <w:rFonts w:hint="eastAsia" w:ascii="宋体" w:hAnsi="宋体"/>
          <w:iCs/>
          <w:color w:val="000000"/>
          <w:sz w:val="24"/>
        </w:rPr>
      </w:r>
      <w:r/>
    </w:p>
    <w:p>
      <w:pPr>
        <w:pStyle w:val="734"/>
        <w:ind w:firstLine="960"/>
        <w:spacing w:line="400" w:lineRule="exact"/>
        <w:rPr>
          <w:rFonts w:eastAsia="华文楷体"/>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残疾人福利性单位 </w:t>
      </w:r>
      <w:r>
        <w:rPr>
          <w:rFonts w:ascii="Wingdings" w:hAnsi="Wingdings" w:eastAsia="Wingdings" w:cs="Wingdings"/>
          <w:iCs/>
          <w:color w:val="000000"/>
          <w:sz w:val="24"/>
        </w:rPr>
        <w:t xml:space="preserve"></w:t>
      </w:r>
      <w:r>
        <w:rPr>
          <w:rFonts w:hint="eastAsia" w:ascii="宋体" w:hAnsi="宋体"/>
          <w:iCs/>
          <w:color w:val="000000"/>
          <w:sz w:val="24"/>
        </w:rPr>
        <w:t xml:space="preserve">监狱企业 </w:t>
      </w:r>
      <w:r>
        <w:rPr>
          <w:rFonts w:ascii="Wingdings" w:hAnsi="Wingdings" w:eastAsia="Wingdings" w:cs="Wingdings"/>
          <w:iCs/>
          <w:color w:val="000000"/>
          <w:sz w:val="24"/>
        </w:rPr>
        <w:t xml:space="preserve"></w:t>
      </w:r>
      <w:r>
        <w:rPr>
          <w:rFonts w:hint="eastAsia" w:ascii="宋体" w:hAnsi="宋体"/>
          <w:iCs/>
          <w:color w:val="000000"/>
          <w:sz w:val="24"/>
        </w:rPr>
        <w:t xml:space="preserve">其他</w:t>
      </w:r>
      <w:r>
        <w:rPr>
          <w:rFonts w:eastAsia="华文楷体"/>
          <w:color w:val="000000"/>
          <w:sz w:val="24"/>
        </w:rPr>
      </w:r>
      <w:r/>
    </w:p>
    <w:p>
      <w:pPr>
        <w:pStyle w:val="734"/>
        <w:spacing w:line="400" w:lineRule="exact"/>
        <w:rPr>
          <w:rFonts w:hint="eastAsia" w:ascii="宋体" w:hAnsi="宋体" w:cs="宋体"/>
          <w:iCs/>
          <w:color w:val="000000"/>
          <w:sz w:val="24"/>
        </w:rPr>
      </w:pPr>
      <w:r>
        <w:rPr>
          <w:rFonts w:hint="eastAsia" w:ascii="宋体" w:hAnsi="宋体"/>
          <w:color w:val="000000"/>
          <w:sz w:val="24"/>
        </w:rPr>
        <w:t xml:space="preserve">    </w:t>
      </w:r>
      <w:r>
        <w:rPr>
          <w:rFonts w:hint="eastAsia" w:ascii="宋体" w:hAnsi="宋体" w:cs="宋体"/>
          <w:color w:val="000000"/>
          <w:sz w:val="24"/>
        </w:rPr>
        <w:t xml:space="preserve">（</w:t>
      </w:r>
      <w:r>
        <w:rPr>
          <w:rFonts w:ascii="宋体" w:hAnsi="宋体" w:cs="宋体"/>
          <w:color w:val="000000"/>
          <w:sz w:val="24"/>
          <w:lang w:val="en"/>
        </w:rPr>
        <w:t xml:space="preserve">8</w:t>
      </w:r>
      <w:r>
        <w:rPr>
          <w:rFonts w:hint="eastAsia" w:ascii="宋体" w:hAnsi="宋体" w:cs="宋体"/>
          <w:color w:val="000000"/>
          <w:sz w:val="24"/>
        </w:rPr>
        <w:t xml:space="preserve">）中标（成交）供应商是否为外商投资企业：</w:t>
      </w:r>
      <w:r>
        <w:rPr>
          <w:rFonts w:ascii="Wingdings" w:hAnsi="Wingdings" w:eastAsia="Wingdings" w:cs="Wingdings"/>
          <w:iCs/>
          <w:color w:val="000000"/>
          <w:sz w:val="24"/>
        </w:rPr>
        <w:t xml:space="preserve"></w:t>
      </w:r>
      <w:r>
        <w:rPr>
          <w:rFonts w:hint="eastAsia" w:ascii="宋体" w:hAnsi="宋体" w:cs="宋体"/>
          <w:iCs/>
          <w:color w:val="000000"/>
          <w:sz w:val="24"/>
        </w:rPr>
        <w:t xml:space="preserve">是   </w:t>
      </w:r>
      <w:r>
        <w:rPr>
          <w:rFonts w:ascii="Wingdings" w:hAnsi="Wingdings" w:eastAsia="Wingdings" w:cs="Wingdings"/>
          <w:iCs/>
          <w:color w:val="000000"/>
          <w:sz w:val="24"/>
        </w:rPr>
        <w:t xml:space="preserve"></w:t>
      </w:r>
      <w:r>
        <w:rPr>
          <w:rFonts w:hint="eastAsia" w:ascii="宋体" w:hAnsi="宋体" w:cs="宋体"/>
          <w:iCs/>
          <w:color w:val="000000"/>
          <w:sz w:val="24"/>
        </w:rPr>
        <w:t xml:space="preserve">否</w:t>
      </w:r>
      <w:r>
        <w:rPr>
          <w:rFonts w:hint="eastAsia" w:ascii="宋体" w:hAnsi="宋体" w:cs="宋体"/>
          <w:iCs/>
          <w:color w:val="000000"/>
          <w:sz w:val="24"/>
        </w:rPr>
      </w:r>
      <w:r/>
    </w:p>
    <w:p>
      <w:pPr>
        <w:pStyle w:val="734"/>
        <w:ind w:firstLine="480"/>
        <w:spacing w:line="400" w:lineRule="exact"/>
        <w:tabs>
          <w:tab w:val="left" w:pos="1340" w:leader="none"/>
        </w:tabs>
        <w:rPr>
          <w:rFonts w:hint="eastAsia" w:ascii="宋体" w:hAnsi="宋体" w:cs="宋体"/>
          <w:color w:val="000000"/>
          <w:sz w:val="24"/>
          <w:u w:val="single"/>
        </w:rPr>
      </w:pPr>
      <w:r>
        <w:rPr>
          <w:rFonts w:hint="eastAsia" w:ascii="宋体" w:hAnsi="宋体" w:cs="宋体"/>
          <w:color w:val="000000"/>
          <w:sz w:val="24"/>
        </w:rPr>
        <w:t xml:space="preserve">     外商投资企业类型：</w:t>
      </w:r>
      <w:r>
        <w:rPr>
          <w:rFonts w:ascii="Wingdings" w:hAnsi="Wingdings" w:eastAsia="Wingdings" w:cs="Wingdings"/>
          <w:iCs/>
          <w:color w:val="000000"/>
          <w:sz w:val="24"/>
        </w:rPr>
        <w:t xml:space="preserve"></w:t>
      </w:r>
      <w:r>
        <w:rPr>
          <w:rFonts w:hint="eastAsia" w:ascii="宋体" w:hAnsi="宋体" w:cs="宋体"/>
          <w:color w:val="000000"/>
          <w:sz w:val="24"/>
        </w:rPr>
        <w:t xml:space="preserve">全部由外国投资者投资  </w:t>
      </w:r>
      <w:r>
        <w:rPr>
          <w:rFonts w:ascii="Wingdings" w:hAnsi="Wingdings" w:eastAsia="Wingdings" w:cs="Wingdings"/>
          <w:iCs/>
          <w:color w:val="000000"/>
          <w:sz w:val="24"/>
        </w:rPr>
        <w:t xml:space="preserve"></w:t>
      </w:r>
      <w:r>
        <w:rPr>
          <w:rFonts w:hint="eastAsia" w:ascii="宋体" w:hAnsi="宋体" w:cs="宋体"/>
          <w:iCs/>
          <w:color w:val="000000"/>
          <w:sz w:val="24"/>
        </w:rPr>
        <w:t xml:space="preserve">部分由外国投资者投资</w:t>
      </w:r>
      <w:r>
        <w:rPr>
          <w:rFonts w:hint="eastAsia" w:ascii="宋体" w:hAnsi="宋体" w:cs="宋体"/>
          <w:color w:val="000000"/>
          <w:sz w:val="24"/>
          <w:u w:val="single"/>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9</w:t>
      </w:r>
      <w:r>
        <w:rPr>
          <w:rFonts w:hint="eastAsia" w:ascii="宋体" w:hAnsi="宋体" w:cs="宋体"/>
          <w:color w:val="000000"/>
          <w:sz w:val="24"/>
        </w:rPr>
        <w:t xml:space="preserve">）是否涉及进口产品：</w:t>
      </w:r>
      <w:r>
        <w:rPr>
          <w:rFonts w:hint="eastAsia" w:ascii="宋体" w:hAnsi="宋体" w:cs="宋体"/>
          <w:color w:val="000000"/>
          <w:sz w:val="24"/>
        </w:rPr>
      </w:r>
      <w:r/>
    </w:p>
    <w:p>
      <w:pPr>
        <w:pStyle w:val="734"/>
        <w:ind w:firstLine="960"/>
        <w:spacing w:line="400" w:lineRule="exact"/>
        <w:rPr>
          <w:rFonts w:hint="eastAsia" w:ascii="宋体" w:hAnsi="宋体" w:cs="宋体"/>
          <w:color w:val="000000"/>
          <w:sz w:val="24"/>
          <w:u w:val="single"/>
        </w:rPr>
      </w:pPr>
      <w:r>
        <w:rPr>
          <w:rFonts w:hint="eastAsia" w:ascii="宋体" w:hAnsi="宋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960"/>
        <w:spacing w:line="400" w:lineRule="exact"/>
        <w:rPr>
          <w:rFonts w:hint="eastAsia" w:ascii="宋体" w:hAnsi="宋体"/>
          <w:color w:val="000000"/>
          <w:sz w:val="24"/>
        </w:rPr>
      </w:pPr>
      <w:r>
        <w:rPr>
          <w:rFonts w:hint="eastAsia" w:ascii="宋体" w:hAnsi="宋体" w:cs="宋体"/>
          <w:color w:val="000000"/>
          <w:sz w:val="24"/>
        </w:rPr>
        <w:t xml:space="preserve">        国别：</w:t>
      </w:r>
      <w:r>
        <w:rPr>
          <w:rFonts w:hint="eastAsia" w:ascii="宋体" w:hAnsi="宋体" w:cs="宋体"/>
          <w:color w:val="000000"/>
          <w:sz w:val="24"/>
          <w:u w:val="single"/>
        </w:rPr>
        <w:t xml:space="preserve">    </w:t>
      </w: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734"/>
        <w:ind w:firstLine="960"/>
        <w:spacing w:line="400" w:lineRule="exact"/>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0</w:t>
      </w:r>
      <w:r>
        <w:rPr>
          <w:rFonts w:hint="eastAsia" w:ascii="宋体" w:hAnsi="宋体"/>
          <w:color w:val="000000"/>
          <w:sz w:val="24"/>
        </w:rPr>
        <w:t xml:space="preserve">）是否涉及节能产品：</w:t>
      </w:r>
      <w:r>
        <w:rPr>
          <w:rFonts w:hint="eastAsia" w:ascii="宋体" w:hAnsi="宋体"/>
          <w:color w:val="000000"/>
          <w:sz w:val="24"/>
        </w:rPr>
      </w:r>
      <w:r/>
    </w:p>
    <w:p>
      <w:pPr>
        <w:pStyle w:val="734"/>
        <w:spacing w:line="400" w:lineRule="exact"/>
        <w:tabs>
          <w:tab w:val="left" w:pos="740" w:leader="none"/>
        </w:tabs>
        <w:rPr>
          <w:rFonts w:hint="eastAsia" w:ascii="宋体" w:hAnsi="宋体"/>
          <w:iCs/>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是，《节能产品政府采购品目清单》的底级品目名称：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iCs/>
          <w:color w:val="000000"/>
          <w:sz w:val="24"/>
        </w:rPr>
      </w:r>
      <w:r/>
    </w:p>
    <w:p>
      <w:pPr>
        <w:pStyle w:val="734"/>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是否涉及环境标志产品：</w:t>
      </w:r>
      <w:r>
        <w:rPr>
          <w:rFonts w:hint="eastAsia" w:ascii="宋体" w:hAnsi="宋体"/>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是，《环境标志产品政府采购品目清单》的底级品目名称：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color w:val="000000"/>
          <w:sz w:val="24"/>
        </w:rPr>
      </w:r>
      <w:r/>
    </w:p>
    <w:p>
      <w:pPr>
        <w:pStyle w:val="734"/>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rPr>
          <w:rFonts w:hint="eastAsia" w:ascii="宋体" w:hAnsi="宋体"/>
          <w:color w:val="000000"/>
          <w:sz w:val="24"/>
        </w:rPr>
      </w:pPr>
      <w:r>
        <w:rPr>
          <w:rFonts w:hint="eastAsia" w:ascii="宋体" w:hAnsi="宋体" w:eastAsia="华文楷体" w:cs="华文楷体"/>
          <w:color w:val="000000"/>
          <w:sz w:val="24"/>
        </w:rPr>
        <w:t xml:space="preserve">          </w:t>
      </w:r>
      <w:r>
        <w:rPr>
          <w:rFonts w:hint="eastAsia" w:ascii="宋体" w:hAnsi="宋体"/>
          <w:color w:val="000000"/>
          <w:sz w:val="24"/>
        </w:rPr>
        <w:t xml:space="preserve">是否涉及绿色产品： </w:t>
      </w:r>
      <w:r>
        <w:rPr>
          <w:rFonts w:hint="eastAsia" w:ascii="宋体" w:hAnsi="宋体"/>
          <w:color w:val="000000"/>
          <w:sz w:val="24"/>
        </w:rPr>
      </w:r>
      <w:r/>
    </w:p>
    <w:p>
      <w:pPr>
        <w:pStyle w:val="734"/>
        <w:ind w:firstLine="420"/>
        <w:spacing w:line="400" w:lineRule="exact"/>
        <w:rPr>
          <w:rFonts w:hint="eastAsia" w:ascii="宋体" w:hAnsi="宋体" w:cs="华文楷体"/>
          <w:color w:val="000000"/>
          <w:sz w:val="24"/>
          <w:u w:val="single"/>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是，绿色产品政府采购相关政策确定的底级品目名称：</w:t>
      </w:r>
      <w:r>
        <w:rPr>
          <w:rFonts w:hint="eastAsia" w:ascii="宋体" w:hAnsi="宋体" w:cs="华文楷体"/>
          <w:color w:val="000000"/>
          <w:sz w:val="24"/>
          <w:u w:val="single"/>
        </w:rPr>
        <w:t xml:space="preserve">         </w:t>
      </w:r>
      <w:r>
        <w:rPr>
          <w:rFonts w:hint="eastAsia" w:ascii="宋体" w:hAnsi="宋体" w:cs="华文楷体"/>
          <w:color w:val="000000"/>
          <w:sz w:val="24"/>
          <w:u w:val="single"/>
        </w:rPr>
      </w:r>
      <w:r/>
    </w:p>
    <w:p>
      <w:pPr>
        <w:pStyle w:val="734"/>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734"/>
        <w:ind w:firstLine="420"/>
        <w:spacing w:line="400" w:lineRule="exact"/>
        <w:rPr>
          <w:rFonts w:hint="eastAsia" w:ascii="宋体" w:hAnsi="宋体" w:eastAsia="华文楷体" w:cs="华文楷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eastAsia="华文楷体" w:cs="华文楷体"/>
          <w:color w:val="000000"/>
          <w:sz w:val="24"/>
        </w:rPr>
      </w:r>
      <w:r/>
    </w:p>
    <w:p>
      <w:pPr>
        <w:pStyle w:val="734"/>
        <w:spacing w:line="400" w:lineRule="exact"/>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1</w:t>
      </w:r>
      <w:r>
        <w:rPr>
          <w:rFonts w:hint="eastAsia" w:ascii="宋体" w:hAnsi="宋体"/>
          <w:color w:val="000000"/>
          <w:sz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sz w:val="24"/>
        </w:rPr>
      </w:r>
      <w:r/>
    </w:p>
    <w:p>
      <w:pPr>
        <w:pStyle w:val="734"/>
        <w:ind w:firstLine="960"/>
        <w:spacing w:line="400" w:lineRule="exact"/>
        <w:rPr>
          <w:rFonts w:hint="eastAsia" w:ascii="宋体" w:hAnsi="宋体"/>
          <w:color w:val="000000"/>
          <w:sz w:val="24"/>
        </w:rPr>
      </w:pP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      </w:t>
      </w:r>
      <w:r>
        <w:rPr>
          <w:rFonts w:ascii="Wingdings" w:hAnsi="Wingdings" w:eastAsia="Wingdings" w:cs="Wingdings"/>
          <w:color w:val="000000"/>
          <w:sz w:val="24"/>
        </w:rPr>
        <w:t xml:space="preserve"></w:t>
      </w:r>
      <w:r>
        <w:rPr>
          <w:rFonts w:hint="eastAsia" w:ascii="宋体" w:hAnsi="宋体"/>
          <w:color w:val="000000"/>
          <w:sz w:val="24"/>
        </w:rPr>
        <w:t xml:space="preserve">不涉及</w:t>
      </w:r>
      <w:r>
        <w:rPr>
          <w:rFonts w:hint="eastAsia" w:ascii="宋体" w:hAnsi="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2.合同金额</w:t>
      </w:r>
      <w:r>
        <w:rPr>
          <w:rFonts w:hint="eastAsia" w:ascii="宋体" w:hAnsi="宋体" w:cs="宋体"/>
          <w:b/>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（1）合同金额小写：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spacing w:line="400" w:lineRule="exact"/>
        <w:rPr>
          <w:rFonts w:hint="eastAsia" w:ascii="宋体" w:hAnsi="宋体" w:cs="宋体"/>
          <w:color w:val="000000"/>
          <w:sz w:val="24"/>
        </w:rPr>
      </w:pPr>
      <w:r>
        <w:rPr>
          <w:rFonts w:hint="eastAsia" w:ascii="宋体" w:hAnsi="宋体" w:cs="宋体"/>
          <w:color w:val="000000"/>
          <w:sz w:val="24"/>
        </w:rPr>
        <w:t xml:space="preserve">       分包金额（如有）小写：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840"/>
        <w:spacing w:line="400" w:lineRule="exact"/>
        <w:rPr>
          <w:rFonts w:hint="eastAsia" w:ascii="宋体" w:hAnsi="宋体" w:cs="宋体"/>
          <w:color w:val="000000"/>
          <w:sz w:val="24"/>
        </w:rPr>
      </w:pPr>
      <w:r>
        <w:rPr>
          <w:rFonts w:hint="eastAsia" w:ascii="宋体" w:hAnsi="宋体" w:cs="宋体"/>
          <w:color w:val="000000"/>
          <w:sz w:val="24"/>
        </w:rPr>
        <w:t xml:space="preserve">注：固定单价合同应填写单价和最高限价</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（2）合同定价方式（采用组合定价方式的，可以勾选多项）：</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iCs/>
          <w:color w:val="000000"/>
          <w:sz w:val="24"/>
        </w:rPr>
        <w:t xml:space="preserve">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固定总价 </w:t>
      </w:r>
      <w:r>
        <w:rPr>
          <w:rFonts w:ascii="Wingdings" w:hAnsi="Wingdings" w:eastAsia="Wingdings" w:cs="Wingdings"/>
          <w:iCs/>
          <w:color w:val="000000"/>
          <w:sz w:val="24"/>
        </w:rPr>
        <w:t xml:space="preserve">þ</w:t>
      </w:r>
      <w:r>
        <w:rPr>
          <w:rFonts w:hint="eastAsia" w:ascii="宋体" w:hAnsi="宋体" w:cs="宋体"/>
          <w:iCs/>
          <w:color w:val="000000"/>
          <w:sz w:val="24"/>
        </w:rPr>
        <w:t xml:space="preserve">固定单价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固定费率 </w:t>
      </w:r>
      <w:r>
        <w:rPr>
          <w:rFonts w:ascii="Wingdings" w:hAnsi="Wingdings" w:eastAsia="Wingdings" w:cs="Wingdings"/>
          <w:iCs/>
          <w:color w:val="000000"/>
          <w:sz w:val="24"/>
        </w:rPr>
        <w:t xml:space="preserve"></w:t>
      </w:r>
      <w:r>
        <w:rPr>
          <w:rFonts w:hint="eastAsia" w:ascii="宋体" w:hAnsi="宋体" w:cs="宋体"/>
          <w:iCs/>
          <w:color w:val="000000"/>
          <w:sz w:val="24"/>
        </w:rPr>
        <w:t xml:space="preserve">成本补偿 </w:t>
      </w:r>
      <w:r>
        <w:rPr>
          <w:rFonts w:ascii="Wingdings" w:hAnsi="Wingdings" w:eastAsia="Wingdings" w:cs="Wingdings"/>
          <w:iCs/>
          <w:color w:val="000000"/>
          <w:sz w:val="24"/>
        </w:rPr>
        <w:t xml:space="preserve"></w:t>
      </w:r>
      <w:r>
        <w:rPr>
          <w:rFonts w:hint="eastAsia" w:ascii="宋体" w:hAnsi="宋体" w:cs="宋体"/>
          <w:iCs/>
          <w:color w:val="000000"/>
          <w:sz w:val="24"/>
        </w:rPr>
        <w:t xml:space="preserve">绩效激励 </w:t>
      </w:r>
      <w:r>
        <w:rPr>
          <w:rFonts w:ascii="Wingdings" w:hAnsi="Wingdings" w:eastAsia="Wingdings" w:cs="Wingdings"/>
          <w:iCs/>
          <w:color w:val="000000"/>
          <w:sz w:val="24"/>
        </w:rPr>
        <w:t xml:space="preserve"></w:t>
      </w:r>
      <w:r>
        <w:rPr>
          <w:rFonts w:hint="eastAsia" w:ascii="宋体" w:hAnsi="宋体" w:cs="宋体"/>
          <w:iCs/>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（3）付款方式（按项目实际勾选填写）：</w:t>
      </w:r>
      <w:r>
        <w:rPr>
          <w:rFonts w:hint="eastAsia" w:ascii="宋体" w:hAnsi="宋体" w:cs="宋体"/>
          <w:color w:val="000000"/>
          <w:sz w:val="24"/>
        </w:rPr>
      </w:r>
      <w:r/>
    </w:p>
    <w:p>
      <w:pPr>
        <w:pStyle w:val="734"/>
        <w:ind w:firstLine="960"/>
        <w:spacing w:line="400" w:lineRule="exact"/>
        <w:rPr>
          <w:rFonts w:hint="eastAsia" w:ascii="宋体" w:hAnsi="宋体" w:cs="宋体"/>
          <w:color w:val="000000"/>
          <w:sz w:val="24"/>
          <w:u w:val="single"/>
        </w:rPr>
      </w:pPr>
      <w:r>
        <w:rPr>
          <w:rFonts w:ascii="Wingdings" w:hAnsi="Wingdings" w:eastAsia="Wingdings" w:cs="Wingdings"/>
          <w:iCs/>
          <w:color w:val="000000"/>
          <w:sz w:val="24"/>
        </w:rPr>
        <w:t xml:space="preserve"></w:t>
      </w:r>
      <w:r>
        <w:rPr>
          <w:rFonts w:hint="eastAsia" w:ascii="宋体" w:hAnsi="宋体" w:cs="宋体"/>
          <w:color w:val="000000"/>
          <w:sz w:val="24"/>
        </w:rPr>
        <w:t xml:space="preserve">全额付款：</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960"/>
        <w:rPr>
          <w:rFonts w:hint="eastAsia" w:ascii="宋体" w:hAnsi="宋体" w:cs="宋体"/>
          <w:color w:val="000000"/>
          <w:sz w:val="24"/>
        </w:rPr>
      </w:pPr>
      <w:r>
        <w:rPr>
          <w:rFonts w:ascii="Wingdings" w:hAnsi="Wingdings" w:eastAsia="Wingdings" w:cs="Wingdings"/>
          <w:iCs/>
          <w:color w:val="000000"/>
          <w:sz w:val="24"/>
        </w:rPr>
        <w:t xml:space="preserve"></w:t>
      </w:r>
      <w:r>
        <w:rPr>
          <w:rFonts w:hint="eastAsia" w:ascii="宋体" w:hAnsi="宋体" w:cs="宋体"/>
          <w:color w:val="000000"/>
          <w:sz w:val="24"/>
        </w:rPr>
        <w:t xml:space="preserve">分期付款：</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种付款方式：</w:t>
      </w:r>
      <w:r>
        <w:rPr>
          <w:rFonts w:hint="eastAsia" w:ascii="宋体" w:hAnsi="宋体" w:cs="宋体"/>
          <w:color w:val="000000"/>
          <w:sz w:val="24"/>
        </w:rPr>
      </w:r>
      <w:r/>
    </w:p>
    <w:p>
      <w:pPr>
        <w:pStyle w:val="734"/>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①付款方式（提交预付款保函的）</w:t>
      </w:r>
      <w:r>
        <w:rPr>
          <w:rFonts w:hint="eastAsia" w:ascii="宋体" w:hAnsi="宋体" w:cs="宋体"/>
          <w:b/>
          <w:bCs/>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作为预付款，在合同签订生效且卖方向甲方出具合同总价的百分之四十（40%）即￥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的预付款保函，甲方自收到收据（收据金额为合同总价的40%）后10个工作日内，将资金支付到合同约定的乙方账户。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合同总价的百分之六十（60%）即￥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，经买方验收合格后，买方自收到发票（发票金额为合同总价的60%）后10个工作日内，将资金支付到合同约定的卖方账户。</w:t>
      </w:r>
      <w:r>
        <w:rPr>
          <w:rFonts w:hint="eastAsia" w:ascii="宋体" w:hAnsi="宋体" w:cs="宋体"/>
          <w:color w:val="000000"/>
          <w:sz w:val="24"/>
        </w:rPr>
      </w:r>
      <w:r/>
    </w:p>
    <w:p>
      <w:pPr>
        <w:pStyle w:val="734"/>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买方付款前卖方需提交的支付文件包括：</w:t>
      </w:r>
      <w:r>
        <w:rPr>
          <w:rFonts w:ascii="宋体" w:hAnsi="宋体" w:cs="宋体"/>
          <w:color w:val="000000"/>
          <w:sz w:val="24"/>
          <w:highlight w:val="white"/>
        </w:rPr>
      </w:r>
      <w:r/>
    </w:p>
    <w:p>
      <w:pPr>
        <w:pStyle w:val="734"/>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卖方出具的全额正式发票。</w:t>
      </w:r>
      <w:r>
        <w:rPr>
          <w:rFonts w:ascii="宋体" w:hAnsi="宋体" w:cs="宋体"/>
          <w:color w:val="000000"/>
          <w:sz w:val="24"/>
          <w:highlight w:val="white"/>
        </w:rPr>
      </w:r>
      <w:r/>
    </w:p>
    <w:p>
      <w:pPr>
        <w:pStyle w:val="734"/>
        <w:ind w:firstLine="420"/>
        <w:spacing w:line="360" w:lineRule="auto"/>
        <w:rPr>
          <w:rFonts w:hint="eastAsia" w:ascii="宋体" w:hAnsi="宋体" w:cs="宋体"/>
          <w:b/>
          <w:bCs/>
          <w:color w:val="000000"/>
          <w:sz w:val="24"/>
        </w:rPr>
      </w:pPr>
      <w:r>
        <w:rPr>
          <w:rFonts w:hint="eastAsia" w:ascii="宋体" w:hAnsi="宋体" w:cs="宋体"/>
          <w:color w:val="000000"/>
          <w:sz w:val="24"/>
          <w:highlight w:val="white"/>
        </w:rPr>
        <w:t xml:space="preserve">买方签署验收合格报告。</w:t>
      </w:r>
      <w:r>
        <w:rPr>
          <w:rFonts w:hint="eastAsia" w:ascii="宋体" w:hAnsi="宋体" w:cs="宋体"/>
          <w:b/>
          <w:bCs/>
          <w:color w:val="000000"/>
          <w:sz w:val="24"/>
        </w:rPr>
      </w:r>
      <w:r/>
    </w:p>
    <w:p>
      <w:pPr>
        <w:pStyle w:val="734"/>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②付款方式（不提交预付款保函的）</w:t>
      </w:r>
      <w:r>
        <w:rPr>
          <w:rFonts w:hint="eastAsia" w:ascii="宋体" w:hAnsi="宋体" w:cs="宋体"/>
          <w:b/>
          <w:bCs/>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合同总价的百分之三十（30%）即￥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作为预付款，在合同签订生效，甲方自收到收据（收据金额为合同总价的30%）后10个工作日内，将资金支付到合同约定的乙方账户。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合同总价的百分之七十（70%）即￥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 ，经买方验收合格后，买方自收到发票（发票金额为合同总价的 70%）后 10个工作日内，将资金支付到合同约定的卖方账户。</w:t>
      </w:r>
      <w:r>
        <w:rPr>
          <w:rFonts w:hint="eastAsia" w:ascii="宋体" w:hAnsi="宋体" w:cs="宋体"/>
          <w:color w:val="000000"/>
          <w:sz w:val="24"/>
        </w:rPr>
      </w:r>
      <w:r/>
    </w:p>
    <w:p>
      <w:pPr>
        <w:pStyle w:val="734"/>
        <w:ind w:firstLine="540"/>
        <w:rPr>
          <w:rFonts w:hint="eastAsia" w:ascii="宋体" w:hAnsi="宋体" w:cs="宋体"/>
          <w:color w:val="000000"/>
          <w:sz w:val="24"/>
        </w:rPr>
      </w:pPr>
      <w:r>
        <w:rPr>
          <w:rFonts w:hint="eastAsia" w:ascii="宋体" w:hAnsi="宋体" w:cs="宋体"/>
          <w:color w:val="000000"/>
          <w:sz w:val="24"/>
        </w:rPr>
        <w:t xml:space="preserve">卖方需提交的支付文件包括：</w:t>
      </w:r>
      <w:r>
        <w:rPr>
          <w:rFonts w:hint="eastAsia" w:ascii="宋体" w:hAnsi="宋体" w:cs="宋体"/>
          <w:color w:val="000000"/>
          <w:sz w:val="24"/>
        </w:rPr>
      </w:r>
      <w:r/>
    </w:p>
    <w:p>
      <w:pPr>
        <w:pStyle w:val="734"/>
        <w:ind w:firstLine="540"/>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p>
      <w:pPr>
        <w:pStyle w:val="734"/>
        <w:ind w:firstLine="540"/>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成本补偿：</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绩效激励：</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482"/>
        <w:spacing w:line="400" w:lineRule="exact"/>
        <w:rPr>
          <w:rFonts w:hint="eastAsia" w:ascii="宋体" w:hAnsi="宋体" w:cs="宋体"/>
          <w:b/>
          <w:color w:val="000000"/>
          <w:sz w:val="24"/>
          <w:u w:val="single"/>
        </w:rPr>
      </w:pPr>
      <w:r>
        <w:rPr>
          <w:rFonts w:hint="eastAsia" w:ascii="宋体" w:hAnsi="宋体" w:cs="宋体"/>
          <w:b/>
          <w:color w:val="000000"/>
          <w:sz w:val="24"/>
        </w:rPr>
        <w:t xml:space="preserve">3.合同履行</w:t>
      </w:r>
      <w:r>
        <w:rPr>
          <w:rFonts w:hint="eastAsia" w:ascii="宋体" w:hAnsi="宋体" w:cs="宋体"/>
          <w:b/>
          <w:color w:val="000000"/>
          <w:sz w:val="24"/>
          <w:u w:val="single"/>
        </w:rPr>
      </w:r>
      <w:r/>
    </w:p>
    <w:p>
      <w:pPr>
        <w:pStyle w:val="734"/>
        <w:ind w:firstLine="480"/>
        <w:spacing w:line="400" w:lineRule="exact"/>
        <w:rPr>
          <w:rFonts w:hint="eastAsia" w:ascii="宋体" w:hAnsi="宋体" w:cs="宋体"/>
          <w:color w:val="000000"/>
          <w:szCs w:val="21"/>
        </w:rPr>
      </w:pPr>
      <w:r>
        <w:rPr>
          <w:rFonts w:hint="eastAsia" w:ascii="宋体" w:hAnsi="宋体" w:cs="宋体"/>
          <w:color w:val="000000"/>
          <w:sz w:val="24"/>
        </w:rPr>
        <w:t xml:space="preserve">（1）起始日期：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日，完成日期：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 日。（或：合同生效日后，</w:t>
      </w:r>
      <w:r>
        <w:rPr>
          <w:rFonts w:hint="eastAsia" w:ascii="宋体" w:hAnsi="宋体" w:cs="宋体"/>
          <w:color w:val="000000"/>
          <w:sz w:val="24"/>
          <w:u w:val="single"/>
        </w:rPr>
        <w:t xml:space="preserve">  </w:t>
      </w:r>
      <w:r>
        <w:rPr>
          <w:rFonts w:hint="eastAsia" w:ascii="宋体" w:hAnsi="宋体" w:cs="宋体"/>
          <w:color w:val="000000"/>
          <w:sz w:val="24"/>
        </w:rPr>
        <w:t xml:space="preserve">日内将合同标的全部交付并安装完毕。</w:t>
      </w:r>
      <w:r>
        <w:rPr>
          <w:rFonts w:hint="eastAsia" w:ascii="宋体" w:hAnsi="宋体" w:cs="宋体"/>
          <w:color w:val="000000"/>
          <w:szCs w:val="21"/>
        </w:rPr>
        <w:t xml:space="preserve">）</w:t>
      </w:r>
      <w:r>
        <w:rPr>
          <w:rFonts w:hint="eastAsia" w:ascii="宋体" w:hAnsi="宋体" w:cs="宋体"/>
          <w:color w:val="000000"/>
          <w:szCs w:val="21"/>
        </w:rPr>
      </w:r>
      <w:r/>
    </w:p>
    <w:p>
      <w:pPr>
        <w:pStyle w:val="734"/>
        <w:ind w:firstLine="240"/>
        <w:spacing w:line="400" w:lineRule="exact"/>
        <w:rPr>
          <w:rFonts w:hint="eastAsia" w:ascii="宋体" w:hAnsi="宋体" w:cs="宋体"/>
          <w:color w:val="000000"/>
          <w:sz w:val="24"/>
          <w:u w:val="single"/>
        </w:rPr>
      </w:pPr>
      <w:r>
        <w:rPr>
          <w:rFonts w:hint="eastAsia" w:ascii="宋体" w:hAnsi="宋体" w:cs="宋体"/>
          <w:color w:val="000000"/>
          <w:sz w:val="24"/>
        </w:rPr>
        <w:t xml:space="preserve">（2）履约地点</w:t>
      </w:r>
      <w:r>
        <w:rPr>
          <w:rFonts w:hint="eastAsia" w:ascii="宋体" w:hAnsi="宋体" w:cs="宋体"/>
          <w:bCs/>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240"/>
        <w:spacing w:line="400" w:lineRule="exact"/>
        <w:rPr>
          <w:rFonts w:hint="eastAsia" w:ascii="宋体" w:hAnsi="宋体" w:cs="宋体"/>
          <w:color w:val="000000"/>
          <w:sz w:val="24"/>
        </w:rPr>
      </w:pPr>
      <w:r>
        <w:rPr>
          <w:rFonts w:hint="eastAsia" w:ascii="宋体" w:hAnsi="宋体" w:cs="宋体"/>
          <w:bCs/>
          <w:color w:val="000000"/>
          <w:sz w:val="24"/>
        </w:rPr>
        <w:t xml:space="preserve">（3）履约担保：</w:t>
      </w:r>
      <w:r>
        <w:rPr>
          <w:rFonts w:hint="eastAsia" w:ascii="宋体" w:hAnsi="宋体" w:cs="宋体"/>
          <w:color w:val="000000"/>
          <w:sz w:val="24"/>
        </w:rPr>
        <w:t xml:space="preserve">是否收取履约保证金：</w:t>
      </w:r>
      <w:r>
        <w:rPr>
          <w:rFonts w:ascii="Wingdings" w:hAnsi="Wingdings" w:eastAsia="Wingdings" w:cs="Wingdings"/>
          <w:iCs/>
          <w:color w:val="000000"/>
          <w:sz w:val="24"/>
        </w:rPr>
        <w:t xml:space="preserve">þ</w:t>
      </w:r>
      <w:r>
        <w:rPr>
          <w:rFonts w:hint="eastAsia" w:ascii="宋体" w:hAnsi="宋体" w:cs="宋体"/>
          <w:color w:val="000000"/>
          <w:sz w:val="24"/>
        </w:rPr>
        <w:t xml:space="preserve">是    </w:t>
      </w:r>
      <w:r>
        <w:rPr>
          <w:rFonts w:ascii="Wingdings" w:hAnsi="Wingdings" w:eastAsia="Wingdings" w:cs="Wingdings"/>
          <w:iCs/>
          <w:color w:val="000000"/>
          <w:sz w:val="24"/>
        </w:rPr>
        <w:t xml:space="preserve"></w:t>
      </w:r>
      <w:r>
        <w:rPr>
          <w:rFonts w:hint="eastAsia" w:ascii="宋体" w:hAnsi="宋体" w:cs="宋体"/>
          <w:color w:val="000000"/>
          <w:sz w:val="24"/>
        </w:rPr>
        <w:t xml:space="preserve">否</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 收取履约保证金形式：</w:t>
      </w:r>
      <w:r>
        <w:rPr>
          <w:rFonts w:hint="eastAsia" w:ascii="宋体" w:hAnsi="宋体" w:cs="宋体"/>
          <w:bCs/>
          <w:color w:val="000000"/>
          <w:sz w:val="24"/>
          <w:u w:val="single"/>
        </w:rPr>
        <w:t xml:space="preserve">以支票、汇票、本票或金融机构、担保机构出具的保函等非现金形式提交 ，</w:t>
      </w:r>
      <w:r>
        <w:rPr>
          <w:rFonts w:hint="eastAsia" w:ascii="宋体" w:hAnsi="宋体" w:cs="宋体"/>
          <w:color w:val="000000"/>
          <w:sz w:val="24"/>
          <w:szCs w:val="21"/>
          <w:u w:val="single"/>
        </w:rPr>
        <w:t xml:space="preserve">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734"/>
        <w:ind w:firstLine="480"/>
        <w:spacing w:line="400" w:lineRule="exact"/>
        <w:rPr>
          <w:rFonts w:hint="eastAsia" w:ascii="宋体" w:hAnsi="宋体" w:cs="宋体"/>
          <w:color w:val="000000"/>
          <w:szCs w:val="21"/>
          <w:highlight w:val="green"/>
        </w:rPr>
      </w:pPr>
      <w:r>
        <w:rPr>
          <w:rFonts w:hint="eastAsia" w:ascii="宋体" w:hAnsi="宋体" w:cs="宋体"/>
          <w:color w:val="000000"/>
          <w:sz w:val="24"/>
        </w:rPr>
        <w:t xml:space="preserve">   收取履约保证金金额：</w:t>
      </w:r>
      <w:r>
        <w:rPr>
          <w:rFonts w:hint="eastAsia" w:ascii="宋体" w:hAnsi="宋体" w:cs="宋体"/>
          <w:bCs/>
          <w:color w:val="000000"/>
          <w:sz w:val="24"/>
          <w:u w:val="single"/>
        </w:rPr>
        <w:t xml:space="preserve">合同总价的百分之五（5%）   </w:t>
      </w:r>
      <w:r>
        <w:rPr>
          <w:rFonts w:hint="eastAsia" w:ascii="宋体" w:hAnsi="宋体" w:cs="宋体"/>
          <w:color w:val="000000"/>
          <w:szCs w:val="21"/>
          <w:highlight w:val="green"/>
        </w:rPr>
      </w:r>
      <w:r/>
    </w:p>
    <w:p>
      <w:pPr>
        <w:pStyle w:val="734"/>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履约担保期限：</w:t>
      </w:r>
      <w:r>
        <w:rPr>
          <w:rFonts w:hint="eastAsia" w:ascii="宋体" w:hAnsi="宋体" w:cs="宋体"/>
          <w:bCs/>
          <w:color w:val="000000"/>
          <w:sz w:val="24"/>
          <w:u w:val="single"/>
        </w:rPr>
        <w:t xml:space="preserve">                                  </w:t>
      </w:r>
      <w:r>
        <w:rPr>
          <w:rFonts w:hint="eastAsia" w:ascii="宋体" w:hAnsi="宋体" w:cs="宋体"/>
          <w:color w:val="000000"/>
          <w:sz w:val="24"/>
        </w:rPr>
      </w:r>
      <w:r/>
    </w:p>
    <w:p>
      <w:pPr>
        <w:pStyle w:val="734"/>
        <w:numPr>
          <w:ilvl w:val="0"/>
          <w:numId w:val="2"/>
        </w:numPr>
        <w:ind w:left="960" w:hanging="720"/>
        <w:spacing w:line="400" w:lineRule="exact"/>
        <w:rPr>
          <w:rFonts w:hint="eastAsia" w:ascii="宋体" w:hAnsi="宋体" w:cs="宋体"/>
          <w:bCs/>
          <w:color w:val="000000"/>
          <w:sz w:val="24"/>
        </w:rPr>
      </w:pPr>
      <w:r>
        <w:rPr>
          <w:rFonts w:hint="eastAsia" w:ascii="宋体" w:hAnsi="宋体" w:cs="宋体"/>
          <w:bCs/>
          <w:color w:val="000000"/>
          <w:sz w:val="24"/>
        </w:rPr>
        <w:t xml:space="preserve">分期履行要求：</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734"/>
        <w:ind w:firstLine="240"/>
        <w:spacing w:line="400" w:lineRule="exact"/>
        <w:rPr>
          <w:rFonts w:hint="eastAsia" w:ascii="宋体" w:hAnsi="宋体" w:cs="宋体"/>
          <w:color w:val="000000"/>
          <w:sz w:val="24"/>
          <w:u w:val="single"/>
        </w:rPr>
      </w:pPr>
      <w:r>
        <w:rPr>
          <w:rFonts w:hint="eastAsia" w:ascii="宋体" w:hAnsi="宋体" w:cs="宋体"/>
          <w:bCs/>
          <w:color w:val="000000"/>
          <w:sz w:val="24"/>
        </w:rPr>
        <w:t xml:space="preserve">（5）风险处置措施和替代方案：</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4.合同验收</w:t>
      </w:r>
      <w:r>
        <w:rPr>
          <w:rFonts w:hint="eastAsia" w:ascii="宋体" w:hAnsi="宋体" w:cs="宋体"/>
          <w:b/>
          <w:color w:val="000000"/>
          <w:sz w:val="24"/>
        </w:rPr>
      </w:r>
      <w:r/>
    </w:p>
    <w:p>
      <w:pPr>
        <w:pStyle w:val="734"/>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（1）验收组织方式：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自行组织 </w:t>
      </w:r>
      <w:r>
        <w:rPr>
          <w:rFonts w:ascii="Wingdings" w:hAnsi="Wingdings" w:eastAsia="Wingdings" w:cs="Wingdings"/>
          <w:iCs/>
          <w:color w:val="000000"/>
          <w:sz w:val="24"/>
        </w:rPr>
        <w:t xml:space="preserve"></w:t>
      </w:r>
      <w:r>
        <w:rPr>
          <w:rFonts w:hint="eastAsia" w:ascii="宋体" w:hAnsi="宋体" w:cs="宋体"/>
          <w:bCs/>
          <w:color w:val="000000"/>
          <w:sz w:val="24"/>
        </w:rPr>
        <w:t xml:space="preserve">委托第三方组织</w:t>
      </w:r>
      <w:r>
        <w:rPr>
          <w:rFonts w:hint="eastAsia" w:ascii="宋体" w:hAnsi="宋体" w:cs="宋体"/>
          <w:bCs/>
          <w:color w:val="000000"/>
          <w:sz w:val="24"/>
        </w:rPr>
      </w:r>
      <w:r/>
    </w:p>
    <w:p>
      <w:pPr>
        <w:pStyle w:val="734"/>
        <w:spacing w:line="400" w:lineRule="exact"/>
        <w:rPr>
          <w:rFonts w:hint="eastAsia" w:ascii="宋体" w:hAnsi="宋体" w:cs="宋体"/>
          <w:bCs/>
          <w:color w:val="000000"/>
          <w:sz w:val="24"/>
        </w:rPr>
      </w:pPr>
      <w:r>
        <w:rPr>
          <w:rFonts w:hint="eastAsia" w:ascii="宋体" w:hAnsi="宋体" w:cs="宋体"/>
          <w:bCs/>
          <w:color w:val="000000"/>
          <w:sz w:val="24"/>
        </w:rPr>
        <w:t xml:space="preserve">       验收主体：</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734"/>
        <w:spacing w:line="400" w:lineRule="exact"/>
        <w:rPr>
          <w:rFonts w:hint="eastAsia" w:ascii="宋体" w:hAnsi="宋体" w:cs="宋体"/>
          <w:bCs/>
          <w:color w:val="000000"/>
          <w:sz w:val="24"/>
        </w:rPr>
      </w:pPr>
      <w:r>
        <w:rPr>
          <w:rFonts w:hint="eastAsia" w:ascii="宋体" w:hAnsi="宋体" w:cs="宋体"/>
          <w:bCs/>
          <w:color w:val="000000"/>
          <w:sz w:val="24"/>
        </w:rPr>
        <w:t xml:space="preserve">       是否邀请本项目的其他供应商参加验收：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是否邀请专家参加验收：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是否邀请服务对象参加验收：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是否邀请第三方检测机构参加验收：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是否进行抽查检测：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是，抽查比例：</w:t>
      </w:r>
      <w:r>
        <w:rPr>
          <w:rFonts w:hint="eastAsia" w:ascii="宋体" w:hAnsi="宋体" w:cs="宋体"/>
          <w:color w:val="000000"/>
          <w:sz w:val="24"/>
          <w:u w:val="single"/>
        </w:rPr>
        <w:t xml:space="preserve">     </w:t>
      </w: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是否存在破坏性检测：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w:t>
      </w:r>
      <w:r>
        <w:rPr>
          <w:rFonts w:hint="eastAsia" w:ascii="宋体" w:hAnsi="宋体" w:cs="宋体"/>
          <w:bCs/>
          <w:color w:val="000000"/>
          <w:sz w:val="24"/>
          <w:u w:val="single"/>
        </w:rPr>
        <w:t xml:space="preserve">（应明确对被破坏的检测产品的处理方式）</w:t>
      </w:r>
      <w:r>
        <w:rPr>
          <w:rFonts w:hint="eastAsia" w:ascii="宋体" w:hAnsi="宋体" w:cs="宋体"/>
          <w:bCs/>
          <w:color w:val="000000"/>
          <w:sz w:val="24"/>
          <w:u w:val="single"/>
        </w:rPr>
      </w:r>
      <w:r/>
    </w:p>
    <w:p>
      <w:pPr>
        <w:pStyle w:val="734"/>
        <w:ind w:firstLine="960"/>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履约验收涉及检测（检验）费、专业技术人员费用等费用由乙方承担。</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验收组织的其他事项：</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734"/>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（2）履约验收时间：</w:t>
      </w:r>
      <w:r>
        <w:rPr>
          <w:rFonts w:hint="eastAsia" w:ascii="宋体" w:hAnsi="宋体" w:cs="宋体"/>
          <w:color w:val="000000"/>
          <w:sz w:val="24"/>
        </w:rPr>
        <w:t xml:space="preserve">合同标的全部交付并安装完毕后，乙方可向甲方书面提出验收要求，甲方在接到书面要求后3日内进行验收。合同乙方需向甲方提交合同标的的相关资料、文件、说明书等。</w:t>
      </w:r>
      <w:r>
        <w:rPr>
          <w:rFonts w:hint="eastAsia" w:ascii="宋体" w:hAnsi="宋体" w:cs="宋体"/>
          <w:bCs/>
          <w:color w:val="000000"/>
          <w:sz w:val="24"/>
          <w:u w:val="single"/>
        </w:rPr>
      </w:r>
      <w:r/>
    </w:p>
    <w:p>
      <w:pPr>
        <w:pStyle w:val="734"/>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（3）履约验收方式：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一次性验收         </w:t>
      </w:r>
      <w:r>
        <w:rPr>
          <w:rFonts w:hint="eastAsia" w:ascii="宋体" w:hAnsi="宋体" w:cs="宋体"/>
          <w:bCs/>
          <w:color w:val="000000"/>
          <w:sz w:val="24"/>
        </w:rPr>
      </w:r>
      <w:r/>
    </w:p>
    <w:p>
      <w:pPr>
        <w:pStyle w:val="734"/>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分期/分项验收：</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734"/>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（4）履约验收程序：</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734"/>
        <w:ind w:firstLine="240"/>
        <w:rPr>
          <w:rFonts w:hint="eastAsia" w:ascii="宋体" w:hAnsi="宋体" w:cs="宋体"/>
          <w:color w:val="000000"/>
          <w:sz w:val="24"/>
        </w:rPr>
      </w:pPr>
      <w:r>
        <w:rPr>
          <w:rFonts w:hint="eastAsia" w:ascii="宋体" w:hAnsi="宋体" w:cs="宋体"/>
          <w:color w:val="000000"/>
          <w:sz w:val="24"/>
        </w:rPr>
        <w:t xml:space="preserve">（5）履约验收的内容：</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收集资料：收集家具采购合同、投标文件、产品说明书、质量检验报告、装箱清单等与项目相关的文件资料，作为验收依据。</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准备工具：准备卷尺、游标卡尺子、塞尺、等验收工具，用于测量家具整体及构件尺寸。</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到货验收</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包装检查：检查家具包装是否完好，防护措施是否到位，若包装破损严重，进一步检查家具内部是否受损。</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开箱检查：查验家具外观、数量，规格尺寸、质量和合格证明文件、配件等是否符合要求。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规格尺寸验收：使用准备好的工具，按照招标文件中规定的尺寸要求，测量家具的各项尺寸，如床的长、宽、高，床下组合家具的各部分尺寸等。尺寸偏差应符合产品明示尺寸与实测值标准，否则单项评价不合格。</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材质验收：依据招标文件中对家具材质的要求，检查家具的材质是否符合标准。检查其是否符合相应的国家标准，如甲醛释放量是否达标；对于钢管、型材等金属材料，检查其材质和性能是否符合要求。可通过观察、检测报告核对等方式进行材质检验。</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使用功能验收：对家具的各项使用功能进行实际测试。检查书桌柜等家具是否能够正常使用，是否存在抽屉、门启闭不畅等问题。</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抽样检测：甲方随机抽验3间房间进行空气检测，检测总挥发性有机化合物（TVOC）等有害物质的含量以及甲醛释放量。检测费用由乙方综合考虑至货物及安装费用中。</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结果判定：若检测结果显示 TVOC 等有害物质的监测超过国家强制要求的标准、甲醛释放量未达到国家标准，乙方必须在一周内整改处置到位，所有处置费用由乙方支付。</w:t>
      </w:r>
      <w:r>
        <w:rPr>
          <w:rFonts w:hint="eastAsia" w:ascii="宋体" w:hAnsi="宋体" w:cs="宋体"/>
          <w:color w:val="000000"/>
          <w:sz w:val="24"/>
        </w:rPr>
      </w:r>
      <w:r/>
    </w:p>
    <w:p>
      <w:pPr>
        <w:pStyle w:val="734"/>
        <w:ind w:firstLine="240"/>
        <w:rPr>
          <w:rFonts w:hint="eastAsia" w:ascii="宋体" w:hAnsi="宋体" w:cs="宋体"/>
          <w:color w:val="000000"/>
          <w:sz w:val="24"/>
        </w:rPr>
      </w:pPr>
      <w:r>
        <w:rPr>
          <w:rFonts w:hint="eastAsia" w:ascii="宋体" w:hAnsi="宋体" w:cs="宋体"/>
          <w:color w:val="000000"/>
          <w:sz w:val="24"/>
        </w:rPr>
        <w:t xml:space="preserve">（6）履约验收标准：详见招标文件。</w:t>
      </w:r>
      <w:r>
        <w:rPr>
          <w:rFonts w:hint="eastAsia" w:ascii="宋体" w:hAnsi="宋体" w:cs="宋体"/>
          <w:color w:val="000000"/>
          <w:sz w:val="24"/>
        </w:rPr>
      </w:r>
      <w:r/>
    </w:p>
    <w:p>
      <w:pPr>
        <w:pStyle w:val="734"/>
        <w:ind w:firstLine="240"/>
        <w:rPr>
          <w:rFonts w:hint="eastAsia" w:ascii="宋体" w:hAnsi="宋体" w:cs="宋体"/>
          <w:color w:val="000000"/>
          <w:sz w:val="24"/>
        </w:rPr>
      </w:pPr>
      <w:r>
        <w:rPr>
          <w:rFonts w:hint="eastAsia" w:ascii="宋体" w:hAnsi="宋体" w:cs="宋体"/>
          <w:color w:val="000000"/>
          <w:sz w:val="24"/>
        </w:rPr>
        <w:t xml:space="preserve">（7）是否以采购活动中供应商提供的样品作为参考：是  否</w:t>
      </w:r>
      <w:r>
        <w:rPr>
          <w:rFonts w:hint="eastAsia" w:ascii="宋体" w:hAnsi="宋体" w:cs="宋体"/>
          <w:color w:val="000000"/>
          <w:sz w:val="24"/>
        </w:rPr>
      </w:r>
      <w:r/>
    </w:p>
    <w:p>
      <w:pPr>
        <w:pStyle w:val="734"/>
        <w:ind w:firstLine="240"/>
        <w:rPr>
          <w:rFonts w:hint="eastAsia" w:ascii="宋体" w:hAnsi="宋体" w:cs="宋体"/>
          <w:color w:val="000000"/>
          <w:sz w:val="24"/>
        </w:rPr>
      </w:pPr>
      <w:r>
        <w:rPr>
          <w:rFonts w:hint="eastAsia" w:ascii="宋体" w:hAnsi="宋体" w:cs="宋体"/>
          <w:color w:val="000000"/>
          <w:sz w:val="24"/>
        </w:rPr>
        <w:t xml:space="preserve">（8）履约验收其他事项：</w:t>
      </w:r>
      <w:r>
        <w:rPr>
          <w:rFonts w:hint="eastAsia" w:ascii="宋体" w:hAnsi="宋体" w:cs="宋体"/>
          <w:color w:val="000000"/>
          <w:sz w:val="24"/>
          <w:u w:val="single"/>
        </w:rPr>
        <w:t xml:space="preserve">无</w:t>
      </w:r>
      <w:r>
        <w:rPr>
          <w:rFonts w:hint="eastAsia" w:ascii="宋体" w:hAnsi="宋体" w:cs="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5.组成合同的文件</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本协议书与下列文件一起构成合同文件，如下述文件之间有任何抵触、矛盾或歧义，应按以下顺序解释：</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（1）政府采购合同协议书及其变更、补充协议</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（2）政府采购合同专用条款</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（3）政府采购合同通用条款</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（4）中标通知书</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（5）投标文件</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（6）采购文件</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（7）有关技术文件，图纸</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（8）国家法律、行政法规和规章制度规定或合同约定的作为合同组成部分的其他文件</w:t>
      </w:r>
      <w:r>
        <w:rPr>
          <w:rFonts w:hint="eastAsia" w:ascii="宋体" w:hAnsi="宋体" w:cs="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6.合同生效</w:t>
      </w:r>
      <w:r>
        <w:rPr>
          <w:rFonts w:hint="eastAsia" w:ascii="宋体" w:hAnsi="宋体" w:cs="宋体"/>
          <w:b/>
          <w:color w:val="000000"/>
          <w:sz w:val="24"/>
        </w:rPr>
      </w:r>
      <w:r/>
    </w:p>
    <w:p>
      <w:pPr>
        <w:pStyle w:val="734"/>
        <w:ind w:firstLine="480"/>
        <w:rPr>
          <w:rFonts w:hint="eastAsia" w:ascii="宋体" w:hAnsi="宋体" w:cs="宋体"/>
          <w:color w:val="000000"/>
          <w:sz w:val="24"/>
        </w:rPr>
      </w:pPr>
      <w:r>
        <w:rPr>
          <w:rFonts w:hint="eastAsia" w:ascii="宋体" w:hAnsi="宋体" w:cs="宋体"/>
          <w:color w:val="000000"/>
          <w:sz w:val="24"/>
        </w:rPr>
        <w:t xml:space="preserve">本合同自</w:t>
      </w:r>
      <w:r>
        <w:rPr>
          <w:rFonts w:hint="eastAsia" w:ascii="宋体" w:hAnsi="宋体" w:cs="宋体"/>
          <w:color w:val="000000"/>
          <w:sz w:val="24"/>
          <w:u w:val="single"/>
        </w:rPr>
        <w:t xml:space="preserve">下列条件全部满足后</w:t>
      </w:r>
      <w:r>
        <w:rPr>
          <w:rFonts w:hint="eastAsia" w:ascii="宋体" w:hAnsi="宋体" w:cs="宋体"/>
          <w:color w:val="000000"/>
          <w:sz w:val="24"/>
        </w:rPr>
        <w:t xml:space="preserve">生效，生效日期以下列条件全部满足的最晚日期为准： </w:t>
      </w:r>
      <w:r>
        <w:rPr>
          <w:rFonts w:hint="eastAsia" w:ascii="宋体" w:hAnsi="宋体" w:cs="宋体"/>
          <w:color w:val="000000"/>
          <w:sz w:val="24"/>
        </w:rPr>
      </w:r>
      <w:r/>
    </w:p>
    <w:p>
      <w:pPr>
        <w:pStyle w:val="734"/>
        <w:numPr>
          <w:ilvl w:val="0"/>
          <w:numId w:val="3"/>
        </w:numPr>
        <w:rPr>
          <w:rFonts w:hint="eastAsia" w:ascii="宋体" w:hAnsi="宋体" w:cs="宋体"/>
          <w:color w:val="000000"/>
          <w:sz w:val="24"/>
        </w:rPr>
      </w:pPr>
      <w:r>
        <w:rPr>
          <w:rFonts w:hint="eastAsia" w:ascii="宋体" w:hAnsi="宋体" w:cs="宋体"/>
          <w:color w:val="000000"/>
          <w:sz w:val="24"/>
        </w:rPr>
        <w:t xml:space="preserve">双方加盖公章或合同专用章；</w:t>
      </w:r>
      <w:r>
        <w:rPr>
          <w:rFonts w:hint="eastAsia" w:ascii="宋体" w:hAnsi="宋体" w:cs="宋体"/>
          <w:color w:val="000000"/>
          <w:sz w:val="24"/>
        </w:rPr>
      </w:r>
      <w:r/>
    </w:p>
    <w:p>
      <w:pPr>
        <w:pStyle w:val="734"/>
        <w:numPr>
          <w:ilvl w:val="0"/>
          <w:numId w:val="3"/>
        </w:numPr>
        <w:rPr>
          <w:rFonts w:hint="eastAsia" w:ascii="宋体" w:hAnsi="宋体" w:cs="宋体"/>
          <w:color w:val="000000"/>
          <w:sz w:val="24"/>
        </w:rPr>
      </w:pPr>
      <w:r>
        <w:rPr>
          <w:rFonts w:hint="eastAsia" w:ascii="宋体" w:hAnsi="宋体" w:cs="宋体"/>
          <w:color w:val="000000"/>
          <w:sz w:val="24"/>
        </w:rPr>
        <w:t xml:space="preserve">甲方收到乙方按本合同约定金额提交的履约保证金（如有）。</w:t>
      </w:r>
      <w:r>
        <w:rPr>
          <w:rFonts w:hint="eastAsia" w:ascii="宋体" w:hAnsi="宋体" w:cs="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7.合同份数</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份，甲方执</w:t>
      </w:r>
      <w:r>
        <w:rPr>
          <w:rFonts w:hint="eastAsia" w:ascii="宋体" w:hAnsi="宋体" w:cs="宋体"/>
          <w:color w:val="000000"/>
          <w:sz w:val="24"/>
          <w:u w:val="single"/>
        </w:rPr>
        <w:t xml:space="preserve">    </w:t>
      </w:r>
      <w:r>
        <w:rPr>
          <w:rFonts w:hint="eastAsia" w:ascii="宋体" w:hAnsi="宋体" w:cs="宋体"/>
          <w:color w:val="000000"/>
          <w:sz w:val="24"/>
        </w:rPr>
        <w:t xml:space="preserve">份，乙方执</w:t>
      </w:r>
      <w:r>
        <w:rPr>
          <w:rFonts w:hint="eastAsia" w:ascii="宋体" w:hAnsi="宋体" w:cs="宋体"/>
          <w:color w:val="000000"/>
          <w:sz w:val="24"/>
          <w:u w:val="single"/>
        </w:rPr>
        <w:t xml:space="preserve">    </w:t>
      </w:r>
      <w:r>
        <w:rPr>
          <w:rFonts w:hint="eastAsia" w:ascii="宋体" w:hAnsi="宋体" w:cs="宋体"/>
          <w:color w:val="000000"/>
          <w:sz w:val="24"/>
        </w:rPr>
        <w:t xml:space="preserve">份，均具有同等法律效力。</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合同订立地点：</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20"/>
        <w:spacing w:line="400" w:lineRule="exact"/>
        <w:rPr>
          <w:rFonts w:hint="eastAsia" w:ascii="宋体" w:hAnsi="宋体" w:cs="宋体"/>
          <w:strike/>
          <w:color w:val="000000"/>
        </w:rPr>
      </w:pPr>
      <w:r>
        <w:rPr>
          <w:rFonts w:hint="eastAsia" w:ascii="宋体" w:hAnsi="宋体" w:cs="宋体"/>
          <w:strike/>
          <w:color w:val="000000"/>
        </w:rPr>
      </w:r>
      <w:r/>
    </w:p>
    <w:tbl>
      <w:tblPr>
        <w:tblW w:w="8392"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0"/>
        <w:gridCol w:w="2410"/>
        <w:gridCol w:w="1977"/>
        <w:gridCol w:w="2115"/>
      </w:tblGrid>
      <w:tr>
        <w:trPr>
          <w:trHeight w:val="490"/>
        </w:trPr>
        <w:tc>
          <w:tcPr>
            <w:gridSpan w:val="2"/>
            <w:tcW w:w="430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甲方（采购人、受采购人委托签订合同的单位或采购文件约定的合同甲方）</w:t>
            </w:r>
            <w:r>
              <w:rPr>
                <w:rFonts w:hint="eastAsia" w:ascii="宋体" w:hAnsi="宋体" w:cs="宋体"/>
                <w:color w:val="000000"/>
                <w:sz w:val="24"/>
              </w:rPr>
            </w:r>
            <w:r/>
          </w:p>
        </w:tc>
        <w:tc>
          <w:tcPr>
            <w:gridSpan w:val="2"/>
            <w:tcW w:w="4092"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乙方（供应商）</w:t>
            </w:r>
            <w:r>
              <w:rPr>
                <w:rFonts w:hint="eastAsia" w:ascii="宋体" w:hAnsi="宋体" w:cs="宋体"/>
                <w:color w:val="000000"/>
                <w:sz w:val="24"/>
              </w:rPr>
            </w:r>
            <w:r/>
          </w:p>
        </w:tc>
      </w:tr>
      <w:tr>
        <w:trPr>
          <w:trHeight w:val="917"/>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1171"/>
        </w:trPr>
        <w:tc>
          <w:tcPr>
            <w:tcW w:w="1890" w:type="dxa"/>
            <w:vAlign w:val="center"/>
            <w:vMerge w:val="restart"/>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734"/>
              <w:ind w:firstLine="115"/>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410" w:type="dxa"/>
            <w:vAlign w:val="center"/>
            <w:vMerge w:val="restart"/>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r>
      <w:tr>
        <w:trPr>
          <w:trHeight w:val="483"/>
        </w:trPr>
        <w:tc>
          <w:tcPr>
            <w:tcW w:w="1890" w:type="dxa"/>
            <w:vAlign w:val="center"/>
            <w:vMerge w:val="continue"/>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vMerge w:val="continue"/>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拥有者性别</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开户名称</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银行账号</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586"/>
        </w:trPr>
        <w:tc>
          <w:tcPr>
            <w:gridSpan w:val="4"/>
            <w:tcW w:w="8392" w:type="dxa"/>
            <w:vAlign w:val="center"/>
            <w:textDirection w:val="lrTb"/>
            <w:noWrap w:val="false"/>
          </w:tcPr>
          <w:p>
            <w:pPr>
              <w:pStyle w:val="734"/>
              <w:ind w:left="420"/>
              <w:jc w:val="left"/>
              <w:spacing w:line="360" w:lineRule="auto"/>
              <w:rPr>
                <w:rFonts w:hint="eastAsia" w:ascii="宋体" w:hAnsi="宋体" w:cs="宋体"/>
                <w:color w:val="000000"/>
                <w:spacing w:val="20"/>
                <w:sz w:val="24"/>
              </w:rPr>
            </w:pPr>
            <w:r>
              <w:rPr>
                <w:rFonts w:hint="eastAsia" w:ascii="宋体" w:hAnsi="宋体" w:cs="宋体"/>
                <w:color w:val="000000"/>
                <w:sz w:val="24"/>
              </w:rPr>
              <w:t xml:space="preserve">注：涉及联合体或其他合同主体的信息应按上表格式加列。</w:t>
            </w:r>
            <w:r>
              <w:rPr>
                <w:rFonts w:hint="eastAsia" w:ascii="宋体" w:hAnsi="宋体" w:cs="宋体"/>
                <w:color w:val="000000"/>
                <w:spacing w:val="20"/>
                <w:sz w:val="24"/>
              </w:rPr>
            </w:r>
            <w:r/>
          </w:p>
        </w:tc>
      </w:tr>
    </w:tbl>
    <w:p>
      <w:pPr>
        <w:pStyle w:val="734"/>
        <w:jc w:val="center"/>
        <w:keepLines/>
        <w:keepNext/>
        <w:spacing w:before="260" w:after="260" w:line="400" w:lineRule="exact"/>
        <w:rPr>
          <w:rFonts w:hint="eastAsia" w:ascii="宋体" w:hAnsi="宋体" w:cs="宋体"/>
          <w:b/>
          <w:bCs/>
          <w:color w:val="000000"/>
          <w:sz w:val="28"/>
          <w:szCs w:val="28"/>
        </w:rPr>
        <w:outlineLvl w:val="1"/>
      </w:pPr>
      <w:r>
        <w:rPr>
          <w:rFonts w:hint="eastAsia" w:ascii="宋体" w:hAnsi="宋体" w:cs="宋体"/>
          <w:b/>
          <w:bCs/>
          <w:color w:val="000000"/>
          <w:szCs w:val="21"/>
          <w:u w:val="single"/>
        </w:rPr>
        <w:br w:type="page" w:clear="all"/>
      </w:r>
      <w:bookmarkStart w:id="2" w:name="_Toc27624"/>
      <w:r>
        <w:rPr>
          <w:rFonts w:hint="eastAsia" w:ascii="宋体" w:hAnsi="宋体" w:cs="宋体"/>
          <w:color w:val="000000"/>
          <w:sz w:val="28"/>
          <w:szCs w:val="28"/>
        </w:rPr>
        <w:t xml:space="preserve">第二节 政府采购合同通用条款</w:t>
      </w:r>
      <w:bookmarkEnd w:id="2"/>
      <w:r>
        <w:rPr>
          <w:rFonts w:hint="eastAsia" w:ascii="宋体" w:hAnsi="宋体" w:cs="宋体"/>
          <w:b/>
          <w:bCs/>
          <w:color w:val="000000"/>
          <w:sz w:val="28"/>
          <w:szCs w:val="28"/>
        </w:rPr>
      </w:r>
      <w:r/>
    </w:p>
    <w:p>
      <w:pPr>
        <w:pStyle w:val="734"/>
        <w:jc w:val="left"/>
        <w:spacing w:line="400" w:lineRule="exact"/>
        <w:tabs>
          <w:tab w:val="left" w:pos="8820" w:leader="none"/>
          <w:tab w:val="left" w:pos="9345" w:leader="none"/>
          <w:tab w:val="left" w:pos="9765" w:leader="none"/>
        </w:tabs>
        <w:rPr>
          <w:rFonts w:hint="eastAsia" w:ascii="宋体" w:hAnsi="宋体" w:cs="宋体"/>
          <w:b/>
          <w:bCs/>
          <w:color w:val="000000"/>
          <w:sz w:val="24"/>
        </w:rPr>
      </w:pPr>
      <w:r>
        <w:rPr>
          <w:rFonts w:hint="eastAsia" w:ascii="宋体" w:hAnsi="宋体" w:cs="宋体"/>
          <w:b/>
          <w:color w:val="000000"/>
          <w:sz w:val="24"/>
        </w:rPr>
        <w:t xml:space="preserve">1. </w:t>
      </w:r>
      <w:r>
        <w:rPr>
          <w:rFonts w:hint="eastAsia" w:ascii="宋体" w:hAnsi="宋体" w:cs="宋体"/>
          <w:b/>
          <w:bCs/>
          <w:color w:val="000000"/>
          <w:sz w:val="24"/>
        </w:rPr>
        <w:t xml:space="preserve">定义</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1.1合同当事人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（1）采购人（以下称甲方）是指使用财政性资金，通过政府采购方式向供应商购买货物及其相关服务的国家机关、事业单位、团体组织。</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（2）供应商（以下称乙方）是指参加政府采购活动并且中标，向采购人提供合同约定的货物及其相关服务的法人、非法人组织或者自然人。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（3）其他合同主体是指除采购人和供应商以外，</w:t>
      </w:r>
      <w:r>
        <w:rPr>
          <w:rFonts w:hint="eastAsia" w:ascii="宋体" w:hAnsi="宋体" w:cs="宋体"/>
          <w:bCs/>
          <w:color w:val="000000"/>
          <w:sz w:val="24"/>
        </w:rPr>
        <w:t xml:space="preserve">依法参与合同缔结或履行，享有权利、承担义务的合同当事人</w:t>
      </w:r>
      <w:r>
        <w:rPr>
          <w:rFonts w:hint="eastAsia" w:ascii="宋体" w:hAnsi="宋体" w:cs="宋体"/>
          <w:color w:val="000000"/>
          <w:sz w:val="24"/>
        </w:rPr>
        <w:t xml:space="preserve">。</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1.2本合同下列术语应解释为：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（1）“合同”系指</w:t>
      </w:r>
      <w:r>
        <w:rPr>
          <w:rFonts w:hint="eastAsia" w:ascii="宋体" w:hAnsi="宋体" w:cs="宋体"/>
          <w:bCs/>
          <w:color w:val="000000"/>
          <w:sz w:val="24"/>
        </w:rPr>
        <w:t xml:space="preserve">合同当事人意思表示达成一致的任何协议，包括签署的</w:t>
      </w:r>
      <w:r>
        <w:rPr>
          <w:rFonts w:hint="eastAsia" w:ascii="宋体" w:hAnsi="宋体" w:cs="宋体"/>
          <w:color w:val="000000"/>
          <w:sz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（2）“合同价款”系指根据本合同规定乙方在全面履行合同义务后甲方应支付给乙方的价款。</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（3）“货物”系指乙方根据本合同规定须向甲方提供的各种形态和种类的物品，包括原材料、设备、产品（包括软件）及相关的其备品备件、工具、手册及其他技术资料和材料等。</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（7）其他术语解释，见【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734"/>
        <w:numPr>
          <w:ilvl w:val="0"/>
          <w:numId w:val="4"/>
        </w:numPr>
        <w:jc w:val="left"/>
        <w:spacing w:line="400" w:lineRule="exact"/>
        <w:rPr>
          <w:rFonts w:hint="eastAsia" w:ascii="宋体" w:hAnsi="宋体" w:cs="宋体"/>
          <w:b/>
          <w:bCs/>
          <w:color w:val="000000"/>
          <w:sz w:val="24"/>
        </w:rPr>
      </w:pPr>
      <w:r>
        <w:rPr>
          <w:rFonts w:hint="eastAsia" w:ascii="宋体" w:hAnsi="宋体" w:cs="宋体"/>
          <w:b/>
          <w:color w:val="000000"/>
          <w:sz w:val="24"/>
        </w:rPr>
        <w:t xml:space="preserve">合同标的及金额</w:t>
      </w:r>
      <w:r>
        <w:rPr>
          <w:rFonts w:hint="eastAsia" w:ascii="宋体" w:hAnsi="宋体" w:cs="宋体"/>
          <w:b/>
          <w:bCs/>
          <w:color w:val="000000"/>
          <w:sz w:val="24"/>
        </w:rPr>
      </w:r>
      <w:r/>
    </w:p>
    <w:p>
      <w:pPr>
        <w:pStyle w:val="734"/>
        <w:ind w:firstLine="480"/>
        <w:jc w:val="left"/>
        <w:spacing w:line="400" w:lineRule="exact"/>
        <w:rPr>
          <w:rFonts w:hint="eastAsia" w:ascii="宋体" w:hAnsi="宋体" w:cs="宋体"/>
          <w:b/>
          <w:bCs/>
          <w:i/>
          <w:iCs/>
          <w:color w:val="000000"/>
          <w:sz w:val="24"/>
        </w:rPr>
      </w:pPr>
      <w:r>
        <w:rPr>
          <w:rFonts w:hint="eastAsia" w:ascii="宋体" w:hAnsi="宋体" w:cs="宋体"/>
          <w:color w:val="000000"/>
          <w:sz w:val="24"/>
        </w:rPr>
        <w:t xml:space="preserve">2.1 合同标的及金额应与中标结果一致。乙方为履行本合同而发生的所有费用均应包含在合同价款中，甲方不再另行支付其他任何费用。</w:t>
      </w:r>
      <w:r>
        <w:rPr>
          <w:rFonts w:hint="eastAsia" w:ascii="宋体" w:hAnsi="宋体" w:cs="宋体"/>
          <w:b/>
          <w:bCs/>
          <w:i/>
          <w:iCs/>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3. 履行合同的时间、地点和方式</w:t>
      </w:r>
      <w:r>
        <w:rPr>
          <w:rFonts w:hint="eastAsia" w:ascii="宋体" w:hAnsi="宋体" w:cs="宋体"/>
          <w:b/>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3.1 乙方应当在约定的时间、地点，按照约定方式履行合同。</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4. 甲方的权利和义务</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4.3 甲方有权要求乙方对缺陷部分予以修复，并按合同约定享有货物保修及其他合同约定的权利。</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4.4 甲方应当按照合同约定及时对交付的货物进行验收，未在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约定的期限内对乙方履约提出任何异议或者向乙方作出任何说明的，视为验收通过。</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4.5 甲方应当根据合同约定及时向乙方支付合同价款，不得以内部人员变更、履行内部付款流程等为由，拒绝或迟延支付。</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4.6 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约定应由甲方承担的其他义务和责任。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5. 乙方的权利和义务</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5.1 签署合同后，乙方应确定项目负责人（或项目联系人），负责与本合同有关的事务。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color w:val="000000"/>
          <w:sz w:val="24"/>
        </w:rPr>
      </w:r>
      <w:r/>
    </w:p>
    <w:p>
      <w:pPr>
        <w:pStyle w:val="734"/>
        <w:ind w:firstLine="422"/>
        <w:spacing w:line="400" w:lineRule="exact"/>
        <w:rPr>
          <w:rFonts w:hint="eastAsia" w:ascii="宋体" w:hAnsi="宋体" w:cs="宋体"/>
          <w:color w:val="000000"/>
          <w:sz w:val="24"/>
        </w:rPr>
      </w:pPr>
      <w:r>
        <w:rPr>
          <w:rFonts w:hint="eastAsia" w:ascii="宋体" w:hAnsi="宋体" w:cs="宋体"/>
          <w:color w:val="000000"/>
          <w:sz w:val="24"/>
        </w:rPr>
        <w:t xml:space="preserve">5.3乙方有权根据合同约定向甲方收取合同价款。</w:t>
      </w:r>
      <w:r>
        <w:rPr>
          <w:rFonts w:hint="eastAsia" w:ascii="宋体" w:hAnsi="宋体" w:cs="宋体"/>
          <w:color w:val="000000"/>
          <w:sz w:val="24"/>
        </w:rPr>
      </w:r>
      <w:r/>
    </w:p>
    <w:p>
      <w:pPr>
        <w:pStyle w:val="734"/>
        <w:ind w:firstLine="422"/>
        <w:spacing w:line="400" w:lineRule="exact"/>
        <w:rPr>
          <w:rFonts w:hint="eastAsia" w:ascii="宋体" w:hAnsi="宋体" w:cs="宋体"/>
          <w:color w:val="000000"/>
          <w:sz w:val="24"/>
        </w:rPr>
      </w:pPr>
      <w:r>
        <w:rPr>
          <w:rFonts w:hint="eastAsia" w:ascii="宋体" w:hAnsi="宋体" w:cs="宋体"/>
          <w:color w:val="000000"/>
          <w:sz w:val="24"/>
        </w:rPr>
        <w:t xml:space="preserve">5.4国家法律法规规定及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约定应由乙方承担的其他义务和责任。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6.合同履行</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6.1 甲乙双方应当按照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约定顺序履行合同义务；如果没有先后顺序的，应当同时履行。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7. 货物包装、运输、保险和交付要求</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7.1 本合同</w:t>
      </w:r>
      <w:r>
        <w:rPr>
          <w:rFonts w:hint="eastAsia" w:ascii="宋体" w:hAnsi="宋体" w:cs="宋体"/>
          <w:bCs/>
          <w:color w:val="000000"/>
          <w:sz w:val="24"/>
        </w:rPr>
        <w:t xml:space="preserve">涉及商品包装、快递包装的，</w:t>
      </w:r>
      <w:r>
        <w:rPr>
          <w:rFonts w:hint="eastAsia" w:ascii="宋体" w:hAnsi="宋体" w:cs="宋体"/>
          <w:color w:val="000000"/>
          <w:sz w:val="24"/>
        </w:rPr>
        <w:t xml:space="preserve">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包装应适应远距离运输、防潮、防震、防锈和防野蛮装卸等要求，确保货物安全无损地运抵</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约定的</w:t>
      </w:r>
      <w:r>
        <w:rPr>
          <w:rFonts w:hint="eastAsia" w:ascii="宋体" w:hAnsi="宋体" w:cs="宋体"/>
          <w:color w:val="000000"/>
          <w:sz w:val="24"/>
        </w:rPr>
        <w:t xml:space="preserve">指定现场。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7.2 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乙方负责办理将货物运抵本合同规定的交货地点，并装卸、交付至甲方的一切运输事项，相关费用应包含在合同价款中。</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7.3 货物保险要求按</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规定执行</w:t>
      </w:r>
      <w:r>
        <w:rPr>
          <w:rFonts w:hint="eastAsia" w:ascii="宋体" w:hAnsi="宋体" w:cs="宋体"/>
          <w:color w:val="000000"/>
          <w:sz w:val="24"/>
        </w:rPr>
        <w:t xml:space="preserve">。</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7.5 乙方在运输到达之前应提前通知甲方，并提示货物运输装卸的注意事项，甲方配合乙方做好货物的接收工作。</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7.6 如因包装、运输问题导致货物损毁、丢失或者品质下降，甲方有权要求降价、换货、拒收部分或整批货物，由此产生的费用和损失，均由乙方承担。</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8. 质量标准和保证</w:t>
      </w:r>
      <w:r>
        <w:rPr>
          <w:rFonts w:hint="eastAsia" w:ascii="宋体" w:hAnsi="宋体" w:cs="宋体"/>
          <w:b/>
          <w:color w:val="000000"/>
          <w:sz w:val="24"/>
        </w:rPr>
      </w:r>
      <w:r/>
    </w:p>
    <w:p>
      <w:pPr>
        <w:pStyle w:val="734"/>
        <w:ind w:firstLine="480"/>
        <w:jc w:val="left"/>
        <w:spacing w:line="400" w:lineRule="exact"/>
        <w:rPr>
          <w:rFonts w:hint="eastAsia" w:ascii="宋体" w:hAnsi="宋体" w:cs="宋体"/>
          <w:b/>
          <w:color w:val="000000"/>
          <w:sz w:val="24"/>
        </w:rPr>
      </w:pPr>
      <w:r>
        <w:rPr>
          <w:rFonts w:hint="eastAsia" w:ascii="宋体" w:hAnsi="宋体" w:cs="宋体"/>
          <w:color w:val="000000"/>
          <w:sz w:val="24"/>
        </w:rPr>
        <w:t xml:space="preserve">8.1 质量标准</w:t>
      </w:r>
      <w:r>
        <w:rPr>
          <w:rFonts w:hint="eastAsia" w:ascii="宋体" w:hAnsi="宋体" w:cs="宋体"/>
          <w:b/>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（2）采用中华人民共和国法定计量单位。</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（3）乙方所提供的货物应符合国家有关安全、环保、卫生的规定。</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8.2 保证</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规定或乙方书面承诺（两者以较长的为准）的质量保证期内，本保证保持有效。</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（2）在质量保证期内所发现的缺陷，甲方应尽快以书面形式通知乙方。</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（3）乙方收到通知后，应在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规定的响应时间内以合理的速度免费维修或更换有缺陷的货物或部件。</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9. 权利瑕疵担保</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9.1 乙方保证对其出售的货物享有合法的权利。</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9.2 乙方保证在交付的货物上不存在抵押权等担保物权。</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9.3 如甲方使用上述货物构成对第三人侵权的，则由乙方承担全部责任。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10. 知识产权保护</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10.1 乙方对其所销售的货物应当享有知识产权或经权利人合法授权，保证没有侵犯任何第三人的知识产权等权利。</w:t>
      </w:r>
      <w:bookmarkStart w:id="3" w:name="_Hlk163047038"/>
      <w:r>
        <w:rPr>
          <w:rFonts w:hint="eastAsia" w:ascii="宋体" w:hAnsi="宋体" w:cs="宋体"/>
          <w:color w:val="000000"/>
          <w:sz w:val="24"/>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cs="宋体"/>
          <w:color w:val="000000"/>
          <w:sz w:val="24"/>
        </w:rPr>
        <w:t xml:space="preserve">。</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11. 保密义务</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4"/>
        </w:rPr>
        <w:t xml:space="preserve">【政府</w:t>
      </w:r>
      <w:r>
        <w:rPr>
          <w:rFonts w:hint="eastAsia" w:ascii="宋体" w:hAnsi="宋体" w:cs="宋体"/>
          <w:color w:val="000000"/>
          <w:sz w:val="24"/>
        </w:rPr>
        <w:t xml:space="preserve">采购合同专用条款】中约定。</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12. 合同价款支付</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12.1 合同价款支付按照国库集中支付制度及财政管理相关规定执行。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13. 履约保证金</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13.1 乙方应当以支票、汇票、本票或者金融机构、担保机构出具的保函等非现金形式提交。</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13.2 如果乙方出现</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color w:val="000000"/>
          <w:sz w:val="24"/>
        </w:rPr>
      </w:r>
      <w:r/>
    </w:p>
    <w:p>
      <w:pPr>
        <w:pStyle w:val="734"/>
        <w:ind w:firstLine="420"/>
        <w:spacing w:line="400" w:lineRule="exact"/>
        <w:rPr>
          <w:rFonts w:hint="eastAsia" w:ascii="宋体" w:hAnsi="宋体" w:cs="宋体"/>
          <w:color w:val="000000"/>
          <w:sz w:val="24"/>
        </w:rPr>
      </w:pPr>
      <w:r>
        <w:rPr>
          <w:rFonts w:hint="eastAsia" w:ascii="宋体" w:hAnsi="宋体" w:cs="宋体"/>
          <w:color w:val="000000"/>
          <w:sz w:val="24"/>
        </w:rPr>
        <w:t xml:space="preserve">13.3 甲方在项目通过验收后按照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规定的时间内将履约保证金退还乙方；逾期退还的，乙方可要求甲方支付违约金，违约金按照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规定支付。</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bCs/>
          <w:color w:val="000000"/>
          <w:sz w:val="24"/>
        </w:rPr>
        <w:t xml:space="preserve">14. </w:t>
      </w:r>
      <w:r>
        <w:rPr>
          <w:rFonts w:hint="eastAsia" w:ascii="宋体" w:hAnsi="宋体" w:cs="宋体"/>
          <w:b/>
          <w:color w:val="000000"/>
          <w:sz w:val="24"/>
        </w:rPr>
        <w:t xml:space="preserve">售后服务</w:t>
      </w:r>
      <w:r>
        <w:rPr>
          <w:rFonts w:hint="eastAsia" w:ascii="宋体" w:hAnsi="宋体" w:cs="宋体"/>
          <w:b/>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14.1 除项目不涉及或采购活动中明确约定无须承担外，乙方还应提供下列服务：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（1）货物的现场移动、安装、调试、启动监督及技术支持；</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（2）提供货物组装和维修所需的专用工具和辅助材料；</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约定的期限内对所有的货物实施运行监督、维修，但前提条件是该服务并不能免除乙方在质量保证期内所承担的义务；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（4）在制造商所在地或指定现场就货物的安装、启动、运营、维护、废弃处置等对甲方操作人员进行培训；</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（5）依照法律、行政法规的规定或者按照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约定，货物在有效使用年限届满后应予回收的，乙方负有自行或者委托第三人对货物予以回收的义务；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规定由乙方提供的其他服务。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14.2 乙方提供的售后服务的费用已包含在合同价款中，甲方不再另行支付。</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15. 违约责任</w:t>
      </w:r>
      <w:r>
        <w:rPr>
          <w:rFonts w:hint="eastAsia" w:ascii="宋体" w:hAnsi="宋体" w:cs="宋体"/>
          <w:b/>
          <w:bCs/>
          <w:color w:val="000000"/>
          <w:sz w:val="24"/>
        </w:rPr>
      </w:r>
      <w:r/>
    </w:p>
    <w:p>
      <w:pPr>
        <w:pStyle w:val="734"/>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15.1质量瑕疵的违约责任</w:t>
      </w:r>
      <w:r>
        <w:rPr>
          <w:rFonts w:hint="eastAsia" w:ascii="宋体" w:hAnsi="宋体" w:cs="宋体"/>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乙方提供的产品不符合合同约定的质量标准或存在产品质量缺陷，甲方有权要求乙方根据</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要求</w:t>
      </w:r>
      <w:r>
        <w:rPr>
          <w:rFonts w:hint="eastAsia" w:ascii="宋体" w:hAnsi="宋体" w:cs="宋体"/>
          <w:color w:val="000000"/>
          <w:sz w:val="24"/>
        </w:rPr>
        <w:t xml:space="preserve">及时修理、重作、更换，并承担由此给甲方造成的损失。</w:t>
      </w:r>
      <w:r>
        <w:rPr>
          <w:rFonts w:hint="eastAsia" w:ascii="宋体" w:hAnsi="宋体" w:cs="宋体"/>
          <w:color w:val="000000"/>
          <w:sz w:val="24"/>
        </w:rPr>
      </w:r>
      <w:r/>
    </w:p>
    <w:p>
      <w:pPr>
        <w:pStyle w:val="734"/>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15.2 迟延交货的违约责任</w:t>
      </w:r>
      <w:r>
        <w:rPr>
          <w:rFonts w:hint="eastAsia" w:ascii="宋体" w:hAnsi="宋体" w:cs="宋体"/>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规定执行。如果涉及公共利益，且赔偿金额无法弥补公共利益损失，甲方可要求继续履行或者采取其他补救措施。</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15.3 迟延支付的违约责任</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甲方存在迟延支付乙方合同款项的，应当承担</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规定的逾期付款利息。</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bCs/>
          <w:color w:val="000000"/>
          <w:sz w:val="24"/>
        </w:rPr>
        <w:t xml:space="preserve">15.4其他违约责任根据项目实际需要按</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规定执行。</w:t>
      </w:r>
      <w:r>
        <w:rPr>
          <w:rFonts w:hint="eastAsia" w:ascii="宋体" w:hAnsi="宋体" w:cs="宋体"/>
          <w:color w:val="000000"/>
          <w:sz w:val="24"/>
        </w:rPr>
      </w:r>
      <w:r/>
    </w:p>
    <w:p>
      <w:pPr>
        <w:pStyle w:val="734"/>
        <w:numPr>
          <w:ilvl w:val="0"/>
          <w:numId w:val="5"/>
        </w:numPr>
        <w:jc w:val="left"/>
        <w:spacing w:line="400" w:lineRule="exact"/>
        <w:rPr>
          <w:rFonts w:hint="eastAsia" w:ascii="宋体" w:hAnsi="宋体" w:cs="宋体"/>
          <w:b/>
          <w:color w:val="000000"/>
          <w:sz w:val="24"/>
        </w:rPr>
      </w:pPr>
      <w:r>
        <w:rPr>
          <w:rFonts w:hint="eastAsia" w:ascii="宋体" w:hAnsi="宋体" w:cs="宋体"/>
          <w:b/>
          <w:color w:val="000000"/>
          <w:sz w:val="24"/>
        </w:rPr>
        <w:t xml:space="preserve">合同变更、中止与终止</w:t>
      </w:r>
      <w:r>
        <w:rPr>
          <w:rFonts w:hint="eastAsia" w:ascii="宋体" w:hAnsi="宋体" w:cs="宋体"/>
          <w:b/>
          <w:color w:val="000000"/>
          <w:sz w:val="24"/>
        </w:rPr>
      </w:r>
      <w:r/>
    </w:p>
    <w:p>
      <w:pPr>
        <w:pStyle w:val="734"/>
        <w:jc w:val="left"/>
        <w:spacing w:line="400" w:lineRule="exact"/>
        <w:rPr>
          <w:rFonts w:hint="eastAsia" w:ascii="宋体" w:hAnsi="宋体" w:cs="宋体"/>
          <w:color w:val="000000"/>
          <w:sz w:val="24"/>
        </w:rPr>
      </w:pPr>
      <w:r>
        <w:rPr>
          <w:rFonts w:hint="eastAsia" w:ascii="宋体" w:hAnsi="宋体" w:cs="宋体"/>
          <w:color w:val="000000"/>
          <w:sz w:val="24"/>
        </w:rPr>
        <w:t xml:space="preserve">    16.1合同的变更</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16.2合同的中止</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（1）合同履行过程中因供应商就采购文件、采购过程或结果提起投诉的，甲方认为有必要的，可以中止合同的履行。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（4）甲方不得以行政区划调整、政府换届、机构或者职能调整以及相关责任人更替为由中止合同。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16.3合同的终止</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（1）合同因有效期限届满而终止；</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（2）乙方未按合同约定履行，构成根本性违约的，甲方有权终止合同，并追究乙方的违约责任。</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16.4 涉及国家利益、社会公共利益的情形</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17. 合同分包</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17.1 乙方不得将合同转包给其他供应商。涉及合同分包的，乙方应根据采购文件和投标文件规定进行合同分包。</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17.2 乙方执行政府采购政策向中小企业依法分包的，乙方应当按采购文件和投标文件签订分包意向协议，分包意向协议属于本合同组成部分。</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18. 不可抗力</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18.1 不可抗力是指合同双方不能预见、不能避免且不能克服的客观情况。</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18.2 任何一方对由于不可抗力造成的部分或全部不能履行合同不承担违约责任。但迟延履行后发生不可抗力的，不能免除责任。</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19. 解决争议的方法</w:t>
      </w:r>
      <w:r>
        <w:rPr>
          <w:rFonts w:hint="eastAsia" w:ascii="宋体" w:hAnsi="宋体" w:cs="宋体"/>
          <w:b/>
          <w:bCs/>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19.2 选择仲裁的，应在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中明确仲裁机构及仲裁地；通过诉讼方式解决的，可以在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中进一步约定选择与争议有实际联系的地点的人民法院管辖，但管辖法院的约定不得违反级别管辖和专属管辖的规定。</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19.3 如甲乙双方有争议的事项不影响合同其他部分的履行，在争议解决期间，合同其他部分应当继续履行。</w:t>
      </w:r>
      <w:r>
        <w:rPr>
          <w:rFonts w:hint="eastAsia" w:ascii="宋体" w:hAnsi="宋体" w:cs="宋体"/>
          <w:color w:val="000000"/>
          <w:sz w:val="24"/>
        </w:rPr>
      </w:r>
      <w:r/>
    </w:p>
    <w:p>
      <w:pPr>
        <w:pStyle w:val="734"/>
        <w:jc w:val="left"/>
        <w:spacing w:line="400" w:lineRule="exact"/>
        <w:rPr>
          <w:rFonts w:hint="eastAsia" w:ascii="宋体" w:hAnsi="宋体" w:cs="宋体"/>
          <w:color w:val="000000"/>
          <w:sz w:val="24"/>
        </w:rPr>
      </w:pPr>
      <w:r>
        <w:rPr>
          <w:rFonts w:hint="eastAsia" w:ascii="宋体" w:hAnsi="宋体" w:cs="宋体"/>
          <w:b/>
          <w:color w:val="000000"/>
          <w:sz w:val="24"/>
        </w:rPr>
        <w:t xml:space="preserve">20. 政府采购政策</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20.1 </w:t>
      </w:r>
      <w:r>
        <w:rPr>
          <w:rFonts w:hint="eastAsia" w:ascii="宋体" w:hAnsi="宋体" w:cs="宋体"/>
          <w:color w:val="000000"/>
          <w:sz w:val="24"/>
          <w:lang w:val="en-GB"/>
        </w:rPr>
        <w:t xml:space="preserve">本合同应当按照规定执行政府采购政策。</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20.2 本合同依法执行政府采购政策的方式和内容，属于合同履约验收的范围。甲乙双方</w:t>
      </w:r>
      <w:r>
        <w:rPr>
          <w:rFonts w:hint="eastAsia" w:ascii="宋体" w:hAnsi="宋体" w:cs="宋体"/>
          <w:color w:val="000000"/>
          <w:sz w:val="24"/>
          <w:lang w:val="en-GB"/>
        </w:rPr>
        <w:t xml:space="preserve">未按规定要求执行政府采购政策造成损失的</w:t>
      </w:r>
      <w:r>
        <w:rPr>
          <w:rFonts w:hint="eastAsia" w:ascii="宋体" w:hAnsi="宋体" w:cs="宋体"/>
          <w:color w:val="000000"/>
          <w:sz w:val="24"/>
        </w:rPr>
        <w:t xml:space="preserve">，有过错的一方应当承担赔偿责任，双方都有过错的，各自承担相应的责任。</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21. 法律适用</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21.1 本合同的订立、生效、解释、履行及与本合同有关的争议解决，均适用法律、行政法规。</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21.2 本合同条款与法律、行政法规的强制性规定不一致的，双方当事人应按照法律、行政法规的强制性规定修改本合同的相关条款。</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22. 通知</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22.3本合同一方给另一方的通知均应采用书面形式，传真或快递送到本合同中规定的对方的地址和办理签收手续。</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22.4通知以送达之日或通知书中规定的生效之日起生效，两者中以较迟之日为准。</w:t>
      </w:r>
      <w:r>
        <w:rPr>
          <w:rFonts w:hint="eastAsia" w:ascii="宋体" w:hAnsi="宋体" w:cs="宋体"/>
          <w:color w:val="000000"/>
          <w:sz w:val="24"/>
        </w:rPr>
      </w:r>
      <w:r/>
    </w:p>
    <w:p>
      <w:pPr>
        <w:pStyle w:val="734"/>
        <w:numPr>
          <w:ilvl w:val="0"/>
          <w:numId w:val="6"/>
        </w:numPr>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合同未尽事项</w:t>
      </w:r>
      <w:r>
        <w:rPr>
          <w:rFonts w:hint="eastAsia" w:ascii="宋体" w:hAnsi="宋体" w:cs="宋体"/>
          <w:b/>
          <w:bCs/>
          <w:color w:val="000000"/>
          <w:sz w:val="24"/>
        </w:rPr>
      </w:r>
      <w:r/>
    </w:p>
    <w:p>
      <w:pPr>
        <w:pStyle w:val="734"/>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23.1合同未尽事项见</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w:t>
      </w:r>
      <w:r>
        <w:rPr>
          <w:rFonts w:hint="eastAsia" w:ascii="宋体" w:hAnsi="宋体" w:cs="宋体"/>
          <w:bCs/>
          <w:color w:val="000000"/>
          <w:sz w:val="24"/>
        </w:rPr>
      </w:r>
      <w:r/>
    </w:p>
    <w:p>
      <w:pPr>
        <w:pStyle w:val="734"/>
        <w:jc w:val="left"/>
        <w:spacing w:line="400" w:lineRule="exact"/>
        <w:rPr>
          <w:rFonts w:hint="eastAsia" w:ascii="宋体" w:hAnsi="宋体" w:cs="宋体"/>
          <w:color w:val="000000"/>
          <w:sz w:val="24"/>
        </w:rPr>
      </w:pPr>
      <w:r>
        <w:rPr>
          <w:rFonts w:hint="eastAsia" w:ascii="宋体" w:hAnsi="宋体" w:cs="宋体"/>
          <w:bCs/>
          <w:color w:val="000000"/>
          <w:sz w:val="24"/>
        </w:rPr>
        <w:t xml:space="preserve">    23.2 合同附件与合同正文具有同等的法律效力。</w:t>
      </w:r>
      <w:bookmarkStart w:id="4" w:name="_Toc20313"/>
      <w:r>
        <w:rPr>
          <w:rFonts w:hint="eastAsia" w:ascii="宋体" w:hAnsi="宋体" w:cs="宋体"/>
          <w:color w:val="000000"/>
          <w:sz w:val="24"/>
        </w:rPr>
      </w:r>
      <w:r/>
    </w:p>
    <w:p>
      <w:pPr>
        <w:pStyle w:val="734"/>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b/>
          <w:bCs/>
          <w:color w:val="000000"/>
          <w:sz w:val="28"/>
          <w:szCs w:val="28"/>
        </w:rPr>
        <w:br w:type="page" w:clear="all"/>
      </w:r>
      <w:bookmarkEnd w:id="4"/>
      <w:r>
        <w:rPr>
          <w:rFonts w:hint="eastAsia" w:ascii="宋体" w:hAnsi="宋体" w:cs="宋体"/>
          <w:b/>
          <w:color w:val="000000"/>
          <w:sz w:val="24"/>
        </w:rPr>
        <w:t xml:space="preserve">第三节 政府采购合同专用条款</w:t>
      </w:r>
      <w:r>
        <w:rPr>
          <w:rFonts w:hint="eastAsia" w:ascii="宋体" w:hAnsi="宋体" w:cs="宋体"/>
          <w:color w:val="00000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3"/>
        <w:gridCol w:w="5169"/>
      </w:tblGrid>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第1.2（6）项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联合体具体要求</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604"/>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第1.2（7）项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其他术语解释</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第4.4款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履约验收中甲方提出异议或作出说明的期限</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合同标的全部交付并安装完毕后，乙方可向甲方书面提出试运行、验收要求，甲方在接到书面要求后</w:t>
            </w:r>
            <w:r>
              <w:rPr>
                <w:rFonts w:hint="eastAsia" w:ascii="宋体" w:hAnsi="宋体" w:cs="宋体"/>
                <w:color w:val="000000"/>
                <w:sz w:val="24"/>
                <w:u w:val="single"/>
              </w:rPr>
              <w:t xml:space="preserve">3</w:t>
            </w:r>
            <w:r>
              <w:rPr>
                <w:rFonts w:hint="eastAsia" w:ascii="宋体" w:hAnsi="宋体" w:cs="宋体"/>
                <w:color w:val="000000"/>
                <w:sz w:val="24"/>
              </w:rPr>
              <w:t xml:space="preserve">日内进行试运行、验收。</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第4.6款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约定甲方承担的其他义务和责任</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第5.4款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约定乙方承担的其他义务和责任</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第6.1款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履行合同义务的顺序</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见第一节“2.合同金额”中“（3）付款方式”双方合同义务履行顺序</w:t>
            </w:r>
            <w:r>
              <w:rPr>
                <w:rFonts w:hint="eastAsia" w:ascii="宋体" w:hAnsi="宋体" w:cs="宋体"/>
                <w:color w:val="000000"/>
                <w:sz w:val="24"/>
              </w:rPr>
            </w:r>
            <w:r/>
          </w:p>
        </w:tc>
      </w:tr>
      <w:tr>
        <w:trPr>
          <w:trHeight w:val="545"/>
        </w:trPr>
        <w:tc>
          <w:tcPr>
            <w:tcW w:w="160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第7.1款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包装特殊要求</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r>
      <w:tr>
        <w:trPr>
          <w:trHeight w:val="460"/>
        </w:trPr>
        <w:tc>
          <w:tcPr>
            <w:tcW w:w="160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指定现场</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甲方指定收货地点</w:t>
            </w:r>
            <w:r>
              <w:rPr>
                <w:rFonts w:hint="eastAsia" w:ascii="宋体" w:hAnsi="宋体" w:cs="宋体"/>
                <w:color w:val="000000"/>
                <w:sz w:val="24"/>
                <w:u w:val="single"/>
              </w:rPr>
              <w:t xml:space="preserve">              </w:t>
            </w:r>
            <w:r>
              <w:rPr>
                <w:rFonts w:hint="eastAsia" w:ascii="宋体" w:hAnsi="宋体" w:cs="宋体"/>
                <w:color w:val="000000"/>
                <w:sz w:val="24"/>
              </w:rPr>
            </w:r>
            <w:r/>
          </w:p>
        </w:tc>
      </w:tr>
      <w:tr>
        <w:trPr>
          <w:trHeight w:val="629"/>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第7.2款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运输特殊要求</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r>
      <w:tr>
        <w:trPr>
          <w:trHeight w:val="667"/>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第7.3款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保险要求</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货物在通过甲方验收前的保险责任及费用由乙方承担。</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第8.2（1）项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质量保证期</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从甲方验收合格之日起</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第8.2（3）项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货物质量缺陷</w:t>
            </w:r>
            <w:r>
              <w:rPr>
                <w:rFonts w:hint="eastAsia" w:ascii="宋体" w:hAnsi="宋体" w:cs="宋体"/>
                <w:color w:val="000000"/>
                <w:sz w:val="24"/>
              </w:rPr>
            </w:r>
            <w:r/>
          </w:p>
          <w:p>
            <w:pPr>
              <w:pStyle w:val="734"/>
              <w:jc w:val="left"/>
              <w:rPr>
                <w:rFonts w:hint="eastAsia" w:ascii="宋体" w:hAnsi="宋体" w:cs="宋体"/>
                <w:color w:val="000000"/>
                <w:sz w:val="24"/>
              </w:rPr>
            </w:pPr>
            <w:r>
              <w:rPr>
                <w:rFonts w:hint="eastAsia" w:ascii="宋体" w:hAnsi="宋体" w:cs="宋体"/>
                <w:color w:val="000000"/>
                <w:sz w:val="24"/>
              </w:rPr>
              <w:t xml:space="preserve">响应时间</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ind w:firstLine="480"/>
              <w:jc w:val="center"/>
              <w:spacing w:line="400" w:lineRule="exact"/>
              <w:rPr>
                <w:rFonts w:hint="eastAsia" w:ascii="宋体" w:hAnsi="宋体" w:cs="宋体"/>
                <w:color w:val="000000"/>
                <w:sz w:val="24"/>
              </w:rPr>
            </w:pPr>
            <w:r>
              <w:rPr>
                <w:rFonts w:hint="eastAsia" w:ascii="宋体" w:hAnsi="宋体" w:cs="宋体"/>
                <w:color w:val="000000"/>
                <w:sz w:val="24"/>
              </w:rPr>
              <w:t xml:space="preserve">第11.1款</w:t>
            </w:r>
            <w:r>
              <w:rPr>
                <w:rFonts w:hint="eastAsia" w:ascii="宋体" w:hAnsi="宋体" w:cs="宋体"/>
                <w:color w:val="000000"/>
                <w:sz w:val="24"/>
              </w:rPr>
            </w:r>
            <w:r/>
          </w:p>
        </w:tc>
        <w:tc>
          <w:tcPr>
            <w:tcW w:w="1743"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其他应当保密的信息</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697"/>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第12.2款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合同价款支付时间</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见第一节“2.合同金额”中“（3）付款方式”</w:t>
            </w:r>
            <w:r>
              <w:rPr>
                <w:rFonts w:hint="eastAsia" w:ascii="宋体" w:hAnsi="宋体" w:cs="宋体"/>
                <w:color w:val="000000"/>
                <w:sz w:val="24"/>
              </w:rPr>
            </w:r>
            <w:r/>
          </w:p>
        </w:tc>
      </w:tr>
      <w:tr>
        <w:trPr>
          <w:trHeight w:val="697"/>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第13.2款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履约保证金不予退还的情形</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乙方不履行合同约定的义务，未能完全履行合同规定的义务或其履行不符合合同的约定，甲方有权扣除履约保证金取得补偿。</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第13.3款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履约保证金退还时间及逾期退还的违约金</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退还时间:乙方缴纳的履约保证金，待合同标的履约完成、验收合格后30日内一次性无息退还。</w:t>
            </w:r>
            <w:r>
              <w:rPr>
                <w:rFonts w:hint="eastAsia" w:ascii="宋体" w:hAnsi="宋体" w:cs="宋体"/>
                <w:color w:val="000000"/>
                <w:sz w:val="24"/>
              </w:rPr>
            </w:r>
            <w:r/>
          </w:p>
        </w:tc>
      </w:tr>
      <w:tr>
        <w:trPr>
          <w:trHeight w:val="784"/>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第14.1（3）项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运行监督、维修期限</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同采购标的的使用寿命期限</w:t>
            </w:r>
            <w:r>
              <w:rPr>
                <w:rFonts w:hint="eastAsia" w:ascii="宋体" w:hAnsi="宋体" w:cs="宋体"/>
                <w:color w:val="000000"/>
                <w:sz w:val="24"/>
              </w:rPr>
            </w:r>
            <w:r/>
          </w:p>
        </w:tc>
      </w:tr>
      <w:tr>
        <w:trPr>
          <w:trHeight w:val="784"/>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第14.1（5）项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货物回收的约定</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第14.1（6）项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乙方提供的其他服务</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修理、重作、更换相关具体规定</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第15.2（2）项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迟延交货赔偿费</w:t>
            </w:r>
            <w:r>
              <w:rPr>
                <w:rFonts w:hint="eastAsia" w:ascii="宋体" w:hAnsi="宋体" w:cs="宋体"/>
                <w:color w:val="000000"/>
                <w:sz w:val="24"/>
              </w:rPr>
            </w:r>
            <w:r/>
          </w:p>
        </w:tc>
        <w:tc>
          <w:tcPr>
            <w:tcW w:w="5169" w:type="dxa"/>
            <w:vAlign w:val="center"/>
            <w:textDirection w:val="lrTb"/>
            <w:noWrap w:val="false"/>
          </w:tcPr>
          <w:p>
            <w:pPr>
              <w:pStyle w:val="734"/>
              <w:ind w:firstLine="480"/>
              <w:rPr>
                <w:rFonts w:hint="eastAsia" w:ascii="宋体" w:hAnsi="宋体" w:cs="宋体"/>
                <w:color w:val="000000"/>
                <w:sz w:val="24"/>
              </w:rPr>
            </w:pPr>
            <w:r>
              <w:rPr>
                <w:rFonts w:hint="eastAsia" w:ascii="宋体" w:hAnsi="宋体" w:cs="宋体"/>
                <w:color w:val="000000"/>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如果乙方在合同规定的交货期限后十日内仍未能交付全部或部分标的，在不妨碍甲方采取其他救济手段的情况下，甲方可以向乙方发出书面违约通知从而全部或部分地终止合同。</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第15.3款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逾期付款利息</w:t>
            </w:r>
            <w:r>
              <w:rPr>
                <w:rFonts w:hint="eastAsia" w:ascii="宋体" w:hAnsi="宋体" w:cs="宋体"/>
                <w:color w:val="000000"/>
                <w:sz w:val="24"/>
              </w:rPr>
            </w:r>
            <w:r/>
          </w:p>
        </w:tc>
        <w:tc>
          <w:tcPr>
            <w:tcW w:w="5169"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r>
        <w:trPr>
          <w:trHeight w:val="700"/>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第15.4款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其他违约责任</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u w:val="single"/>
              </w:rPr>
            </w:pPr>
            <w:r>
              <w:rPr>
                <w:rFonts w:hint="eastAsia" w:ascii="宋体" w:hAnsi="宋体" w:cs="宋体"/>
                <w:color w:val="000000"/>
                <w:sz w:val="24"/>
                <w:u w:val="single"/>
              </w:rPr>
            </w:r>
            <w:r/>
          </w:p>
        </w:tc>
      </w:tr>
      <w:tr>
        <w:trPr>
          <w:trHeight w:val="90"/>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第19.2款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解决争议的方法</w:t>
            </w:r>
            <w:r>
              <w:rPr>
                <w:rFonts w:hint="eastAsia" w:ascii="宋体" w:hAnsi="宋体" w:cs="宋体"/>
                <w:color w:val="000000"/>
                <w:sz w:val="24"/>
              </w:rPr>
            </w:r>
            <w:r/>
          </w:p>
        </w:tc>
        <w:tc>
          <w:tcPr>
            <w:tcW w:w="5169" w:type="dxa"/>
            <w:vAlign w:val="center"/>
            <w:textDirection w:val="lrTb"/>
            <w:noWrap w:val="false"/>
          </w:tcPr>
          <w:p>
            <w:pPr>
              <w:pStyle w:val="734"/>
              <w:jc w:val="left"/>
              <w:spacing w:line="400" w:lineRule="exact"/>
              <w:rPr>
                <w:rFonts w:hint="eastAsia" w:ascii="宋体" w:hAnsi="宋体" w:cs="宋体"/>
                <w:iCs/>
                <w:color w:val="000000"/>
                <w:sz w:val="24"/>
              </w:rPr>
            </w:pPr>
            <w:r>
              <w:rPr>
                <w:rFonts w:hint="eastAsia" w:ascii="宋体" w:hAnsi="宋体" w:cs="宋体"/>
                <w:iCs/>
                <w:color w:val="000000"/>
                <w:sz w:val="24"/>
              </w:rPr>
              <w:t xml:space="preserve">因本合同及合同有关事项发生的争议，按下列第</w:t>
            </w:r>
            <w:r>
              <w:rPr>
                <w:rFonts w:hint="eastAsia" w:ascii="宋体" w:hAnsi="宋体" w:cs="宋体"/>
                <w:iCs/>
                <w:color w:val="000000"/>
                <w:sz w:val="24"/>
                <w:u w:val="single"/>
              </w:rPr>
              <w:t xml:space="preserve">      </w:t>
            </w:r>
            <w:r>
              <w:rPr>
                <w:rFonts w:hint="eastAsia" w:ascii="宋体" w:hAnsi="宋体" w:cs="宋体"/>
                <w:iCs/>
                <w:color w:val="000000"/>
                <w:sz w:val="24"/>
              </w:rPr>
              <w:t xml:space="preserve">种方式解决：</w:t>
            </w:r>
            <w:r>
              <w:rPr>
                <w:rFonts w:hint="eastAsia" w:ascii="宋体" w:hAnsi="宋体" w:cs="宋体"/>
                <w:iCs/>
                <w:color w:val="000000"/>
                <w:sz w:val="24"/>
              </w:rPr>
            </w:r>
            <w:r/>
          </w:p>
          <w:p>
            <w:pPr>
              <w:pStyle w:val="734"/>
              <w:jc w:val="left"/>
              <w:spacing w:line="400" w:lineRule="exact"/>
              <w:rPr>
                <w:rFonts w:hint="eastAsia" w:ascii="宋体" w:hAnsi="宋体" w:cs="宋体"/>
                <w:iCs/>
                <w:color w:val="000000"/>
                <w:sz w:val="24"/>
              </w:rPr>
            </w:pPr>
            <w:r>
              <w:rPr>
                <w:rFonts w:hint="eastAsia" w:ascii="宋体" w:hAnsi="宋体" w:cs="宋体"/>
                <w:iCs/>
                <w:color w:val="000000"/>
                <w:sz w:val="24"/>
              </w:rPr>
              <w:t xml:space="preserve">（1）向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仲裁委员会申请仲裁，仲裁地点为</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w:t>
            </w:r>
            <w:r>
              <w:rPr>
                <w:rFonts w:hint="eastAsia" w:ascii="宋体" w:hAnsi="宋体" w:cs="宋体"/>
                <w:iCs/>
                <w:color w:val="000000"/>
                <w:sz w:val="24"/>
              </w:rPr>
            </w:r>
            <w:r/>
          </w:p>
          <w:p>
            <w:pPr>
              <w:pStyle w:val="734"/>
              <w:jc w:val="left"/>
              <w:rPr>
                <w:rFonts w:hint="eastAsia" w:ascii="宋体" w:hAnsi="宋体" w:cs="宋体"/>
                <w:color w:val="000000"/>
                <w:sz w:val="24"/>
                <w:u w:val="single"/>
              </w:rPr>
            </w:pPr>
            <w:r>
              <w:rPr>
                <w:rFonts w:hint="eastAsia" w:ascii="宋体" w:hAnsi="宋体" w:cs="宋体"/>
                <w:iCs/>
                <w:color w:val="000000"/>
                <w:sz w:val="24"/>
              </w:rPr>
              <w:t xml:space="preserve">（2）向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人民法院起诉。</w:t>
            </w:r>
            <w:r>
              <w:rPr>
                <w:rFonts w:hint="eastAsia" w:ascii="宋体" w:hAnsi="宋体" w:cs="宋体"/>
                <w:color w:val="000000"/>
                <w:sz w:val="24"/>
                <w:u w:val="single"/>
              </w:rPr>
            </w:r>
            <w:r/>
          </w:p>
        </w:tc>
      </w:tr>
      <w:tr>
        <w:trPr>
          <w:trHeight w:val="770"/>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第23.1款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bCs/>
                <w:color w:val="000000"/>
                <w:sz w:val="24"/>
              </w:rPr>
              <w:t xml:space="preserve">其他专用条款</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734"/>
              <w:jc w:val="left"/>
              <w:rPr>
                <w:rFonts w:hint="eastAsia" w:ascii="宋体" w:hAnsi="宋体" w:cs="宋体"/>
                <w:color w:val="000000"/>
                <w:sz w:val="24"/>
              </w:rPr>
            </w:pPr>
            <w:r>
              <w:rPr>
                <w:rFonts w:hint="eastAsia" w:ascii="宋体" w:hAnsi="宋体" w:cs="宋体"/>
                <w:color w:val="000000"/>
                <w:sz w:val="24"/>
              </w:rPr>
              <w:t xml:space="preserve">（2）履约验收要求按照江苏省财政厅《关于印发&lt;江苏省政府采购履约验收管理办法&gt;的通知》（苏财规〔2024〕7号）的规定执行。合同与上述文件规定有矛盾的，以上述文件规定为准。</w:t>
            </w:r>
            <w:r>
              <w:rPr>
                <w:rFonts w:hint="eastAsia" w:ascii="宋体" w:hAnsi="宋体" w:cs="宋体"/>
                <w:color w:val="000000"/>
                <w:sz w:val="24"/>
              </w:rPr>
            </w:r>
            <w:r/>
          </w:p>
          <w:p>
            <w:pPr>
              <w:pStyle w:val="734"/>
              <w:jc w:val="left"/>
              <w:rPr>
                <w:rFonts w:hint="eastAsia" w:ascii="宋体" w:hAnsi="宋体" w:cs="宋体"/>
                <w:color w:val="000000"/>
                <w:sz w:val="24"/>
              </w:rPr>
            </w:pPr>
            <w:r>
              <w:rPr>
                <w:rFonts w:hint="eastAsia" w:ascii="宋体" w:hAnsi="宋体" w:cs="宋体"/>
                <w:color w:val="000000"/>
                <w:sz w:val="24"/>
              </w:rPr>
              <w:t xml:space="preserve">（3）合同其他未尽事宜及与招标文件有矛盾之处，以招标文件[项目编号：</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rPr>
                <w:rFonts w:hint="eastAsia" w:ascii="宋体" w:hAnsi="宋体" w:cs="宋体"/>
                <w:color w:val="000000"/>
                <w:sz w:val="24"/>
              </w:rPr>
            </w:r>
            <w:r/>
          </w:p>
        </w:tc>
      </w:tr>
    </w:tbl>
    <w:p>
      <w:pPr>
        <w:pStyle w:val="734"/>
        <w:rPr>
          <w:rFonts w:hint="eastAsia" w:ascii="宋体" w:hAnsi="宋体" w:cs="宋体"/>
          <w:color w:val="000000"/>
        </w:rPr>
      </w:pPr>
      <w:r>
        <w:rPr>
          <w:rFonts w:hint="eastAsia" w:ascii="宋体" w:hAnsi="宋体" w:cs="宋体"/>
          <w:color w:val="000000"/>
        </w:rPr>
      </w:r>
      <w:r/>
    </w:p>
    <w:p>
      <w:pPr>
        <w:pStyle w:val="734"/>
        <w:jc w:val="center"/>
        <w:widowControl/>
        <w:rPr>
          <w:rFonts w:hint="eastAsia" w:ascii="宋体" w:hAnsi="宋体" w:cs="宋体"/>
          <w:color w:val="000000"/>
          <w:sz w:val="28"/>
          <w:szCs w:val="28"/>
        </w:rPr>
      </w:pPr>
      <w:r>
        <w:rPr>
          <w:rFonts w:hint="eastAsia" w:ascii="宋体" w:hAnsi="宋体" w:cs="宋体"/>
          <w:b/>
          <w:bCs/>
          <w:color w:val="000000"/>
          <w:sz w:val="28"/>
          <w:szCs w:val="28"/>
        </w:rPr>
        <w:br w:type="page" w:clear="all"/>
      </w:r>
      <w:r>
        <w:rPr>
          <w:rFonts w:hint="eastAsia" w:ascii="宋体" w:hAnsi="宋体" w:cs="宋体"/>
          <w:color w:val="000000"/>
          <w:sz w:val="28"/>
          <w:szCs w:val="28"/>
        </w:rPr>
        <w:t xml:space="preserve">第四节 合同附件</w:t>
      </w:r>
      <w:r>
        <w:rPr>
          <w:rFonts w:hint="eastAsia" w:ascii="宋体" w:hAnsi="宋体" w:cs="宋体"/>
          <w:color w:val="000000"/>
          <w:sz w:val="28"/>
          <w:szCs w:val="28"/>
        </w:rPr>
      </w:r>
      <w:r/>
    </w:p>
    <w:p>
      <w:pPr>
        <w:pStyle w:val="734"/>
        <w:ind w:firstLine="240"/>
        <w:jc w:val="center"/>
        <w:widowControl/>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合同附件1：技术规格（技术性能）</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(见乙方投标文件中《所投产品的技术规格（技术性能）》。)</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合同附件2：项目实施</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(见乙方投标文件中《项目实施方案》。)</w:t>
      </w:r>
      <w:r>
        <w:rPr>
          <w:rFonts w:hint="eastAsia" w:ascii="宋体" w:hAnsi="宋体" w:cs="宋体"/>
          <w:color w:val="000000"/>
          <w:sz w:val="24"/>
        </w:rPr>
      </w:r>
      <w:r/>
    </w:p>
    <w:p>
      <w:pPr>
        <w:pStyle w:val="734"/>
        <w:jc w:val="left"/>
        <w:spacing w:after="100" w:line="259" w:lineRule="auto"/>
        <w:widowControl/>
        <w:rPr>
          <w:rFonts w:hint="eastAsia" w:ascii="宋体" w:hAnsi="宋体" w:cs="宋体"/>
          <w:color w:val="000000"/>
          <w:sz w:val="22"/>
          <w:szCs w:val="22"/>
        </w:rPr>
      </w:pPr>
      <w:r>
        <w:rPr>
          <w:rFonts w:hint="eastAsia" w:ascii="宋体" w:hAnsi="宋体" w:cs="宋体"/>
          <w:color w:val="000000"/>
          <w:sz w:val="22"/>
          <w:szCs w:val="22"/>
        </w:rPr>
      </w:r>
      <w:r/>
    </w:p>
    <w:p>
      <w:pPr>
        <w:pStyle w:val="734"/>
        <w:rPr>
          <w:rFonts w:hint="eastAsia" w:ascii="宋体" w:hAnsi="宋体" w:cs="宋体"/>
          <w:color w:val="000000"/>
          <w:sz w:val="24"/>
        </w:rPr>
      </w:pPr>
      <w:r>
        <w:rPr>
          <w:rFonts w:hint="eastAsia" w:ascii="宋体" w:hAnsi="宋体" w:cs="宋体"/>
          <w:color w:val="000000"/>
          <w:sz w:val="24"/>
        </w:rPr>
        <w:t xml:space="preserve">合同附件3：售后服务和技术培训</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(见乙方投标文件中《售后服务和技术培训方案》。)</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合同附件4：供货范围和价格清单</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(见乙方投标文件中《开标一览表》和《分项价格表》。)</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合同附件5：验收标准（验收要求、验收标准和程序）</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合同附件6：采购需求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734"/>
        <w:jc w:val="center"/>
        <w:rPr>
          <w:rFonts w:hint="eastAsia" w:ascii="宋体" w:hAnsi="宋体" w:cs="宋体"/>
          <w:b/>
          <w:bCs/>
          <w:color w:val="000000"/>
          <w:sz w:val="30"/>
          <w:szCs w:val="30"/>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30"/>
          <w:szCs w:val="30"/>
        </w:rPr>
      </w:r>
      <w:r/>
    </w:p>
    <w:p>
      <w:pPr>
        <w:pStyle w:val="734"/>
        <w:jc w:val="center"/>
        <w:rPr>
          <w:rFonts w:ascii="宋体" w:hAnsi="宋体" w:cs="宋体"/>
          <w:color w:val="000000"/>
          <w:sz w:val="30"/>
          <w:szCs w:val="30"/>
        </w:rPr>
      </w:pPr>
      <w:r>
        <w:rPr>
          <w:rFonts w:hint="eastAsia" w:ascii="宋体" w:hAnsi="宋体" w:cs="宋体"/>
          <w:b/>
          <w:bCs/>
          <w:color w:val="000000"/>
          <w:sz w:val="30"/>
          <w:szCs w:val="30"/>
        </w:rPr>
        <w:t xml:space="preserve">合同附件</w:t>
      </w:r>
      <w:r>
        <w:rPr>
          <w:rFonts w:ascii="宋体" w:hAnsi="宋体" w:cs="宋体"/>
          <w:color w:val="000000"/>
          <w:sz w:val="30"/>
          <w:szCs w:val="30"/>
        </w:rPr>
      </w:r>
      <w:r/>
    </w:p>
    <w:p>
      <w:pPr>
        <w:pStyle w:val="734"/>
        <w:jc w:val="left"/>
        <w:tabs>
          <w:tab w:val="left" w:pos="7506" w:leader="none"/>
        </w:tabs>
        <w:rPr>
          <w:rFonts w:ascii="宋体" w:hAnsi="宋体" w:cs="宋体"/>
          <w:color w:val="000000"/>
          <w:sz w:val="24"/>
        </w:rPr>
      </w:pPr>
      <w:r>
        <w:rPr>
          <w:rFonts w:hint="eastAsia" w:ascii="宋体" w:hAnsi="宋体" w:cs="宋体"/>
          <w:color w:val="000000"/>
          <w:sz w:val="24"/>
        </w:rPr>
        <w:tab/>
      </w:r>
      <w:r>
        <w:rPr>
          <w:rFonts w:ascii="宋体" w:hAnsi="宋体" w:cs="宋体"/>
          <w:color w:val="000000"/>
          <w:sz w:val="24"/>
        </w:rPr>
      </w:r>
      <w:r/>
    </w:p>
    <w:p>
      <w:pPr>
        <w:pStyle w:val="734"/>
        <w:jc w:val="center"/>
        <w:rPr>
          <w:rFonts w:ascii="宋体" w:hAnsi="宋体" w:cs="宋体"/>
          <w:color w:val="000000"/>
          <w:sz w:val="24"/>
        </w:rPr>
      </w:pPr>
      <w:r>
        <w:rPr>
          <w:rFonts w:hint="eastAsia" w:ascii="宋体" w:hAnsi="宋体" w:cs="宋体"/>
          <w:color w:val="000000"/>
          <w:sz w:val="24"/>
        </w:rPr>
        <w:t xml:space="preserve">目 录</w:t>
      </w:r>
      <w:r>
        <w:rPr>
          <w:rFonts w:ascii="宋体" w:hAnsi="宋体" w:cs="宋体"/>
          <w:color w:val="000000"/>
          <w:sz w:val="24"/>
        </w:rPr>
      </w:r>
      <w:r/>
    </w:p>
    <w:p>
      <w:pPr>
        <w:pStyle w:val="734"/>
        <w:jc w:val="center"/>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合同附件1：合同协议书</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合同附件2：技术规格和技术性能</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(要求见招标文件第六章《采购需求》；合同见卖方投标文件中《技术规格说明》。)</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合同附件3：售后服务和技术培训</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(要求见招标文件第六章《采购需求》；合同见卖方投标文件中《售后服务方案》和《培训方案》。)</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合同附件4：供货范围和价格清单</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(要求见招标文件第七章《投标文件相关格式》中《开标一览表》和《分项价格表》；合同见卖方投标文件中《开标一览表》和《分项价格表》。)</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合同附件5：验收标准（验收要求、验收标准和程序）</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合同附件6：采购需求</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(见招标文件第六章《采购需求》。)</w:t>
      </w:r>
      <w:r>
        <w:rPr>
          <w:rFonts w:ascii="宋体" w:hAnsi="宋体" w:cs="宋体"/>
          <w:color w:val="000000"/>
          <w:sz w:val="24"/>
        </w:rPr>
      </w:r>
      <w:r/>
    </w:p>
    <w:p>
      <w:pPr>
        <w:pStyle w:val="734"/>
        <w:jc w:val="center"/>
        <w:spacing w:line="360" w:lineRule="auto"/>
        <w:rPr>
          <w:rFonts w:hint="eastAsia" w:ascii="宋体" w:hAnsi="宋体" w:cs="宋体"/>
          <w:b/>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32"/>
          <w:szCs w:val="32"/>
        </w:rPr>
      </w:r>
      <w:r/>
    </w:p>
    <w:p>
      <w:pPr>
        <w:pStyle w:val="734"/>
        <w:jc w:val="center"/>
        <w:spacing w:line="360" w:lineRule="auto"/>
        <w:rPr>
          <w:rStyle w:val="989"/>
          <w:rFonts w:hint="eastAsia" w:ascii="宋体" w:hAnsi="宋体" w:cs="宋体"/>
          <w:b/>
          <w:bCs/>
          <w:color w:val="000000"/>
          <w:sz w:val="32"/>
          <w:szCs w:val="32"/>
        </w:rPr>
      </w:pPr>
      <w:r>
        <w:rPr>
          <w:rFonts w:hint="eastAsia" w:ascii="宋体" w:hAnsi="宋体" w:cs="宋体"/>
          <w:b/>
          <w:color w:val="000000"/>
          <w:sz w:val="32"/>
          <w:szCs w:val="32"/>
        </w:rPr>
        <w:t xml:space="preserve">第六章 采购需求</w:t>
      </w:r>
      <w:bookmarkStart w:id="5" w:name="_Toc322457054"/>
      <w:r/>
      <w:bookmarkEnd w:id="5"/>
      <w:r/>
      <w:bookmarkStart w:id="6" w:name="_Toc324452802"/>
      <w:r/>
      <w:bookmarkEnd w:id="6"/>
      <w:r>
        <w:rPr>
          <w:rStyle w:val="989"/>
          <w:rFonts w:hint="eastAsia" w:ascii="宋体" w:hAnsi="宋体" w:cs="宋体"/>
          <w:b/>
          <w:bCs/>
          <w:color w:val="000000"/>
          <w:sz w:val="32"/>
          <w:szCs w:val="32"/>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t xml:space="preserve">一、项目说明： </w:t>
      </w:r>
      <w:r>
        <w:rPr>
          <w:rFonts w:hint="eastAsia" w:ascii="宋体" w:hAnsi="宋体" w:cs="宋体"/>
          <w:b/>
          <w:bCs/>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1、采购人：徐州医科大学。</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2、采购项目名称：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3、采购标的：</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，具体详见本招标文件第六章《采购需求》中“二、采购清单”。</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采购对应的中小企业划分标准所属行业为工业。</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t xml:space="preserve">4、本项目不接受超过人民币590.4万元（项目预算）的投标报价。</w:t>
      </w:r>
      <w:r>
        <w:rPr>
          <w:rFonts w:hint="eastAsia" w:ascii="宋体" w:hAnsi="宋体" w:cs="宋体"/>
          <w:b/>
          <w:bCs/>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w:t>
      </w:r>
      <w:r>
        <w:rPr>
          <w:rFonts w:hint="eastAsia" w:ascii="宋体" w:hAnsi="宋体" w:cs="宋体"/>
          <w:color w:val="000000"/>
          <w:sz w:val="24"/>
        </w:rPr>
      </w:r>
      <w:r/>
    </w:p>
    <w:p>
      <w:pPr>
        <w:pStyle w:val="734"/>
        <w:spacing w:line="360" w:lineRule="auto"/>
        <w:rPr>
          <w:rFonts w:ascii="宋体" w:hAnsi="宋体" w:cs="宋体"/>
          <w:color w:val="000000"/>
          <w:sz w:val="24"/>
        </w:rPr>
      </w:pPr>
      <w:r>
        <w:rPr>
          <w:rFonts w:hint="eastAsia" w:ascii="宋体" w:hAnsi="宋体" w:cs="宋体"/>
          <w:color w:val="000000"/>
          <w:sz w:val="24"/>
        </w:rPr>
        <w:t xml:space="preserve">5、项目概况：包括单人床、床头柜、衣柜、学习桌、学习椅、床垫、鞋柜的采购并运至采购人指定地点并负责安装调试。</w:t>
      </w:r>
      <w:r>
        <w:rPr>
          <w:rFonts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6、投标人应按照项目需求中的要求，在投标文件中对所投产品的名称、品牌、生产厂家、产地、主要技术性能指标及其在技术、安全、性能、管理、质保年限及售后服务等方面情况提供详细说明。</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7、投标人应在获取招标文件后自行对项目现场和周围环境进行实地踏勘，以了解现场的环境、范围、技术要求及相关服务，获取有关编制投标文件和签订合同所需的各项资料。投标人应承担现场踏勘的责任和风险，费用由投标人自己承担。中标后不得以未踏勘现场或不了解现场为由提出任何增加费用的要求。</w:t>
      </w:r>
      <w:r>
        <w:rPr>
          <w:rFonts w:hint="eastAsia" w:ascii="宋体" w:hAnsi="宋体" w:cs="宋体"/>
          <w:color w:val="000000"/>
          <w:sz w:val="24"/>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734"/>
        <w:spacing w:line="360" w:lineRule="auto"/>
        <w:rPr>
          <w:rFonts w:hint="eastAsia" w:ascii="宋体" w:hAnsi="宋体" w:cs="宋体"/>
          <w:b/>
          <w:bCs/>
          <w:color w:val="000000"/>
          <w:sz w:val="24"/>
          <w:highlight w:val="none"/>
        </w:rPr>
      </w:pPr>
      <w:r>
        <w:rPr>
          <w:rFonts w:hint="eastAsia" w:ascii="宋体" w:hAnsi="宋体" w:cs="宋体"/>
          <w:b/>
          <w:bCs/>
          <w:color w:val="000000"/>
          <w:sz w:val="24"/>
        </w:rPr>
        <w:t xml:space="preserve">二、采购清单</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tbl>
      <w:tblPr>
        <w:tblW w:w="500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61"/>
        <w:gridCol w:w="3917"/>
        <w:gridCol w:w="825"/>
        <w:gridCol w:w="1128"/>
        <w:gridCol w:w="1784"/>
      </w:tblGrid>
      <w:tr>
        <w:trPr>
          <w:trHeight w:val="510"/>
        </w:trPr>
        <w:tc>
          <w:tcPr>
            <w:tcW w:w="397" w:type="dxa"/>
            <w:vAlign w:val="center"/>
            <w:textDirection w:val="lrTb"/>
            <w:noWrap w:val="false"/>
          </w:tcPr>
          <w:p>
            <w:pPr>
              <w:pStyle w:val="734"/>
              <w:jc w:val="center"/>
              <w:rPr>
                <w:rFonts w:hint="eastAsia" w:ascii="宋体" w:hAnsi="宋体" w:cs="宋体"/>
                <w:b/>
                <w:bCs/>
                <w:color w:val="000000"/>
                <w:spacing w:val="-6"/>
                <w:sz w:val="24"/>
              </w:rPr>
            </w:pPr>
            <w:r>
              <w:rPr>
                <w:rFonts w:hint="eastAsia" w:ascii="宋体" w:hAnsi="宋体" w:cs="宋体"/>
                <w:b/>
                <w:bCs/>
                <w:color w:val="000000"/>
                <w:spacing w:val="-6"/>
                <w:sz w:val="24"/>
              </w:rPr>
              <w:t xml:space="preserve">序号</w:t>
            </w:r>
            <w:r>
              <w:rPr>
                <w:rFonts w:hint="eastAsia" w:ascii="宋体" w:hAnsi="宋体" w:cs="宋体"/>
                <w:b/>
                <w:bCs/>
                <w:color w:val="000000"/>
                <w:spacing w:val="-6"/>
                <w:sz w:val="24"/>
              </w:rPr>
            </w:r>
            <w:r/>
          </w:p>
        </w:tc>
        <w:tc>
          <w:tcPr>
            <w:tcW w:w="2354"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pacing w:val="-6"/>
                <w:sz w:val="24"/>
              </w:rPr>
              <w:t xml:space="preserve">标的</w:t>
            </w:r>
            <w:r>
              <w:rPr>
                <w:rFonts w:hint="eastAsia" w:ascii="宋体" w:hAnsi="宋体" w:cs="宋体"/>
                <w:b/>
                <w:bCs/>
                <w:color w:val="000000"/>
                <w:spacing w:val="-7"/>
                <w:sz w:val="24"/>
              </w:rPr>
              <w:t xml:space="preserve">名称</w:t>
            </w:r>
            <w:r>
              <w:rPr>
                <w:rFonts w:hint="eastAsia" w:ascii="宋体" w:hAnsi="宋体" w:cs="宋体"/>
                <w:b/>
                <w:bCs/>
                <w:color w:val="000000"/>
                <w:sz w:val="24"/>
              </w:rPr>
            </w:r>
            <w:r/>
          </w:p>
        </w:tc>
        <w:tc>
          <w:tcPr>
            <w:tcW w:w="496"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pacing w:val="-4"/>
                <w:sz w:val="24"/>
              </w:rPr>
              <w:t xml:space="preserve">数量</w:t>
            </w:r>
            <w:r>
              <w:rPr>
                <w:rFonts w:hint="eastAsia" w:ascii="宋体" w:hAnsi="宋体" w:cs="宋体"/>
                <w:b/>
                <w:bCs/>
                <w:color w:val="000000"/>
                <w:sz w:val="24"/>
              </w:rPr>
            </w:r>
            <w:r/>
          </w:p>
        </w:tc>
        <w:tc>
          <w:tcPr>
            <w:tcW w:w="678"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pacing w:val="-2"/>
                <w:sz w:val="24"/>
              </w:rPr>
              <w:t xml:space="preserve">单位</w:t>
            </w:r>
            <w:r>
              <w:rPr>
                <w:rFonts w:hint="eastAsia" w:ascii="宋体" w:hAnsi="宋体" w:cs="宋体"/>
                <w:b/>
                <w:bCs/>
                <w:color w:val="000000"/>
                <w:sz w:val="24"/>
              </w:rPr>
            </w:r>
            <w:r/>
          </w:p>
        </w:tc>
        <w:tc>
          <w:tcPr>
            <w:tcW w:w="1072" w:type="dxa"/>
            <w:vAlign w:val="center"/>
            <w:textDirection w:val="lrTb"/>
            <w:noWrap w:val="false"/>
          </w:tcPr>
          <w:p>
            <w:pPr>
              <w:pStyle w:val="734"/>
              <w:jc w:val="center"/>
              <w:rPr>
                <w:rFonts w:ascii="宋体" w:hAnsi="宋体" w:cs="宋体"/>
                <w:b/>
                <w:bCs/>
                <w:color w:val="000000"/>
                <w:spacing w:val="-2"/>
                <w:sz w:val="24"/>
              </w:rPr>
            </w:pPr>
            <w:r>
              <w:rPr>
                <w:rFonts w:hint="eastAsia" w:ascii="宋体" w:hAnsi="宋体" w:cs="宋体"/>
                <w:b/>
                <w:bCs/>
                <w:color w:val="000000"/>
                <w:spacing w:val="-2"/>
                <w:sz w:val="24"/>
              </w:rPr>
              <w:t xml:space="preserve">备注</w:t>
            </w:r>
            <w:r>
              <w:rPr>
                <w:rFonts w:ascii="宋体" w:hAnsi="宋体" w:cs="宋体"/>
                <w:b/>
                <w:bCs/>
                <w:color w:val="000000"/>
                <w:spacing w:val="-2"/>
                <w:sz w:val="24"/>
              </w:rPr>
            </w:r>
            <w:r/>
          </w:p>
        </w:tc>
      </w:tr>
      <w:tr>
        <w:trPr>
          <w:trHeight w:val="510"/>
        </w:trPr>
        <w:tc>
          <w:tcPr>
            <w:tcW w:w="397"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235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1.0M单人床</w:t>
            </w:r>
            <w:r>
              <w:rPr>
                <w:rFonts w:hint="eastAsia" w:ascii="宋体" w:hAnsi="宋体" w:cs="宋体"/>
                <w:color w:val="000000"/>
                <w:sz w:val="24"/>
              </w:rPr>
            </w:r>
            <w:r/>
          </w:p>
        </w:tc>
        <w:tc>
          <w:tcPr>
            <w:tcW w:w="496"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898</w:t>
            </w:r>
            <w:r>
              <w:rPr>
                <w:rFonts w:ascii="宋体" w:hAnsi="宋体" w:cs="宋体"/>
                <w:color w:val="000000"/>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套</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hint="eastAsia" w:ascii="宋体" w:hAnsi="宋体" w:cs="宋体"/>
                <w:b/>
                <w:bCs/>
                <w:color w:val="000000"/>
                <w:sz w:val="24"/>
              </w:rPr>
              <w:t xml:space="preserve">核心产品</w:t>
            </w:r>
            <w:r>
              <w:rPr>
                <w:rFonts w:ascii="宋体" w:hAnsi="宋体" w:cs="宋体"/>
                <w:color w:val="000000"/>
                <w:sz w:val="24"/>
              </w:rPr>
            </w:r>
            <w:r/>
          </w:p>
        </w:tc>
      </w:tr>
      <w:tr>
        <w:trPr>
          <w:trHeight w:val="510"/>
        </w:trPr>
        <w:tc>
          <w:tcPr>
            <w:tcW w:w="397"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235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1.1M单人床</w:t>
            </w:r>
            <w:r>
              <w:rPr>
                <w:rFonts w:hint="eastAsia" w:ascii="宋体" w:hAnsi="宋体" w:cs="宋体"/>
                <w:color w:val="000000"/>
                <w:sz w:val="24"/>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520</w:t>
            </w:r>
            <w:r>
              <w:rPr>
                <w:rFonts w:ascii="宋体" w:hAnsi="宋体" w:cs="宋体"/>
                <w:color w:val="000000"/>
                <w:spacing w:val="-14"/>
                <w:sz w:val="24"/>
              </w:rPr>
            </w:r>
            <w:r/>
          </w:p>
        </w:tc>
        <w:tc>
          <w:tcPr>
            <w:tcW w:w="678" w:type="dxa"/>
            <w:vAlign w:val="center"/>
            <w:textDirection w:val="lrTb"/>
            <w:noWrap w:val="false"/>
          </w:tcPr>
          <w:p>
            <w:pPr>
              <w:pStyle w:val="734"/>
              <w:jc w:val="center"/>
              <w:rPr>
                <w:rFonts w:hint="eastAsia" w:ascii="宋体" w:hAnsi="宋体" w:cs="宋体"/>
                <w:color w:val="000000"/>
                <w:spacing w:val="-14"/>
                <w:sz w:val="24"/>
              </w:rPr>
            </w:pPr>
            <w:r>
              <w:rPr>
                <w:rFonts w:hint="eastAsia" w:ascii="宋体" w:hAnsi="宋体" w:cs="宋体"/>
                <w:color w:val="000000"/>
                <w:spacing w:val="-14"/>
                <w:sz w:val="24"/>
              </w:rPr>
              <w:t xml:space="preserve">套</w:t>
            </w:r>
            <w:r>
              <w:rPr>
                <w:rFonts w:hint="eastAsia" w:ascii="宋体" w:hAnsi="宋体" w:cs="宋体"/>
                <w:color w:val="000000"/>
                <w:spacing w:val="-14"/>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床头柜</w:t>
            </w:r>
            <w:r>
              <w:rPr>
                <w:rFonts w:hint="eastAsia" w:ascii="宋体" w:hAnsi="宋体" w:eastAsia="宋体" w:cs="宋体"/>
                <w:color w:val="000000"/>
                <w:sz w:val="24"/>
                <w:szCs w:val="24"/>
              </w:rPr>
            </w:r>
            <w:r/>
          </w:p>
        </w:tc>
        <w:tc>
          <w:tcPr>
            <w:tcW w:w="496"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1141</w:t>
            </w:r>
            <w:r>
              <w:rPr>
                <w:rFonts w:ascii="宋体" w:hAnsi="宋体" w:cs="宋体"/>
                <w:color w:val="000000"/>
                <w:sz w:val="24"/>
              </w:rPr>
            </w:r>
            <w:r/>
          </w:p>
        </w:tc>
        <w:tc>
          <w:tcPr>
            <w:tcW w:w="678"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pacing w:val="-14"/>
                <w:sz w:val="24"/>
              </w:rPr>
              <w:t xml:space="preserve">个</w:t>
            </w:r>
            <w:r>
              <w:rPr>
                <w:rFonts w:hint="eastAsia"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衣柜</w:t>
            </w:r>
            <w:r>
              <w:rPr>
                <w:rFonts w:hint="eastAsia" w:ascii="宋体" w:hAnsi="宋体" w:eastAsia="宋体" w:cs="宋体"/>
                <w:color w:val="000000"/>
                <w:sz w:val="24"/>
                <w:szCs w:val="24"/>
              </w:rPr>
            </w:r>
            <w:r/>
          </w:p>
        </w:tc>
        <w:tc>
          <w:tcPr>
            <w:tcW w:w="496"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1418</w:t>
            </w:r>
            <w:r>
              <w:rPr>
                <w:rFonts w:ascii="宋体" w:hAnsi="宋体" w:cs="宋体"/>
                <w:color w:val="000000"/>
                <w:sz w:val="24"/>
              </w:rPr>
            </w:r>
            <w:r/>
          </w:p>
        </w:tc>
        <w:tc>
          <w:tcPr>
            <w:tcW w:w="678"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套</w:t>
            </w:r>
            <w:r>
              <w:rPr>
                <w:rFonts w:hint="eastAsia"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学习桌</w:t>
            </w:r>
            <w:r>
              <w:rPr>
                <w:rFonts w:hint="eastAsia"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学习椅</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把</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1.0M床垫</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898</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1.1M床垫</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520</w:t>
            </w:r>
            <w:r>
              <w:rPr>
                <w:rFonts w:ascii="宋体" w:hAnsi="宋体" w:cs="宋体"/>
                <w:color w:val="000000"/>
                <w:spacing w:val="-14"/>
                <w:sz w:val="24"/>
              </w:rPr>
            </w:r>
            <w:r/>
          </w:p>
        </w:tc>
        <w:tc>
          <w:tcPr>
            <w:tcW w:w="678"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张</w:t>
            </w:r>
            <w:r>
              <w:rPr>
                <w:rFonts w:hint="eastAsia" w:ascii="宋体" w:hAnsi="宋体" w:cs="宋体"/>
                <w:color w:val="000000"/>
                <w:sz w:val="24"/>
              </w:rPr>
            </w:r>
            <w:r/>
          </w:p>
        </w:tc>
        <w:tc>
          <w:tcPr>
            <w:tcW w:w="107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鞋柜</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284</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bl>
    <w:p>
      <w:pPr>
        <w:pStyle w:val="734"/>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rPr>
        <w:t xml:space="preserve">说明：</w:t>
      </w:r>
      <w:r>
        <w:rPr>
          <w:rStyle w:val="749"/>
          <w:rFonts w:hint="eastAsia" w:ascii="宋体" w:hAnsi="宋体" w:cs="宋体"/>
          <w:b/>
          <w:bCs/>
          <w:color w:val="000000"/>
          <w:sz w:val="24"/>
          <w:highlight w:val="none"/>
        </w:rPr>
      </w:r>
      <w:r/>
    </w:p>
    <w:p>
      <w:pPr>
        <w:pStyle w:val="734"/>
        <w:numPr>
          <w:ilvl w:val="0"/>
          <w:numId w:val="0"/>
        </w:numPr>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lang w:val="en-US"/>
        </w:rPr>
        <w:t xml:space="preserve">1、</w:t>
      </w:r>
      <w:r>
        <w:rPr>
          <w:rStyle w:val="749"/>
          <w:rFonts w:hint="eastAsia" w:ascii="宋体" w:hAnsi="宋体" w:cs="宋体"/>
          <w:b/>
          <w:bCs/>
          <w:color w:val="000000"/>
          <w:sz w:val="24"/>
          <w:highlight w:val="none"/>
        </w:rPr>
        <w:t xml:space="preserve">本“采购清单”为不允许偏离的实质性要求和条件，如有偏离，在符合性审查时按照投标无效处理。</w:t>
      </w:r>
      <w:r>
        <w:rPr>
          <w:rStyle w:val="749"/>
          <w:rFonts w:hint="eastAsia" w:ascii="宋体" w:hAnsi="宋体" w:cs="宋体"/>
          <w:b/>
          <w:bCs/>
          <w:color w:val="000000"/>
          <w:sz w:val="24"/>
          <w:highlight w:val="none"/>
        </w:rPr>
      </w:r>
      <w:r/>
    </w:p>
    <w:p>
      <w:pPr>
        <w:pStyle w:val="734"/>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rPr>
        <w:t xml:space="preserve">2、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Style w:val="749"/>
          <w:rFonts w:hint="eastAsia" w:ascii="宋体" w:hAnsi="宋体" w:cs="宋体"/>
          <w:b/>
          <w:bCs/>
          <w:color w:val="000000"/>
          <w:sz w:val="24"/>
          <w:highlight w:val="none"/>
        </w:rPr>
      </w:r>
      <w:r/>
    </w:p>
    <w:p>
      <w:pPr>
        <w:pStyle w:val="734"/>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lang w:val="en-US"/>
        </w:rPr>
        <w:t xml:space="preserve">3</w:t>
      </w:r>
      <w:r>
        <w:rPr>
          <w:rStyle w:val="749"/>
          <w:rFonts w:hint="eastAsia" w:ascii="宋体" w:hAnsi="宋体" w:cs="宋体"/>
          <w:b/>
          <w:bCs/>
          <w:color w:val="000000"/>
          <w:sz w:val="24"/>
          <w:highlight w:val="none"/>
        </w:rPr>
        <w:t xml:space="preserve">、本项目含家具深化设计、现场实测、布局优化、图纸报审等服务，投标人需结合现场实际及装修效果完成家具专项深化设计，本次家具深化设计所产生的测量、出图、修改、报审、配合调整等所有费用，均包含在本次采购报价内，采购人不另行支付任何深化设计费用。</w:t>
      </w:r>
      <w:r>
        <w:rPr>
          <w:rStyle w:val="749"/>
          <w:rFonts w:hint="eastAsia" w:ascii="宋体" w:hAnsi="宋体" w:cs="宋体"/>
          <w:b/>
          <w:bCs/>
          <w:color w:val="000000"/>
          <w:sz w:val="24"/>
          <w:highlight w:val="none"/>
        </w:rPr>
      </w:r>
      <w:r/>
    </w:p>
    <w:p>
      <w:pPr>
        <w:pStyle w:val="734"/>
        <w:spacing w:line="360" w:lineRule="auto"/>
        <w:rPr>
          <w:rStyle w:val="749"/>
          <w:rFonts w:ascii="宋体" w:hAnsi="宋体" w:cs="宋体"/>
          <w:b/>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Style w:val="749"/>
          <w:rFonts w:hint="eastAsia" w:ascii="宋体" w:hAnsi="宋体" w:cs="宋体"/>
          <w:b/>
          <w:bCs/>
          <w:color w:val="000000"/>
          <w:sz w:val="24"/>
          <w:highlight w:val="none"/>
          <w:lang w:val="en-US"/>
        </w:rPr>
        <w:t xml:space="preserve">4、</w:t>
      </w:r>
      <w:r>
        <w:rPr>
          <w:rStyle w:val="749"/>
          <w:rFonts w:hint="eastAsia" w:ascii="宋体" w:hAnsi="宋体" w:cs="宋体"/>
          <w:b/>
          <w:bCs/>
          <w:color w:val="000000"/>
          <w:sz w:val="24"/>
          <w:highlight w:val="none"/>
        </w:rPr>
        <w:t xml:space="preserve">具体以实际采购的数量进行结算。</w:t>
      </w:r>
      <w:r>
        <w:rPr>
          <w:rStyle w:val="749"/>
          <w:rFonts w:ascii="宋体" w:hAnsi="宋体" w:cs="宋体"/>
          <w:b/>
          <w:bCs/>
          <w:color w:val="000000"/>
          <w:sz w:val="24"/>
          <w:highlight w:val="none"/>
        </w:rPr>
      </w:r>
      <w:r/>
    </w:p>
    <w:p>
      <w:pPr>
        <w:pStyle w:val="796"/>
        <w:ind w:firstLine="420"/>
        <w:rPr>
          <w:rStyle w:val="749"/>
          <w:rFonts w:hint="eastAsia" w:ascii="宋体" w:hAnsi="宋体" w:cs="宋体"/>
          <w:b/>
          <w:bCs/>
          <w:color w:val="000000"/>
          <w:sz w:val="24"/>
        </w:rPr>
      </w:pPr>
      <w:r>
        <w:rPr>
          <w:rStyle w:val="749"/>
          <w:rFonts w:hint="eastAsia" w:ascii="宋体" w:hAnsi="宋体" w:cs="宋体"/>
          <w:b/>
          <w:bCs/>
          <w:color w:val="000000"/>
          <w:sz w:val="24"/>
        </w:rPr>
        <w:t xml:space="preserve">三、需执行的国家相关标准、行业标准或者其他标准、规范。</w:t>
      </w:r>
      <w:r>
        <w:rPr>
          <w:rStyle w:val="749"/>
          <w:rFonts w:hint="eastAsia" w:ascii="宋体" w:hAnsi="宋体" w:cs="宋体"/>
          <w:b/>
          <w:bCs/>
          <w:color w:val="000000"/>
          <w:sz w:val="24"/>
        </w:rPr>
      </w:r>
      <w:r/>
    </w:p>
    <w:tbl>
      <w:tblPr>
        <w:tblW w:w="5422"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354"/>
        <w:gridCol w:w="7009"/>
      </w:tblGrid>
      <w:tr>
        <w:trPr>
          <w:trHeight w:val="380"/>
        </w:trPr>
        <w:tc>
          <w:tcPr>
            <w:tcW w:w="472" w:type="dxa"/>
            <w:vAlign w:val="center"/>
            <w:textDirection w:val="lrTb"/>
            <w:noWrap w:val="false"/>
          </w:tcPr>
          <w:p>
            <w:pPr>
              <w:pStyle w:val="987"/>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分类</w:t>
            </w:r>
            <w:r>
              <w:rPr>
                <w:rFonts w:hint="eastAsia" w:ascii="宋体" w:hAnsi="宋体" w:eastAsia="宋体" w:cs="宋体"/>
                <w:b/>
                <w:bCs/>
                <w:color w:val="000000"/>
                <w:sz w:val="24"/>
                <w:szCs w:val="24"/>
              </w:rPr>
            </w:r>
            <w:r/>
          </w:p>
        </w:tc>
        <w:tc>
          <w:tcPr>
            <w:tcW w:w="3794" w:type="dxa"/>
            <w:vAlign w:val="center"/>
            <w:textDirection w:val="lrTb"/>
            <w:noWrap w:val="false"/>
          </w:tcPr>
          <w:p>
            <w:pPr>
              <w:pStyle w:val="987"/>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标准名称</w:t>
            </w:r>
            <w:r>
              <w:rPr>
                <w:rFonts w:hint="eastAsia" w:ascii="宋体" w:hAnsi="宋体" w:eastAsia="宋体" w:cs="宋体"/>
                <w:b/>
                <w:bCs/>
                <w:color w:val="000000"/>
                <w:sz w:val="24"/>
                <w:szCs w:val="24"/>
              </w:rPr>
            </w:r>
            <w:r/>
          </w:p>
        </w:tc>
      </w:tr>
      <w:tr>
        <w:trPr>
          <w:trHeight w:val="835"/>
        </w:trPr>
        <w:tc>
          <w:tcPr>
            <w:tcW w:w="472" w:type="dxa"/>
            <w:vAlign w:val="center"/>
            <w:vMerge w:val="restart"/>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国家标准</w:t>
            </w: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家具实体</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3324-20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木家具通用技术条件</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3325-2017     金属家具通用技术条件</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3326-2016     家具  桌、椅、凳类主要尺寸 </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3327-2016     家具  柜类主要尺寸</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14531-2017    办公家具 阅览桌、椅、凳</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14532-2017    办公家具 木制柜、架</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料</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9846-2015     普通胶合板</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11718-2021    中密度纤维板</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4897-2015     刨花板 </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15102-2017    浸渍胶膜纸饰面纤维板和刨花板</w:t>
            </w:r>
            <w:r>
              <w:rPr>
                <w:rFonts w:hint="eastAsia" w:ascii="宋体" w:hAnsi="宋体" w:eastAsia="宋体" w:cs="宋体"/>
                <w:color w:val="000000"/>
                <w:sz w:val="24"/>
                <w:szCs w:val="24"/>
              </w:rPr>
            </w:r>
            <w:r/>
          </w:p>
        </w:tc>
      </w:tr>
      <w:tr>
        <w:trPr>
          <w:trHeight w:val="66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件</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21556-2008      锁具安全通用技术条件</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GB/T 28203-2011</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家具用连接件技术要求及试验方法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能</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GB/T</w:t>
            </w:r>
            <w:r>
              <w:rPr>
                <w:rFonts w:hint="eastAsia" w:ascii="宋体" w:hAnsi="宋体" w:eastAsia="宋体" w:cs="宋体"/>
                <w:color w:val="000000"/>
                <w:sz w:val="24"/>
                <w:szCs w:val="24"/>
                <w:lang w:val="en-US" w:eastAsia="zh-CN"/>
              </w:rPr>
              <w:t xml:space="preserve"> 44438-2024    《家具 床垫 功能特性测试方法》</w:t>
            </w:r>
            <w:r>
              <w:rPr>
                <w:rFonts w:ascii="宋体" w:hAnsi="宋体" w:eastAsia="宋体" w:cs="宋体"/>
                <w:color w:val="000000"/>
                <w:sz w:val="24"/>
                <w:szCs w:val="24"/>
                <w:lang w:val="en-US" w:eastAsia="zh-CN"/>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GB </w:t>
            </w:r>
            <w:r>
              <w:rPr>
                <w:rFonts w:hint="eastAsia" w:ascii="宋体" w:hAnsi="宋体" w:eastAsia="宋体" w:cs="宋体"/>
                <w:color w:val="000000"/>
                <w:sz w:val="24"/>
                <w:szCs w:val="24"/>
                <w:lang w:val="en-US" w:eastAsia="zh-CN"/>
              </w:rPr>
              <w:t xml:space="preserve">20286-2006      《公共场所阻燃制品及组件燃烧性能要求和标识》</w:t>
            </w:r>
            <w:r>
              <w:rPr>
                <w:rFonts w:hint="eastAsia" w:ascii="宋体" w:hAnsi="宋体" w:eastAsia="宋体" w:cs="宋体"/>
                <w:color w:val="000000"/>
                <w:sz w:val="24"/>
                <w:szCs w:val="24"/>
              </w:rPr>
            </w:r>
            <w:r/>
          </w:p>
          <w:p>
            <w:pPr>
              <w:pStyle w:val="734"/>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10357.1-20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家具力学性能试验 第1部分：桌类强度和耐久性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10357.2-2013  家具力学性能试验 第2部分：椅凳类稳定性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10357.3-20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第3部分：椅凳类强度和耐久性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10357.4-20</w:t>
            </w: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  家具力学性能试验 第4部分：柜类稳定性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10357.7-20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第7部分：桌类稳定性</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有害物质</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18581-2020      木器涂料中有害物质限量 </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18580-2017      室内装饰装修材料  人造板及其制品中甲醛释放限量</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18584-202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家具中有害物质限量</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18583-2008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室内装饰装修材料   胶粘剂中有害物质限量</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32437-2015    家具中有害物质检测方法 总则</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39600-2021</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人造板及其制品甲醛释放量分级 </w:t>
            </w:r>
            <w:r>
              <w:rPr>
                <w:rFonts w:hint="eastAsia" w:ascii="宋体" w:hAnsi="宋体" w:eastAsia="宋体" w:cs="宋体"/>
                <w:color w:val="000000"/>
                <w:sz w:val="24"/>
                <w:szCs w:val="24"/>
              </w:rPr>
            </w:r>
            <w:r/>
          </w:p>
        </w:tc>
      </w:tr>
      <w:tr>
        <w:trPr>
          <w:trHeight w:val="796"/>
        </w:trPr>
        <w:tc>
          <w:tcPr>
            <w:tcW w:w="472"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行业标准</w:t>
            </w:r>
            <w:r>
              <w:rPr>
                <w:rFonts w:hint="eastAsia" w:ascii="宋体" w:hAnsi="宋体" w:eastAsia="宋体" w:cs="宋体"/>
                <w:color w:val="000000"/>
                <w:sz w:val="24"/>
                <w:szCs w:val="24"/>
              </w:rPr>
            </w:r>
            <w:r/>
          </w:p>
        </w:tc>
        <w:tc>
          <w:tcPr>
            <w:tcW w:w="733" w:type="dxa"/>
            <w:vAlign w:val="center"/>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2384-2010     木制写字桌</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2530-2011     木制柜</w:t>
            </w:r>
            <w:r>
              <w:rPr>
                <w:rFonts w:hint="eastAsia" w:ascii="宋体" w:hAnsi="宋体" w:eastAsia="宋体" w:cs="宋体"/>
                <w:color w:val="000000"/>
                <w:sz w:val="24"/>
                <w:szCs w:val="24"/>
              </w:rPr>
            </w:r>
            <w:r/>
          </w:p>
        </w:tc>
      </w:tr>
    </w:tbl>
    <w:p>
      <w:pPr>
        <w:pStyle w:val="734"/>
        <w:keepLines w:val="0"/>
        <w:keepNext w:val="0"/>
        <w:pageBreakBefore w:val="0"/>
        <w:spacing w:line="360" w:lineRule="auto"/>
        <w:widowControl w:val="off"/>
        <w:rPr>
          <w:rStyle w:val="749"/>
          <w:rFonts w:hint="eastAsia" w:ascii="宋体" w:hAnsi="宋体" w:cs="宋体"/>
          <w:b w:val="0"/>
          <w:bCs w:val="0"/>
          <w:color w:val="000000"/>
          <w:sz w:val="24"/>
        </w:rPr>
      </w:pPr>
      <w:r>
        <w:rPr>
          <w:rStyle w:val="749"/>
          <w:rFonts w:hint="eastAsia" w:ascii="宋体" w:hAnsi="宋体" w:cs="宋体"/>
          <w:b w:val="0"/>
          <w:bCs w:val="0"/>
          <w:color w:val="000000"/>
          <w:sz w:val="24"/>
        </w:rPr>
        <w:t xml:space="preserve">注：上述标准的修订最新版适用于本需求标准。如有未特别注明需执行的国家相关标准或者其他标准、规范，则统一执行最新标准、规范。</w:t>
      </w:r>
      <w:r>
        <w:rPr>
          <w:rStyle w:val="749"/>
          <w:rFonts w:hint="eastAsia" w:ascii="宋体" w:hAnsi="宋体" w:cs="宋体"/>
          <w:b w:val="0"/>
          <w:bCs w:val="0"/>
          <w:color w:val="000000"/>
          <w:sz w:val="24"/>
        </w:rPr>
      </w:r>
      <w:r/>
    </w:p>
    <w:p>
      <w:pPr>
        <w:pStyle w:val="734"/>
        <w:keepLines w:val="0"/>
        <w:keepNext w:val="0"/>
        <w:pageBreakBefore w:val="0"/>
        <w:spacing w:line="360" w:lineRule="auto"/>
        <w:widowControl w:val="off"/>
        <w:rPr>
          <w:rStyle w:val="749"/>
          <w:rFonts w:hint="eastAsia" w:ascii="宋体" w:hAnsi="宋体" w:cs="宋体"/>
          <w:b w:val="0"/>
          <w:bCs w:val="0"/>
          <w:color w:val="000000"/>
          <w:sz w:val="24"/>
        </w:rPr>
      </w:pPr>
      <w:r>
        <w:rPr>
          <w:rStyle w:val="749"/>
          <w:rFonts w:hint="eastAsia" w:ascii="宋体" w:hAnsi="宋体" w:cs="宋体"/>
          <w:b w:val="0"/>
          <w:bCs w:val="0"/>
          <w:color w:val="000000"/>
          <w:sz w:val="24"/>
        </w:rPr>
        <w:t xml:space="preserve">说明：本“需执行的国家相关标准、行业标准或者其他标准、规范”为不允许偏离的实质性要求和条件，如有偏离，在符合性审查时按照投标无效处理。</w:t>
      </w:r>
      <w:r>
        <w:rPr>
          <w:rStyle w:val="749"/>
          <w:rFonts w:hint="eastAsia" w:ascii="宋体" w:hAnsi="宋体" w:cs="宋体"/>
          <w:b w:val="0"/>
          <w:bCs w:val="0"/>
          <w:color w:val="000000"/>
          <w:sz w:val="24"/>
        </w:rPr>
      </w:r>
      <w:r/>
    </w:p>
    <w:p>
      <w:pPr>
        <w:pStyle w:val="734"/>
        <w:spacing w:line="360" w:lineRule="auto"/>
        <w:rPr>
          <w:rStyle w:val="749"/>
          <w:rFonts w:hint="eastAsia" w:ascii="宋体" w:hAnsi="宋体" w:cs="宋体"/>
          <w:b/>
          <w:bCs/>
          <w:color w:val="000000"/>
          <w:sz w:val="24"/>
          <w:lang w:val="en-US"/>
        </w:rPr>
        <w:sectPr>
          <w:footnotePr/>
          <w:endnotePr/>
          <w:type w:val="nextPage"/>
          <w:pgSz w:w="11906" w:h="16838" w:orient="portrait"/>
          <w:pgMar w:top="1440" w:right="1803" w:bottom="1440" w:left="1803" w:header="851" w:footer="992" w:gutter="0"/>
          <w:cols w:num="1" w:sep="0" w:space="1701" w:equalWidth="1"/>
          <w:docGrid w:linePitch="360"/>
        </w:sectPr>
      </w:pPr>
      <w:r>
        <w:rPr>
          <w:rStyle w:val="749"/>
          <w:rFonts w:hint="eastAsia" w:ascii="宋体" w:hAnsi="宋体" w:cs="宋体"/>
          <w:b/>
          <w:bCs/>
          <w:color w:val="000000"/>
          <w:sz w:val="24"/>
          <w:lang w:val="en-US"/>
        </w:rPr>
      </w:r>
      <w:r/>
    </w:p>
    <w:p>
      <w:pPr>
        <w:pStyle w:val="734"/>
        <w:spacing w:line="360" w:lineRule="auto"/>
        <w:rPr>
          <w:rFonts w:hint="eastAsia" w:ascii="宋体" w:hAnsi="宋体" w:cs="宋体"/>
          <w:b/>
          <w:color w:val="000000"/>
          <w:sz w:val="24"/>
        </w:rPr>
      </w:pPr>
      <w:r>
        <w:rPr>
          <w:rStyle w:val="749"/>
          <w:rFonts w:hint="eastAsia" w:ascii="宋体" w:hAnsi="宋体" w:cs="宋体"/>
          <w:b/>
          <w:bCs/>
          <w:color w:val="000000"/>
          <w:sz w:val="24"/>
          <w:lang w:val="en-US"/>
        </w:rPr>
        <w:t xml:space="preserve">四</w:t>
      </w:r>
      <w:r>
        <w:rPr>
          <w:rStyle w:val="749"/>
          <w:rFonts w:hint="eastAsia" w:ascii="宋体" w:hAnsi="宋体" w:cs="宋体"/>
          <w:b/>
          <w:bCs/>
          <w:color w:val="000000"/>
          <w:sz w:val="24"/>
        </w:rPr>
        <w:t xml:space="preserve">、技术规格参数要求</w:t>
      </w:r>
      <w:r>
        <w:rPr>
          <w:rFonts w:hint="eastAsia" w:ascii="宋体" w:hAnsi="宋体" w:cs="宋体"/>
          <w:b/>
          <w:bCs/>
          <w:color w:val="000000"/>
          <w:sz w:val="24"/>
        </w:rPr>
        <w:t xml:space="preserve">（未按照招标文件提供证明材料的视为不满足）</w:t>
      </w:r>
      <w:r>
        <w:rPr>
          <w:rStyle w:val="749"/>
          <w:rFonts w:hint="eastAsia" w:ascii="宋体" w:hAnsi="宋体" w:cs="宋体"/>
          <w:b/>
          <w:bCs/>
          <w:color w:val="000000"/>
          <w:sz w:val="24"/>
        </w:rPr>
        <w:t xml:space="preserve">：</w:t>
      </w:r>
      <w:r>
        <w:rPr>
          <w:rFonts w:hint="eastAsia" w:ascii="宋体" w:hAnsi="宋体" w:cs="宋体"/>
          <w:b/>
          <w:color w:val="000000"/>
          <w:sz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825"/>
        <w:gridCol w:w="1742"/>
        <w:gridCol w:w="3712"/>
        <w:gridCol w:w="1819"/>
        <w:gridCol w:w="6076"/>
      </w:tblGrid>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产品名称</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产品图片（供参考）</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规格</w:t>
            </w:r>
            <w:r>
              <w:rPr>
                <w:rFonts w:hint="eastAsia"/>
                <w:color w:val="000000"/>
              </w:rPr>
              <w:t xml:space="preserve">（±5mm）</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技术规格(技术性能)具体要求</w:t>
            </w:r>
            <w:r>
              <w:rPr>
                <w:rFonts w:hint="eastAsia" w:ascii="宋体" w:hAnsi="宋体" w:cs="宋体"/>
                <w:b/>
                <w:bCs/>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1.0M单人床（核心产品）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7.4pt;height:144.7pt;mso-wrap-distance-left:0.0pt;mso-wrap-distance-top:0.0pt;mso-wrap-distance-right:0.0pt;mso-wrap-distance-bottom:0.0pt;" stroked="f">
                      <v:path textboxrect="0,0,0,0"/>
                      <v:imagedata r:id="rId17" o:title=""/>
                    </v:shape>
                  </w:pict>
                </mc:Fallback>
              </mc:AlternateContent>
            </w:r>
            <w:r>
              <w:rPr>
                <w:rFonts w:hint="eastAsia"/>
                <w:color w:val="000000"/>
              </w:rPr>
              <mc:AlternateContent>
                <mc:Choice Requires="wpg">
                  <w:drawing>
                    <wp:inline xmlns:wp="http://schemas.openxmlformats.org/drawingml/2006/wordprocessingDrawing" distT="0" distB="0" distL="0" distR="0">
                      <wp:extent cx="2199056" cy="155509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3.2pt;height:122.4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2000*1000*350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1000*1020*25</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734"/>
              <w:rPr>
                <w:color w:val="000000"/>
              </w:rPr>
            </w:pPr>
            <w:r>
              <w:rPr>
                <w:rFonts w:hint="eastAsia" w:ascii="宋体" w:hAnsi="宋体" w:cs="宋体"/>
                <w:b/>
                <w:bCs/>
                <w:color w:val="000000"/>
                <w:sz w:val="24"/>
                <w:lang w:bidi="ar"/>
              </w:rPr>
              <w:t xml:space="preserve">1000*450*18</w:t>
            </w:r>
            <w:r>
              <w:rPr>
                <w:color w:val="000000"/>
              </w:rPr>
            </w:r>
            <w:r/>
          </w:p>
          <w:p>
            <w:pPr>
              <w:pStyle w:val="734"/>
              <w:rPr>
                <w:color w:val="000000"/>
              </w:rPr>
            </w:pPr>
            <w:r>
              <w:rPr>
                <w:color w:val="000000"/>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1.1M单人床</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7.4pt;height:144.7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199056" cy="155509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3.2pt;height:122.4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2100*1100*350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1100*1020*25</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734"/>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1100*450*18</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szCs w:val="24"/>
                <w:lang w:val="en-US" w:eastAsia="zh-CN"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szCs w:val="24"/>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床头柜</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847152" cy="183826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847152" cy="18382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5.4pt;height:144.7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895475" cy="144126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95474" cy="1441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9.2pt;height:113.5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600*500*500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3.抽屉拉手及滑轨：抽屉面板要求使用45°斜切拉手工艺，避免使用明装拉手刮碰使用者。滑轨: 采用优质品牌滑轨，冷轧钢板，经电镀或喷涂处理，防锈力好，钢珠轴承作伸缩，不变形，推拉顺滑，平滑无噪音。耐久性开闭次数不少于3万次。</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衣柜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861959" cy="131583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61959" cy="1315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7.9pt;height:103.6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519161" cy="139877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519161" cy="1398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9.6pt;height:110.1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702410" cy="149476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702410" cy="1494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4.0pt;height:117.7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rPr>
            </w:pPr>
            <w:r>
              <w:rPr>
                <w:rFonts w:hint="eastAsia" w:ascii="宋体" w:hAnsi="宋体" w:cs="宋体"/>
                <w:color w:val="000000"/>
                <w:sz w:val="24"/>
                <w:lang w:bidi="ar"/>
              </w:rPr>
              <w:t xml:space="preserve">板材要求：所有基材均采用等国标E0级实木多层板，贴三聚氰胺贴面，颜色为黄橡色，板面平整。经过防虫处理防腐等化学处理，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具体要求</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2.门板拉手及铰链：拉手要求两侧圆弧处理，避免使用时刮伤使用者。铰链要求采用优质品牌液压缓冲铰链，合金基材，电镀处理，表面光亮美观，先进的表面镀镍工艺，防锈、防刮花能力强。</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3.挂衣杆：采用厚度≥1.2mm铝合金挂衣杆，承重力≥200斤。</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4.门锁：右侧柜门装有可刷IC卡隐形电子密码锁。</w:t>
            </w:r>
            <w:r>
              <w:rPr>
                <w:rFonts w:hint="eastAsia" w:ascii="宋体" w:hAnsi="宋体" w:cs="宋体"/>
                <w:color w:val="000000"/>
                <w:sz w:val="24"/>
              </w:rPr>
            </w:r>
            <w:r/>
          </w:p>
        </w:tc>
      </w:tr>
      <w:tr>
        <w:trPr>
          <w:trHeight w:val="5414"/>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学习桌</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301875" cy="152459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301875" cy="1524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81.2pt;height:120.0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315845" cy="162198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315845" cy="16219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2.3pt;height:127.7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板材要求：所有基材均可采用等国标E0级实木多层板，贴三聚氰胺贴面，颜色为黄橡色，板面平整。经过防虫处理防腐等化学处理，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1.板材：桌面及桌腿采用国标25mm厚E0级实木多层板，抽屉及挡板采用18mm厚E0级实木多层板。</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3.抽屉拉手及滑轨：抽屉面板要求使用45°斜切拉手工艺，避免使用明装拉手刮碰使用者。滑轨: 采用优质品牌滑轨，冷轧钢板，经电镀或喷涂处理，防锈力好，钢珠轴承作伸缩，不变形，推拉顺滑，平滑无噪音。耐久性开闭次数不少于3万次。</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4.抽屉配有外挂锁鼻。</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5.每个桌子配有五孔插座2个及网线插座一个。</w:t>
            </w:r>
            <w:r>
              <w:rPr>
                <w:rFonts w:hint="eastAsia" w:ascii="宋体" w:hAnsi="宋体" w:cs="宋体"/>
                <w:color w:val="000000"/>
                <w:sz w:val="24"/>
                <w:lang w:bidi="ar"/>
              </w:rPr>
            </w:r>
            <w:r/>
          </w:p>
        </w:tc>
      </w:tr>
      <w:tr>
        <w:trPr>
          <w:trHeight w:val="2393"/>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学习椅</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291465</wp:posOffset>
                      </wp:positionH>
                      <wp:positionV relativeFrom="paragraph">
                        <wp:posOffset>547370</wp:posOffset>
                      </wp:positionV>
                      <wp:extent cx="1656080" cy="13963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56080" cy="1396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1;o:allowoverlap:true;o:allowincell:true;mso-position-horizontal-relative:text;margin-left:22.9pt;mso-position-horizontal:absolute;mso-position-vertical-relative:text;margin-top:43.1pt;mso-position-vertical:absolute;width:130.4pt;height:109.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520*460*835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rPr>
            </w:pPr>
            <w:r>
              <w:rPr>
                <w:rFonts w:hint="eastAsia" w:ascii="宋体" w:hAnsi="宋体" w:cs="宋体"/>
                <w:color w:val="000000"/>
                <w:sz w:val="24"/>
                <w:lang w:bidi="ar"/>
              </w:rPr>
              <w:t xml:space="preserve">椅架：选用国标Φ28mm×1.5mm厚圆钢管，经激光裁切，折弯并焊接两根圆管为支撑横梁；距椅架钢管顶部20mm处朝后方向焊接两根Φ28mm圆管作网背支撑件，椅架经打磨、过酸洗做高温静电喷涂，漆面做磨砂处理。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靠背：背框以全新PP+纤经热注塑成型，背网选用耐磨耐刮涤纶工程网布，透气性强、挤压减震效果好；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靠背连接件：抛光铝合金材质后仰结构件，回弹机构使用4mm伸缩弹簧，加粗的弹簧有效增加腰部支撑及保证靠背回弹力度，同时延长使用寿命。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坐垫：压制弯曲木板承托高密高回弹海绵、饰以工程座布。</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管塞：PP+纤注塑成型。</w:t>
            </w:r>
            <w:r>
              <w:rPr>
                <w:rFonts w:hint="eastAsia" w:ascii="宋体" w:hAnsi="宋体" w:cs="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7</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1.0M床垫</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lang w:bidi="ar"/>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27631" cy="834847"/>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927631" cy="8348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51.8pt;height:65.7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1000*2000*100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椰棕技术材质要求：采用100%天然椰壳纤维，无杂质、无霉变、无异味，不含工业废料、再生纤维及有害化学物质；纤维规格：椰棕纤维长度≥5cm，纤维韧性强，不易断裂，经高温脱脂、脱糖、杀菌处理，有效去除虫卵、霉菌及异味；密度：椰棕层密度≥300kg/m³，按压无明显凹陷，回弹性能良好；粘合工艺：采用环保热熔胶粘合，无甲醛释放，胶黏剂符合GB 18583-2008《室内装饰装修材料 胶粘剂中有害物质限量》标准，禁止使用脲醛胶等有害胶黏剂；结构：椰棕层整体成型，无分层、无结块现象，厚度均匀。</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面料技术材质要求：采用透气针织面料（棉含量≥60%）或亚麻面料，手感柔软、透气吸汗，不起球、不褪色、不缩水（水洗后缩水率≤3%）；面料规格：纱支密度≥40支，克重≥180g/㎡，抗拉强度≥200N/5cm（经向、纬向），耐磨性能≥5000次（马丁代尔耐磨测试）；环保要求：面料无异味，</w:t>
            </w:r>
            <w:r>
              <w:rPr>
                <w:rFonts w:hint="eastAsia" w:ascii="宋体" w:hAnsi="宋体" w:cs="宋体"/>
                <w:color w:val="000000"/>
                <w:sz w:val="24"/>
                <w:lang w:val="en-US" w:eastAsia="zh-CN" w:bidi="ar"/>
              </w:rPr>
              <w:t xml:space="preserve">甲醛含量、</w:t>
            </w:r>
            <w:r>
              <w:rPr>
                <w:rFonts w:hint="eastAsia" w:ascii="宋体" w:hAnsi="宋体" w:cs="宋体"/>
                <w:color w:val="000000"/>
                <w:sz w:val="24"/>
                <w:lang w:bidi="ar"/>
              </w:rPr>
              <w:t xml:space="preserve">重金属（铅、镉等）含量符合GB 18401-2010《国家纺织产品基本安全技术规范》A类标准（直接接触皮肤类产品）；工艺：面料与椰棕层贴合紧密，无松动、起鼓，缝合线采用高强度涤纶线，针脚密度≥12针/10cm，缝合平整牢固。</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1.1M床垫</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320290" cy="100520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320290" cy="100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82.7pt;height:79.1pt;mso-wrap-distance-left:0.0pt;mso-wrap-distance-top:0.0pt;mso-wrap-distance-right:0.0pt;mso-wrap-distance-bottom:0.0pt;" stroked="f">
                      <v:path textboxrect="0,0,0,0"/>
                      <v:imagedata r:id="rId30"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1100*2100*100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椰棕技术材质要求：采用100%天然椰壳纤维，无杂质、无霉变、无异味，不含工业废料、再生纤维及有害化学物质；纤维规格：椰棕纤维长度≥5cm，纤维韧性强，不易断裂，经高温脱脂、脱糖、杀菌处理，有效去除虫卵、霉菌及异味；密度：椰棕层密度≥300kg/m³，按压无明显凹陷，回弹性能良好；粘合工艺：采用环保热熔胶粘合，无甲醛释放，胶黏剂符合GB 18583-2008《室内装饰装修材料 胶粘剂中有害物质限量》标准；禁止使用脲醛胶等有害胶黏剂；结构：椰棕层整体成型，无分层、无结块现象，厚度均匀。</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面料技术材质要求：采用透气针织面料（棉含量≥60%）或亚麻面料，手感柔软、透气吸汗，不起球、不褪色、不缩水（水洗后缩水率≤3%）；面料规格：纱支密度≥40支，克重≥180g/㎡，抗拉强度≥200N/5cm（经向、纬向），耐磨性能≥5000次（马丁代尔耐磨测试）；环保要求：面料无异味，</w:t>
            </w:r>
            <w:r>
              <w:rPr>
                <w:rFonts w:hint="eastAsia" w:ascii="宋体" w:hAnsi="宋体" w:cs="宋体"/>
                <w:color w:val="000000"/>
                <w:sz w:val="24"/>
                <w:lang w:val="en-US" w:eastAsia="zh-CN" w:bidi="ar"/>
              </w:rPr>
              <w:t xml:space="preserve">甲醛含量、</w:t>
            </w:r>
            <w:r>
              <w:rPr>
                <w:rFonts w:hint="eastAsia" w:ascii="宋体" w:hAnsi="宋体" w:cs="宋体"/>
                <w:color w:val="000000"/>
                <w:sz w:val="24"/>
                <w:lang w:bidi="ar"/>
              </w:rPr>
              <w:t xml:space="preserve">重金属（铅、镉等）含量符合GB 18401-2010《国家纺织产品基本安全技术规范》A类标准（直接接触皮肤类产品）；工艺：面料与椰棕层贴合紧密，无松动、起鼓，缝合线采用高强度涤纶线，针脚密度≥12针/10cm，缝合平整牢固。</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9</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鞋柜</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125751" cy="217495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2125751" cy="21749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67.4pt;height:171.3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239137" cy="115244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2239137" cy="11524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76.3pt;height:90.7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1500*360*1100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门板：抽屉面板要求使用45°斜切拉手工艺，避免使用明装拉手刮碰使用者。门铰：采用进口品牌阻尼门铰，合金(钢)基材，电镀处理，表面光亮美观，先进的表面镀镍工艺，防锈、防刮花能力强。开合不少于3万次无损坏的耐久试验。执行标准：QB/T 2189-2013《家具五金杯状暗铰链》。</w:t>
            </w:r>
            <w:r>
              <w:rPr>
                <w:rFonts w:hint="eastAsia" w:ascii="宋体" w:hAnsi="宋体" w:cs="宋体"/>
                <w:color w:val="000000"/>
                <w:sz w:val="24"/>
                <w:lang w:bidi="ar"/>
              </w:rPr>
            </w:r>
            <w:r/>
          </w:p>
        </w:tc>
      </w:tr>
    </w:tbl>
    <w:p>
      <w:pPr>
        <w:pStyle w:val="734"/>
        <w:tabs>
          <w:tab w:val="left" w:pos="1200" w:leader="none"/>
        </w:tabs>
        <w:rPr>
          <w:rFonts w:hint="eastAsia" w:ascii="宋体" w:hAnsi="宋体" w:cs="宋体"/>
          <w:b/>
          <w:color w:val="000000"/>
          <w:sz w:val="24"/>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注：尺寸参考图片，参考样式中图片的颜色仅作为参考，中标后在合同中由采购人确定颜色。</w:t>
      </w:r>
      <w:r>
        <w:rPr>
          <w:rFonts w:hint="eastAsia"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（1）1.0M单人床</w:t>
      </w:r>
      <w:r>
        <w:rPr>
          <w:rFonts w:hint="eastAsia" w:ascii="宋体" w:hAnsi="宋体" w:cs="宋体"/>
          <w:b/>
          <w:color w:val="000000"/>
          <w:sz w:val="24"/>
        </w:rPr>
      </w:r>
      <w:r/>
    </w:p>
    <w:p>
      <w:pPr>
        <w:pStyle w:val="734"/>
        <w:tabs>
          <w:tab w:val="left" w:pos="1200" w:leader="none"/>
        </w:tabs>
        <w:rPr>
          <w:rFonts w:ascii="宋体" w:hAnsi="宋体" w:cs="宋体"/>
          <w:b/>
          <w:color w:val="000000"/>
          <w:sz w:val="24"/>
        </w:rPr>
      </w:pPr>
      <w:r>
        <w:rPr>
          <w:color w:val="000000"/>
        </w:rPr>
        <mc:AlternateContent>
          <mc:Choice Requires="wpg">
            <w:drawing>
              <wp:inline xmlns:wp="http://schemas.openxmlformats.org/drawingml/2006/wordprocessingDrawing" distT="0" distB="0" distL="0" distR="0">
                <wp:extent cx="5262715" cy="2905658"/>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262715" cy="29056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4pt;height:228.8pt;mso-wrap-distance-left:0.0pt;mso-wrap-distance-top:0.0pt;mso-wrap-distance-right:0.0pt;mso-wrap-distance-bottom:0.0pt;" stroked="f">
                <v:path textboxrect="0,0,0,0"/>
                <v:imagedata r:id="rId33" o:title=""/>
              </v:shape>
            </w:pict>
          </mc:Fallback>
        </mc:AlternateContent>
      </w:r>
      <w:r>
        <w:rPr>
          <w:rFonts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（2）1.1M单人床</w:t>
      </w:r>
      <w:r>
        <w:rPr>
          <w:rFonts w:hint="eastAsia" w:ascii="宋体" w:hAnsi="宋体" w:cs="宋体"/>
          <w:b/>
          <w:color w:val="000000"/>
          <w:sz w:val="24"/>
        </w:rPr>
      </w:r>
      <w:r/>
    </w:p>
    <w:p>
      <w:pPr>
        <w:pStyle w:val="777"/>
        <w:rPr>
          <w:rFonts w:hint="eastAsia"/>
          <w:color w:val="000000"/>
        </w:rPr>
      </w:pPr>
      <w:r>
        <w:rPr>
          <w:rFonts w:hint="eastAsia"/>
          <w:color w:val="000000"/>
        </w:rPr>
        <mc:AlternateContent>
          <mc:Choice Requires="wpg">
            <w:drawing>
              <wp:inline xmlns:wp="http://schemas.openxmlformats.org/drawingml/2006/wordprocessingDrawing" distT="0" distB="0" distL="0" distR="0">
                <wp:extent cx="5262715" cy="334151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262715" cy="334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4pt;height:263.1pt;mso-wrap-distance-left:0.0pt;mso-wrap-distance-top:0.0pt;mso-wrap-distance-right:0.0pt;mso-wrap-distance-bottom:0.0pt;" stroked="f">
                <v:path textboxrect="0,0,0,0"/>
                <v:imagedata r:id="rId34" o:title=""/>
              </v:shape>
            </w:pict>
          </mc:Fallback>
        </mc:AlternateContent>
      </w:r>
      <w:r>
        <w:rPr>
          <w:rFonts w:hint="eastAsia"/>
          <w:color w:val="000000"/>
        </w:rPr>
      </w:r>
      <w:r/>
    </w:p>
    <w:p>
      <w:pPr>
        <w:pStyle w:val="734"/>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734"/>
        <w:tabs>
          <w:tab w:val="left" w:pos="1200" w:leader="none"/>
        </w:tabs>
        <w:rPr>
          <w:rFonts w:ascii="宋体" w:hAnsi="宋体" w:cs="宋体"/>
          <w:b/>
          <w:color w:val="000000"/>
          <w:sz w:val="24"/>
        </w:rPr>
      </w:pPr>
      <w:r>
        <w:rPr>
          <w:rFonts w:hint="eastAsia" w:ascii="宋体" w:hAnsi="宋体" w:cs="宋体"/>
          <w:b/>
          <w:color w:val="000000"/>
          <w:sz w:val="24"/>
        </w:rPr>
        <w:t xml:space="preserve">（3）床头柜</w:t>
      </w:r>
      <w:r>
        <w:rPr>
          <w:rFonts w:ascii="宋体" w:hAnsi="宋体" w:cs="宋体"/>
          <w:b/>
          <w:color w:val="000000"/>
          <w:sz w:val="24"/>
        </w:rPr>
      </w:r>
      <w:r/>
    </w:p>
    <w:p>
      <w:pPr>
        <w:pStyle w:val="734"/>
        <w:spacing w:line="360" w:lineRule="auto"/>
        <w:rPr>
          <w:rFonts w:hint="eastAsia" w:ascii="宋体" w:hAnsi="宋体" w:cs="宋体"/>
          <w:b/>
          <w:color w:val="000000"/>
        </w:rPr>
      </w:pPr>
      <w:r>
        <w:rPr>
          <w:rFonts w:hint="eastAsia" w:ascii="宋体" w:hAnsi="宋体" w:cs="宋体"/>
          <w:b/>
          <w:color w:val="000000"/>
          <w:sz w:val="24"/>
        </w:rPr>
        <w:t xml:space="preserve"> </w:t>
      </w:r>
      <w:r>
        <w:rPr>
          <w:rFonts w:hint="eastAsia"/>
          <w:color w:val="000000"/>
        </w:rPr>
        <mc:AlternateContent>
          <mc:Choice Requires="wpg">
            <w:drawing>
              <wp:inline xmlns:wp="http://schemas.openxmlformats.org/drawingml/2006/wordprocessingDrawing" distT="0" distB="0" distL="0" distR="0">
                <wp:extent cx="3350819" cy="5355463"/>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rot="16199999">
                          <a:off x="0" y="0"/>
                          <a:ext cx="3350819" cy="53554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63.8pt;height:421.7pt;mso-wrap-distance-left:0.0pt;mso-wrap-distance-top:0.0pt;mso-wrap-distance-right:0.0pt;mso-wrap-distance-bottom:0.0pt;rotation:269;" stroked="f">
                <v:path textboxrect="0,0,0,0"/>
                <v:imagedata r:id="rId35" o:title=""/>
              </v:shape>
            </w:pict>
          </mc:Fallback>
        </mc:AlternateContent>
      </w:r>
      <w:r>
        <w:rPr>
          <w:rFonts w:hint="eastAsia" w:ascii="宋体" w:hAnsi="宋体" w:cs="宋体"/>
          <w:b/>
          <w:color w:val="000000"/>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（4）衣柜</w:t>
      </w:r>
      <w:r>
        <w:rPr>
          <w:rFonts w:hint="eastAsia" w:ascii="宋体" w:hAnsi="宋体" w:cs="宋体"/>
          <w:b/>
          <w:color w:val="000000"/>
          <w:sz w:val="24"/>
        </w:rPr>
      </w:r>
      <w:r/>
    </w:p>
    <w:p>
      <w:pPr>
        <w:pStyle w:val="734"/>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2875318" cy="539998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rot="16199999">
                          <a:off x="0" y="0"/>
                          <a:ext cx="2875318" cy="5399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26.4pt;height:425.2pt;mso-wrap-distance-left:0.0pt;mso-wrap-distance-top:0.0pt;mso-wrap-distance-right:0.0pt;mso-wrap-distance-bottom:0.0pt;rotation:269;" stroked="f">
                <v:path textboxrect="0,0,0,0"/>
                <v:imagedata r:id="rId36" o:title=""/>
              </v:shape>
            </w:pict>
          </mc:Fallback>
        </mc:AlternateContent>
      </w:r>
      <w:r>
        <w:rPr>
          <w:rFonts w:hint="eastAsia"/>
          <w:color w:val="000000"/>
        </w:rPr>
      </w:r>
      <w:r/>
    </w:p>
    <w:p>
      <w:pPr>
        <w:pStyle w:val="734"/>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（5）学习桌</w:t>
      </w:r>
      <w:r>
        <w:rPr>
          <w:rFonts w:hint="eastAsia" w:ascii="宋体" w:hAnsi="宋体" w:cs="宋体"/>
          <w:b/>
          <w:color w:val="000000"/>
          <w:sz w:val="24"/>
        </w:rPr>
      </w:r>
      <w:r/>
    </w:p>
    <w:p>
      <w:pPr>
        <w:pStyle w:val="734"/>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3862515" cy="546398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rot="16199999">
                          <a:off x="0" y="0"/>
                          <a:ext cx="3862515" cy="546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04.1pt;height:430.2pt;mso-wrap-distance-left:0.0pt;mso-wrap-distance-top:0.0pt;mso-wrap-distance-right:0.0pt;mso-wrap-distance-bottom:0.0pt;rotation:269;" stroked="f">
                <v:path textboxrect="0,0,0,0"/>
                <v:imagedata r:id="rId37" o:title=""/>
              </v:shape>
            </w:pict>
          </mc:Fallback>
        </mc:AlternateContent>
      </w:r>
      <w:r>
        <w:rPr>
          <w:rFonts w:hint="eastAsia"/>
          <w:color w:val="000000"/>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（6）鞋柜</w:t>
      </w:r>
      <w:r>
        <w:rPr>
          <w:rFonts w:hint="eastAsia" w:ascii="宋体" w:hAnsi="宋体" w:cs="宋体"/>
          <w:b/>
          <w:color w:val="000000"/>
          <w:sz w:val="24"/>
        </w:rPr>
      </w:r>
      <w:r/>
    </w:p>
    <w:p>
      <w:pPr>
        <w:pStyle w:val="734"/>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3862108" cy="5462372"/>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rot="16199999">
                          <a:off x="0" y="0"/>
                          <a:ext cx="3862108" cy="54623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04.1pt;height:430.1pt;mso-wrap-distance-left:0.0pt;mso-wrap-distance-top:0.0pt;mso-wrap-distance-right:0.0pt;mso-wrap-distance-bottom:0.0pt;rotation:269;" stroked="f">
                <v:path textboxrect="0,0,0,0"/>
                <v:imagedata r:id="rId38" o:title=""/>
              </v:shape>
            </w:pict>
          </mc:Fallback>
        </mc:AlternateContent>
      </w:r>
      <w:r>
        <w:rPr>
          <w:rFonts w:hint="eastAsia"/>
          <w:color w:val="000000"/>
        </w:rPr>
      </w:r>
      <w:r/>
    </w:p>
    <w:p>
      <w:pPr>
        <w:pStyle w:val="734"/>
        <w:spacing w:line="360" w:lineRule="auto"/>
        <w:rPr>
          <w:rFonts w:hint="eastAsia" w:ascii="宋体" w:hAnsi="宋体" w:cs="宋体"/>
          <w:b/>
          <w:bCs/>
          <w:color w:val="000000"/>
          <w:sz w:val="24"/>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、样品要求</w:t>
      </w:r>
      <w:r>
        <w:rPr>
          <w:rFonts w:hint="eastAsia" w:ascii="宋体" w:hAnsi="宋体" w:cs="宋体"/>
          <w:b/>
          <w:bCs/>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（一）本项目采购人认为需要对样品进行主观判断以确认是否满足采购需求，要求投标人提供样品，具体样品要求如下：</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1、要求投标人提供样品明细。</w:t>
      </w:r>
      <w:r>
        <w:rPr>
          <w:rFonts w:hint="eastAsia" w:ascii="宋体" w:hAnsi="宋体" w:cs="宋体"/>
          <w:color w:val="000000"/>
          <w:sz w:val="24"/>
        </w:rPr>
      </w:r>
      <w:r/>
    </w:p>
    <w:tbl>
      <w:tblPr>
        <w:tblW w:w="5196" w:type="pct"/>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27"/>
        <w:gridCol w:w="1805"/>
        <w:gridCol w:w="1862"/>
        <w:gridCol w:w="821"/>
        <w:gridCol w:w="2156"/>
      </w:tblGrid>
      <w:tr>
        <w:trPr>
          <w:trHeight w:val="567"/>
        </w:trPr>
        <w:tc>
          <w:tcPr>
            <w:tcW w:w="440"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806"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产品名称</w:t>
            </w:r>
            <w:r>
              <w:rPr>
                <w:rFonts w:hint="eastAsia" w:ascii="宋体" w:hAnsi="宋体" w:cs="宋体"/>
                <w:b/>
                <w:bCs/>
                <w:color w:val="000000"/>
                <w:sz w:val="24"/>
              </w:rPr>
            </w:r>
            <w:r/>
          </w:p>
        </w:tc>
        <w:tc>
          <w:tcPr>
            <w:tcW w:w="1020"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规格</w:t>
            </w:r>
            <w:r>
              <w:rPr>
                <w:rFonts w:hint="eastAsia" w:ascii="宋体" w:hAnsi="宋体" w:cs="宋体"/>
                <w:b/>
                <w:bCs/>
                <w:color w:val="000000"/>
                <w:sz w:val="24"/>
              </w:rPr>
            </w:r>
            <w:r/>
          </w:p>
        </w:tc>
        <w:tc>
          <w:tcPr>
            <w:tcW w:w="1052"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技术参数要求</w:t>
            </w:r>
            <w:r>
              <w:rPr>
                <w:rFonts w:hint="eastAsia" w:ascii="宋体" w:hAnsi="宋体" w:cs="宋体"/>
                <w:b/>
                <w:bCs/>
                <w:color w:val="000000"/>
                <w:sz w:val="24"/>
              </w:rPr>
            </w:r>
            <w:r/>
          </w:p>
        </w:tc>
        <w:tc>
          <w:tcPr>
            <w:tcW w:w="464" w:type="dxa"/>
            <w:vAlign w:val="center"/>
            <w:textDirection w:val="lrTb"/>
            <w:noWrap w:val="false"/>
          </w:tcPr>
          <w:p>
            <w:pPr>
              <w:pStyle w:val="734"/>
              <w:jc w:val="center"/>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W w:w="1215"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图样</w:t>
            </w:r>
            <w:r>
              <w:rPr>
                <w:rFonts w:hint="eastAsia" w:ascii="宋体" w:hAnsi="宋体" w:cs="宋体"/>
                <w:b/>
                <w:bCs/>
                <w:color w:val="000000"/>
                <w:sz w:val="24"/>
              </w:rPr>
            </w:r>
            <w:r/>
          </w:p>
        </w:tc>
      </w:tr>
      <w:tr>
        <w:trPr>
          <w:trHeight w:val="567"/>
        </w:trPr>
        <w:tc>
          <w:tcPr>
            <w:tcW w:w="44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806" w:type="dxa"/>
            <w:vAlign w:val="center"/>
            <w:textDirection w:val="lrTb"/>
            <w:noWrap w:val="false"/>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单人床</w:t>
            </w:r>
            <w:r>
              <w:rPr>
                <w:rFonts w:hint="eastAsia" w:ascii="宋体" w:hAnsi="宋体" w:cs="宋体"/>
                <w:color w:val="000000"/>
                <w:sz w:val="24"/>
              </w:rPr>
            </w:r>
            <w:r/>
          </w:p>
        </w:tc>
        <w:tc>
          <w:tcPr>
            <w:tcW w:w="1020" w:type="dxa"/>
            <w:vAlign w:val="center"/>
            <w:textDirection w:val="lrTb"/>
            <w:noWrap w:val="false"/>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2000*1000*350</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床靠背尺寸：</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1000*1020*25</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1000*450*18</w:t>
            </w:r>
            <w:r>
              <w:rPr>
                <w:rFonts w:hint="eastAsia" w:ascii="宋体" w:hAnsi="宋体" w:cs="宋体"/>
                <w:color w:val="000000"/>
                <w:sz w:val="24"/>
                <w:lang w:bidi="ar"/>
              </w:rPr>
            </w:r>
            <w:r/>
          </w:p>
        </w:tc>
        <w:tc>
          <w:tcPr>
            <w:tcW w:w="1052"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1套</w:t>
            </w:r>
            <w:r>
              <w:rPr>
                <w:rFonts w:ascii="宋体" w:hAnsi="宋体" w:cs="宋体"/>
                <w:color w:val="000000"/>
                <w:sz w:val="24"/>
              </w:rPr>
            </w:r>
            <w:r/>
          </w:p>
        </w:tc>
        <w:tc>
          <w:tcPr>
            <w:tcW w:w="1215" w:type="dxa"/>
            <w:vAlign w:val="center"/>
            <w:textDirection w:val="lrTb"/>
            <w:noWrap w:val="false"/>
          </w:tcPr>
          <w:p>
            <w:pPr>
              <w:pStyle w:val="734"/>
              <w:jc w:val="center"/>
              <w:widowControl/>
              <w:rPr>
                <w:rFonts w:hint="eastAsia" w:ascii="宋体" w:hAnsi="宋体" w:cs="宋体"/>
                <w:color w:val="000000"/>
                <w:sz w:val="20"/>
                <w:szCs w:val="20"/>
              </w:rPr>
            </w:pPr>
            <w:r>
              <w:rPr>
                <w:color w:val="000000"/>
                <w:sz w:val="18"/>
                <w:szCs w:val="21"/>
              </w:rPr>
              <mc:AlternateContent>
                <mc:Choice Requires="wpg">
                  <w:drawing>
                    <wp:inline xmlns:wp="http://schemas.openxmlformats.org/drawingml/2006/wordprocessingDrawing" distT="0" distB="0" distL="0" distR="0">
                      <wp:extent cx="1037471" cy="953761"/>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37471" cy="9537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1.7pt;height:75.1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0"/>
                <w:szCs w:val="20"/>
              </w:rPr>
            </w:r>
            <w:r/>
          </w:p>
        </w:tc>
      </w:tr>
      <w:tr>
        <w:trPr>
          <w:trHeight w:val="567"/>
        </w:trPr>
        <w:tc>
          <w:tcPr>
            <w:tcW w:w="440"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806"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衣柜</w:t>
            </w:r>
            <w:r>
              <w:rPr>
                <w:rFonts w:hint="eastAsia" w:ascii="宋体" w:hAnsi="宋体" w:cs="宋体"/>
                <w:color w:val="000000"/>
                <w:sz w:val="24"/>
              </w:rPr>
            </w:r>
            <w:r/>
          </w:p>
        </w:tc>
        <w:tc>
          <w:tcPr>
            <w:tcW w:w="102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W w:w="1052"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1套</w:t>
            </w:r>
            <w:r>
              <w:rPr>
                <w:rFonts w:hint="eastAsia" w:ascii="宋体" w:hAnsi="宋体" w:cs="宋体"/>
                <w:color w:val="000000"/>
                <w:sz w:val="24"/>
              </w:rPr>
            </w:r>
            <w:r/>
          </w:p>
        </w:tc>
        <w:tc>
          <w:tcPr>
            <w:tcW w:w="1215" w:type="dxa"/>
            <w:vAlign w:val="center"/>
            <w:textDirection w:val="lrTb"/>
            <w:noWrap w:val="false"/>
          </w:tcPr>
          <w:p>
            <w:pPr>
              <w:pStyle w:val="734"/>
              <w:jc w:val="center"/>
              <w:widowControl/>
              <w:rPr>
                <w:rFonts w:hint="eastAsia" w:ascii="宋体" w:hAnsi="宋体" w:cs="宋体"/>
                <w:color w:val="000000"/>
                <w:sz w:val="20"/>
                <w:szCs w:val="20"/>
              </w:rPr>
            </w:pPr>
            <w:r>
              <w:rPr>
                <w:color w:val="000000"/>
              </w:rPr>
              <mc:AlternateContent>
                <mc:Choice Requires="wpg">
                  <w:drawing>
                    <wp:inline xmlns:wp="http://schemas.openxmlformats.org/drawingml/2006/wordprocessingDrawing" distT="0" distB="0" distL="0" distR="0">
                      <wp:extent cx="778017" cy="154495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78017" cy="1544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1.3pt;height:121.6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0"/>
                <w:szCs w:val="20"/>
              </w:rPr>
            </w:r>
            <w:r/>
          </w:p>
        </w:tc>
      </w:tr>
      <w:tr>
        <w:trPr>
          <w:trHeight w:val="1461"/>
        </w:trPr>
        <w:tc>
          <w:tcPr>
            <w:tcW w:w="44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806"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学习桌</w:t>
            </w:r>
            <w:r>
              <w:rPr>
                <w:rFonts w:hint="eastAsia" w:ascii="宋体" w:hAnsi="宋体" w:cs="宋体"/>
                <w:color w:val="000000"/>
                <w:sz w:val="24"/>
              </w:rPr>
            </w:r>
            <w:r/>
          </w:p>
        </w:tc>
        <w:tc>
          <w:tcPr>
            <w:tcW w:w="102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W w:w="1052" w:type="dxa"/>
            <w:vAlign w:val="center"/>
            <w:textDirection w:val="lrTb"/>
            <w:noWrap w:val="false"/>
          </w:tcPr>
          <w:p>
            <w:pPr>
              <w:pStyle w:val="734"/>
              <w:jc w:val="center"/>
              <w:widowControl/>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734"/>
              <w:jc w:val="center"/>
              <w:widowControl/>
              <w:rPr>
                <w:rFonts w:ascii="宋体" w:hAnsi="宋体" w:cs="宋体"/>
                <w:color w:val="000000"/>
                <w:sz w:val="24"/>
              </w:rPr>
            </w:pPr>
            <w:r>
              <w:rPr>
                <w:rFonts w:hint="eastAsia" w:ascii="宋体" w:hAnsi="宋体" w:cs="宋体"/>
                <w:color w:val="000000"/>
                <w:sz w:val="24"/>
              </w:rPr>
              <w:t xml:space="preserve">1张</w:t>
            </w:r>
            <w:r>
              <w:rPr>
                <w:rFonts w:ascii="宋体" w:hAnsi="宋体" w:cs="宋体"/>
                <w:color w:val="000000"/>
                <w:sz w:val="24"/>
              </w:rPr>
            </w:r>
            <w:r/>
          </w:p>
        </w:tc>
        <w:tc>
          <w:tcPr>
            <w:tcW w:w="1215" w:type="dxa"/>
            <w:vAlign w:val="center"/>
            <w:textDirection w:val="lrTb"/>
            <w:noWrap w:val="false"/>
          </w:tcPr>
          <w:p>
            <w:pPr>
              <w:pStyle w:val="734"/>
              <w:jc w:val="center"/>
              <w:widowControl/>
              <w:rPr>
                <w:rFonts w:hint="eastAsia" w:ascii="宋体" w:hAnsi="宋体" w:cs="宋体"/>
                <w:color w:val="000000"/>
                <w:sz w:val="24"/>
              </w:rPr>
            </w:pPr>
            <w:r>
              <w:rPr>
                <w:color w:val="000000"/>
              </w:rPr>
              <mc:AlternateContent>
                <mc:Choice Requires="wpg">
                  <w:drawing>
                    <wp:inline xmlns:wp="http://schemas.openxmlformats.org/drawingml/2006/wordprocessingDrawing" distT="0" distB="0" distL="0" distR="0">
                      <wp:extent cx="1102294" cy="82672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02294" cy="82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6.8pt;height:65.1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4"/>
              </w:rPr>
            </w:r>
            <w:r/>
          </w:p>
        </w:tc>
      </w:tr>
      <w:tr>
        <w:trPr>
          <w:trHeight w:val="567"/>
        </w:trPr>
        <w:tc>
          <w:tcPr>
            <w:gridSpan w:val="6"/>
            <w:tcW w:w="8850"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说明：表中“产品名称”是招标文件第六章《采购需求》中“三、技术规格参数要求”对应“产品名称”的产品。</w:t>
            </w:r>
            <w:r>
              <w:rPr>
                <w:rFonts w:hint="eastAsia" w:ascii="宋体" w:hAnsi="宋体" w:cs="宋体"/>
                <w:color w:val="000000"/>
                <w:sz w:val="24"/>
              </w:rPr>
            </w:r>
            <w:r/>
          </w:p>
        </w:tc>
      </w:tr>
    </w:tbl>
    <w:p>
      <w:pPr>
        <w:pStyle w:val="734"/>
        <w:spacing w:line="240" w:lineRule="auto"/>
        <w:rPr>
          <w:rFonts w:hint="eastAsia" w:ascii="宋体" w:hAnsi="宋体" w:cs="宋体"/>
          <w:color w:val="000000"/>
          <w:sz w:val="24"/>
        </w:rPr>
      </w:pP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（二）提供样品的标识及密封：样品应当注明投标人名称、项目编号，样品名称。</w:t>
      </w:r>
      <w:r>
        <w:rPr>
          <w:rFonts w:hint="eastAsia" w:ascii="宋体" w:hAnsi="宋体" w:cs="宋体"/>
          <w:color w:val="000000"/>
          <w:sz w:val="24"/>
        </w:rPr>
      </w:r>
      <w:r/>
    </w:p>
    <w:p>
      <w:pPr>
        <w:pStyle w:val="73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（三）样品提供时间：2026年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日08：00至10：00。</w:t>
      </w:r>
      <w:r>
        <w:rPr>
          <w:rFonts w:hint="eastAsia" w:ascii="宋体" w:hAnsi="宋体" w:cs="宋体"/>
          <w:color w:val="000000"/>
          <w:sz w:val="24"/>
          <w:highlight w:val="none"/>
        </w:rPr>
      </w:r>
      <w:r/>
    </w:p>
    <w:p>
      <w:pPr>
        <w:pStyle w:val="73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（四）样品接收地点：徐州市泉山区软件园路6号徐州软件园C-1号楼，因样品过大，送达前电话联系。</w:t>
      </w:r>
      <w:r>
        <w:rPr>
          <w:rFonts w:hint="eastAsia" w:ascii="宋体" w:hAnsi="宋体" w:cs="宋体"/>
          <w:color w:val="000000"/>
          <w:sz w:val="24"/>
          <w:highlight w:val="none"/>
        </w:rPr>
      </w:r>
      <w:r/>
    </w:p>
    <w:p>
      <w:pPr>
        <w:pStyle w:val="73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（五）样品接收时间：2026年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日08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0至</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w:t>
      </w:r>
      <w:r>
        <w:rPr>
          <w:rFonts w:hint="eastAsia" w:ascii="宋体" w:hAnsi="宋体" w:cs="宋体"/>
          <w:color w:val="000000"/>
          <w:sz w:val="24"/>
          <w:highlight w:val="none"/>
        </w:rPr>
      </w:r>
      <w:r/>
    </w:p>
    <w:p>
      <w:pPr>
        <w:pStyle w:val="734"/>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（六）接收单位：徐州医科大学（采购人）、江苏海外集团国际工程咨询有限公司（采购代理机构）</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734"/>
        <w:ind w:firstLine="480"/>
        <w:spacing w:line="360" w:lineRule="auto"/>
        <w:rPr>
          <w:rFonts w:hint="eastAsia" w:ascii="宋体" w:hAnsi="宋体" w:eastAsia="宋体" w:cs="宋体"/>
          <w:color w:val="000000"/>
          <w:sz w:val="24"/>
          <w:highlight w:val="yellow"/>
          <w:lang w:val="en-US" w:eastAsia="zh-CN"/>
        </w:rP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赵丽梅</w:t>
      </w:r>
      <w:r>
        <w:rPr>
          <w:rFonts w:hint="eastAsia" w:ascii="宋体" w:hAnsi="宋体" w:eastAsia="宋体" w:cs="宋体"/>
          <w:color w:val="000000"/>
          <w:sz w:val="24"/>
          <w:highlight w:val="yellow"/>
          <w:lang w:val="en-US" w:eastAsia="zh-CN"/>
        </w:rPr>
      </w:r>
      <w:r/>
    </w:p>
    <w:p>
      <w:pPr>
        <w:pStyle w:val="734"/>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rPr>
        <w:t xml:space="preserve">联系电话：</w:t>
      </w:r>
      <w:r>
        <w:rPr>
          <w:rFonts w:hint="eastAsia" w:ascii="宋体" w:hAnsi="宋体" w:cs="宋体"/>
          <w:color w:val="000000"/>
          <w:sz w:val="24"/>
          <w:lang w:val="en-US" w:eastAsia="zh-CN"/>
        </w:rPr>
        <w:t xml:space="preserve">15852488944</w:t>
      </w:r>
      <w:r>
        <w:rPr>
          <w:rFonts w:ascii="宋体" w:hAnsi="宋体" w:eastAsia="宋体" w:cs="宋体"/>
          <w:color w:val="000000"/>
          <w:sz w:val="24"/>
          <w:lang w:val="en-US" w:eastAsia="zh-CN"/>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（七）具体要求</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1、投标人需自行搬运样品，样品摆放位置由采购人指定。</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2、投标人负责落实搬运过程中的保护措施，如因投标人原因损坏墙面、地面或其他相关设施的，投标人照价赔偿。</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3、投标人按照上述“1、要求投标人提供样品明细”要求提供样品，采购人或采购代理机构有权拒绝接收非明细中的其他物品。</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（八）说明：</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1、样品由采购人或采购代理机构签收。样品接收截止时间一到，不再接收任何样品，并即刻清场，任何人不得逗留。</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2、采购活动结束后，中标人提供的样品由采购人进行保管、封存，并作为履约验收参考。未中标供应商的样品应在宣布评标结果后取回，具体取回的时间由采购人或采购代理机构确定,未按采购人或采购代理机构规定的时间取回的样品，采购人或采购代理机构有权自行处置，并不承担任何责任。</w:t>
      </w:r>
      <w:r>
        <w:rPr>
          <w:rFonts w:hint="eastAsia" w:ascii="宋体" w:hAnsi="宋体" w:cs="宋体"/>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、交货期限：</w:t>
      </w:r>
      <w:r>
        <w:rPr>
          <w:rFonts w:hint="eastAsia" w:ascii="宋体" w:hAnsi="宋体" w:cs="宋体"/>
          <w:b/>
          <w:color w:val="000000"/>
          <w:sz w:val="24"/>
        </w:rPr>
      </w:r>
      <w:r/>
    </w:p>
    <w:p>
      <w:pPr>
        <w:pStyle w:val="734"/>
        <w:spacing w:line="360" w:lineRule="auto"/>
        <w:rPr>
          <w:rFonts w:hint="eastAsia" w:ascii="宋体" w:hAnsi="宋体" w:cs="宋体"/>
          <w:b/>
          <w:color w:val="000000"/>
        </w:rPr>
      </w:pPr>
      <w:r>
        <w:rPr>
          <w:rFonts w:hint="eastAsia" w:ascii="宋体" w:hAnsi="宋体" w:cs="宋体"/>
          <w:b/>
          <w:color w:val="000000"/>
          <w:sz w:val="24"/>
        </w:rPr>
        <w:t xml:space="preserve">（一）交货期限具体要求：合同签订生效后，与甲方确定开始安装时间，家具需在采购单位要求的15个日历天内完成供货并安装调试完毕（地址为采购人指定地点）。</w:t>
      </w:r>
      <w:r>
        <w:rPr>
          <w:rFonts w:hint="eastAsia" w:ascii="宋体" w:hAnsi="宋体" w:cs="宋体"/>
          <w:b/>
          <w:color w:val="000000"/>
        </w:rPr>
      </w:r>
      <w:r/>
    </w:p>
    <w:p>
      <w:pPr>
        <w:pStyle w:val="734"/>
        <w:spacing w:line="360" w:lineRule="auto"/>
        <w:rPr>
          <w:rFonts w:hint="eastAsia" w:ascii="宋体" w:hAnsi="宋体" w:cs="宋体"/>
          <w:b/>
          <w:color w:val="000000"/>
          <w:sz w:val="24"/>
        </w:rPr>
      </w:pPr>
      <w:r>
        <w:rPr>
          <w:rFonts w:hint="eastAsia" w:ascii="宋体" w:hAnsi="宋体" w:cs="宋体"/>
          <w:b/>
          <w:color w:val="000000"/>
          <w:sz w:val="24"/>
        </w:rPr>
        <w:t xml:space="preserve">说明：本“交货期限具体要求”为不允许偏离的实质性要求和条件，如有偏离，在符合性审查时按照投标无效处理。</w:t>
      </w:r>
      <w:r>
        <w:rPr>
          <w:rFonts w:hint="eastAsia" w:ascii="宋体" w:hAnsi="宋体" w:cs="宋体"/>
          <w:b/>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、质量管控要求</w:t>
      </w:r>
      <w:r>
        <w:rPr>
          <w:rFonts w:hint="eastAsia" w:ascii="宋体" w:hAnsi="宋体" w:cs="宋体"/>
          <w:b/>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1、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2、在质量管理上，严格按照规范要求，建立完善的质量管理体系，全面把控实施过程，保证每道工序的实施质量符合标准。每个阶段实施的质量应自检自查，对产品进行全程跟踪监管，严格质量管控。</w:t>
      </w:r>
      <w:r>
        <w:rPr>
          <w:rFonts w:hint="eastAsia" w:ascii="宋体" w:hAnsi="宋体" w:cs="宋体"/>
          <w:bCs/>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八</w:t>
      </w:r>
      <w:r>
        <w:rPr>
          <w:rFonts w:hint="eastAsia" w:ascii="宋体" w:hAnsi="宋体" w:cs="宋体"/>
          <w:b/>
          <w:color w:val="000000"/>
          <w:sz w:val="24"/>
        </w:rPr>
        <w:t xml:space="preserve">、配送、安装要求</w:t>
      </w:r>
      <w:r>
        <w:rPr>
          <w:rFonts w:hint="eastAsia" w:ascii="宋体" w:hAnsi="宋体" w:cs="宋体"/>
          <w:b/>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rPr>
        <w:t xml:space="preserve">（一）配送、安装具体要求</w:t>
      </w:r>
      <w:r>
        <w:rPr>
          <w:rFonts w:hint="eastAsia" w:ascii="宋体" w:hAnsi="宋体" w:cs="宋体"/>
          <w:b/>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1、成立配送安装小组,指定具体负责人。</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2、家具出厂前，必须明确安装/维修要求，备齐所需工具及操作图纸。</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4、家具送到采购人指定地点，应当铺垫衬垫物后，整齐有序堆放，避免因堆放不当而引起的损坏。由中标人（合同卖方）负责组合安装, 安装所需辅材由中标人提供。安装所有相关辅材必须符合强制性标准（如有）。</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5、如配件或成品有质量问题，应按规定程序回厂调换合格部件后再行安装。</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6、安装完毕后，安装负责人逐项进行检验。将产品的可视面揩拭干净。由于地面不平整，影响产品正常使用的，安装人员应负责将产品垫平，直至产品能正常使用，达到采购人满意。</w:t>
      </w:r>
      <w:r>
        <w:rPr>
          <w:rFonts w:hint="eastAsia" w:ascii="宋体" w:hAnsi="宋体" w:cs="宋体"/>
          <w:bCs/>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rPr>
        <w:t xml:space="preserve">（二）配送安装保障措施要求</w:t>
      </w:r>
      <w:r>
        <w:rPr>
          <w:rFonts w:hint="eastAsia" w:ascii="宋体" w:hAnsi="宋体" w:cs="宋体"/>
          <w:b/>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 1、向采购人提供准确的物流信息，对配送过程进行实时监控，出现问题，及时反馈并积极协调解决。</w:t>
      </w:r>
      <w:r>
        <w:rPr>
          <w:rFonts w:hint="eastAsia" w:ascii="宋体" w:hAnsi="宋体" w:cs="宋体"/>
          <w:bCs/>
          <w:color w:val="000000"/>
          <w:sz w:val="24"/>
        </w:rPr>
      </w:r>
      <w:r/>
    </w:p>
    <w:p>
      <w:pPr>
        <w:pStyle w:val="734"/>
        <w:spacing w:line="360" w:lineRule="auto"/>
        <w:rPr>
          <w:rFonts w:hint="eastAsia" w:ascii="宋体" w:hAnsi="宋体" w:cs="宋体"/>
          <w:bCs/>
          <w:sz w:val="24"/>
        </w:rPr>
      </w:pPr>
      <w:r>
        <w:rPr>
          <w:rFonts w:hint="eastAsia" w:ascii="宋体" w:hAnsi="宋体" w:cs="宋体"/>
          <w:bCs/>
          <w:color w:val="000000"/>
          <w:sz w:val="24"/>
        </w:rPr>
        <w:t xml:space="preserve">2、专人押运：为了避免因人为原因而产生问题，采用专业人员驾驶运输车辆并配备充足的工具和设备，确保运输过程中的安全。在家具运输过程中，采取多种措施，包括缓冲、固定、包覆、避免磕碰等，以确保家具能够安全到达</w:t>
      </w:r>
      <w:r>
        <w:rPr>
          <w:rFonts w:hint="eastAsia" w:ascii="宋体" w:hAnsi="宋体" w:cs="宋体"/>
          <w:bCs/>
          <w:sz w:val="24"/>
        </w:rPr>
        <w:t xml:space="preserve">。</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3、准备专业的安装工具和人员，在家具运达之后，根据安装图纸及场地环境，明确安装顺序,免费安装。强调施工人员必须遵守相关安全规定，并提供必要的个人防护设备。</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4、对安装人员进行必要的培训，使其熟悉家具组装流程和技术要求。</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lang w:val="en-US" w:eastAsia="zh-CN"/>
        </w:rPr>
        <w:t xml:space="preserve">九</w:t>
      </w:r>
      <w:r>
        <w:rPr>
          <w:rFonts w:hint="eastAsia" w:ascii="宋体" w:hAnsi="宋体" w:cs="宋体"/>
          <w:b/>
          <w:sz w:val="24"/>
        </w:rPr>
        <w:t xml:space="preserve">、售后服务要求</w:t>
      </w:r>
      <w:r>
        <w:rPr>
          <w:rFonts w:hint="eastAsia" w:ascii="宋体" w:hAnsi="宋体" w:cs="宋体"/>
          <w:b/>
          <w:sz w:val="24"/>
        </w:rPr>
      </w:r>
      <w:r/>
    </w:p>
    <w:p>
      <w:pPr>
        <w:pStyle w:val="734"/>
        <w:spacing w:line="360" w:lineRule="auto"/>
        <w:rPr>
          <w:rFonts w:hint="eastAsia" w:ascii="宋体" w:hAnsi="宋体" w:cs="宋体"/>
          <w:bCs/>
          <w:sz w:val="24"/>
        </w:rPr>
      </w:pPr>
      <w:r>
        <w:rPr>
          <w:rFonts w:hint="eastAsia" w:ascii="宋体" w:hAnsi="宋体" w:cs="宋体"/>
          <w:b/>
          <w:sz w:val="24"/>
        </w:rPr>
        <w:t xml:space="preserve">（一）质保期要求：全套货物提供原厂五年的免费质保（含配件），</w:t>
      </w:r>
      <w:r>
        <w:rPr>
          <w:rFonts w:hint="eastAsia" w:ascii="宋体" w:hAnsi="宋体" w:cs="宋体"/>
          <w:bCs/>
          <w:sz w:val="24"/>
        </w:rPr>
        <w:t xml:space="preserve">按国家有关产品“三包”规定执行“三包”，终身维修，保修期自验收合格之日起计算。</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（二）质保期内的服务要求：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质保期内如出现严重质量问题，中标人接到保修请求，应在2小时内响应，8小时内维修工程师到达现场，必要时应向采购人提供应急备用产品供采购人使用。质保期间：每年不少于2次由采购人提前2天通过电话或书面通知，中标人提供专业项目服务人员的现场技术支撑和技术支持；质保期内，所有软硬件产品的维修均为免费（使用不当及人为损坏除外）；质保期后，中标人提供终生服务，保证零配件及消耗品的供应。</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2、在质保期内，每半年至少对用户家具产品进行一次全面检查。</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3、为保证家具产品的正常运行，配置充足的专业工具和备品备件确保在最短时间内响应用户产品的及时之需。</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4、所有更换的零件材料，品质纯正，保证均按原厂标准生产。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（三）质保期后的服务要求：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1、设立售后服务热线，以便采购单位随时咨询问题和提交维修申请。</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2、对于出现故障或损坏的家具，提供专业人员进行现场维修。</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3、提供原厂配件供应，如螺丝、五金等小零件，方便采购单位自行更换。如果需要特殊配件，为采购单位提供订购渠道和相关指导。质保期后提供终身免费维修服务，更换零配件只收取成本费。</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（四）售后服务保障措施要求：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1、专门成立家具售后服务小组，指定售后服务具体负责人。</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2、制定故障报修的响应时间和故障解决方案。</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3、定期对员工进行培训，不断提高员工服务水平。</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4、定期对采购人进行回访。</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、验收标准（验收要求、验收标准和程序）要求：</w:t>
      </w:r>
      <w:r>
        <w:rPr>
          <w:rFonts w:hint="eastAsia" w:ascii="宋体" w:hAnsi="宋体" w:cs="宋体"/>
          <w:b/>
          <w:sz w:val="24"/>
        </w:rPr>
      </w:r>
      <w:r/>
    </w:p>
    <w:p>
      <w:pPr>
        <w:pStyle w:val="734"/>
        <w:spacing w:line="360" w:lineRule="auto"/>
        <w:rPr>
          <w:rFonts w:hint="eastAsia" w:ascii="宋体" w:hAnsi="宋体" w:cs="宋体"/>
          <w:b/>
          <w:sz w:val="24"/>
        </w:rPr>
      </w:pPr>
      <w:r>
        <w:rPr>
          <w:rFonts w:hint="eastAsia" w:ascii="宋体" w:hAnsi="宋体" w:cs="宋体"/>
          <w:b/>
          <w:sz w:val="24"/>
        </w:rPr>
        <w:t xml:space="preserve">采购人组织验收，检验不合格或不符合质量要求，供应商除无条件退货、返工外，承担采购人的一切损失。</w:t>
      </w:r>
      <w:r>
        <w:rPr>
          <w:rFonts w:hint="eastAsia" w:ascii="宋体" w:hAnsi="宋体" w:cs="宋体"/>
          <w:b/>
          <w:sz w:val="24"/>
        </w:rPr>
      </w:r>
      <w:r/>
    </w:p>
    <w:p>
      <w:pPr>
        <w:pStyle w:val="734"/>
        <w:spacing w:line="360" w:lineRule="auto"/>
        <w:rPr>
          <w:rFonts w:hint="eastAsia" w:ascii="宋体" w:hAnsi="宋体" w:cs="宋体"/>
          <w:bCs/>
          <w:sz w:val="24"/>
        </w:rPr>
      </w:pPr>
      <w:r>
        <w:rPr>
          <w:rFonts w:hint="eastAsia" w:ascii="宋体" w:hAnsi="宋体" w:cs="宋体"/>
          <w:bCs/>
          <w:sz w:val="24"/>
        </w:rPr>
        <w:t xml:space="preserve">（一）履约验收的时间、方式、程序要求：见招标文件第五章《拟签订的合同文本》第九条。</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（三）验收程序要求：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中标人完成安装交付后，由采购人找具有专业资质的第三方家具检测机构按国际和国家标准进行质量验收，其产生的费用归属中标人支付。中标人应向采购人提供详细的验收标准、验收手册。最终验收中发现产品达不到验收标准或合同规定的性能指标，中标人必须更换，并且赔偿由此给采购人造成的损失。安装调试工作完成后，中标人应提供咨询与全面技术支持，及时将其发现并掌握的有关产品的操作、故障检测、故障排除方法及一些新的技术发展通知采购人。</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（四）商品包装验收标准：见招标文件第五章《拟签订的合同文本》中商品（合同标的）包装具体要求。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（五）快递包装验收标准：见招标文件第五章《拟签订的合同文本》中快递包装具体要求。</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lang w:val="en-US" w:eastAsia="zh-CN"/>
        </w:rPr>
        <w:t xml:space="preserve">十一</w:t>
      </w:r>
      <w:r>
        <w:rPr>
          <w:rFonts w:hint="eastAsia" w:ascii="宋体" w:hAnsi="宋体" w:cs="宋体"/>
          <w:b/>
          <w:sz w:val="24"/>
        </w:rPr>
        <w:t xml:space="preserve">、挥发性有机物产品强制采购要求</w:t>
      </w:r>
      <w:r>
        <w:rPr>
          <w:rFonts w:hint="eastAsia" w:ascii="宋体" w:hAnsi="宋体" w:cs="宋体"/>
          <w:b/>
          <w:sz w:val="24"/>
        </w:rPr>
      </w:r>
      <w:r/>
    </w:p>
    <w:p>
      <w:pPr>
        <w:pStyle w:val="734"/>
        <w:spacing w:line="360" w:lineRule="auto"/>
        <w:rPr>
          <w:rFonts w:hint="eastAsia" w:ascii="宋体" w:hAnsi="宋体" w:cs="宋体"/>
          <w:bCs/>
          <w:sz w:val="24"/>
        </w:rPr>
      </w:pPr>
      <w:r>
        <w:rPr>
          <w:rFonts w:hint="eastAsia" w:ascii="宋体" w:hAnsi="宋体" w:cs="宋体"/>
          <w:bCs/>
          <w:sz w:val="24"/>
        </w:rPr>
        <w:t xml:space="preserve">本项目中所投产品，如有涉及涂料、胶黏剂、油墨、清洗剂等挥发性有机物产品，属于强制性标准的，供应商应当执行国家和江苏省VOCs含量限制标准。</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说明</w:t>
      </w:r>
      <w:r>
        <w:rPr>
          <w:rFonts w:hint="eastAsia" w:ascii="宋体" w:hAnsi="宋体" w:cs="宋体"/>
          <w:bCs/>
          <w:sz w:val="24"/>
          <w:lang w:eastAsia="zh-CN"/>
        </w:rPr>
        <w:t xml:space="preserve">：</w:t>
      </w:r>
      <w:r>
        <w:rPr>
          <w:rFonts w:hint="eastAsia" w:ascii="宋体" w:hAnsi="宋体" w:cs="宋体"/>
          <w:bCs/>
          <w:sz w:val="24"/>
        </w:rPr>
        <w:t xml:space="preserve">本“挥发性有机物产品强制采购要求”为不允许偏离的实质性要求，如不满足，按照投标无效处理。</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二</w:t>
      </w:r>
      <w:r>
        <w:rPr>
          <w:rFonts w:hint="eastAsia" w:ascii="宋体" w:hAnsi="宋体" w:cs="宋体"/>
          <w:b/>
          <w:sz w:val="24"/>
        </w:rPr>
        <w:t xml:space="preserve">、其他要求</w:t>
      </w:r>
      <w:r>
        <w:rPr>
          <w:rFonts w:hint="eastAsia" w:ascii="宋体" w:hAnsi="宋体" w:cs="宋体"/>
          <w:b/>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1、货物布置须考虑维护操作方便、布局整齐美观和满足经济合理的要求，且严格按相关安装规范执行。</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2、中标人负责完成本项目所有货物的采购、发运至规定地点、保管、安装、调试、安装调试检验以及指导采购人进行的试运行。货物发运至规定地点后，中标人负责保管，直至试运行检验合格后将货物移交给采购人和最终用户(货物移交给采购人和最终用户后由最终用户保管)。</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3、本项目需送货到采购人指定地点，并由中标人负责卸货并安排人员进行安装调试及售后服务，投标人报价中应包含此费用。</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4、所提供的货物应根据有关标准包装，应符合运输和装卸条件，以使货物完好无损到达交货地点。中标人应对包装和运输不善引起的损失负全部责任。</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5、应在包装中装有详细的包装清单（装箱单、质量合格证书和质保书）。</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6、中标人不能就所中标的项目进行分包、转包，如发现中标人有分包、转包现象采购人有权中止合同，由此造成的损失由中标人负责。</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7、有关产品质量（产品设计、制造工艺、材料缺陷）引发的费用，均由中标人承担。</w:t>
      </w:r>
      <w:r>
        <w:rPr>
          <w:rFonts w:hint="eastAsia" w:ascii="宋体" w:hAnsi="宋体" w:cs="宋体"/>
          <w:sz w:val="24"/>
        </w:rPr>
      </w:r>
      <w:r/>
    </w:p>
    <w:p>
      <w:pPr>
        <w:pStyle w:val="734"/>
        <w:spacing w:line="360" w:lineRule="auto"/>
        <w:tabs>
          <w:tab w:val="left" w:pos="6855" w:leader="none"/>
        </w:tabs>
        <w:rPr>
          <w:rFonts w:hint="eastAsia" w:ascii="宋体" w:hAnsi="宋体" w:cs="宋体"/>
          <w:b/>
          <w:sz w:val="24"/>
        </w:rPr>
      </w:pPr>
      <w:r>
        <w:rPr>
          <w:rFonts w:hint="eastAsia" w:ascii="宋体" w:hAnsi="宋体" w:cs="宋体"/>
          <w:sz w:val="24"/>
        </w:rPr>
        <w:t xml:space="preserve">8、投标人应保证所提供产品涉及到的知识产权和所提供的技术资料是合法取得，并享有完整的知识产权，不会因为采购人的使用而被责令停止使用、追偿或要求赔偿损失，如出现此情况，一切经济和法律责任均由中标人承担。</w:t>
      </w:r>
      <w:r>
        <w:rPr>
          <w:rFonts w:hint="eastAsia" w:ascii="宋体" w:hAnsi="宋体" w:cs="宋体"/>
          <w:b/>
          <w:sz w:val="24"/>
        </w:rPr>
      </w:r>
      <w:r/>
    </w:p>
    <w:p>
      <w:pPr>
        <w:pStyle w:val="734"/>
        <w:spacing w:line="360" w:lineRule="auto"/>
        <w:rPr>
          <w:rFonts w:hint="eastAsia" w:ascii="宋体" w:hAnsi="宋体" w:cs="宋体"/>
          <w:b/>
          <w:sz w:val="24"/>
        </w:rPr>
      </w:pPr>
      <w:r>
        <w:rPr>
          <w:rFonts w:hint="eastAsia" w:ascii="宋体" w:hAnsi="宋体" w:cs="宋体"/>
          <w:b/>
          <w:sz w:val="24"/>
        </w:rPr>
        <w:t xml:space="preserve">9、其他要求：见招标文件第五章《拟签订的合同文本》。</w:t>
      </w:r>
      <w:r>
        <w:rPr>
          <w:rFonts w:hint="eastAsia" w:ascii="宋体" w:hAnsi="宋体" w:cs="宋体"/>
          <w:b/>
          <w:sz w:val="24"/>
        </w:rPr>
      </w:r>
      <w:r/>
    </w:p>
    <w:p>
      <w:pPr>
        <w:pStyle w:val="734"/>
        <w:spacing w:line="360" w:lineRule="auto"/>
        <w:rPr>
          <w:rStyle w:val="989"/>
          <w:rFonts w:hint="eastAsia" w:ascii="宋体" w:hAnsi="宋体" w:cs="宋体"/>
          <w:b/>
          <w:bCs/>
          <w:sz w:val="24"/>
        </w:rPr>
      </w:pPr>
      <w:r>
        <w:rPr>
          <w:rStyle w:val="989"/>
          <w:rFonts w:hint="eastAsia" w:ascii="宋体" w:hAnsi="宋体" w:cs="宋体"/>
          <w:b/>
          <w:bCs/>
          <w:sz w:val="24"/>
        </w:rPr>
      </w:r>
      <w:r/>
    </w:p>
    <w:p>
      <w:pPr>
        <w:pStyle w:val="734"/>
        <w:jc w:val="center"/>
        <w:spacing w:line="239" w:lineRule="atLeast"/>
        <w:rPr>
          <w:rFonts w:hint="eastAsia" w:ascii="宋体" w:hAnsi="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30"/>
        </w:rPr>
      </w:r>
      <w:r/>
    </w:p>
    <w:p>
      <w:pPr>
        <w:pStyle w:val="734"/>
        <w:jc w:val="center"/>
        <w:spacing w:line="360" w:lineRule="auto"/>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第七章 投标文件相关格式</w:t>
      </w:r>
      <w:r>
        <w:rPr>
          <w:rFonts w:hint="eastAsia" w:ascii="宋体" w:hAnsi="宋体" w:cs="宋体"/>
          <w:sz w:val="32"/>
        </w:rPr>
      </w:r>
      <w:r/>
    </w:p>
    <w:p>
      <w:pPr>
        <w:pStyle w:val="734"/>
        <w:ind w:firstLine="64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734"/>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徐州医科大学</w:t>
      </w:r>
      <w:r>
        <w:rPr>
          <w:rFonts w:hint="eastAsia" w:ascii="宋体" w:hAnsi="宋体" w:cs="宋体"/>
          <w:sz w:val="24"/>
        </w:rPr>
      </w:r>
      <w:r/>
    </w:p>
    <w:p>
      <w:pPr>
        <w:pStyle w:val="734"/>
        <w:ind w:firstLine="6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rPr>
          <w:rFonts w:hint="eastAsia" w:ascii="宋体" w:hAnsi="宋体" w:cs="宋体"/>
          <w:sz w:val="24"/>
        </w:rPr>
      </w:r>
      <w:r/>
    </w:p>
    <w:p>
      <w:pPr>
        <w:pStyle w:val="734"/>
        <w:ind w:firstLine="6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投标人唯一投标报价见《开标一览表》。</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投标人将按招标文件的规定履行合同责任和义务。</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投标有效期为开标之日后90天。</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 投标人同意按照招标文件规定支付招标代理服务费。</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 采购人有权对投标人投标文件的真实性进行核实，如投标人不能在采购人规定的时间内向采购人提供有效的证明文件，将被采购人视为放弃中标资格。</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 与本投标有关的一切正式往来信函请寄：</w:t>
      </w:r>
      <w:r>
        <w:rPr>
          <w:rFonts w:hint="eastAsia" w:ascii="宋体" w:hAnsi="宋体" w:cs="宋体"/>
          <w:sz w:val="24"/>
        </w:rPr>
      </w:r>
      <w:r/>
    </w:p>
    <w:p>
      <w:pPr>
        <w:pStyle w:val="734"/>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rPr>
          <w:rFonts w:hint="eastAsia" w:ascii="宋体" w:hAnsi="宋体" w:cs="宋体"/>
          <w:sz w:val="24"/>
        </w:rPr>
      </w:r>
      <w:r/>
    </w:p>
    <w:p>
      <w:pPr>
        <w:pStyle w:val="734"/>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rPr>
          <w:rFonts w:hint="eastAsia" w:ascii="宋体" w:hAnsi="宋体" w:cs="宋体"/>
          <w:sz w:val="24"/>
        </w:rPr>
      </w:r>
      <w:r/>
    </w:p>
    <w:p>
      <w:pPr>
        <w:pStyle w:val="734"/>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rPr>
          <w:rFonts w:hint="eastAsia" w:ascii="宋体" w:hAnsi="宋体" w:cs="宋体"/>
          <w:sz w:val="24"/>
        </w:rPr>
      </w:r>
      <w:r/>
    </w:p>
    <w:p>
      <w:pPr>
        <w:pStyle w:val="734"/>
        <w:ind w:firstLine="3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734"/>
        <w:ind w:firstLine="3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sz w:val="24"/>
        </w:rPr>
      </w:r>
      <w:r/>
    </w:p>
    <w:p>
      <w:pPr>
        <w:pStyle w:val="734"/>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734"/>
        <w:ind w:firstLine="64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二、开标一览表格式 </w:t>
      </w:r>
      <w:r>
        <w:rPr>
          <w:rFonts w:hint="eastAsia" w:ascii="宋体" w:hAnsi="宋体" w:cs="宋体"/>
          <w:b/>
          <w:bCs/>
          <w:sz w:val="32"/>
          <w:szCs w:val="32"/>
        </w:rPr>
      </w:r>
      <w:r/>
    </w:p>
    <w:p>
      <w:pPr>
        <w:pStyle w:val="734"/>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ind w:firstLine="480"/>
        <w:jc w:val="center"/>
        <w:spacing w:line="360" w:lineRule="auto"/>
        <w:widowControl/>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i/>
          <w:iCs/>
          <w:sz w:val="24"/>
          <w:u w:val="single"/>
        </w:rPr>
        <w:t xml:space="preserve">政府采购客户端工具输入报价自动生成</w:t>
      </w:r>
      <w:r>
        <w:rPr>
          <w:rFonts w:ascii="宋体" w:hAnsi="宋体" w:cs="仿宋"/>
          <w:sz w:val="24"/>
        </w:rPr>
      </w:r>
      <w:r/>
    </w:p>
    <w:p>
      <w:pPr>
        <w:pStyle w:val="734"/>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32"/>
          <w:szCs w:val="32"/>
        </w:rPr>
      </w:r>
      <w:r/>
    </w:p>
    <w:p>
      <w:pPr>
        <w:pStyle w:val="734"/>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三、分项价格表格式</w:t>
      </w:r>
      <w:r>
        <w:rPr>
          <w:rFonts w:hint="eastAsia" w:ascii="宋体" w:hAnsi="宋体" w:cs="宋体"/>
          <w:b/>
          <w:bCs/>
          <w:sz w:val="32"/>
          <w:szCs w:val="32"/>
        </w:rPr>
      </w:r>
      <w:r/>
    </w:p>
    <w:p>
      <w:pPr>
        <w:pStyle w:val="734"/>
        <w:ind w:firstLine="600"/>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r>
      <w:r/>
    </w:p>
    <w:p>
      <w:pPr>
        <w:pStyle w:val="734"/>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p>
      <w:pPr>
        <w:pStyle w:val="734"/>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734"/>
        <w:jc w:val="right"/>
        <w:rPr>
          <w:rFonts w:hint="eastAsia" w:ascii="宋体" w:hAnsi="宋体" w:cs="宋体"/>
          <w:sz w:val="24"/>
        </w:rPr>
      </w:pPr>
      <w:r>
        <w:rPr>
          <w:rFonts w:hint="eastAsia" w:ascii="宋体" w:hAnsi="宋体" w:cs="宋体"/>
          <w:sz w:val="24"/>
        </w:rPr>
        <w:t xml:space="preserve">          　 货币单位：人民币元</w:t>
      </w:r>
      <w:r>
        <w:rPr>
          <w:rFonts w:hint="eastAsia" w:ascii="宋体" w:hAnsi="宋体" w:cs="宋体"/>
          <w:sz w:val="24"/>
        </w:rPr>
      </w:r>
      <w:r/>
    </w:p>
    <w:p>
      <w:pPr>
        <w:pStyle w:val="734"/>
        <w:ind w:firstLine="3120"/>
        <w:rPr>
          <w:rFonts w:hint="eastAsia" w:ascii="宋体" w:hAnsi="宋体" w:cs="宋体"/>
          <w:sz w:val="24"/>
        </w:rPr>
      </w:pPr>
      <w:r>
        <w:rPr>
          <w:rFonts w:hint="eastAsia" w:ascii="宋体" w:hAnsi="宋体" w:cs="宋体"/>
          <w:sz w:val="24"/>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tcMar>
              <w:left w:w="15" w:type="dxa"/>
              <w:top w:w="15" w:type="dxa"/>
              <w:right w:w="15" w:type="dxa"/>
              <w:bottom w:w="0" w:type="dxa"/>
            </w:tcMar>
            <w:tcW w:w="505"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Mar>
              <w:left w:w="15" w:type="dxa"/>
              <w:top w:w="15" w:type="dxa"/>
              <w:right w:w="15" w:type="dxa"/>
              <w:bottom w:w="0" w:type="dxa"/>
            </w:tcMar>
            <w:tcW w:w="975"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名称</w:t>
            </w:r>
            <w:r>
              <w:rPr>
                <w:rFonts w:hint="eastAsia" w:ascii="宋体" w:hAnsi="宋体" w:cs="宋体"/>
                <w:b/>
                <w:bCs/>
                <w:sz w:val="24"/>
              </w:rPr>
            </w:r>
            <w:r/>
          </w:p>
        </w:tc>
        <w:tc>
          <w:tcPr>
            <w:tcMar>
              <w:left w:w="15" w:type="dxa"/>
              <w:top w:w="15" w:type="dxa"/>
              <w:right w:w="15" w:type="dxa"/>
              <w:bottom w:w="0" w:type="dxa"/>
            </w:tcMar>
            <w:tcW w:w="1005"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品牌、规格、型号</w:t>
            </w:r>
            <w:r>
              <w:rPr>
                <w:rFonts w:hint="eastAsia" w:ascii="宋体" w:hAnsi="宋体" w:cs="宋体"/>
                <w:b/>
                <w:bCs/>
                <w:sz w:val="24"/>
              </w:rPr>
            </w:r>
            <w:r/>
          </w:p>
        </w:tc>
        <w:tc>
          <w:tcPr>
            <w:tcMar>
              <w:left w:w="15" w:type="dxa"/>
              <w:top w:w="15" w:type="dxa"/>
              <w:right w:w="15" w:type="dxa"/>
              <w:bottom w:w="0" w:type="dxa"/>
            </w:tcMar>
            <w:tcW w:w="1346"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产品制造企业名称（全称）</w:t>
            </w:r>
            <w:r>
              <w:rPr>
                <w:rFonts w:hint="eastAsia" w:ascii="宋体" w:hAnsi="宋体" w:cs="宋体"/>
                <w:b/>
                <w:bCs/>
                <w:sz w:val="24"/>
              </w:rPr>
            </w:r>
            <w:r/>
          </w:p>
        </w:tc>
        <w:tc>
          <w:tcPr>
            <w:tcMar>
              <w:left w:w="15" w:type="dxa"/>
              <w:top w:w="15" w:type="dxa"/>
              <w:right w:w="15" w:type="dxa"/>
              <w:bottom w:w="0" w:type="dxa"/>
            </w:tcMar>
            <w:tcW w:w="1999"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产品制造企业的划分（大型、中型、小型、微型、监狱企业、享受政府采购支持政策的残疾人福利性单位）</w:t>
            </w:r>
            <w:r>
              <w:rPr>
                <w:rFonts w:hint="eastAsia" w:ascii="宋体" w:hAnsi="宋体" w:cs="宋体"/>
                <w:b/>
                <w:bCs/>
                <w:sz w:val="24"/>
              </w:rPr>
            </w:r>
            <w:r/>
          </w:p>
        </w:tc>
        <w:tc>
          <w:tcPr>
            <w:tcMar>
              <w:left w:w="15" w:type="dxa"/>
              <w:top w:w="15" w:type="dxa"/>
              <w:right w:w="15" w:type="dxa"/>
              <w:bottom w:w="0" w:type="dxa"/>
            </w:tcMar>
            <w:tcW w:w="750"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tcMar>
              <w:left w:w="15" w:type="dxa"/>
              <w:top w:w="15" w:type="dxa"/>
              <w:right w:w="15" w:type="dxa"/>
              <w:bottom w:w="0" w:type="dxa"/>
            </w:tcMar>
            <w:tcW w:w="862"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数量单位</w:t>
            </w:r>
            <w:r>
              <w:rPr>
                <w:rFonts w:hint="eastAsia" w:ascii="宋体" w:hAnsi="宋体" w:cs="宋体"/>
                <w:b/>
                <w:bCs/>
                <w:sz w:val="24"/>
              </w:rPr>
            </w:r>
            <w:r/>
          </w:p>
        </w:tc>
        <w:tc>
          <w:tcPr>
            <w:tcMar>
              <w:left w:w="15" w:type="dxa"/>
              <w:top w:w="15" w:type="dxa"/>
              <w:right w:w="15" w:type="dxa"/>
              <w:bottom w:w="0" w:type="dxa"/>
            </w:tcMar>
            <w:tcW w:w="807"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单价</w:t>
            </w:r>
            <w:r>
              <w:rPr>
                <w:rFonts w:hint="eastAsia" w:ascii="宋体" w:hAnsi="宋体" w:cs="宋体"/>
                <w:b/>
                <w:bCs/>
                <w:sz w:val="24"/>
              </w:rPr>
            </w:r>
            <w:r/>
          </w:p>
        </w:tc>
        <w:tc>
          <w:tcPr>
            <w:tcW w:w="806"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总价</w:t>
            </w:r>
            <w:r>
              <w:rPr>
                <w:rFonts w:hint="eastAsia" w:ascii="宋体" w:hAnsi="宋体" w:cs="宋体"/>
                <w:b/>
                <w:bCs/>
                <w:sz w:val="24"/>
              </w:rPr>
            </w:r>
            <w:r/>
          </w:p>
        </w:tc>
        <w:tc>
          <w:tcPr>
            <w:tcMar>
              <w:left w:w="15" w:type="dxa"/>
              <w:top w:w="15" w:type="dxa"/>
              <w:right w:w="15" w:type="dxa"/>
              <w:bottom w:w="0" w:type="dxa"/>
            </w:tcMar>
            <w:tcW w:w="784"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备注</w:t>
            </w:r>
            <w:r>
              <w:rPr>
                <w:rFonts w:hint="eastAsia" w:ascii="宋体" w:hAnsi="宋体" w:cs="宋体"/>
                <w:b/>
                <w:bCs/>
                <w:sz w:val="24"/>
              </w:rPr>
            </w:r>
            <w:r/>
          </w:p>
        </w:tc>
      </w:tr>
      <w:tr>
        <w:trPr>
          <w:trHeight w:val="300"/>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322"/>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总价合计（即《开标一览表》中的“总价”）</w:t>
            </w:r>
            <w:r>
              <w:rPr>
                <w:rFonts w:hint="eastAsia" w:ascii="宋体" w:hAnsi="宋体" w:cs="宋体"/>
                <w:sz w:val="24"/>
              </w:rPr>
            </w:r>
            <w:r/>
          </w:p>
        </w:tc>
        <w:tc>
          <w:tcPr>
            <w:gridSpan w:val="6"/>
            <w:tcW w:w="6008"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r>
    </w:tbl>
    <w:p>
      <w:pPr>
        <w:pStyle w:val="734"/>
        <w:rPr>
          <w:rFonts w:hint="eastAsia" w:ascii="宋体" w:hAnsi="宋体" w:cs="宋体"/>
          <w:sz w:val="24"/>
        </w:rPr>
      </w:pPr>
      <w:r>
        <w:rPr>
          <w:rFonts w:hint="eastAsia" w:ascii="宋体" w:hAnsi="宋体" w:cs="宋体"/>
          <w:sz w:val="24"/>
        </w:rPr>
      </w:r>
      <w:r/>
    </w:p>
    <w:p>
      <w:pPr>
        <w:pStyle w:val="734"/>
        <w:ind w:firstLine="3640"/>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734"/>
        <w:ind w:firstLine="364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734"/>
        <w:rPr>
          <w:rFonts w:hint="eastAsia" w:ascii="宋体" w:hAnsi="宋体" w:cs="宋体"/>
          <w:sz w:val="24"/>
        </w:rPr>
      </w:pPr>
      <w:r>
        <w:rPr>
          <w:rFonts w:hint="eastAsia" w:ascii="宋体" w:hAnsi="宋体" w:cs="宋体"/>
          <w:sz w:val="24"/>
        </w:rPr>
      </w:r>
      <w:r/>
    </w:p>
    <w:p>
      <w:pPr>
        <w:pStyle w:val="734"/>
        <w:ind w:firstLine="560"/>
        <w:jc w:val="left"/>
        <w:widowControl/>
        <w:rPr>
          <w:rFonts w:hint="eastAsia" w:ascii="宋体" w:hAnsi="宋体" w:cs="宋体"/>
          <w:sz w:val="24"/>
        </w:rPr>
      </w:pPr>
      <w:r>
        <w:rPr>
          <w:rFonts w:hint="eastAsia" w:ascii="宋体" w:hAnsi="宋体" w:cs="宋体"/>
          <w:sz w:val="24"/>
        </w:rPr>
      </w:r>
      <w:r/>
    </w:p>
    <w:p>
      <w:pPr>
        <w:pStyle w:val="734"/>
        <w:jc w:val="left"/>
        <w:widowControl/>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734"/>
        <w:jc w:val="left"/>
        <w:widowControl/>
        <w:rPr>
          <w:rFonts w:hint="eastAsia" w:ascii="宋体" w:hAnsi="宋体" w:cs="宋体"/>
          <w:sz w:val="24"/>
        </w:rPr>
      </w:pPr>
      <w:r>
        <w:rPr>
          <w:rFonts w:hint="eastAsia" w:ascii="宋体" w:hAnsi="宋体" w:cs="宋体"/>
          <w:sz w:val="24"/>
        </w:rPr>
        <w:t xml:space="preserve">1、如果不提供详细分项报价将视为没有实质性响应招标文件。</w:t>
      </w:r>
      <w:r>
        <w:rPr>
          <w:rFonts w:hint="eastAsia" w:ascii="宋体" w:hAnsi="宋体" w:cs="宋体"/>
          <w:sz w:val="24"/>
        </w:rPr>
      </w:r>
      <w:r/>
    </w:p>
    <w:p>
      <w:pPr>
        <w:pStyle w:val="734"/>
        <w:jc w:val="left"/>
        <w:widowControl/>
        <w:rPr>
          <w:rFonts w:hint="eastAsia" w:ascii="宋体" w:hAnsi="宋体" w:cs="宋体"/>
          <w:sz w:val="24"/>
        </w:rPr>
      </w:pPr>
      <w:r>
        <w:rPr>
          <w:rFonts w:hint="eastAsia" w:ascii="宋体" w:hAnsi="宋体" w:cs="宋体"/>
          <w:sz w:val="24"/>
        </w:rPr>
        <w:t xml:space="preserve">2、投标人对以上数据的真实性负责。</w:t>
      </w:r>
      <w:r>
        <w:rPr>
          <w:rFonts w:hint="eastAsia" w:ascii="宋体" w:hAnsi="宋体" w:cs="宋体"/>
          <w:sz w:val="24"/>
        </w:rPr>
      </w:r>
      <w:r/>
    </w:p>
    <w:p>
      <w:pPr>
        <w:pStyle w:val="734"/>
        <w:jc w:val="left"/>
        <w:widowControl/>
        <w:rPr>
          <w:rFonts w:hint="eastAsia" w:ascii="宋体" w:hAnsi="宋体" w:cs="宋体"/>
          <w:b/>
          <w:bCs/>
          <w:sz w:val="24"/>
        </w:rPr>
      </w:pPr>
      <w:r>
        <w:rPr>
          <w:rFonts w:hint="eastAsia" w:ascii="宋体" w:hAnsi="宋体" w:cs="宋体"/>
          <w:b/>
          <w:bCs/>
          <w:sz w:val="24"/>
        </w:rPr>
        <w:t xml:space="preserve">采购人或采购代理机构有权将以上内容进行公示。</w:t>
      </w:r>
      <w:r>
        <w:rPr>
          <w:rFonts w:hint="eastAsia" w:ascii="宋体" w:hAnsi="宋体" w:cs="宋体"/>
          <w:b/>
          <w:bCs/>
          <w:sz w:val="24"/>
        </w:rPr>
      </w:r>
      <w:r/>
    </w:p>
    <w:p>
      <w:pPr>
        <w:pStyle w:val="734"/>
        <w:ind w:firstLine="560"/>
        <w:jc w:val="cente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734"/>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四、偏离表格式</w:t>
      </w:r>
      <w:r>
        <w:rPr>
          <w:rFonts w:hint="eastAsia" w:ascii="宋体" w:hAnsi="宋体" w:cs="宋体"/>
          <w:b/>
          <w:bCs/>
          <w:sz w:val="32"/>
          <w:szCs w:val="32"/>
        </w:rPr>
      </w:r>
      <w:r/>
    </w:p>
    <w:p>
      <w:pPr>
        <w:pStyle w:val="734"/>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rPr>
      </w:r>
      <w:r/>
    </w:p>
    <w:p>
      <w:pPr>
        <w:pStyle w:val="734"/>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sz w:val="24"/>
        </w:rPr>
      </w:r>
      <w:r/>
    </w:p>
    <w:tbl>
      <w:tblPr>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rPr>
                <w:rFonts w:hint="eastAsia" w:ascii="宋体" w:hAnsi="宋体" w:cs="宋体"/>
                <w:sz w:val="24"/>
              </w:rPr>
            </w:r>
            <w:r/>
          </w:p>
        </w:tc>
        <w:tc>
          <w:tcPr>
            <w:tcMar>
              <w:left w:w="108" w:type="dxa"/>
              <w:top w:w="0" w:type="dxa"/>
              <w:right w:w="108" w:type="dxa"/>
              <w:bottom w:w="0" w:type="dxa"/>
            </w:tcMar>
            <w:tcW w:w="1514"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偏离内容</w:t>
            </w:r>
            <w:r>
              <w:rPr>
                <w:rFonts w:hint="eastAsia" w:ascii="宋体" w:hAnsi="宋体" w:cs="宋体"/>
                <w:sz w:val="24"/>
              </w:rPr>
            </w:r>
            <w:r/>
          </w:p>
        </w:tc>
        <w:tc>
          <w:tcPr>
            <w:tcMar>
              <w:left w:w="108" w:type="dxa"/>
              <w:top w:w="0" w:type="dxa"/>
              <w:right w:w="108" w:type="dxa"/>
              <w:bottom w:w="0" w:type="dxa"/>
            </w:tcMar>
            <w:tcW w:w="1500"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招标文件的要求</w:t>
            </w:r>
            <w:r>
              <w:rPr>
                <w:rFonts w:hint="eastAsia" w:ascii="宋体" w:hAnsi="宋体" w:cs="宋体"/>
                <w:sz w:val="24"/>
              </w:rPr>
            </w:r>
            <w:r/>
          </w:p>
        </w:tc>
        <w:tc>
          <w:tcPr>
            <w:tcMar>
              <w:left w:w="108" w:type="dxa"/>
              <w:top w:w="0" w:type="dxa"/>
              <w:right w:w="108" w:type="dxa"/>
              <w:bottom w:w="0" w:type="dxa"/>
            </w:tcMar>
            <w:tcW w:w="1681"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投标文件中的内容</w:t>
            </w:r>
            <w:r>
              <w:rPr>
                <w:rFonts w:hint="eastAsia" w:ascii="宋体" w:hAnsi="宋体" w:cs="宋体"/>
                <w:sz w:val="24"/>
              </w:rPr>
            </w:r>
            <w:r/>
          </w:p>
        </w:tc>
        <w:tc>
          <w:tcPr>
            <w:tcMar>
              <w:left w:w="108" w:type="dxa"/>
              <w:top w:w="0" w:type="dxa"/>
              <w:right w:w="108" w:type="dxa"/>
              <w:bottom w:w="0" w:type="dxa"/>
            </w:tcMar>
            <w:tcW w:w="1380"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（正/负/无）偏离</w:t>
            </w:r>
            <w:r>
              <w:rPr>
                <w:rFonts w:hint="eastAsia" w:ascii="宋体" w:hAnsi="宋体" w:cs="宋体"/>
                <w:sz w:val="24"/>
              </w:rPr>
            </w:r>
            <w:r/>
          </w:p>
        </w:tc>
        <w:tc>
          <w:tcPr>
            <w:tcMar>
              <w:left w:w="108" w:type="dxa"/>
              <w:top w:w="0" w:type="dxa"/>
              <w:right w:w="108" w:type="dxa"/>
              <w:bottom w:w="0" w:type="dxa"/>
            </w:tcMar>
            <w:tcW w:w="1597"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bl>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4"/>
        </w:rPr>
      </w:r>
      <w:r/>
    </w:p>
    <w:p>
      <w:pPr>
        <w:pStyle w:val="734"/>
        <w:ind w:firstLine="2850"/>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734"/>
        <w:ind w:firstLine="3900"/>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p>
      <w:pPr>
        <w:pStyle w:val="734"/>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sz w:val="24"/>
        </w:rPr>
      </w:r>
      <w:r/>
    </w:p>
    <w:p>
      <w:pPr>
        <w:pStyle w:val="734"/>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jc w:val="center"/>
        <w:spacing w:line="479"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32"/>
          <w:szCs w:val="32"/>
        </w:rPr>
      </w:r>
      <w:r/>
    </w:p>
    <w:p>
      <w:pPr>
        <w:pStyle w:val="734"/>
        <w:jc w:val="cente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五、授权委托书格式</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委托人：</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法定代表人：</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统一社会信用代码：</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受托人：        性别：男（女）</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年龄：  岁      民族：  族</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身份证号：</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兹委托（</w:t>
      </w:r>
      <w:r>
        <w:rPr>
          <w:rFonts w:hint="eastAsia" w:ascii="宋体" w:hAnsi="宋体" w:cs="宋体"/>
          <w:sz w:val="28"/>
          <w:szCs w:val="28"/>
          <w:u w:val="single"/>
        </w:rPr>
        <w:t xml:space="preserve">     </w:t>
      </w:r>
      <w:r>
        <w:rPr>
          <w:rFonts w:hint="eastAsia" w:ascii="宋体" w:hAnsi="宋体" w:cs="宋体"/>
          <w:sz w:val="28"/>
          <w:szCs w:val="28"/>
        </w:rPr>
        <w:t xml:space="preserve">）全权代表我企业（公司）参与（</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u w:val="single"/>
        </w:rPr>
        <w:t xml:space="preserve">     </w:t>
      </w:r>
      <w:r>
        <w:rPr>
          <w:rFonts w:hint="eastAsia" w:ascii="宋体" w:hAnsi="宋体" w:cs="宋体"/>
          <w:sz w:val="28"/>
          <w:szCs w:val="28"/>
        </w:rPr>
        <w:t xml:space="preserve">）的招、投标活动及签订合同。（</w:t>
      </w:r>
      <w:r>
        <w:rPr>
          <w:rFonts w:hint="eastAsia" w:ascii="宋体" w:hAnsi="宋体" w:cs="宋体"/>
          <w:sz w:val="28"/>
          <w:szCs w:val="28"/>
          <w:u w:val="single"/>
        </w:rPr>
        <w:t xml:space="preserve">    </w:t>
      </w:r>
      <w:r>
        <w:rPr>
          <w:rFonts w:hint="eastAsia" w:ascii="宋体" w:hAnsi="宋体" w:cs="宋体"/>
          <w:sz w:val="28"/>
          <w:szCs w:val="28"/>
        </w:rPr>
        <w:t xml:space="preserve">）以我企业（公司）名义所为的法律行为及签署的文件，我企业（公司）均予以认可。有关法律责任均由我企业（公司）承担。（</w:t>
      </w:r>
      <w:r>
        <w:rPr>
          <w:rFonts w:hint="eastAsia" w:ascii="宋体" w:hAnsi="宋体" w:cs="宋体"/>
          <w:sz w:val="28"/>
          <w:szCs w:val="28"/>
          <w:u w:val="single"/>
        </w:rPr>
        <w:t xml:space="preserve">   </w:t>
      </w:r>
      <w:r>
        <w:rPr>
          <w:rFonts w:hint="eastAsia" w:ascii="宋体" w:hAnsi="宋体" w:cs="宋体"/>
          <w:sz w:val="28"/>
          <w:szCs w:val="28"/>
        </w:rPr>
        <w:t xml:space="preserve">）无转委托权。</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委托期限自</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日起至</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日止。</w:t>
      </w:r>
      <w:r>
        <w:rPr>
          <w:rFonts w:hint="eastAsia" w:ascii="宋体" w:hAnsi="宋体" w:cs="宋体"/>
          <w:sz w:val="28"/>
          <w:szCs w:val="28"/>
        </w:rPr>
      </w:r>
      <w:r/>
    </w:p>
    <w:p>
      <w:pPr>
        <w:pStyle w:val="734"/>
        <w:ind w:firstLine="63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特此授权委托。</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委托人（电子签章）：</w:t>
      </w:r>
      <w:r>
        <w:rPr>
          <w:rFonts w:hint="eastAsia" w:ascii="宋体" w:hAnsi="宋体" w:cs="宋体"/>
          <w:sz w:val="28"/>
          <w:szCs w:val="28"/>
        </w:rPr>
      </w:r>
      <w:r/>
    </w:p>
    <w:p>
      <w:pPr>
        <w:pStyle w:val="734"/>
        <w:ind w:firstLine="60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法定代表人（签字或盖章）： </w:t>
      </w:r>
      <w:r>
        <w:rPr>
          <w:rFonts w:hint="eastAsia" w:ascii="宋体" w:hAnsi="宋体" w:cs="宋体"/>
          <w:b/>
          <w:bCs/>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受托人（签字或盖章）：</w:t>
      </w:r>
      <w:r>
        <w:rPr>
          <w:rFonts w:hint="eastAsia" w:ascii="宋体" w:hAnsi="宋体" w:cs="宋体"/>
          <w:sz w:val="28"/>
          <w:szCs w:val="28"/>
        </w:rPr>
      </w:r>
      <w:r/>
    </w:p>
    <w:p>
      <w:pPr>
        <w:pStyle w:val="780"/>
        <w:ind w:left="0" w:firstLine="602"/>
        <w:spacing w:line="360" w:lineRule="auto"/>
        <w:rPr>
          <w:rFonts w:hint="eastAsia" w:ascii="宋体" w:hAnsi="宋体" w:cs="宋体"/>
          <w:sz w:val="28"/>
          <w:szCs w:val="28"/>
        </w:rPr>
      </w:pPr>
      <w:r>
        <w:rPr>
          <w:rFonts w:hint="eastAsia" w:ascii="宋体" w:hAnsi="宋体" w:cs="宋体"/>
          <w:b/>
          <w:bCs/>
          <w:sz w:val="28"/>
          <w:szCs w:val="28"/>
        </w:rPr>
        <w:t xml:space="preserve">受托人联系方式：                   邮箱：</w:t>
      </w:r>
      <w:r>
        <w:rPr>
          <w:rFonts w:hint="eastAsia" w:ascii="宋体" w:hAnsi="宋体" w:cs="宋体"/>
          <w:sz w:val="28"/>
          <w:szCs w:val="28"/>
        </w:rPr>
      </w:r>
      <w:r/>
    </w:p>
    <w:p>
      <w:pPr>
        <w:pStyle w:val="734"/>
        <w:ind w:right="600" w:firstLine="615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  月  日 </w:t>
      </w:r>
      <w:r>
        <w:rPr>
          <w:rFonts w:hint="eastAsia" w:ascii="宋体" w:hAnsi="宋体" w:cs="宋体"/>
          <w:b/>
          <w:bCs/>
          <w:sz w:val="28"/>
          <w:szCs w:val="28"/>
        </w:rPr>
      </w:r>
      <w:r/>
    </w:p>
    <w:p>
      <w:pPr>
        <w:pStyle w:val="734"/>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(受托人身份证扫描件附后)</w:t>
      </w:r>
      <w:r>
        <w:rPr>
          <w:rFonts w:hint="eastAsia" w:ascii="宋体" w:hAnsi="宋体" w:cs="宋体"/>
          <w:b/>
          <w:bCs/>
          <w:sz w:val="28"/>
          <w:szCs w:val="28"/>
        </w:rPr>
      </w:r>
      <w:r/>
    </w:p>
    <w:p>
      <w:pPr>
        <w:pStyle w:val="734"/>
        <w:jc w:val="center"/>
        <w:spacing w:before="100" w:after="100" w:line="479" w:lineRule="atLeast"/>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r>
      <w:r/>
    </w:p>
    <w:p>
      <w:pPr>
        <w:pStyle w:val="734"/>
        <w:ind w:firstLine="600"/>
        <w:jc w:val="center"/>
        <w:spacing w:before="100" w:after="100"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六、中小企业声明函格式</w:t>
      </w:r>
      <w:r>
        <w:rPr>
          <w:rFonts w:hint="eastAsia" w:ascii="宋体" w:hAnsi="宋体" w:cs="宋体"/>
          <w:b/>
          <w:bCs/>
          <w:sz w:val="32"/>
          <w:szCs w:val="32"/>
        </w:rPr>
      </w:r>
      <w:r/>
    </w:p>
    <w:p>
      <w:pPr>
        <w:pStyle w:val="734"/>
        <w:spacing w:line="24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r>
      <w:r/>
    </w:p>
    <w:p>
      <w:pPr>
        <w:pStyle w:val="734"/>
        <w:spacing w:line="24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rPr>
      </w:r>
      <w:r/>
    </w:p>
    <w:p>
      <w:pPr>
        <w:pStyle w:val="734"/>
        <w:ind w:firstLine="480"/>
        <w:spacing w:line="240" w:lineRule="auto"/>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rPr>
        <w:t xml:space="preserve">徐州医科大学</w:t>
      </w:r>
      <w:r>
        <w:rPr>
          <w:rFonts w:hint="eastAsia" w:ascii="宋体" w:hAnsi="宋体" w:cs="宋体"/>
          <w:sz w:val="28"/>
          <w:szCs w:val="28"/>
        </w:rPr>
        <w:t xml:space="preserve">）的（</w:t>
      </w:r>
      <w:r>
        <w:rPr>
          <w:rFonts w:hint="eastAsia" w:ascii="宋体" w:hAnsi="宋体" w:cs="宋体"/>
          <w:sz w:val="28"/>
          <w:szCs w:val="28"/>
          <w:u w:val="single"/>
          <w:lang w:eastAsia="zh-CN"/>
        </w:rPr>
        <w:t xml:space="preserve">徐州医科大学校外住宿点家具</w:t>
      </w:r>
      <w:r>
        <w:rPr>
          <w:rFonts w:hint="eastAsia" w:ascii="宋体" w:hAnsi="宋体" w:cs="宋体"/>
          <w:sz w:val="28"/>
          <w:szCs w:val="28"/>
        </w:rPr>
        <w:t xml:space="preserve">）采购活动，提供的货物全部由符合政策要求的中小企业制造。相关企业的具体情况如下：</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1.0M单人床</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1.1M单人床</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床头柜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u w:val="single"/>
        </w:rPr>
        <w:t xml:space="preserve">衣柜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u w:val="single"/>
        </w:rPr>
        <w:t xml:space="preserve">学习桌</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u w:val="single"/>
        </w:rPr>
        <w:t xml:space="preserve">学习椅</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u w:val="single"/>
        </w:rPr>
        <w:t xml:space="preserve">1.0M床垫</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u w:val="single"/>
        </w:rPr>
        <w:t xml:space="preserve">1.1M床垫</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u w:val="single"/>
        </w:rPr>
        <w:t xml:space="preserve">鞋柜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hint="eastAsia" w:ascii="宋体" w:hAnsi="宋体" w:cs="宋体"/>
          <w:sz w:val="28"/>
          <w:szCs w:val="28"/>
        </w:rPr>
      </w:r>
      <w:r/>
    </w:p>
    <w:p>
      <w:pPr>
        <w:pStyle w:val="734"/>
        <w:ind w:firstLine="560"/>
        <w:spacing w:line="240" w:lineRule="auto"/>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hint="eastAsia" w:ascii="宋体" w:hAnsi="宋体" w:cs="宋体"/>
          <w:sz w:val="28"/>
          <w:szCs w:val="28"/>
        </w:rPr>
      </w:r>
      <w:r/>
    </w:p>
    <w:p>
      <w:pPr>
        <w:pStyle w:val="779"/>
        <w:ind w:left="0"/>
        <w:spacing w:after="0" w:line="240" w:lineRule="auto"/>
        <w:rPr>
          <w:rFonts w:hint="eastAsia" w:ascii="宋体" w:hAnsi="宋体" w:cs="宋体"/>
          <w:b/>
          <w:bCs/>
          <w:sz w:val="28"/>
          <w:szCs w:val="28"/>
        </w:rPr>
      </w:pPr>
      <w:r>
        <w:rPr>
          <w:rFonts w:hint="eastAsia" w:ascii="宋体" w:hAnsi="宋体" w:cs="宋体"/>
          <w:b/>
          <w:bCs/>
          <w:sz w:val="28"/>
          <w:szCs w:val="28"/>
        </w:rPr>
        <w:t xml:space="preserve">企业名称（电子签章）：</w:t>
      </w:r>
      <w:r>
        <w:rPr>
          <w:rFonts w:hint="eastAsia" w:ascii="宋体" w:hAnsi="宋体" w:cs="宋体"/>
          <w:b/>
          <w:bCs/>
          <w:sz w:val="28"/>
          <w:szCs w:val="28"/>
        </w:rPr>
      </w:r>
      <w:r/>
    </w:p>
    <w:p>
      <w:pPr>
        <w:pStyle w:val="779"/>
        <w:ind w:left="0"/>
        <w:spacing w:after="0" w:line="240" w:lineRule="auto"/>
        <w:rPr>
          <w:rFonts w:hint="eastAsia" w:ascii="宋体" w:hAnsi="宋体" w:cs="宋体"/>
          <w:b/>
          <w:bCs/>
          <w:sz w:val="28"/>
          <w:szCs w:val="28"/>
        </w:rPr>
      </w:pPr>
      <w:r>
        <w:rPr>
          <w:rFonts w:hint="eastAsia" w:ascii="宋体" w:hAnsi="宋体" w:cs="宋体"/>
          <w:b/>
          <w:bCs/>
          <w:sz w:val="28"/>
          <w:szCs w:val="28"/>
        </w:rPr>
        <w:t xml:space="preserve">日期：  年  月  日</w:t>
      </w:r>
      <w:r>
        <w:rPr>
          <w:rFonts w:hint="eastAsia" w:ascii="宋体" w:hAnsi="宋体" w:cs="宋体"/>
          <w:b/>
          <w:bCs/>
          <w:sz w:val="28"/>
          <w:szCs w:val="28"/>
        </w:rPr>
      </w:r>
      <w:r/>
    </w:p>
    <w:p>
      <w:pPr>
        <w:pStyle w:val="779"/>
        <w:ind w:left="0"/>
        <w:jc w:val="left"/>
        <w:spacing w:after="0" w:line="240" w:lineRule="auto"/>
        <w:rPr>
          <w:rFonts w:hint="eastAsia" w:ascii="宋体" w:hAnsi="宋体" w:cs="宋体"/>
          <w:b/>
          <w:bCs/>
          <w:sz w:val="28"/>
          <w:szCs w:val="28"/>
        </w:rPr>
      </w:pPr>
      <w:r>
        <w:rPr>
          <w:rFonts w:hint="eastAsia" w:ascii="宋体" w:hAnsi="宋体" w:cs="宋体"/>
          <w:b/>
          <w:bCs/>
          <w:sz w:val="28"/>
          <w:szCs w:val="28"/>
        </w:rPr>
      </w:r>
      <w:r/>
    </w:p>
    <w:p>
      <w:pPr>
        <w:pStyle w:val="779"/>
        <w:ind w:left="0"/>
        <w:jc w:val="left"/>
        <w:spacing w:after="0" w:line="240" w:lineRule="auto"/>
        <w:rPr>
          <w:rFonts w:hint="eastAsia" w:ascii="宋体" w:hAnsi="宋体" w:cs="宋体"/>
          <w:b/>
          <w:bCs/>
          <w:sz w:val="24"/>
        </w:rPr>
      </w:pPr>
      <w:r>
        <w:rPr>
          <w:rFonts w:hint="eastAsia" w:ascii="宋体" w:hAnsi="宋体" w:cs="宋体"/>
          <w:b/>
          <w:bCs/>
          <w:sz w:val="24"/>
        </w:rPr>
        <w:t xml:space="preserve">说明：</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2、从业人员、营业收入、资产总额填报供应商上一年度数据，无上一年度数据的新成立企业可不填报。</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3、中标、成交供应商为小型、微型企业的，采购人或者其委托的采购代理机构有权随中标、成交结果同时公告其《中小企业声明函》，接受社会监督。</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5、供应商提供的《中小企业声明函》与事实不符的，依照《中华人民共和国政府采购法》第七十七条第一款的规定追究法律责任。</w:t>
      </w:r>
      <w:r>
        <w:rPr>
          <w:rFonts w:hint="eastAsia" w:ascii="宋体" w:hAnsi="宋体" w:cs="宋体"/>
          <w:b/>
          <w:bCs/>
          <w:sz w:val="24"/>
        </w:rPr>
      </w:r>
      <w:r/>
    </w:p>
    <w:p>
      <w:pPr>
        <w:pStyle w:val="734"/>
        <w:jc w:val="left"/>
        <w:spacing w:line="240" w:lineRule="auto"/>
        <w:widowControl/>
        <w:rPr>
          <w:rFonts w:hint="eastAsia" w:ascii="宋体" w:hAnsi="宋体" w:cs="宋体"/>
          <w:sz w:val="24"/>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sz w:val="24"/>
        </w:rPr>
      </w:r>
      <w:r/>
    </w:p>
    <w:p>
      <w:pPr>
        <w:pStyle w:val="772"/>
        <w:jc w:val="center"/>
        <w:rPr>
          <w:rFonts w:hint="eastAsia" w:ascii="宋体" w:hAnsi="宋体" w:cs="宋体"/>
        </w:rPr>
      </w:pPr>
      <w:r>
        <w:rPr>
          <w:rFonts w:hint="eastAsia" w:ascii="宋体" w:hAnsi="宋体" w:cs="宋体"/>
          <w:sz w:val="24"/>
        </w:rPr>
        <mc:AlternateContent>
          <mc:Choice Requires="wpg">
            <w:drawing>
              <wp:inline xmlns:wp="http://schemas.openxmlformats.org/drawingml/2006/wordprocessingDrawing" distT="0" distB="0" distL="0" distR="0">
                <wp:extent cx="1449654" cy="225110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449654" cy="2251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4.1pt;height:177.3pt;mso-wrap-distance-left:0.0pt;mso-wrap-distance-top:0.0pt;mso-wrap-distance-right:0.0pt;mso-wrap-distance-bottom:0.0pt;" stroked="f">
                <v:path textboxrect="0,0,0,0"/>
                <v:imagedata r:id="rId42" o:title=""/>
              </v:shape>
            </w:pict>
          </mc:Fallback>
        </mc:AlternateContent>
      </w:r>
      <w:r>
        <w:rPr>
          <w:rFonts w:hint="eastAsia" w:ascii="宋体" w:hAnsi="宋体" w:cs="宋体"/>
        </w:rPr>
      </w:r>
      <w:r/>
    </w:p>
    <w:p>
      <w:pPr>
        <w:pStyle w:val="734"/>
        <w:numPr>
          <w:ilvl w:val="0"/>
          <w:numId w:val="7"/>
        </w:numPr>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残疾人福利性单位声明函格式</w:t>
      </w:r>
      <w:r>
        <w:rPr>
          <w:rFonts w:hint="eastAsia" w:ascii="宋体" w:hAnsi="宋体" w:cs="宋体"/>
          <w:b/>
          <w:bCs/>
          <w:sz w:val="32"/>
          <w:szCs w:val="32"/>
        </w:rPr>
      </w:r>
      <w:r/>
    </w:p>
    <w:p>
      <w:pPr>
        <w:pStyle w:val="746"/>
        <w:ind w:firstLine="0"/>
        <w:jc w:val="both"/>
        <w:rPr>
          <w:rFonts w:hint="eastAsia"/>
        </w:rPr>
      </w:pPr>
      <w:r>
        <w:rPr>
          <w:rFonts w:hint="eastAsia"/>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项目编号：</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项目名称：</w:t>
      </w:r>
      <w:r>
        <w:rPr>
          <w:rFonts w:hint="eastAsia" w:ascii="宋体" w:hAnsi="宋体" w:cs="宋体"/>
          <w:sz w:val="28"/>
          <w:szCs w:val="28"/>
        </w:rPr>
      </w:r>
      <w:r/>
    </w:p>
    <w:p>
      <w:pPr>
        <w:pStyle w:val="734"/>
        <w:ind w:firstLine="624"/>
        <w:spacing w:line="360" w:lineRule="auto"/>
        <w:rPr>
          <w:rFonts w:hint="eastAsia" w:ascii="宋体" w:hAnsi="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pacing w:val="6"/>
          <w:sz w:val="28"/>
          <w:szCs w:val="28"/>
        </w:rPr>
        <w:t xml:space="preserve">单位的</w:t>
      </w:r>
      <w:r>
        <w:rPr>
          <w:rFonts w:hint="eastAsia" w:ascii="宋体" w:hAnsi="宋体" w:cs="宋体"/>
          <w:sz w:val="28"/>
          <w:szCs w:val="28"/>
          <w:u w:val="single"/>
        </w:rPr>
        <w:t xml:space="preserve">       </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本单位对上述声明的真实性负责。如有虚假，将依法承担相应责任。</w:t>
      </w:r>
      <w:r>
        <w:rPr>
          <w:rFonts w:hint="eastAsia" w:ascii="宋体" w:hAnsi="宋体" w:cs="宋体"/>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rPr>
          <w:rFonts w:hint="eastAsia" w:ascii="宋体" w:hAnsi="宋体" w:cs="宋体"/>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34"/>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rPr>
          <w:rFonts w:hint="eastAsia" w:ascii="宋体" w:hAnsi="宋体" w:cs="宋体"/>
          <w:sz w:val="28"/>
          <w:szCs w:val="28"/>
        </w:rPr>
      </w:r>
      <w:r/>
    </w:p>
    <w:p>
      <w:pPr>
        <w:pStyle w:val="734"/>
        <w:ind w:firstLine="45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ind w:firstLine="600"/>
        <w:jc w:val="cente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734"/>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八、投标人参加政府采购活动前3年内在经营活动中没有重大违法记录的书面声明格式</w:t>
      </w:r>
      <w:r>
        <w:rPr>
          <w:rFonts w:hint="eastAsia" w:ascii="宋体" w:hAnsi="宋体" w:cs="宋体"/>
          <w:b/>
          <w:bCs/>
          <w:sz w:val="32"/>
          <w:szCs w:val="32"/>
        </w:rPr>
      </w:r>
      <w:r/>
    </w:p>
    <w:p>
      <w:pPr>
        <w:pStyle w:val="734"/>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我单位在参加</w:t>
      </w:r>
      <w:r>
        <w:rPr>
          <w:rFonts w:hint="eastAsia" w:ascii="宋体" w:hAnsi="宋体" w:cs="宋体"/>
          <w:sz w:val="28"/>
          <w:szCs w:val="28"/>
          <w:u w:val="single"/>
          <w:lang w:eastAsia="zh-CN"/>
        </w:rPr>
        <w:t xml:space="preserve">徐州医科大学校外住宿点家具</w:t>
      </w:r>
      <w:r>
        <w:rPr>
          <w:rFonts w:hint="eastAsia" w:ascii="宋体" w:hAnsi="宋体" w:cs="宋体"/>
          <w:sz w:val="28"/>
          <w:szCs w:val="28"/>
        </w:rPr>
        <w:t xml:space="preserve">（项目编号：</w:t>
      </w:r>
      <w:r>
        <w:rPr>
          <w:rFonts w:hint="eastAsia" w:ascii="宋体" w:hAnsi="宋体" w:cs="宋体"/>
          <w:sz w:val="28"/>
          <w:szCs w:val="28"/>
          <w:u w:val="single"/>
        </w:rPr>
        <w:t xml:space="preserve">JSZC-320300-HWZX-G2026-0236</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我单位对上述声明的真实性负责。如有虚假，将依法承担相应责任。</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34"/>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rPr>
          <w:rFonts w:hint="eastAsia" w:ascii="宋体" w:hAnsi="宋体" w:cs="宋体"/>
          <w:sz w:val="28"/>
          <w:szCs w:val="28"/>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ind w:firstLine="600"/>
        <w:jc w:val="center"/>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z w:val="30"/>
        </w:rPr>
      </w:r>
      <w:r/>
    </w:p>
    <w:p>
      <w:pPr>
        <w:pStyle w:val="734"/>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九、关于符合本国产品标准的声明函</w:t>
      </w:r>
      <w:r>
        <w:rPr>
          <w:rFonts w:hint="eastAsia"/>
        </w:rPr>
        <w:t xml:space="preserve"> </w:t>
      </w:r>
      <w:r>
        <w:rPr>
          <w:rFonts w:hint="eastAsia"/>
        </w:rPr>
      </w:r>
      <w:r/>
    </w:p>
    <w:p>
      <w:pPr>
        <w:pStyle w:val="805"/>
        <w:jc w:val="both"/>
        <w:spacing w:before="0" w:beforeAutospacing="0" w:after="0" w:afterAutospacing="0"/>
        <w:shd w:val="clear" w:color="auto" w:fill="ffffff"/>
        <w:rPr>
          <w:rFonts w:hint="eastAsia"/>
          <w:b/>
          <w:bCs/>
        </w:rPr>
      </w:pPr>
      <w:r>
        <w:rPr>
          <w:rFonts w:hint="eastAsia"/>
          <w:b/>
          <w:bCs/>
        </w:rPr>
      </w:r>
      <w:r/>
    </w:p>
    <w:p>
      <w:pPr>
        <w:pStyle w:val="805"/>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1、</w:t>
      </w:r>
      <w:r>
        <w:rPr>
          <w:b/>
          <w:bCs/>
          <w:u w:val="single"/>
        </w:rPr>
        <w:t xml:space="preserve">（</w:t>
      </w:r>
      <w:r>
        <w:rPr>
          <w:rFonts w:hint="eastAsia"/>
          <w:b/>
          <w:bCs/>
          <w:u w:val="single"/>
        </w:rPr>
        <w:t xml:space="preserve">1.0M单人床</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2、</w:t>
      </w:r>
      <w:r>
        <w:rPr>
          <w:b/>
          <w:bCs/>
          <w:u w:val="single"/>
        </w:rPr>
        <w:t xml:space="preserve">（</w:t>
      </w:r>
      <w:r>
        <w:rPr>
          <w:rFonts w:hint="eastAsia"/>
          <w:b/>
          <w:bCs/>
          <w:u w:val="single"/>
        </w:rPr>
        <w:t xml:space="preserve">1.1M单人床</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3、</w:t>
      </w:r>
      <w:r>
        <w:rPr>
          <w:b/>
          <w:bCs/>
          <w:u w:val="single"/>
        </w:rPr>
        <w:t xml:space="preserve">（</w:t>
      </w:r>
      <w:r>
        <w:rPr>
          <w:rFonts w:hint="eastAsia"/>
          <w:b/>
          <w:bCs/>
          <w:u w:val="single"/>
        </w:rPr>
        <w:t xml:space="preserve">床头柜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4、</w:t>
      </w:r>
      <w:r>
        <w:rPr>
          <w:b/>
          <w:bCs/>
          <w:u w:val="single"/>
        </w:rPr>
        <w:t xml:space="preserve">（</w:t>
      </w:r>
      <w:r>
        <w:rPr>
          <w:rFonts w:hint="eastAsia"/>
          <w:b/>
          <w:bCs/>
          <w:u w:val="single"/>
        </w:rPr>
        <w:t xml:space="preserve">衣柜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5、</w:t>
      </w:r>
      <w:r>
        <w:rPr>
          <w:b/>
          <w:bCs/>
          <w:u w:val="single"/>
        </w:rPr>
        <w:t xml:space="preserve">（</w:t>
      </w:r>
      <w:r>
        <w:rPr>
          <w:rFonts w:hint="eastAsia"/>
          <w:b/>
          <w:bCs/>
          <w:u w:val="single"/>
        </w:rPr>
        <w:t xml:space="preserve">学习桌</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6、</w:t>
      </w:r>
      <w:r>
        <w:rPr>
          <w:b/>
          <w:bCs/>
          <w:u w:val="single"/>
        </w:rPr>
        <w:t xml:space="preserve">（</w:t>
      </w:r>
      <w:r>
        <w:rPr>
          <w:rFonts w:hint="eastAsia"/>
          <w:b/>
          <w:bCs/>
          <w:u w:val="single"/>
        </w:rPr>
        <w:t xml:space="preserve">学习椅</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7、</w:t>
      </w:r>
      <w:r>
        <w:rPr>
          <w:b/>
          <w:bCs/>
          <w:u w:val="single"/>
        </w:rPr>
        <w:t xml:space="preserve">（</w:t>
      </w:r>
      <w:r>
        <w:rPr>
          <w:rFonts w:hint="eastAsia"/>
          <w:b/>
          <w:bCs/>
          <w:u w:val="single"/>
        </w:rPr>
        <w:t xml:space="preserve">1.0</w:t>
      </w:r>
      <w:r>
        <w:rPr>
          <w:rFonts w:hint="eastAsia"/>
          <w:b/>
          <w:bCs/>
          <w:u w:val="single"/>
          <w:lang w:val="en-US" w:eastAsia="zh-CN"/>
        </w:rPr>
        <w:t xml:space="preserve">M</w:t>
      </w:r>
      <w:r>
        <w:rPr>
          <w:rFonts w:hint="eastAsia"/>
          <w:b/>
          <w:bCs/>
          <w:u w:val="single"/>
        </w:rPr>
        <w:t xml:space="preserve">床垫</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8、</w:t>
      </w:r>
      <w:r>
        <w:rPr>
          <w:b/>
          <w:bCs/>
          <w:u w:val="single"/>
        </w:rPr>
        <w:t xml:space="preserve">（</w:t>
      </w:r>
      <w:r>
        <w:rPr>
          <w:rFonts w:hint="eastAsia"/>
          <w:b/>
          <w:bCs/>
          <w:u w:val="single"/>
        </w:rPr>
        <w:t xml:space="preserve">1.1</w:t>
      </w:r>
      <w:r>
        <w:rPr>
          <w:rFonts w:hint="eastAsia"/>
          <w:b/>
          <w:bCs/>
          <w:u w:val="single"/>
          <w:lang w:val="en-US" w:eastAsia="zh-CN"/>
        </w:rPr>
        <w:t xml:space="preserve">M</w:t>
      </w:r>
      <w:r>
        <w:rPr>
          <w:rFonts w:hint="eastAsia"/>
          <w:b/>
          <w:bCs/>
          <w:u w:val="single"/>
        </w:rPr>
        <w:t xml:space="preserve">床垫</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9、</w:t>
      </w:r>
      <w:r>
        <w:rPr>
          <w:b/>
          <w:bCs/>
          <w:u w:val="single"/>
        </w:rPr>
        <w:t xml:space="preserve">（</w:t>
      </w:r>
      <w:r>
        <w:rPr>
          <w:rFonts w:hint="eastAsia"/>
          <w:b/>
          <w:bCs/>
          <w:u w:val="single"/>
        </w:rPr>
        <w:t xml:space="preserve">鞋柜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shd w:val="clear" w:color="auto" w:fill="ffffff"/>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805"/>
        <w:spacing w:before="0" w:beforeAutospacing="0" w:after="0" w:afterAutospacing="0" w:line="360" w:lineRule="auto"/>
        <w:shd w:val="clear" w:color="auto" w:fill="ffffff"/>
        <w:rPr>
          <w:rFonts w:hint="eastAsia"/>
        </w:rPr>
      </w:pPr>
      <w:r>
        <w:rPr>
          <w:rFonts w:hint="eastAsia"/>
          <w:shd w:val="clear" w:color="auto" w:fill="ffffff"/>
        </w:rPr>
        <w:t xml:space="preserve"> </w:t>
      </w:r>
      <w:r>
        <w:rPr>
          <w:rFonts w:hint="eastAsia"/>
        </w:rPr>
      </w:r>
      <w:r/>
    </w:p>
    <w:p>
      <w:pPr>
        <w:pStyle w:val="805"/>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公司（单位）名称（电子签章）：　        </w:t>
      </w:r>
      <w:r>
        <w:rPr>
          <w:rFonts w:hint="eastAsia"/>
          <w:b/>
          <w:bCs/>
        </w:rPr>
      </w:r>
      <w:r/>
    </w:p>
    <w:p>
      <w:pPr>
        <w:pStyle w:val="805"/>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日期：  年  月  日</w:t>
      </w:r>
      <w:r>
        <w:rPr>
          <w:rFonts w:hint="eastAsia"/>
          <w:b/>
          <w:bCs/>
        </w:rPr>
      </w:r>
      <w:r/>
    </w:p>
    <w:p>
      <w:pPr>
        <w:pStyle w:val="805"/>
        <w:spacing w:before="30" w:beforeAutospacing="0" w:after="30" w:afterAutospacing="0" w:line="360" w:lineRule="auto"/>
        <w:shd w:val="clear" w:color="auto" w:fill="ffffff"/>
        <w:rPr>
          <w:rFonts w:hint="eastAsia"/>
          <w:shd w:val="clear" w:color="auto" w:fill="ffffff"/>
        </w:rPr>
      </w:pPr>
      <w:r>
        <w:rPr>
          <w:rFonts w:hint="eastAsia"/>
          <w:shd w:val="clear" w:color="auto" w:fill="ffffff"/>
        </w:rPr>
      </w:r>
      <w:r/>
    </w:p>
    <w:p>
      <w:pPr>
        <w:pStyle w:val="805"/>
        <w:spacing w:before="30" w:beforeAutospacing="0" w:after="30" w:afterAutospacing="0" w:line="360" w:lineRule="auto"/>
        <w:shd w:val="clear" w:color="auto" w:fill="ffffff"/>
        <w:rPr>
          <w:rFonts w:hint="eastAsia"/>
          <w:shd w:val="clear" w:color="auto" w:fill="ffffff"/>
        </w:rPr>
      </w:pPr>
      <w:r>
        <w:rPr>
          <w:rFonts w:hint="eastAsia"/>
          <w:shd w:val="clear" w:color="auto" w:fill="ffffff"/>
        </w:rPr>
        <w:t xml:space="preserve">注：</w:t>
      </w:r>
      <w:r>
        <w:rPr>
          <w:rFonts w:hint="eastAsia"/>
          <w:shd w:val="clear" w:color="auto" w:fill="ffffff"/>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1.产品如有型号，请在“产品名称”栏一并填写。</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4.该产品的关键组件要求实施前，“关键组件”栏可不填，下同。</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5.该产品的关键工序要求实施前，“关键工序”栏可不填，下同。</w:t>
      </w:r>
      <w:r>
        <w:rPr>
          <w:rFonts w:hint="eastAsia"/>
        </w:rPr>
      </w:r>
      <w:r/>
    </w:p>
    <w:p>
      <w:pPr>
        <w:pStyle w:val="805"/>
        <w:ind w:firstLine="420"/>
        <w:spacing w:before="30" w:beforeAutospacing="0" w:after="30" w:afterAutospacing="0" w:line="360" w:lineRule="auto"/>
        <w:shd w:val="clear" w:color="auto" w:fill="ffffff"/>
        <w:rPr>
          <w:rFonts w:hint="eastAsia"/>
          <w:b/>
          <w:bCs/>
          <w:shd w:val="clear" w:color="auto" w:fill="ffffff"/>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rPr>
        <w:t xml:space="preserve">6</w:t>
      </w:r>
      <w:r>
        <w:rPr>
          <w:b/>
          <w:bCs/>
        </w:rPr>
        <w:t xml:space="preserve">.《声明函》中标注“</w:t>
      </w:r>
      <w:r>
        <w:rPr>
          <w:b/>
          <w:bCs/>
          <w:u w:val="single"/>
        </w:rPr>
        <w:t xml:space="preserve">  / </w:t>
      </w:r>
      <w:r>
        <w:rPr>
          <w:b/>
          <w:bCs/>
        </w:rPr>
        <w:t xml:space="preserve">”的地方无需填写</w:t>
      </w:r>
      <w:r>
        <w:rPr>
          <w:rFonts w:hint="eastAsia"/>
          <w:b/>
          <w:bCs/>
        </w:rPr>
        <w:t xml:space="preserve">。</w:t>
      </w:r>
      <w:r>
        <w:rPr>
          <w:rFonts w:hint="eastAsia"/>
          <w:b/>
          <w:bCs/>
          <w:shd w:val="clear" w:color="auto" w:fill="ffffff"/>
        </w:rPr>
      </w:r>
      <w:r/>
    </w:p>
    <w:p>
      <w:pPr>
        <w:pStyle w:val="734"/>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十、具备履行合同所必需的设备和专业技术能力的书面声明（附证明材料扫描件）格式（投标人可自行拟定）</w:t>
      </w:r>
      <w:r>
        <w:rPr>
          <w:rFonts w:ascii="宋体" w:hAnsi="宋体" w:cs="宋体"/>
          <w:b/>
          <w:bCs/>
          <w:sz w:val="32"/>
          <w:szCs w:val="32"/>
        </w:rPr>
      </w:r>
      <w:r/>
    </w:p>
    <w:p>
      <w:pPr>
        <w:pStyle w:val="734"/>
        <w:spacing w:line="360" w:lineRule="auto"/>
        <w:rPr>
          <w:rFonts w:ascii="宋体" w:hAnsi="宋体" w:cs="宋体"/>
          <w:sz w:val="24"/>
        </w:rPr>
      </w:pPr>
      <w:r>
        <w:rPr>
          <w:rFonts w:ascii="宋体" w:hAnsi="宋体" w:cs="宋体"/>
          <w:sz w:val="24"/>
        </w:rPr>
      </w:r>
      <w:r/>
    </w:p>
    <w:p>
      <w:pPr>
        <w:pStyle w:val="734"/>
        <w:spacing w:line="360" w:lineRule="auto"/>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p>
      <w:pPr>
        <w:pStyle w:val="734"/>
        <w:ind w:firstLine="560"/>
        <w:spacing w:line="360" w:lineRule="auto"/>
        <w:rPr>
          <w:rFonts w:hint="eastAsia"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 具体为：</w:t>
      </w:r>
      <w:r>
        <w:rPr>
          <w:rFonts w:hint="eastAsia"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设备：</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专业技术能力：</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特此声明。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rPr>
          <w:rFonts w:ascii="宋体" w:hAnsi="宋体" w:cs="宋体"/>
          <w:sz w:val="28"/>
          <w:szCs w:val="28"/>
        </w:rPr>
      </w:r>
      <w:r/>
    </w:p>
    <w:p>
      <w:pPr>
        <w:pStyle w:val="734"/>
        <w:ind w:right="29"/>
        <w:spacing w:line="360" w:lineRule="auto"/>
        <w:rPr>
          <w:rFonts w:hint="eastAsia" w:ascii="宋体" w:hAnsi="宋体" w:cs="宋体"/>
          <w:b/>
          <w:bCs/>
          <w:sz w:val="28"/>
          <w:szCs w:val="28"/>
        </w:rPr>
      </w:pPr>
      <w:r>
        <w:rPr>
          <w:rFonts w:hint="eastAsia" w:ascii="宋体" w:hAnsi="宋体" w:cs="宋体"/>
          <w:b/>
          <w:bCs/>
          <w:sz w:val="28"/>
          <w:szCs w:val="28"/>
        </w:rPr>
      </w:r>
      <w:r/>
    </w:p>
    <w:p>
      <w:pPr>
        <w:pStyle w:val="734"/>
        <w:ind w:right="29"/>
        <w:spacing w:line="360" w:lineRule="auto"/>
        <w:rPr>
          <w:rFonts w:ascii="宋体" w:hAnsi="宋体" w:cs="宋体"/>
          <w:b/>
          <w:bCs/>
          <w:sz w:val="28"/>
          <w:szCs w:val="28"/>
        </w:rPr>
      </w:pPr>
      <w:r>
        <w:rPr>
          <w:rFonts w:hint="eastAsia" w:ascii="宋体" w:hAnsi="宋体" w:cs="宋体"/>
          <w:b/>
          <w:bCs/>
          <w:sz w:val="28"/>
          <w:szCs w:val="28"/>
        </w:rPr>
        <w:t xml:space="preserve">投标人（电子签章）：</w:t>
      </w:r>
      <w:r>
        <w:rPr>
          <w:rFonts w:ascii="宋体" w:hAnsi="宋体" w:cs="宋体"/>
          <w:b/>
          <w:bCs/>
          <w:sz w:val="28"/>
          <w:szCs w:val="28"/>
        </w:rPr>
      </w:r>
      <w:r/>
    </w:p>
    <w:p>
      <w:pPr>
        <w:pStyle w:val="734"/>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t xml:space="preserve">日期：  年  月  日</w:t>
      </w:r>
      <w:r>
        <w:rPr>
          <w:rFonts w:hint="eastAsia" w:ascii="宋体" w:hAnsi="宋体" w:cs="宋体"/>
          <w:b/>
          <w:bCs/>
          <w:sz w:val="32"/>
          <w:szCs w:val="32"/>
        </w:rPr>
      </w:r>
      <w:r/>
    </w:p>
    <w:p>
      <w:pPr>
        <w:pStyle w:val="734"/>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十一、预付款保函支付条款模板</w:t>
      </w:r>
      <w:r>
        <w:rPr>
          <w:rFonts w:hint="eastAsia" w:ascii="宋体" w:hAnsi="宋体" w:cs="宋体"/>
          <w:b/>
          <w:bCs/>
          <w:sz w:val="32"/>
          <w:szCs w:val="32"/>
        </w:rPr>
      </w:r>
      <w:r/>
    </w:p>
    <w:p>
      <w:pPr>
        <w:pStyle w:val="734"/>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pStyle w:val="73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符合条件一：提交预付款保函的</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个工作日内，由甲方根据审批流程办理政府采购资金结算手续，经审核后支付给乙方合同价款的百分之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5"/>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hint="eastAsia" w:ascii="宋体" w:hAnsi="宋体" w:cs="宋体"/>
          <w:sz w:val="24"/>
        </w:rPr>
      </w:r>
      <w:r/>
    </w:p>
    <w:p>
      <w:pPr>
        <w:pStyle w:val="73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符合条件二：不提交预付款保函的</w:t>
      </w:r>
      <w:r>
        <w:rPr>
          <w:rFonts w:hint="eastAsia" w:ascii="宋体" w:hAnsi="宋体" w:cs="宋体"/>
          <w:sz w:val="24"/>
        </w:rPr>
      </w:r>
      <w:r/>
    </w:p>
    <w:p>
      <w:pPr>
        <w:pStyle w:val="734"/>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（2）合同标的全部交付并安装完毕并验收合格后，由甲方根据审批流程办理政府采购资金结算手续，经审核后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5"/>
        <w:spacing w:line="48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hint="eastAsia" w:ascii="宋体" w:hAnsi="宋体" w:cs="宋体"/>
          <w:b/>
          <w:sz w:val="24"/>
        </w:rPr>
      </w:r>
      <w:r/>
    </w:p>
    <w:p>
      <w:pPr>
        <w:pStyle w:val="73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 </w:t>
      </w:r>
      <w:r>
        <w:rPr>
          <w:rFonts w:hint="eastAsia" w:ascii="宋体" w:hAnsi="宋体" w:cs="宋体"/>
          <w:sz w:val="24"/>
        </w:rPr>
      </w:r>
      <w:r/>
    </w:p>
    <w:p>
      <w:pPr>
        <w:pStyle w:val="734"/>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rPr>
          <w:rFonts w:hint="eastAsia" w:ascii="宋体" w:hAnsi="宋体" w:cs="宋体"/>
        </w:rPr>
      </w:r>
      <w:r/>
    </w:p>
    <w:p>
      <w:pPr>
        <w:pStyle w:val="734"/>
        <w:rPr>
          <w:rFonts w:hint="eastAsia" w:ascii="宋体" w:hAnsi="宋体" w:cs="宋体"/>
        </w:rPr>
      </w:pPr>
      <w:r>
        <w:rPr>
          <w:rFonts w:hint="eastAsia" w:ascii="宋体" w:hAnsi="宋体" w:cs="宋体"/>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ind w:left="4946"/>
      <w:spacing w:line="209" w:lineRule="auto"/>
      <w:rPr>
        <w:rFonts w:hint="eastAsia" w:ascii="宋体" w:hAnsi="宋体" w:cs="宋体"/>
        <w:sz w:val="18"/>
        <w:szCs w:val="18"/>
      </w:rPr>
    </w:pPr>
    <w:r>
      <w:rPr>
        <w:rFonts w:ascii="宋体" w:hAnsi="宋体" w:cs="宋体"/>
        <w:spacing w:val="-3"/>
        <w:sz w:val="18"/>
        <w:szCs w:val="18"/>
      </w:rPr>
      <w:t xml:space="preserve">第</w:t>
    </w:r>
    <w:r>
      <w:rPr>
        <w:rFonts w:ascii="宋体" w:hAnsi="宋体" w:cs="宋体"/>
        <w:spacing w:val="6"/>
        <w:sz w:val="18"/>
        <w:szCs w:val="18"/>
      </w:rPr>
      <w:t xml:space="preserve"> </w:t>
    </w:r>
    <w:r>
      <w:rPr>
        <w:rFonts w:eastAsia="Times New Roman"/>
        <w:spacing w:val="-3"/>
        <w:sz w:val="18"/>
        <w:szCs w:val="18"/>
      </w:rPr>
      <w:t xml:space="preserve">27</w:t>
    </w:r>
    <w:r>
      <w:rPr>
        <w:rFonts w:eastAsia="Times New Roman"/>
        <w:spacing w:val="4"/>
        <w:sz w:val="18"/>
        <w:szCs w:val="18"/>
      </w:rPr>
      <w:t xml:space="preserve">  </w:t>
    </w:r>
    <w:r>
      <w:rPr>
        <w:rFonts w:ascii="宋体" w:hAnsi="宋体" w:cs="宋体"/>
        <w:spacing w:val="-3"/>
        <w:sz w:val="18"/>
        <w:szCs w:val="18"/>
      </w:rPr>
      <w:t xml:space="preserve">页</w:t>
    </w:r>
    <w:r>
      <w:rPr>
        <w:rFonts w:hint="eastAsia" w:ascii="宋体" w:hAnsi="宋体" w:cs="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7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right"/>
      <w:rPr>
        <w:i/>
        <w:iCs/>
        <w:sz w:val="18"/>
      </w:rPr>
      <w:pBdr>
        <w:bottom w:val="single" w:color="000000" w:sz="4" w:space="0"/>
      </w:pBdr>
    </w:pPr>
    <w:r>
      <w:rPr>
        <w:rFonts w:hint="eastAsia" w:ascii="宋体" w:hAnsi="宋体" w:cs="宋体"/>
        <w:sz w:val="18"/>
        <w:szCs w:val="18"/>
      </w:rPr>
      <w:t xml:space="preserve">徐州医科大学校外住宿点家具项目</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4"/>
        <w:ind w:left="960" w:hanging="720"/>
      </w:pPr>
    </w:lvl>
    <w:lvl w:ilvl="1">
      <w:start w:val="1"/>
      <w:numFmt w:val="lowerLetter"/>
      <w:isLgl w:val="false"/>
      <w:suff w:val="tab"/>
      <w:lvlText w:val="%2)"/>
      <w:lvlJc w:val="left"/>
      <w:pPr>
        <w:pStyle w:val="734"/>
        <w:ind w:left="1080" w:hanging="420"/>
      </w:pPr>
    </w:lvl>
    <w:lvl w:ilvl="2">
      <w:start w:val="1"/>
      <w:numFmt w:val="lowerRoman"/>
      <w:isLgl w:val="false"/>
      <w:suff w:val="tab"/>
      <w:lvlText w:val="%3."/>
      <w:lvlJc w:val="right"/>
      <w:pPr>
        <w:pStyle w:val="734"/>
        <w:ind w:left="1500" w:hanging="420"/>
      </w:pPr>
    </w:lvl>
    <w:lvl w:ilvl="3">
      <w:start w:val="1"/>
      <w:numFmt w:val="decimal"/>
      <w:isLgl w:val="false"/>
      <w:suff w:val="tab"/>
      <w:lvlText w:val="%4."/>
      <w:lvlJc w:val="left"/>
      <w:pPr>
        <w:pStyle w:val="734"/>
        <w:ind w:left="1920" w:hanging="420"/>
      </w:pPr>
    </w:lvl>
    <w:lvl w:ilvl="4">
      <w:start w:val="1"/>
      <w:numFmt w:val="lowerLetter"/>
      <w:isLgl w:val="false"/>
      <w:suff w:val="tab"/>
      <w:lvlText w:val="%5)"/>
      <w:lvlJc w:val="left"/>
      <w:pPr>
        <w:pStyle w:val="734"/>
        <w:ind w:left="2340" w:hanging="420"/>
      </w:pPr>
    </w:lvl>
    <w:lvl w:ilvl="5">
      <w:start w:val="1"/>
      <w:numFmt w:val="lowerRoman"/>
      <w:isLgl w:val="false"/>
      <w:suff w:val="tab"/>
      <w:lvlText w:val="%6."/>
      <w:lvlJc w:val="right"/>
      <w:pPr>
        <w:pStyle w:val="734"/>
        <w:ind w:left="2760" w:hanging="420"/>
      </w:pPr>
    </w:lvl>
    <w:lvl w:ilvl="6">
      <w:start w:val="1"/>
      <w:numFmt w:val="decimal"/>
      <w:isLgl w:val="false"/>
      <w:suff w:val="tab"/>
      <w:lvlText w:val="%7."/>
      <w:lvlJc w:val="left"/>
      <w:pPr>
        <w:pStyle w:val="734"/>
        <w:ind w:left="3180" w:hanging="420"/>
      </w:pPr>
    </w:lvl>
    <w:lvl w:ilvl="7">
      <w:start w:val="1"/>
      <w:numFmt w:val="lowerLetter"/>
      <w:isLgl w:val="false"/>
      <w:suff w:val="tab"/>
      <w:lvlText w:val="%8)"/>
      <w:lvlJc w:val="left"/>
      <w:pPr>
        <w:pStyle w:val="734"/>
        <w:ind w:left="3600" w:hanging="420"/>
      </w:pPr>
    </w:lvl>
    <w:lvl w:ilvl="8">
      <w:start w:val="1"/>
      <w:numFmt w:val="lowerRoman"/>
      <w:isLgl w:val="false"/>
      <w:suff w:val="tab"/>
      <w:lvlText w:val="%9."/>
      <w:lvlJc w:val="right"/>
      <w:pPr>
        <w:pStyle w:val="734"/>
        <w:ind w:left="4020" w:hanging="420"/>
      </w:pPr>
    </w:lvl>
  </w:abstractNum>
  <w:abstractNum w:abstractNumId="2">
    <w:multiLevelType w:val="hybridMultilevel"/>
    <w:lvl w:ilvl="0">
      <w:start w:val="1"/>
      <w:numFmt w:val="chineseCountingThousand"/>
      <w:isLgl w:val="false"/>
      <w:suff w:val="space"/>
      <w:lvlText w:val="%1. "/>
      <w:lvlJc w:val="left"/>
      <w:pPr>
        <w:pStyle w:val="734"/>
        <w:ind w:left="907" w:hanging="907"/>
      </w:pPr>
    </w:lvl>
    <w:lvl w:ilvl="1">
      <w:start w:val="1"/>
      <w:numFmt w:val="decimal"/>
      <w:isLgl w:val="false"/>
      <w:suff w:val="space"/>
      <w:lvlText w:val="%1.%2 "/>
      <w:lvlJc w:val="left"/>
      <w:pPr>
        <w:pStyle w:val="734"/>
        <w:ind w:left="794" w:hanging="794"/>
      </w:pPr>
    </w:lvl>
    <w:lvl w:ilvl="2">
      <w:start w:val="0"/>
      <w:numFmt w:val="decimal"/>
      <w:isLgl w:val="false"/>
      <w:suff w:val="tab"/>
      <w:lvlText w:val=""/>
      <w:lvlJc w:val="left"/>
      <w:pPr>
        <w:pStyle w:val="734"/>
        <w:ind w:left="0" w:firstLine="0"/>
        <w:tabs>
          <w:tab w:val="num" w:pos="360" w:leader="none"/>
        </w:tabs>
      </w:pPr>
      <w:rPr>
        <w:rFonts w:cs="Times New Roman"/>
      </w:rPr>
    </w:lvl>
    <w:lvl w:ilvl="3">
      <w:start w:val="0"/>
      <w:numFmt w:val="decimal"/>
      <w:isLgl w:val="false"/>
      <w:suff w:val="tab"/>
      <w:lvlText w:val=""/>
      <w:lvlJc w:val="left"/>
      <w:pPr>
        <w:pStyle w:val="734"/>
        <w:ind w:left="0" w:firstLine="0"/>
        <w:tabs>
          <w:tab w:val="num" w:pos="360" w:leader="none"/>
        </w:tabs>
      </w:pPr>
      <w:rPr>
        <w:rFonts w:cs="Times New Roman"/>
      </w:rPr>
    </w:lvl>
    <w:lvl w:ilvl="4">
      <w:start w:val="0"/>
      <w:numFmt w:val="decimal"/>
      <w:pStyle w:val="1001"/>
      <w:isLgl w:val="false"/>
      <w:suff w:val="tab"/>
      <w:lvlText w:val=""/>
      <w:lvlJc w:val="left"/>
      <w:pPr>
        <w:pStyle w:val="734"/>
        <w:ind w:left="0" w:firstLine="0"/>
      </w:pPr>
      <w:rPr>
        <w:rFonts w:cs="Times New Roman"/>
      </w:rPr>
    </w:lvl>
    <w:lvl w:ilvl="5">
      <w:start w:val="0"/>
      <w:numFmt w:val="decimal"/>
      <w:isLgl w:val="false"/>
      <w:suff w:val="tab"/>
      <w:lvlText w:val=""/>
      <w:lvlJc w:val="left"/>
      <w:pPr>
        <w:pStyle w:val="734"/>
        <w:ind w:left="0" w:firstLine="0"/>
      </w:pPr>
      <w:rPr>
        <w:rFonts w:cs="Times New Roman"/>
      </w:rPr>
    </w:lvl>
    <w:lvl w:ilvl="6">
      <w:start w:val="0"/>
      <w:numFmt w:val="decimal"/>
      <w:isLgl w:val="false"/>
      <w:suff w:val="tab"/>
      <w:lvlText w:val=""/>
      <w:lvlJc w:val="left"/>
      <w:pPr>
        <w:pStyle w:val="734"/>
        <w:ind w:left="0" w:firstLine="0"/>
      </w:pPr>
      <w:rPr>
        <w:rFonts w:cs="Times New Roman"/>
      </w:rPr>
    </w:lvl>
    <w:lvl w:ilvl="7">
      <w:start w:val="0"/>
      <w:numFmt w:val="decimal"/>
      <w:isLgl w:val="false"/>
      <w:suff w:val="tab"/>
      <w:lvlText w:val=""/>
      <w:lvlJc w:val="left"/>
      <w:pPr>
        <w:pStyle w:val="734"/>
        <w:ind w:left="0" w:firstLine="0"/>
      </w:pPr>
      <w:rPr>
        <w:rFonts w:cs="Times New Roman"/>
      </w:rPr>
    </w:lvl>
    <w:lvl w:ilvl="8">
      <w:start w:val="0"/>
      <w:numFmt w:val="decimal"/>
      <w:isLgl w:val="false"/>
      <w:suff w:val="tab"/>
      <w:lvlText w:val=""/>
      <w:lvlJc w:val="left"/>
      <w:pPr>
        <w:pStyle w:val="734"/>
        <w:ind w:left="0" w:firstLine="0"/>
      </w:pPr>
      <w:rPr>
        <w:rFonts w:cs="Times New Roman"/>
      </w:rPr>
    </w:lvl>
  </w:abstractNum>
  <w:abstractNum w:abstractNumId="3">
    <w:multiLevelType w:val="hybridMultilevel"/>
    <w:lvl w:ilvl="0">
      <w:start w:val="16"/>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734"/>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6">
    <w:multiLevelType w:val="hybridMultilevel"/>
    <w:lvl w:ilvl="0">
      <w:start w:val="7"/>
      <w:numFmt w:val="chineseCounting"/>
      <w:isLgl w:val="false"/>
      <w:suff w:val="nothing"/>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848"/>
    <w:uiPriority w:val="9"/>
    <w:qFormat/>
    <w:pPr>
      <w:keepLines/>
      <w:keepNext/>
      <w:spacing w:before="480" w:after="200"/>
      <w:outlineLvl w:val="0"/>
    </w:pPr>
    <w:rPr>
      <w:rFonts w:ascii="Arial" w:hAnsi="Arial" w:eastAsia="Arial" w:cs="Arial"/>
      <w:sz w:val="40"/>
      <w:szCs w:val="40"/>
    </w:rPr>
  </w:style>
  <w:style w:type="paragraph" w:styleId="14">
    <w:name w:val="Heading 2"/>
    <w:basedOn w:val="734"/>
    <w:next w:val="734"/>
    <w:link w:val="849"/>
    <w:uiPriority w:val="9"/>
    <w:unhideWhenUsed/>
    <w:qFormat/>
    <w:pPr>
      <w:keepLines/>
      <w:keepNext/>
      <w:spacing w:before="360" w:after="200"/>
      <w:outlineLvl w:val="1"/>
    </w:pPr>
    <w:rPr>
      <w:rFonts w:ascii="Arial" w:hAnsi="Arial" w:eastAsia="Arial" w:cs="Arial"/>
      <w:sz w:val="34"/>
    </w:rPr>
  </w:style>
  <w:style w:type="paragraph" w:styleId="16">
    <w:name w:val="Heading 3"/>
    <w:basedOn w:val="734"/>
    <w:next w:val="734"/>
    <w:link w:val="8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4"/>
    <w:next w:val="734"/>
    <w:link w:val="83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4"/>
    <w:next w:val="734"/>
    <w:link w:val="83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4"/>
    <w:next w:val="734"/>
    <w:link w:val="83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4"/>
    <w:next w:val="734"/>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4"/>
    <w:next w:val="734"/>
    <w:link w:val="84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4"/>
    <w:next w:val="734"/>
    <w:link w:val="84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842"/>
    <w:uiPriority w:val="10"/>
    <w:qFormat/>
    <w:pPr>
      <w:contextualSpacing/>
      <w:spacing w:before="300" w:after="200"/>
    </w:pPr>
    <w:rPr>
      <w:sz w:val="48"/>
      <w:szCs w:val="48"/>
    </w:rPr>
  </w:style>
  <w:style w:type="paragraph" w:styleId="35">
    <w:name w:val="Subtitle"/>
    <w:basedOn w:val="734"/>
    <w:next w:val="734"/>
    <w:link w:val="843"/>
    <w:uiPriority w:val="11"/>
    <w:qFormat/>
    <w:pPr>
      <w:spacing w:before="200" w:after="200"/>
    </w:pPr>
    <w:rPr>
      <w:sz w:val="24"/>
      <w:szCs w:val="24"/>
    </w:rPr>
  </w:style>
  <w:style w:type="paragraph" w:styleId="37">
    <w:name w:val="Quote"/>
    <w:basedOn w:val="734"/>
    <w:next w:val="734"/>
    <w:link w:val="844"/>
    <w:uiPriority w:val="29"/>
    <w:qFormat/>
    <w:pPr>
      <w:ind w:left="720" w:right="720"/>
    </w:pPr>
    <w:rPr>
      <w:i/>
    </w:rPr>
  </w:style>
  <w:style w:type="paragraph" w:styleId="39">
    <w:name w:val="Intense Quote"/>
    <w:basedOn w:val="734"/>
    <w:next w:val="734"/>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34"/>
    <w:link w:val="856"/>
    <w:uiPriority w:val="99"/>
    <w:unhideWhenUsed/>
    <w:pPr>
      <w:spacing w:after="0" w:line="240" w:lineRule="auto"/>
      <w:tabs>
        <w:tab w:val="center" w:pos="7143" w:leader="none"/>
        <w:tab w:val="right" w:pos="14287" w:leader="none"/>
      </w:tabs>
    </w:pPr>
  </w:style>
  <w:style w:type="paragraph" w:styleId="43">
    <w:name w:val="Footer"/>
    <w:basedOn w:val="734"/>
    <w:link w:val="858"/>
    <w:uiPriority w:val="99"/>
    <w:unhideWhenUsed/>
    <w:pPr>
      <w:spacing w:after="0" w:line="240" w:lineRule="auto"/>
      <w:tabs>
        <w:tab w:val="center" w:pos="7143" w:leader="none"/>
        <w:tab w:val="right" w:pos="14287" w:leader="none"/>
      </w:tabs>
    </w:pPr>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4"/>
    <w:link w:val="98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4"/>
    <w:link w:val="84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90">
    <w:name w:val="table of figures"/>
    <w:basedOn w:val="734"/>
    <w:next w:val="734"/>
    <w:uiPriority w:val="99"/>
    <w:unhideWhenUsed/>
    <w:pPr>
      <w:spacing w:after="0" w:afterAutospacing="0"/>
    </w:pPr>
  </w:style>
  <w:style w:type="paragraph" w:styleId="734" w:default="1">
    <w:name w:val="Normal"/>
    <w:next w:val="746"/>
    <w:link w:val="734"/>
    <w:qFormat/>
    <w:pPr>
      <w:jc w:val="both"/>
      <w:widowControl w:val="off"/>
    </w:pPr>
    <w:rPr>
      <w:sz w:val="21"/>
      <w:szCs w:val="24"/>
      <w:lang w:val="en-US" w:eastAsia="zh-CN" w:bidi="ar-SA"/>
    </w:rPr>
  </w:style>
  <w:style w:type="paragraph" w:styleId="735">
    <w:name w:val="标题 1"/>
    <w:basedOn w:val="734"/>
    <w:next w:val="734"/>
    <w:link w:val="762"/>
    <w:qFormat/>
    <w:pPr>
      <w:jc w:val="center"/>
      <w:keepLines/>
      <w:keepNext/>
      <w:spacing w:line="578" w:lineRule="auto"/>
      <w:outlineLvl w:val="0"/>
    </w:pPr>
    <w:rPr>
      <w:rFonts w:eastAsia="新宋体"/>
      <w:b/>
      <w:bCs/>
      <w:sz w:val="30"/>
      <w:szCs w:val="44"/>
    </w:rPr>
  </w:style>
  <w:style w:type="paragraph" w:styleId="736">
    <w:name w:val="标题 2"/>
    <w:basedOn w:val="734"/>
    <w:next w:val="734"/>
    <w:link w:val="763"/>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737">
    <w:name w:val="标题 3"/>
    <w:basedOn w:val="734"/>
    <w:next w:val="734"/>
    <w:link w:val="764"/>
    <w:uiPriority w:val="9"/>
    <w:qFormat/>
    <w:pPr>
      <w:keepLines/>
      <w:keepNext/>
      <w:spacing w:before="260" w:after="260" w:line="416" w:lineRule="auto"/>
      <w:outlineLvl w:val="2"/>
    </w:pPr>
    <w:rPr>
      <w:b/>
      <w:bCs/>
      <w:sz w:val="32"/>
      <w:szCs w:val="32"/>
    </w:rPr>
  </w:style>
  <w:style w:type="paragraph" w:styleId="738">
    <w:name w:val="标题 4"/>
    <w:basedOn w:val="734"/>
    <w:next w:val="734"/>
    <w:link w:val="765"/>
    <w:uiPriority w:val="9"/>
    <w:qFormat/>
    <w:pPr>
      <w:keepLines/>
      <w:keepNext/>
      <w:spacing w:before="320" w:after="200"/>
      <w:outlineLvl w:val="3"/>
    </w:pPr>
    <w:rPr>
      <w:rFonts w:ascii="Arial" w:hAnsi="Arial" w:eastAsia="Arial" w:cs="Arial"/>
      <w:b/>
      <w:bCs/>
      <w:sz w:val="26"/>
      <w:szCs w:val="26"/>
    </w:rPr>
  </w:style>
  <w:style w:type="paragraph" w:styleId="739">
    <w:name w:val="标题 5"/>
    <w:basedOn w:val="734"/>
    <w:next w:val="734"/>
    <w:link w:val="766"/>
    <w:uiPriority w:val="9"/>
    <w:qFormat/>
    <w:pPr>
      <w:keepLines/>
      <w:keepNext/>
      <w:spacing w:before="320" w:after="200"/>
      <w:outlineLvl w:val="4"/>
    </w:pPr>
    <w:rPr>
      <w:rFonts w:ascii="Arial" w:hAnsi="Arial" w:eastAsia="Arial" w:cs="Arial"/>
      <w:b/>
      <w:bCs/>
      <w:sz w:val="24"/>
    </w:rPr>
  </w:style>
  <w:style w:type="paragraph" w:styleId="740">
    <w:name w:val="标题 6"/>
    <w:basedOn w:val="734"/>
    <w:next w:val="734"/>
    <w:link w:val="767"/>
    <w:uiPriority w:val="9"/>
    <w:qFormat/>
    <w:pPr>
      <w:keepLines/>
      <w:keepNext/>
      <w:spacing w:before="320" w:after="200"/>
      <w:outlineLvl w:val="5"/>
    </w:pPr>
    <w:rPr>
      <w:rFonts w:ascii="Arial" w:hAnsi="Arial" w:eastAsia="Arial" w:cs="Arial"/>
      <w:b/>
      <w:bCs/>
      <w:sz w:val="22"/>
      <w:szCs w:val="22"/>
    </w:rPr>
  </w:style>
  <w:style w:type="paragraph" w:styleId="741">
    <w:name w:val="标题 7"/>
    <w:basedOn w:val="734"/>
    <w:next w:val="734"/>
    <w:link w:val="768"/>
    <w:uiPriority w:val="9"/>
    <w:qFormat/>
    <w:pPr>
      <w:keepLines/>
      <w:keepNext/>
      <w:spacing w:before="320" w:after="200"/>
      <w:outlineLvl w:val="6"/>
    </w:pPr>
    <w:rPr>
      <w:rFonts w:ascii="Arial" w:hAnsi="Arial" w:eastAsia="Arial" w:cs="Arial"/>
      <w:b/>
      <w:bCs/>
      <w:i/>
      <w:iCs/>
      <w:sz w:val="22"/>
      <w:szCs w:val="22"/>
    </w:rPr>
  </w:style>
  <w:style w:type="paragraph" w:styleId="742">
    <w:name w:val="标题 8"/>
    <w:basedOn w:val="734"/>
    <w:next w:val="734"/>
    <w:link w:val="769"/>
    <w:uiPriority w:val="9"/>
    <w:qFormat/>
    <w:pPr>
      <w:keepLines/>
      <w:keepNext/>
      <w:spacing w:before="320" w:after="200"/>
      <w:outlineLvl w:val="7"/>
    </w:pPr>
    <w:rPr>
      <w:rFonts w:ascii="Arial" w:hAnsi="Arial" w:eastAsia="Arial" w:cs="Arial"/>
      <w:i/>
      <w:iCs/>
      <w:sz w:val="22"/>
      <w:szCs w:val="22"/>
    </w:rPr>
  </w:style>
  <w:style w:type="paragraph" w:styleId="743">
    <w:name w:val="标题 9"/>
    <w:basedOn w:val="734"/>
    <w:next w:val="734"/>
    <w:link w:val="770"/>
    <w:uiPriority w:val="9"/>
    <w:qFormat/>
    <w:pPr>
      <w:keepLines/>
      <w:keepNext/>
      <w:spacing w:before="320" w:after="200"/>
      <w:outlineLvl w:val="8"/>
    </w:pPr>
    <w:rPr>
      <w:rFonts w:ascii="Arial" w:hAnsi="Arial" w:eastAsia="Arial" w:cs="Arial"/>
      <w:i/>
      <w:iCs/>
      <w:szCs w:val="21"/>
    </w:rPr>
  </w:style>
  <w:style w:type="character" w:styleId="744">
    <w:name w:val="默认段落字体"/>
    <w:next w:val="744"/>
    <w:link w:val="734"/>
    <w:uiPriority w:val="1"/>
    <w:unhideWhenUsed/>
    <w:qFormat/>
  </w:style>
  <w:style w:type="table" w:styleId="745">
    <w:name w:val="普通表格"/>
    <w:next w:val="745"/>
    <w:link w:val="734"/>
    <w:uiPriority w:val="99"/>
    <w:unhideWhenUsed/>
    <w:qFormat/>
    <w:tblPr/>
  </w:style>
  <w:style w:type="paragraph" w:styleId="746">
    <w:name w:val="列表段落1"/>
    <w:basedOn w:val="747"/>
    <w:next w:val="734"/>
    <w:link w:val="734"/>
    <w:uiPriority w:val="99"/>
    <w:qFormat/>
    <w:pPr>
      <w:ind w:firstLine="420"/>
    </w:pPr>
  </w:style>
  <w:style w:type="paragraph" w:styleId="747">
    <w:name w:val="正文1"/>
    <w:basedOn w:val="748"/>
    <w:next w:val="761"/>
    <w:link w:val="734"/>
    <w:qFormat/>
    <w:pPr>
      <w:jc w:val="left"/>
      <w:spacing w:line="360" w:lineRule="atLeast"/>
    </w:pPr>
    <w:rPr>
      <w:rFonts w:ascii="宋体" w:hAnsi="Calibri" w:eastAsia="宋体" w:cs="Times New Roman"/>
      <w:sz w:val="24"/>
      <w:szCs w:val="20"/>
    </w:rPr>
  </w:style>
  <w:style w:type="paragraph" w:styleId="748">
    <w:name w:val="正文11"/>
    <w:next w:val="750"/>
    <w:link w:val="749"/>
    <w:qFormat/>
    <w:pPr>
      <w:jc w:val="both"/>
      <w:widowControl w:val="off"/>
    </w:pPr>
    <w:rPr>
      <w:sz w:val="21"/>
      <w:szCs w:val="24"/>
      <w:lang w:val="en-US" w:eastAsia="zh-CN" w:bidi="ar-SA"/>
    </w:rPr>
  </w:style>
  <w:style w:type="character" w:styleId="749">
    <w:name w:val="NormalCharacter1"/>
    <w:next w:val="749"/>
    <w:link w:val="748"/>
    <w:semiHidden/>
    <w:qFormat/>
    <w:rPr>
      <w:rFonts w:ascii="Times New Roman" w:hAnsi="Times New Roman" w:eastAsia="宋体" w:cs="Times New Roman"/>
      <w:sz w:val="21"/>
      <w:szCs w:val="24"/>
      <w:lang w:val="en-US" w:eastAsia="zh-CN" w:bidi="ar-SA"/>
    </w:rPr>
  </w:style>
  <w:style w:type="paragraph" w:styleId="750">
    <w:name w:val="目录 11"/>
    <w:basedOn w:val="751"/>
    <w:next w:val="748"/>
    <w:link w:val="734"/>
    <w:qFormat/>
    <w:pPr>
      <w:jc w:val="left"/>
      <w:spacing w:before="120" w:after="120"/>
      <w:widowControl/>
    </w:pPr>
    <w:rPr>
      <w:rFonts w:ascii="Calibri" w:hAnsi="Calibri" w:cs="Calibri"/>
      <w:b/>
      <w:bCs/>
      <w:caps/>
      <w:sz w:val="20"/>
      <w:szCs w:val="20"/>
    </w:rPr>
  </w:style>
  <w:style w:type="paragraph" w:styleId="751">
    <w:name w:val="正文12"/>
    <w:next w:val="752"/>
    <w:link w:val="734"/>
    <w:qFormat/>
    <w:pPr>
      <w:jc w:val="both"/>
      <w:widowControl w:val="off"/>
    </w:pPr>
    <w:rPr>
      <w:sz w:val="21"/>
      <w:szCs w:val="24"/>
      <w:lang w:val="en-US" w:eastAsia="zh-CN" w:bidi="ar-SA"/>
    </w:rPr>
  </w:style>
  <w:style w:type="paragraph" w:styleId="752">
    <w:name w:val="正文文本11"/>
    <w:basedOn w:val="753"/>
    <w:next w:val="754"/>
    <w:link w:val="734"/>
    <w:qFormat/>
    <w:pPr>
      <w:spacing w:after="120"/>
    </w:pPr>
  </w:style>
  <w:style w:type="paragraph" w:styleId="753">
    <w:name w:val="正文112"/>
    <w:next w:val="752"/>
    <w:link w:val="734"/>
    <w:qFormat/>
    <w:pPr>
      <w:jc w:val="both"/>
      <w:widowControl w:val="off"/>
    </w:pPr>
    <w:rPr>
      <w:sz w:val="21"/>
      <w:szCs w:val="24"/>
      <w:lang w:val="en-US" w:eastAsia="zh-CN" w:bidi="ar-SA"/>
    </w:rPr>
  </w:style>
  <w:style w:type="paragraph" w:styleId="754">
    <w:name w:val="一级条标题"/>
    <w:basedOn w:val="755"/>
    <w:next w:val="756"/>
    <w:link w:val="73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name w:val="章标题"/>
    <w:next w:val="747"/>
    <w:link w:val="73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56">
    <w:name w:val="段"/>
    <w:basedOn w:val="757"/>
    <w:next w:val="734"/>
    <w:link w:val="734"/>
    <w:qFormat/>
    <w:pPr>
      <w:ind w:firstLine="200"/>
      <w:widowControl/>
    </w:pPr>
    <w:rPr>
      <w:sz w:val="20"/>
    </w:rPr>
  </w:style>
  <w:style w:type="paragraph" w:styleId="757">
    <w:name w:val="正文13"/>
    <w:next w:val="758"/>
    <w:link w:val="734"/>
    <w:qFormat/>
    <w:pPr>
      <w:jc w:val="both"/>
      <w:widowControl w:val="off"/>
    </w:pPr>
    <w:rPr>
      <w:sz w:val="21"/>
      <w:szCs w:val="24"/>
      <w:lang w:val="en-US" w:eastAsia="zh-CN" w:bidi="ar-SA"/>
    </w:rPr>
  </w:style>
  <w:style w:type="paragraph" w:styleId="758">
    <w:name w:val="正文首行缩进1"/>
    <w:basedOn w:val="752"/>
    <w:next w:val="759"/>
    <w:link w:val="734"/>
    <w:qFormat/>
    <w:pPr>
      <w:ind w:firstLine="200"/>
    </w:pPr>
    <w:rPr>
      <w:rFonts w:ascii="仿宋_GB2312" w:eastAsia="仿宋_GB2312"/>
      <w:sz w:val="30"/>
      <w:szCs w:val="30"/>
    </w:rPr>
  </w:style>
  <w:style w:type="paragraph" w:styleId="759">
    <w:name w:val="正文首行缩进 211"/>
    <w:basedOn w:val="760"/>
    <w:next w:val="753"/>
    <w:link w:val="734"/>
    <w:uiPriority w:val="99"/>
    <w:qFormat/>
    <w:pPr>
      <w:ind w:left="0" w:firstLine="420"/>
      <w:spacing w:after="0" w:line="360" w:lineRule="auto"/>
    </w:pPr>
    <w:rPr>
      <w:rFonts w:ascii="宋体" w:hAnsi="宋体"/>
    </w:rPr>
  </w:style>
  <w:style w:type="paragraph" w:styleId="760">
    <w:name w:val="正文文本缩进11"/>
    <w:basedOn w:val="753"/>
    <w:next w:val="753"/>
    <w:link w:val="734"/>
    <w:qFormat/>
    <w:pPr>
      <w:ind w:left="420"/>
      <w:spacing w:after="120"/>
    </w:pPr>
    <w:rPr>
      <w:rFonts w:ascii="Calibri" w:hAnsi="Calibri" w:eastAsia="等线" w:cs="Times New Roman"/>
    </w:rPr>
  </w:style>
  <w:style w:type="paragraph" w:styleId="761">
    <w:name w:val="正文文本1"/>
    <w:basedOn w:val="747"/>
    <w:next w:val="747"/>
    <w:link w:val="734"/>
    <w:qFormat/>
    <w:pPr>
      <w:spacing w:after="120"/>
    </w:pPr>
    <w:rPr>
      <w:lang w:eastAsia="en-US"/>
    </w:rPr>
  </w:style>
  <w:style w:type="character" w:styleId="762">
    <w:name w:val="标题 1 字符"/>
    <w:next w:val="762"/>
    <w:link w:val="735"/>
    <w:qFormat/>
    <w:rPr>
      <w:rFonts w:ascii="Times New Roman" w:hAnsi="Times New Roman" w:eastAsia="新宋体" w:cs="Times New Roman"/>
      <w:b/>
      <w:bCs/>
      <w:sz w:val="30"/>
      <w:szCs w:val="44"/>
    </w:rPr>
  </w:style>
  <w:style w:type="character" w:styleId="763">
    <w:name w:val="标题 2 字符"/>
    <w:next w:val="763"/>
    <w:link w:val="736"/>
    <w:uiPriority w:val="9"/>
    <w:qFormat/>
    <w:rPr>
      <w:rFonts w:ascii="Calibri Light" w:hAnsi="Calibri Light" w:eastAsia="黑体" w:cs="Times New Roman"/>
      <w:b/>
      <w:bCs/>
      <w:sz w:val="32"/>
      <w:szCs w:val="32"/>
    </w:rPr>
  </w:style>
  <w:style w:type="character" w:styleId="764">
    <w:name w:val="标题 3 字符"/>
    <w:next w:val="764"/>
    <w:link w:val="737"/>
    <w:uiPriority w:val="9"/>
    <w:qFormat/>
    <w:rPr>
      <w:rFonts w:ascii="Times New Roman" w:hAnsi="Times New Roman" w:eastAsia="宋体" w:cs="Times New Roman"/>
      <w:b/>
      <w:bCs/>
      <w:sz w:val="32"/>
      <w:szCs w:val="32"/>
    </w:rPr>
  </w:style>
  <w:style w:type="character" w:styleId="765">
    <w:name w:val="标题 4 字符"/>
    <w:next w:val="765"/>
    <w:link w:val="738"/>
    <w:uiPriority w:val="9"/>
    <w:qFormat/>
    <w:rPr>
      <w:rFonts w:ascii="Arial" w:hAnsi="Arial" w:eastAsia="Arial" w:cs="Arial"/>
      <w:b/>
      <w:bCs/>
      <w:sz w:val="26"/>
      <w:szCs w:val="26"/>
    </w:rPr>
  </w:style>
  <w:style w:type="character" w:styleId="766">
    <w:name w:val="标题 5 字符"/>
    <w:next w:val="766"/>
    <w:link w:val="739"/>
    <w:uiPriority w:val="9"/>
    <w:qFormat/>
    <w:rPr>
      <w:rFonts w:ascii="Arial" w:hAnsi="Arial" w:eastAsia="Arial" w:cs="Arial"/>
      <w:b/>
      <w:bCs/>
      <w:sz w:val="24"/>
      <w:szCs w:val="24"/>
    </w:rPr>
  </w:style>
  <w:style w:type="character" w:styleId="767">
    <w:name w:val="标题 6 字符"/>
    <w:next w:val="767"/>
    <w:link w:val="740"/>
    <w:uiPriority w:val="9"/>
    <w:qFormat/>
    <w:rPr>
      <w:rFonts w:ascii="Arial" w:hAnsi="Arial" w:eastAsia="Arial" w:cs="Arial"/>
      <w:b/>
      <w:bCs/>
      <w:sz w:val="22"/>
      <w:szCs w:val="22"/>
    </w:rPr>
  </w:style>
  <w:style w:type="character" w:styleId="768">
    <w:name w:val="标题 7 字符"/>
    <w:next w:val="768"/>
    <w:link w:val="741"/>
    <w:uiPriority w:val="9"/>
    <w:qFormat/>
    <w:rPr>
      <w:rFonts w:ascii="Arial" w:hAnsi="Arial" w:eastAsia="Arial" w:cs="Arial"/>
      <w:b/>
      <w:bCs/>
      <w:i/>
      <w:iCs/>
      <w:sz w:val="22"/>
      <w:szCs w:val="22"/>
    </w:rPr>
  </w:style>
  <w:style w:type="character" w:styleId="769">
    <w:name w:val="标题 8 字符"/>
    <w:next w:val="769"/>
    <w:link w:val="742"/>
    <w:uiPriority w:val="9"/>
    <w:qFormat/>
    <w:rPr>
      <w:rFonts w:ascii="Arial" w:hAnsi="Arial" w:eastAsia="Arial" w:cs="Arial"/>
      <w:i/>
      <w:iCs/>
      <w:sz w:val="22"/>
      <w:szCs w:val="22"/>
    </w:rPr>
  </w:style>
  <w:style w:type="character" w:styleId="770">
    <w:name w:val="标题 9 字符"/>
    <w:next w:val="770"/>
    <w:link w:val="743"/>
    <w:uiPriority w:val="9"/>
    <w:qFormat/>
    <w:rPr>
      <w:rFonts w:ascii="Arial" w:hAnsi="Arial" w:eastAsia="Arial" w:cs="Arial"/>
      <w:i/>
      <w:iCs/>
      <w:sz w:val="21"/>
      <w:szCs w:val="21"/>
    </w:rPr>
  </w:style>
  <w:style w:type="paragraph" w:styleId="771">
    <w:name w:val="目录 7"/>
    <w:basedOn w:val="734"/>
    <w:next w:val="734"/>
    <w:link w:val="734"/>
    <w:uiPriority w:val="39"/>
    <w:unhideWhenUsed/>
    <w:qFormat/>
    <w:pPr>
      <w:ind w:left="1701"/>
      <w:spacing w:after="57"/>
    </w:pPr>
  </w:style>
  <w:style w:type="paragraph" w:styleId="772">
    <w:name w:val="正文缩进"/>
    <w:basedOn w:val="734"/>
    <w:next w:val="772"/>
    <w:link w:val="734"/>
    <w:qFormat/>
    <w:pPr>
      <w:ind w:firstLine="420"/>
    </w:pPr>
  </w:style>
  <w:style w:type="paragraph" w:styleId="773">
    <w:name w:val="题注"/>
    <w:basedOn w:val="734"/>
    <w:next w:val="734"/>
    <w:link w:val="734"/>
    <w:uiPriority w:val="35"/>
    <w:qFormat/>
    <w:pPr>
      <w:spacing w:line="276" w:lineRule="auto"/>
    </w:pPr>
    <w:rPr>
      <w:b/>
      <w:bCs/>
      <w:color w:val="5b9bd5"/>
      <w:sz w:val="18"/>
      <w:szCs w:val="18"/>
    </w:rPr>
  </w:style>
  <w:style w:type="paragraph" w:styleId="774">
    <w:name w:val="索引 5"/>
    <w:basedOn w:val="734"/>
    <w:next w:val="734"/>
    <w:link w:val="734"/>
    <w:qFormat/>
    <w:pPr>
      <w:ind w:left="798"/>
      <w:jc w:val="left"/>
    </w:pPr>
    <w:rPr>
      <w:rFonts w:ascii="Calibri" w:hAnsi="Calibri"/>
    </w:rPr>
  </w:style>
  <w:style w:type="paragraph" w:styleId="775">
    <w:name w:val="批注文字"/>
    <w:basedOn w:val="734"/>
    <w:next w:val="775"/>
    <w:link w:val="776"/>
    <w:unhideWhenUsed/>
    <w:qFormat/>
    <w:pPr>
      <w:jc w:val="left"/>
    </w:pPr>
  </w:style>
  <w:style w:type="character" w:styleId="776">
    <w:name w:val="批注文字 字符"/>
    <w:next w:val="776"/>
    <w:link w:val="775"/>
    <w:semiHidden/>
    <w:qFormat/>
    <w:rPr>
      <w:rFonts w:ascii="Times New Roman" w:hAnsi="Times New Roman" w:eastAsia="宋体" w:cs="Times New Roman"/>
      <w:sz w:val="21"/>
      <w:szCs w:val="24"/>
    </w:rPr>
  </w:style>
  <w:style w:type="paragraph" w:styleId="777">
    <w:name w:val="正文文本"/>
    <w:basedOn w:val="734"/>
    <w:next w:val="754"/>
    <w:link w:val="778"/>
    <w:uiPriority w:val="99"/>
    <w:qFormat/>
    <w:pPr>
      <w:spacing w:after="120"/>
    </w:pPr>
    <w:rPr>
      <w:rFonts w:ascii="Calibri" w:hAnsi="Calibri"/>
    </w:rPr>
  </w:style>
  <w:style w:type="character" w:styleId="778">
    <w:name w:val="正文文本 字符"/>
    <w:next w:val="778"/>
    <w:link w:val="777"/>
    <w:uiPriority w:val="99"/>
    <w:qFormat/>
    <w:rPr>
      <w:rFonts w:ascii="Calibri" w:hAnsi="Calibri" w:eastAsia="宋体" w:cs="Times New Roman"/>
      <w:sz w:val="21"/>
      <w:szCs w:val="24"/>
    </w:rPr>
  </w:style>
  <w:style w:type="paragraph" w:styleId="779">
    <w:name w:val="正文文本缩进"/>
    <w:basedOn w:val="734"/>
    <w:next w:val="779"/>
    <w:link w:val="734"/>
    <w:qFormat/>
    <w:pPr>
      <w:ind w:left="420"/>
      <w:spacing w:after="120"/>
    </w:pPr>
    <w:rPr>
      <w:rFonts w:ascii="Calibri" w:hAnsi="Calibri"/>
    </w:rPr>
  </w:style>
  <w:style w:type="paragraph" w:styleId="780">
    <w:name w:val="文本块"/>
    <w:basedOn w:val="734"/>
    <w:next w:val="780"/>
    <w:link w:val="734"/>
    <w:uiPriority w:val="99"/>
    <w:unhideWhenUsed/>
    <w:qFormat/>
    <w:pPr>
      <w:ind w:left="1440" w:right="1440"/>
      <w:spacing w:after="120"/>
    </w:pPr>
  </w:style>
  <w:style w:type="paragraph" w:styleId="781">
    <w:name w:val="索引 4"/>
    <w:basedOn w:val="734"/>
    <w:next w:val="734"/>
    <w:link w:val="734"/>
    <w:uiPriority w:val="99"/>
    <w:qFormat/>
    <w:pPr>
      <w:ind w:left="600"/>
    </w:pPr>
    <w:rPr>
      <w:rFonts w:ascii="Calibri" w:hAnsi="Calibri"/>
    </w:rPr>
  </w:style>
  <w:style w:type="paragraph" w:styleId="782">
    <w:name w:val="目录 5"/>
    <w:basedOn w:val="734"/>
    <w:next w:val="734"/>
    <w:link w:val="734"/>
    <w:uiPriority w:val="39"/>
    <w:unhideWhenUsed/>
    <w:qFormat/>
    <w:pPr>
      <w:ind w:left="1134"/>
      <w:spacing w:after="57"/>
    </w:pPr>
  </w:style>
  <w:style w:type="paragraph" w:styleId="783">
    <w:name w:val="目录 3"/>
    <w:basedOn w:val="734"/>
    <w:next w:val="734"/>
    <w:link w:val="734"/>
    <w:uiPriority w:val="39"/>
    <w:unhideWhenUsed/>
    <w:qFormat/>
    <w:pPr>
      <w:ind w:left="567"/>
      <w:spacing w:after="57"/>
    </w:pPr>
  </w:style>
  <w:style w:type="paragraph" w:styleId="784">
    <w:name w:val="纯文本"/>
    <w:basedOn w:val="734"/>
    <w:next w:val="784"/>
    <w:link w:val="785"/>
    <w:qFormat/>
    <w:rPr>
      <w:rFonts w:ascii="宋体" w:hAnsi="Courier New"/>
      <w:sz w:val="20"/>
      <w:szCs w:val="20"/>
    </w:rPr>
  </w:style>
  <w:style w:type="character" w:styleId="785">
    <w:name w:val="纯文本 字符"/>
    <w:next w:val="785"/>
    <w:link w:val="784"/>
    <w:qFormat/>
    <w:rPr>
      <w:rFonts w:ascii="宋体" w:hAnsi="Courier New"/>
      <w:sz w:val="20"/>
      <w:szCs w:val="20"/>
    </w:rPr>
  </w:style>
  <w:style w:type="paragraph" w:styleId="786">
    <w:name w:val="目录 8"/>
    <w:basedOn w:val="734"/>
    <w:next w:val="734"/>
    <w:link w:val="734"/>
    <w:uiPriority w:val="39"/>
    <w:unhideWhenUsed/>
    <w:qFormat/>
    <w:pPr>
      <w:ind w:left="1984"/>
      <w:spacing w:after="57"/>
    </w:pPr>
  </w:style>
  <w:style w:type="paragraph" w:styleId="787">
    <w:name w:val="日期"/>
    <w:basedOn w:val="734"/>
    <w:next w:val="734"/>
    <w:link w:val="734"/>
    <w:qFormat/>
    <w:rPr>
      <w:rFonts w:eastAsia="仿宋_GB2312"/>
      <w:sz w:val="28"/>
      <w:szCs w:val="20"/>
    </w:rPr>
  </w:style>
  <w:style w:type="paragraph" w:styleId="788">
    <w:name w:val="尾注文本"/>
    <w:basedOn w:val="734"/>
    <w:next w:val="788"/>
    <w:link w:val="789"/>
    <w:uiPriority w:val="99"/>
    <w:unhideWhenUsed/>
    <w:qFormat/>
    <w:rPr>
      <w:sz w:val="20"/>
    </w:rPr>
  </w:style>
  <w:style w:type="character" w:styleId="789">
    <w:name w:val="尾注文本 字符"/>
    <w:next w:val="789"/>
    <w:link w:val="788"/>
    <w:uiPriority w:val="99"/>
    <w:qFormat/>
    <w:rPr>
      <w:sz w:val="20"/>
    </w:rPr>
  </w:style>
  <w:style w:type="paragraph" w:styleId="790">
    <w:name w:val="批注框文本"/>
    <w:basedOn w:val="734"/>
    <w:next w:val="790"/>
    <w:link w:val="791"/>
    <w:qFormat/>
    <w:rPr>
      <w:sz w:val="18"/>
      <w:szCs w:val="18"/>
    </w:rPr>
  </w:style>
  <w:style w:type="character" w:styleId="791">
    <w:name w:val="批注框文本 字符"/>
    <w:next w:val="791"/>
    <w:link w:val="790"/>
    <w:qFormat/>
    <w:rPr>
      <w:rFonts w:ascii="Times New Roman" w:hAnsi="Times New Roman" w:eastAsia="宋体" w:cs="Times New Roman"/>
      <w:sz w:val="18"/>
      <w:szCs w:val="18"/>
    </w:rPr>
  </w:style>
  <w:style w:type="paragraph" w:styleId="792">
    <w:name w:val="页脚"/>
    <w:basedOn w:val="734"/>
    <w:next w:val="792"/>
    <w:link w:val="793"/>
    <w:uiPriority w:val="99"/>
    <w:qFormat/>
    <w:pPr>
      <w:jc w:val="left"/>
      <w:tabs>
        <w:tab w:val="center" w:pos="4153" w:leader="none"/>
        <w:tab w:val="right" w:pos="8306" w:leader="none"/>
      </w:tabs>
    </w:pPr>
    <w:rPr>
      <w:sz w:val="18"/>
      <w:szCs w:val="18"/>
    </w:rPr>
  </w:style>
  <w:style w:type="character" w:styleId="793">
    <w:name w:val="页脚 字符"/>
    <w:next w:val="793"/>
    <w:link w:val="792"/>
    <w:uiPriority w:val="99"/>
    <w:qFormat/>
    <w:rPr>
      <w:rFonts w:ascii="Times New Roman" w:hAnsi="Times New Roman" w:eastAsia="宋体" w:cs="Times New Roman"/>
      <w:sz w:val="18"/>
      <w:szCs w:val="18"/>
    </w:rPr>
  </w:style>
  <w:style w:type="paragraph" w:styleId="794">
    <w:name w:val="页眉"/>
    <w:basedOn w:val="734"/>
    <w:next w:val="794"/>
    <w:link w:val="795"/>
    <w:uiPriority w:val="99"/>
    <w:qFormat/>
    <w:pPr>
      <w:jc w:val="center"/>
      <w:tabs>
        <w:tab w:val="center" w:pos="4153" w:leader="none"/>
        <w:tab w:val="right" w:pos="8306" w:leader="none"/>
      </w:tabs>
      <w:pBdr>
        <w:bottom w:val="single" w:color="000000" w:sz="6" w:space="1"/>
      </w:pBdr>
    </w:pPr>
    <w:rPr>
      <w:sz w:val="18"/>
      <w:szCs w:val="18"/>
    </w:rPr>
  </w:style>
  <w:style w:type="character" w:styleId="795">
    <w:name w:val="页眉 字符"/>
    <w:next w:val="795"/>
    <w:link w:val="794"/>
    <w:uiPriority w:val="99"/>
    <w:qFormat/>
    <w:rPr>
      <w:rFonts w:ascii="Times New Roman" w:hAnsi="Times New Roman" w:eastAsia="宋体" w:cs="Times New Roman"/>
      <w:sz w:val="18"/>
      <w:szCs w:val="18"/>
    </w:rPr>
  </w:style>
  <w:style w:type="paragraph" w:styleId="796">
    <w:name w:val="目录 1"/>
    <w:basedOn w:val="734"/>
    <w:next w:val="734"/>
    <w:link w:val="734"/>
    <w:uiPriority w:val="39"/>
    <w:qFormat/>
  </w:style>
  <w:style w:type="paragraph" w:styleId="797">
    <w:name w:val="目录 4"/>
    <w:basedOn w:val="734"/>
    <w:next w:val="734"/>
    <w:link w:val="734"/>
    <w:uiPriority w:val="39"/>
    <w:unhideWhenUsed/>
    <w:qFormat/>
    <w:pPr>
      <w:ind w:left="850"/>
      <w:spacing w:after="57"/>
    </w:pPr>
  </w:style>
  <w:style w:type="paragraph" w:styleId="798">
    <w:name w:val="副标题"/>
    <w:basedOn w:val="734"/>
    <w:next w:val="734"/>
    <w:link w:val="799"/>
    <w:uiPriority w:val="11"/>
    <w:qFormat/>
    <w:pPr>
      <w:spacing w:before="200" w:after="200"/>
    </w:pPr>
    <w:rPr>
      <w:sz w:val="24"/>
    </w:rPr>
  </w:style>
  <w:style w:type="character" w:styleId="799">
    <w:name w:val="副标题 字符"/>
    <w:next w:val="799"/>
    <w:link w:val="798"/>
    <w:uiPriority w:val="11"/>
    <w:qFormat/>
    <w:rPr>
      <w:sz w:val="24"/>
      <w:szCs w:val="24"/>
    </w:rPr>
  </w:style>
  <w:style w:type="paragraph" w:styleId="800">
    <w:name w:val="脚注文本"/>
    <w:basedOn w:val="734"/>
    <w:next w:val="774"/>
    <w:link w:val="734"/>
    <w:qFormat/>
    <w:pPr>
      <w:jc w:val="left"/>
    </w:pPr>
    <w:rPr>
      <w:rFonts w:ascii="宋体" w:eastAsia="Times New Roman"/>
      <w:sz w:val="18"/>
      <w:szCs w:val="18"/>
    </w:rPr>
  </w:style>
  <w:style w:type="paragraph" w:styleId="801">
    <w:name w:val="目录 6"/>
    <w:basedOn w:val="734"/>
    <w:next w:val="734"/>
    <w:link w:val="734"/>
    <w:uiPriority w:val="39"/>
    <w:unhideWhenUsed/>
    <w:qFormat/>
    <w:pPr>
      <w:ind w:left="1417"/>
      <w:spacing w:after="57"/>
    </w:pPr>
  </w:style>
  <w:style w:type="paragraph" w:styleId="802">
    <w:name w:val="图表目录"/>
    <w:basedOn w:val="734"/>
    <w:next w:val="734"/>
    <w:link w:val="734"/>
    <w:uiPriority w:val="99"/>
    <w:unhideWhenUsed/>
    <w:qFormat/>
  </w:style>
  <w:style w:type="paragraph" w:styleId="803">
    <w:name w:val="目录 2"/>
    <w:basedOn w:val="734"/>
    <w:next w:val="734"/>
    <w:link w:val="734"/>
    <w:uiPriority w:val="39"/>
    <w:unhideWhenUsed/>
    <w:qFormat/>
    <w:pPr>
      <w:ind w:left="283"/>
      <w:spacing w:after="57"/>
    </w:pPr>
  </w:style>
  <w:style w:type="paragraph" w:styleId="804">
    <w:name w:val="目录 9"/>
    <w:basedOn w:val="734"/>
    <w:next w:val="734"/>
    <w:link w:val="734"/>
    <w:uiPriority w:val="39"/>
    <w:unhideWhenUsed/>
    <w:qFormat/>
    <w:pPr>
      <w:ind w:left="2268"/>
      <w:spacing w:after="57"/>
    </w:pPr>
  </w:style>
  <w:style w:type="paragraph" w:styleId="805">
    <w:name w:val="普通(网站)"/>
    <w:basedOn w:val="734"/>
    <w:next w:val="734"/>
    <w:link w:val="734"/>
    <w:qFormat/>
    <w:pPr>
      <w:jc w:val="left"/>
      <w:spacing w:before="100" w:beforeAutospacing="1" w:after="100" w:afterAutospacing="1"/>
      <w:widowControl/>
    </w:pPr>
    <w:rPr>
      <w:rFonts w:ascii="宋体" w:hAnsi="宋体" w:cs="宋体"/>
      <w:sz w:val="24"/>
    </w:rPr>
  </w:style>
  <w:style w:type="paragraph" w:styleId="806">
    <w:name w:val="标题"/>
    <w:basedOn w:val="734"/>
    <w:next w:val="734"/>
    <w:link w:val="807"/>
    <w:uiPriority w:val="10"/>
    <w:qFormat/>
    <w:pPr>
      <w:contextualSpacing/>
      <w:spacing w:before="300" w:after="200"/>
    </w:pPr>
    <w:rPr>
      <w:sz w:val="48"/>
      <w:szCs w:val="48"/>
    </w:rPr>
  </w:style>
  <w:style w:type="character" w:styleId="807">
    <w:name w:val="标题 字符"/>
    <w:next w:val="807"/>
    <w:link w:val="806"/>
    <w:uiPriority w:val="10"/>
    <w:qFormat/>
    <w:rPr>
      <w:sz w:val="48"/>
      <w:szCs w:val="48"/>
    </w:rPr>
  </w:style>
  <w:style w:type="paragraph" w:styleId="808">
    <w:name w:val="批注主题"/>
    <w:basedOn w:val="775"/>
    <w:next w:val="775"/>
    <w:link w:val="809"/>
    <w:unhideWhenUsed/>
    <w:qFormat/>
    <w:rPr>
      <w:b/>
      <w:bCs/>
    </w:rPr>
  </w:style>
  <w:style w:type="character" w:styleId="809">
    <w:name w:val="批注主题 字符"/>
    <w:next w:val="809"/>
    <w:link w:val="808"/>
    <w:semiHidden/>
    <w:qFormat/>
    <w:rPr>
      <w:rFonts w:ascii="Times New Roman" w:hAnsi="Times New Roman" w:eastAsia="宋体" w:cs="Times New Roman"/>
      <w:b/>
      <w:bCs/>
      <w:sz w:val="21"/>
      <w:szCs w:val="24"/>
    </w:rPr>
  </w:style>
  <w:style w:type="paragraph" w:styleId="810">
    <w:name w:val="正文首行缩进"/>
    <w:basedOn w:val="777"/>
    <w:next w:val="811"/>
    <w:link w:val="734"/>
    <w:qFormat/>
    <w:pPr>
      <w:ind w:firstLine="420"/>
    </w:pPr>
  </w:style>
  <w:style w:type="paragraph" w:styleId="811">
    <w:name w:val="正文首行缩进 2"/>
    <w:basedOn w:val="779"/>
    <w:next w:val="734"/>
    <w:link w:val="734"/>
    <w:qFormat/>
    <w:pPr>
      <w:ind w:firstLine="420"/>
      <w:spacing w:line="360" w:lineRule="auto"/>
    </w:pPr>
    <w:rPr>
      <w:color w:val="000000"/>
      <w:sz w:val="20"/>
    </w:rPr>
  </w:style>
  <w:style w:type="table" w:styleId="812">
    <w:name w:val="网格型"/>
    <w:basedOn w:val="745"/>
    <w:next w:val="812"/>
    <w:link w:val="734"/>
    <w:uiPriority w:val="39"/>
    <w:qFormat/>
    <w:tblPr/>
  </w:style>
  <w:style w:type="character" w:styleId="813">
    <w:name w:val="要点"/>
    <w:next w:val="813"/>
    <w:link w:val="734"/>
    <w:uiPriority w:val="22"/>
    <w:qFormat/>
    <w:rPr>
      <w:b/>
      <w:vanish/>
    </w:rPr>
  </w:style>
  <w:style w:type="character" w:styleId="814">
    <w:name w:val="尾注引用"/>
    <w:next w:val="814"/>
    <w:link w:val="734"/>
    <w:uiPriority w:val="99"/>
    <w:unhideWhenUsed/>
    <w:qFormat/>
    <w:rPr>
      <w:vertAlign w:val="superscript"/>
    </w:rPr>
  </w:style>
  <w:style w:type="character" w:styleId="815">
    <w:name w:val="页码"/>
    <w:next w:val="815"/>
    <w:link w:val="734"/>
    <w:qFormat/>
  </w:style>
  <w:style w:type="character" w:styleId="816">
    <w:name w:val="已访问的超链接"/>
    <w:next w:val="816"/>
    <w:link w:val="734"/>
    <w:uiPriority w:val="99"/>
    <w:unhideWhenUsed/>
    <w:qFormat/>
    <w:rPr>
      <w:color w:val="800080"/>
      <w:u w:val="none"/>
    </w:rPr>
  </w:style>
  <w:style w:type="character" w:styleId="817">
    <w:name w:val="强调"/>
    <w:next w:val="817"/>
    <w:link w:val="734"/>
    <w:uiPriority w:val="20"/>
    <w:qFormat/>
    <w:rPr>
      <w:b/>
    </w:rPr>
  </w:style>
  <w:style w:type="character" w:styleId="818">
    <w:name w:val="HTML 定义"/>
    <w:next w:val="818"/>
    <w:link w:val="734"/>
    <w:uiPriority w:val="99"/>
    <w:unhideWhenUsed/>
    <w:qFormat/>
  </w:style>
  <w:style w:type="character" w:styleId="819">
    <w:name w:val="HTML 打字机"/>
    <w:next w:val="819"/>
    <w:link w:val="734"/>
    <w:uiPriority w:val="99"/>
    <w:unhideWhenUsed/>
    <w:qFormat/>
    <w:rPr>
      <w:rFonts w:ascii="monospace" w:hAnsi="monospace" w:eastAsia="monospace" w:cs="monospace"/>
      <w:sz w:val="20"/>
    </w:rPr>
  </w:style>
  <w:style w:type="character" w:styleId="820">
    <w:name w:val="HTML 缩写"/>
    <w:next w:val="820"/>
    <w:link w:val="734"/>
    <w:uiPriority w:val="99"/>
    <w:unhideWhenUsed/>
    <w:qFormat/>
  </w:style>
  <w:style w:type="character" w:styleId="821">
    <w:name w:val="HTML 变量"/>
    <w:next w:val="821"/>
    <w:link w:val="734"/>
    <w:uiPriority w:val="99"/>
    <w:unhideWhenUsed/>
    <w:qFormat/>
  </w:style>
  <w:style w:type="character" w:styleId="822">
    <w:name w:val="超链接"/>
    <w:next w:val="822"/>
    <w:link w:val="734"/>
    <w:uiPriority w:val="99"/>
    <w:unhideWhenUsed/>
    <w:qFormat/>
    <w:rPr>
      <w:color w:val="0000ff"/>
      <w:u w:val="none"/>
    </w:rPr>
  </w:style>
  <w:style w:type="character" w:styleId="823">
    <w:name w:val="HTML 代码"/>
    <w:next w:val="823"/>
    <w:link w:val="734"/>
    <w:uiPriority w:val="99"/>
    <w:unhideWhenUsed/>
    <w:qFormat/>
    <w:rPr>
      <w:rFonts w:ascii="monospace" w:hAnsi="monospace" w:eastAsia="monospace" w:cs="monospace"/>
      <w:sz w:val="20"/>
    </w:rPr>
  </w:style>
  <w:style w:type="character" w:styleId="824">
    <w:name w:val="批注引用"/>
    <w:next w:val="824"/>
    <w:link w:val="734"/>
    <w:unhideWhenUsed/>
    <w:qFormat/>
    <w:rPr>
      <w:sz w:val="21"/>
      <w:szCs w:val="21"/>
    </w:rPr>
  </w:style>
  <w:style w:type="character" w:styleId="825">
    <w:name w:val="HTML 引文"/>
    <w:next w:val="825"/>
    <w:link w:val="734"/>
    <w:uiPriority w:val="99"/>
    <w:unhideWhenUsed/>
    <w:qFormat/>
  </w:style>
  <w:style w:type="character" w:styleId="826">
    <w:name w:val="脚注引用"/>
    <w:next w:val="826"/>
    <w:link w:val="734"/>
    <w:uiPriority w:val="99"/>
    <w:unhideWhenUsed/>
    <w:qFormat/>
    <w:rPr>
      <w:vertAlign w:val="superscript"/>
    </w:rPr>
  </w:style>
  <w:style w:type="character" w:styleId="827">
    <w:name w:val="HTML 键盘"/>
    <w:next w:val="827"/>
    <w:link w:val="734"/>
    <w:uiPriority w:val="99"/>
    <w:unhideWhenUsed/>
    <w:qFormat/>
    <w:rPr>
      <w:rFonts w:ascii="monospace" w:hAnsi="monospace" w:eastAsia="monospace" w:cs="monospace"/>
      <w:sz w:val="20"/>
    </w:rPr>
  </w:style>
  <w:style w:type="character" w:styleId="828">
    <w:name w:val="HTML 样本"/>
    <w:next w:val="828"/>
    <w:link w:val="734"/>
    <w:uiPriority w:val="99"/>
    <w:unhideWhenUsed/>
    <w:qFormat/>
    <w:rPr>
      <w:rFonts w:ascii="monospace" w:hAnsi="monospace" w:eastAsia="monospace" w:cs="monospace"/>
    </w:rPr>
  </w:style>
  <w:style w:type="paragraph" w:styleId="829">
    <w:name w:val="标题 21"/>
    <w:basedOn w:val="830"/>
    <w:next w:val="751"/>
    <w:link w:val="734"/>
    <w:qFormat/>
    <w:pPr>
      <w:jc w:val="left"/>
      <w:keepLines/>
      <w:keepNext/>
      <w:spacing w:before="50"/>
      <w:tabs>
        <w:tab w:val="left" w:pos="0" w:leader="none"/>
      </w:tabs>
    </w:pPr>
    <w:rPr>
      <w:rFonts w:ascii="Arial" w:hAnsi="Arial" w:eastAsia="黑体"/>
      <w:sz w:val="32"/>
      <w:szCs w:val="20"/>
    </w:rPr>
  </w:style>
  <w:style w:type="paragraph" w:styleId="830">
    <w:name w:val="正文111"/>
    <w:next w:val="752"/>
    <w:link w:val="734"/>
    <w:qFormat/>
    <w:pPr>
      <w:jc w:val="center"/>
      <w:spacing w:line="360" w:lineRule="exact"/>
      <w:widowControl w:val="off"/>
    </w:pPr>
    <w:rPr>
      <w:rFonts w:eastAsia="仿宋_GB2312"/>
      <w:sz w:val="28"/>
      <w:szCs w:val="24"/>
      <w:lang w:val="en-US" w:eastAsia="zh-CN" w:bidi="ar-SA"/>
    </w:rPr>
  </w:style>
  <w:style w:type="paragraph" w:styleId="831">
    <w:name w:val="文本块11"/>
    <w:basedOn w:val="751"/>
    <w:next w:val="831"/>
    <w:link w:val="734"/>
    <w:uiPriority w:val="6"/>
    <w:unhideWhenUsed/>
    <w:qFormat/>
    <w:pPr>
      <w:ind w:left="1440" w:right="1440"/>
      <w:spacing w:after="120"/>
    </w:pPr>
  </w:style>
  <w:style w:type="paragraph" w:styleId="832">
    <w:name w:val="脚注文本1"/>
    <w:basedOn w:val="747"/>
    <w:next w:val="833"/>
    <w:link w:val="734"/>
    <w:qFormat/>
    <w:rPr>
      <w:rFonts w:eastAsia="Times New Roman"/>
      <w:sz w:val="18"/>
      <w:szCs w:val="18"/>
    </w:rPr>
  </w:style>
  <w:style w:type="paragraph" w:styleId="833">
    <w:name w:val="索引 51"/>
    <w:basedOn w:val="747"/>
    <w:next w:val="747"/>
    <w:link w:val="734"/>
    <w:qFormat/>
    <w:pPr>
      <w:ind w:left="798"/>
    </w:pPr>
    <w:rPr>
      <w:rFonts w:ascii="Calibri" w:hAnsi="Calibri"/>
    </w:rPr>
  </w:style>
  <w:style w:type="character" w:styleId="834">
    <w:name w:val="wyg1"/>
    <w:next w:val="834"/>
    <w:link w:val="734"/>
    <w:uiPriority w:val="6"/>
    <w:qFormat/>
    <w:rPr>
      <w:rFonts w:ascii="Times New Roman" w:hAnsi="Times New Roman" w:eastAsia="宋体" w:cs="Times New Roman"/>
      <w:sz w:val="21"/>
      <w:szCs w:val="24"/>
      <w:lang w:val="en-US" w:eastAsia="zh-CN" w:bidi="ar-SA"/>
    </w:rPr>
  </w:style>
  <w:style w:type="paragraph" w:styleId="835">
    <w:name w:val="正文缩进1"/>
    <w:basedOn w:val="734"/>
    <w:next w:val="835"/>
    <w:link w:val="734"/>
    <w:qFormat/>
    <w:pPr>
      <w:ind w:firstLine="420"/>
    </w:pPr>
  </w:style>
  <w:style w:type="character" w:styleId="836">
    <w:name w:val="Heading 4 Char"/>
    <w:next w:val="836"/>
    <w:link w:val="734"/>
    <w:uiPriority w:val="9"/>
    <w:qFormat/>
    <w:rPr>
      <w:rFonts w:ascii="Arial" w:hAnsi="Arial" w:eastAsia="Arial" w:cs="Arial"/>
      <w:b/>
      <w:bCs/>
      <w:sz w:val="26"/>
      <w:szCs w:val="26"/>
    </w:rPr>
  </w:style>
  <w:style w:type="character" w:styleId="837">
    <w:name w:val="Heading 5 Char"/>
    <w:next w:val="837"/>
    <w:link w:val="734"/>
    <w:uiPriority w:val="9"/>
    <w:qFormat/>
    <w:rPr>
      <w:rFonts w:ascii="Arial" w:hAnsi="Arial" w:eastAsia="Arial" w:cs="Arial"/>
      <w:b/>
      <w:bCs/>
      <w:sz w:val="24"/>
      <w:szCs w:val="24"/>
    </w:rPr>
  </w:style>
  <w:style w:type="character" w:styleId="838">
    <w:name w:val="Heading 6 Char"/>
    <w:next w:val="838"/>
    <w:link w:val="734"/>
    <w:uiPriority w:val="9"/>
    <w:qFormat/>
    <w:rPr>
      <w:rFonts w:ascii="Arial" w:hAnsi="Arial" w:eastAsia="Arial" w:cs="Arial"/>
      <w:b/>
      <w:bCs/>
      <w:sz w:val="22"/>
      <w:szCs w:val="22"/>
    </w:rPr>
  </w:style>
  <w:style w:type="character" w:styleId="839">
    <w:name w:val="Heading 7 Char"/>
    <w:next w:val="839"/>
    <w:link w:val="734"/>
    <w:uiPriority w:val="9"/>
    <w:qFormat/>
    <w:rPr>
      <w:rFonts w:ascii="Arial" w:hAnsi="Arial" w:eastAsia="Arial" w:cs="Arial"/>
      <w:b/>
      <w:bCs/>
      <w:i/>
      <w:iCs/>
      <w:sz w:val="22"/>
      <w:szCs w:val="22"/>
    </w:rPr>
  </w:style>
  <w:style w:type="character" w:styleId="840">
    <w:name w:val="Heading 8 Char"/>
    <w:next w:val="840"/>
    <w:link w:val="734"/>
    <w:uiPriority w:val="9"/>
    <w:qFormat/>
    <w:rPr>
      <w:rFonts w:ascii="Arial" w:hAnsi="Arial" w:eastAsia="Arial" w:cs="Arial"/>
      <w:i/>
      <w:iCs/>
      <w:sz w:val="22"/>
      <w:szCs w:val="22"/>
    </w:rPr>
  </w:style>
  <w:style w:type="character" w:styleId="841">
    <w:name w:val="Heading 9 Char"/>
    <w:next w:val="841"/>
    <w:link w:val="734"/>
    <w:uiPriority w:val="9"/>
    <w:qFormat/>
    <w:rPr>
      <w:rFonts w:ascii="Arial" w:hAnsi="Arial" w:eastAsia="Arial" w:cs="Arial"/>
      <w:i/>
      <w:iCs/>
      <w:sz w:val="21"/>
      <w:szCs w:val="21"/>
    </w:rPr>
  </w:style>
  <w:style w:type="character" w:styleId="842">
    <w:name w:val="Title Char"/>
    <w:next w:val="842"/>
    <w:link w:val="734"/>
    <w:uiPriority w:val="10"/>
    <w:qFormat/>
    <w:rPr>
      <w:sz w:val="48"/>
      <w:szCs w:val="48"/>
    </w:rPr>
  </w:style>
  <w:style w:type="character" w:styleId="843">
    <w:name w:val="Subtitle Char"/>
    <w:next w:val="843"/>
    <w:link w:val="734"/>
    <w:uiPriority w:val="11"/>
    <w:qFormat/>
    <w:rPr>
      <w:sz w:val="24"/>
      <w:szCs w:val="24"/>
    </w:rPr>
  </w:style>
  <w:style w:type="character" w:styleId="844">
    <w:name w:val="Quote Char"/>
    <w:next w:val="844"/>
    <w:link w:val="734"/>
    <w:uiPriority w:val="29"/>
    <w:qFormat/>
    <w:rPr>
      <w:i/>
    </w:rPr>
  </w:style>
  <w:style w:type="character" w:styleId="845">
    <w:name w:val="Intense Quote Char"/>
    <w:next w:val="845"/>
    <w:link w:val="734"/>
    <w:uiPriority w:val="30"/>
    <w:qFormat/>
    <w:rPr>
      <w:i/>
    </w:rPr>
  </w:style>
  <w:style w:type="character" w:styleId="846">
    <w:name w:val="Endnote Text Char"/>
    <w:next w:val="846"/>
    <w:link w:val="734"/>
    <w:uiPriority w:val="99"/>
    <w:qFormat/>
    <w:rPr>
      <w:sz w:val="20"/>
    </w:rPr>
  </w:style>
  <w:style w:type="paragraph" w:styleId="847">
    <w:name w:val="TOC Heading"/>
    <w:next w:val="847"/>
    <w:link w:val="734"/>
    <w:uiPriority w:val="39"/>
    <w:unhideWhenUsed/>
    <w:qFormat/>
    <w:rPr>
      <w:lang w:val="en-US" w:eastAsia="zh-CN" w:bidi="ar-SA"/>
    </w:rPr>
  </w:style>
  <w:style w:type="character" w:styleId="848">
    <w:name w:val="Heading 1 Char"/>
    <w:next w:val="848"/>
    <w:link w:val="734"/>
    <w:uiPriority w:val="9"/>
    <w:qFormat/>
    <w:rPr>
      <w:rFonts w:ascii="Arial" w:hAnsi="Arial" w:eastAsia="Arial" w:cs="Arial"/>
      <w:sz w:val="40"/>
      <w:szCs w:val="40"/>
    </w:rPr>
  </w:style>
  <w:style w:type="character" w:styleId="849">
    <w:name w:val="Heading 2 Char"/>
    <w:next w:val="849"/>
    <w:link w:val="734"/>
    <w:uiPriority w:val="9"/>
    <w:qFormat/>
    <w:rPr>
      <w:rFonts w:ascii="Arial" w:hAnsi="Arial" w:eastAsia="Arial" w:cs="Arial"/>
      <w:sz w:val="34"/>
    </w:rPr>
  </w:style>
  <w:style w:type="character" w:styleId="850">
    <w:name w:val="Heading 3 Char"/>
    <w:next w:val="850"/>
    <w:link w:val="734"/>
    <w:uiPriority w:val="9"/>
    <w:qFormat/>
    <w:rPr>
      <w:rFonts w:ascii="Arial" w:hAnsi="Arial" w:eastAsia="Arial" w:cs="Arial"/>
      <w:sz w:val="30"/>
      <w:szCs w:val="30"/>
    </w:rPr>
  </w:style>
  <w:style w:type="paragraph" w:styleId="851">
    <w:name w:val="无间隔"/>
    <w:next w:val="851"/>
    <w:link w:val="734"/>
    <w:uiPriority w:val="1"/>
    <w:qFormat/>
    <w:rPr>
      <w:lang w:val="en-US" w:eastAsia="zh-CN" w:bidi="ar-SA"/>
    </w:rPr>
  </w:style>
  <w:style w:type="paragraph" w:styleId="852">
    <w:name w:val="引用"/>
    <w:basedOn w:val="734"/>
    <w:next w:val="734"/>
    <w:link w:val="853"/>
    <w:uiPriority w:val="29"/>
    <w:qFormat/>
    <w:pPr>
      <w:ind w:left="720" w:right="720"/>
    </w:pPr>
    <w:rPr>
      <w:i/>
    </w:rPr>
  </w:style>
  <w:style w:type="character" w:styleId="853">
    <w:name w:val="引用 字符"/>
    <w:next w:val="853"/>
    <w:link w:val="852"/>
    <w:uiPriority w:val="29"/>
    <w:qFormat/>
    <w:rPr>
      <w:i/>
    </w:rPr>
  </w:style>
  <w:style w:type="paragraph" w:styleId="854">
    <w:name w:val="明显引用"/>
    <w:basedOn w:val="734"/>
    <w:next w:val="734"/>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明显引用 字符"/>
    <w:next w:val="855"/>
    <w:link w:val="854"/>
    <w:uiPriority w:val="30"/>
    <w:qFormat/>
    <w:rPr>
      <w:i/>
    </w:rPr>
  </w:style>
  <w:style w:type="character" w:styleId="856">
    <w:name w:val="Header Char"/>
    <w:next w:val="856"/>
    <w:link w:val="734"/>
    <w:uiPriority w:val="99"/>
    <w:qFormat/>
  </w:style>
  <w:style w:type="character" w:styleId="857">
    <w:name w:val="Footer Char"/>
    <w:next w:val="857"/>
    <w:link w:val="734"/>
    <w:uiPriority w:val="99"/>
    <w:qFormat/>
  </w:style>
  <w:style w:type="character" w:styleId="858">
    <w:name w:val="Caption Char"/>
    <w:next w:val="858"/>
    <w:link w:val="734"/>
    <w:uiPriority w:val="99"/>
    <w:qFormat/>
  </w:style>
  <w:style w:type="table" w:styleId="859">
    <w:name w:val="Table Grid Light"/>
    <w:basedOn w:val="745"/>
    <w:next w:val="859"/>
    <w:link w:val="734"/>
    <w:uiPriority w:val="59"/>
    <w:qFormat/>
    <w:tblPr/>
  </w:style>
  <w:style w:type="table" w:styleId="860">
    <w:name w:val="Plain Table 1"/>
    <w:basedOn w:val="745"/>
    <w:next w:val="860"/>
    <w:link w:val="734"/>
    <w:uiPriority w:val="59"/>
    <w:qFormat/>
    <w:tblPr/>
  </w:style>
  <w:style w:type="table" w:styleId="861">
    <w:name w:val="Plain Table 2"/>
    <w:basedOn w:val="745"/>
    <w:next w:val="861"/>
    <w:link w:val="734"/>
    <w:uiPriority w:val="59"/>
    <w:qFormat/>
    <w:tblPr/>
  </w:style>
  <w:style w:type="table" w:styleId="862">
    <w:name w:val="Plain Table 3"/>
    <w:basedOn w:val="745"/>
    <w:next w:val="862"/>
    <w:link w:val="734"/>
    <w:uiPriority w:val="99"/>
    <w:qFormat/>
    <w:tblPr/>
  </w:style>
  <w:style w:type="table" w:styleId="863">
    <w:name w:val="Plain Table 4"/>
    <w:basedOn w:val="745"/>
    <w:next w:val="863"/>
    <w:link w:val="734"/>
    <w:uiPriority w:val="99"/>
    <w:qFormat/>
    <w:tblPr/>
  </w:style>
  <w:style w:type="table" w:styleId="864">
    <w:name w:val="Plain Table 5"/>
    <w:basedOn w:val="745"/>
    <w:next w:val="864"/>
    <w:link w:val="734"/>
    <w:uiPriority w:val="99"/>
    <w:qFormat/>
    <w:tblPr/>
  </w:style>
  <w:style w:type="table" w:styleId="865">
    <w:name w:val="Grid Table 1 Light"/>
    <w:basedOn w:val="745"/>
    <w:next w:val="865"/>
    <w:link w:val="734"/>
    <w:uiPriority w:val="99"/>
    <w:qFormat/>
    <w:tblPr/>
  </w:style>
  <w:style w:type="table" w:styleId="866">
    <w:name w:val="Grid Table 1 Light - Accent 1"/>
    <w:basedOn w:val="745"/>
    <w:next w:val="866"/>
    <w:link w:val="734"/>
    <w:uiPriority w:val="99"/>
    <w:qFormat/>
    <w:tblPr/>
  </w:style>
  <w:style w:type="table" w:styleId="867">
    <w:name w:val="Grid Table 1 Light - Accent 2"/>
    <w:basedOn w:val="745"/>
    <w:next w:val="867"/>
    <w:link w:val="734"/>
    <w:uiPriority w:val="99"/>
    <w:qFormat/>
    <w:tblPr/>
  </w:style>
  <w:style w:type="table" w:styleId="868">
    <w:name w:val="Grid Table 1 Light - Accent 3"/>
    <w:basedOn w:val="745"/>
    <w:next w:val="868"/>
    <w:link w:val="734"/>
    <w:uiPriority w:val="99"/>
    <w:qFormat/>
    <w:tblPr/>
  </w:style>
  <w:style w:type="table" w:styleId="869">
    <w:name w:val="Grid Table 1 Light - Accent 4"/>
    <w:basedOn w:val="745"/>
    <w:next w:val="869"/>
    <w:link w:val="734"/>
    <w:uiPriority w:val="99"/>
    <w:qFormat/>
    <w:tblPr/>
  </w:style>
  <w:style w:type="table" w:styleId="870">
    <w:name w:val="Grid Table 1 Light - Accent 5"/>
    <w:basedOn w:val="745"/>
    <w:next w:val="870"/>
    <w:link w:val="734"/>
    <w:uiPriority w:val="99"/>
    <w:qFormat/>
    <w:tblPr/>
  </w:style>
  <w:style w:type="table" w:styleId="871">
    <w:name w:val="Grid Table 1 Light - Accent 6"/>
    <w:basedOn w:val="745"/>
    <w:next w:val="871"/>
    <w:link w:val="734"/>
    <w:uiPriority w:val="99"/>
    <w:qFormat/>
    <w:tblPr/>
  </w:style>
  <w:style w:type="table" w:styleId="872">
    <w:name w:val="Grid Table 2"/>
    <w:basedOn w:val="745"/>
    <w:next w:val="872"/>
    <w:link w:val="734"/>
    <w:uiPriority w:val="99"/>
    <w:qFormat/>
    <w:tblPr/>
  </w:style>
  <w:style w:type="table" w:styleId="873">
    <w:name w:val="Grid Table 2 - Accent 1"/>
    <w:basedOn w:val="745"/>
    <w:next w:val="873"/>
    <w:link w:val="734"/>
    <w:uiPriority w:val="99"/>
    <w:qFormat/>
    <w:tblPr/>
  </w:style>
  <w:style w:type="table" w:styleId="874">
    <w:name w:val="Grid Table 2 - Accent 2"/>
    <w:basedOn w:val="745"/>
    <w:next w:val="874"/>
    <w:link w:val="734"/>
    <w:uiPriority w:val="99"/>
    <w:qFormat/>
    <w:tblPr/>
  </w:style>
  <w:style w:type="table" w:styleId="875">
    <w:name w:val="Grid Table 2 - Accent 3"/>
    <w:basedOn w:val="745"/>
    <w:next w:val="875"/>
    <w:link w:val="734"/>
    <w:uiPriority w:val="99"/>
    <w:qFormat/>
    <w:tblPr/>
  </w:style>
  <w:style w:type="table" w:styleId="876">
    <w:name w:val="Grid Table 2 - Accent 4"/>
    <w:basedOn w:val="745"/>
    <w:next w:val="876"/>
    <w:link w:val="734"/>
    <w:uiPriority w:val="99"/>
    <w:qFormat/>
    <w:tblPr/>
  </w:style>
  <w:style w:type="table" w:styleId="877">
    <w:name w:val="Grid Table 2 - Accent 5"/>
    <w:basedOn w:val="745"/>
    <w:next w:val="877"/>
    <w:link w:val="734"/>
    <w:uiPriority w:val="99"/>
    <w:qFormat/>
    <w:tblPr/>
  </w:style>
  <w:style w:type="table" w:styleId="878">
    <w:name w:val="Grid Table 2 - Accent 6"/>
    <w:basedOn w:val="745"/>
    <w:next w:val="878"/>
    <w:link w:val="734"/>
    <w:uiPriority w:val="99"/>
    <w:qFormat/>
    <w:tblPr/>
  </w:style>
  <w:style w:type="table" w:styleId="879">
    <w:name w:val="Grid Table 3"/>
    <w:basedOn w:val="745"/>
    <w:next w:val="879"/>
    <w:link w:val="734"/>
    <w:uiPriority w:val="99"/>
    <w:qFormat/>
    <w:tblPr/>
  </w:style>
  <w:style w:type="table" w:styleId="880">
    <w:name w:val="Grid Table 3 - Accent 1"/>
    <w:basedOn w:val="745"/>
    <w:next w:val="880"/>
    <w:link w:val="734"/>
    <w:uiPriority w:val="99"/>
    <w:qFormat/>
    <w:tblPr/>
  </w:style>
  <w:style w:type="table" w:styleId="881">
    <w:name w:val="Grid Table 3 - Accent 2"/>
    <w:basedOn w:val="745"/>
    <w:next w:val="881"/>
    <w:link w:val="734"/>
    <w:uiPriority w:val="99"/>
    <w:qFormat/>
    <w:tblPr/>
  </w:style>
  <w:style w:type="table" w:styleId="882">
    <w:name w:val="Grid Table 3 - Accent 3"/>
    <w:basedOn w:val="745"/>
    <w:next w:val="882"/>
    <w:link w:val="734"/>
    <w:uiPriority w:val="99"/>
    <w:qFormat/>
    <w:tblPr/>
  </w:style>
  <w:style w:type="table" w:styleId="883">
    <w:name w:val="Grid Table 3 - Accent 4"/>
    <w:basedOn w:val="745"/>
    <w:next w:val="883"/>
    <w:link w:val="734"/>
    <w:uiPriority w:val="99"/>
    <w:qFormat/>
    <w:tblPr/>
  </w:style>
  <w:style w:type="table" w:styleId="884">
    <w:name w:val="Grid Table 3 - Accent 5"/>
    <w:basedOn w:val="745"/>
    <w:next w:val="884"/>
    <w:link w:val="734"/>
    <w:uiPriority w:val="99"/>
    <w:qFormat/>
    <w:tblPr/>
  </w:style>
  <w:style w:type="table" w:styleId="885">
    <w:name w:val="Grid Table 3 - Accent 6"/>
    <w:basedOn w:val="745"/>
    <w:next w:val="885"/>
    <w:link w:val="734"/>
    <w:uiPriority w:val="99"/>
    <w:qFormat/>
    <w:tblPr/>
  </w:style>
  <w:style w:type="table" w:styleId="886">
    <w:name w:val="Grid Table 4"/>
    <w:basedOn w:val="745"/>
    <w:next w:val="886"/>
    <w:link w:val="734"/>
    <w:uiPriority w:val="59"/>
    <w:qFormat/>
    <w:tblPr/>
  </w:style>
  <w:style w:type="table" w:styleId="887">
    <w:name w:val="Grid Table 4 - Accent 1"/>
    <w:basedOn w:val="745"/>
    <w:next w:val="887"/>
    <w:link w:val="734"/>
    <w:uiPriority w:val="59"/>
    <w:qFormat/>
    <w:tblPr/>
  </w:style>
  <w:style w:type="table" w:styleId="888">
    <w:name w:val="Grid Table 4 - Accent 2"/>
    <w:basedOn w:val="745"/>
    <w:next w:val="888"/>
    <w:link w:val="734"/>
    <w:uiPriority w:val="59"/>
    <w:qFormat/>
    <w:tblPr/>
  </w:style>
  <w:style w:type="table" w:styleId="889">
    <w:name w:val="Grid Table 4 - Accent 3"/>
    <w:basedOn w:val="745"/>
    <w:next w:val="889"/>
    <w:link w:val="734"/>
    <w:uiPriority w:val="59"/>
    <w:qFormat/>
    <w:tblPr/>
  </w:style>
  <w:style w:type="table" w:styleId="890">
    <w:name w:val="Grid Table 4 - Accent 4"/>
    <w:basedOn w:val="745"/>
    <w:next w:val="890"/>
    <w:link w:val="734"/>
    <w:uiPriority w:val="59"/>
    <w:qFormat/>
    <w:tblPr/>
  </w:style>
  <w:style w:type="table" w:styleId="891">
    <w:name w:val="Grid Table 4 - Accent 5"/>
    <w:basedOn w:val="745"/>
    <w:next w:val="891"/>
    <w:link w:val="734"/>
    <w:uiPriority w:val="59"/>
    <w:qFormat/>
    <w:tblPr/>
  </w:style>
  <w:style w:type="table" w:styleId="892">
    <w:name w:val="Grid Table 4 - Accent 6"/>
    <w:basedOn w:val="745"/>
    <w:next w:val="892"/>
    <w:link w:val="734"/>
    <w:uiPriority w:val="59"/>
    <w:qFormat/>
    <w:tblPr/>
  </w:style>
  <w:style w:type="table" w:styleId="893">
    <w:name w:val="Grid Table 5 Dark"/>
    <w:basedOn w:val="745"/>
    <w:next w:val="893"/>
    <w:link w:val="734"/>
    <w:uiPriority w:val="99"/>
    <w:qFormat/>
    <w:tblPr/>
  </w:style>
  <w:style w:type="table" w:styleId="894">
    <w:name w:val="Grid Table 5 Dark- Accent 1"/>
    <w:basedOn w:val="745"/>
    <w:next w:val="894"/>
    <w:link w:val="734"/>
    <w:uiPriority w:val="99"/>
    <w:qFormat/>
    <w:tblPr/>
  </w:style>
  <w:style w:type="table" w:styleId="895">
    <w:name w:val="Grid Table 5 Dark - Accent 2"/>
    <w:basedOn w:val="745"/>
    <w:next w:val="895"/>
    <w:link w:val="734"/>
    <w:uiPriority w:val="99"/>
    <w:qFormat/>
    <w:tblPr/>
  </w:style>
  <w:style w:type="table" w:styleId="896">
    <w:name w:val="Grid Table 5 Dark - Accent 3"/>
    <w:basedOn w:val="745"/>
    <w:next w:val="896"/>
    <w:link w:val="734"/>
    <w:uiPriority w:val="99"/>
    <w:qFormat/>
    <w:tblPr/>
  </w:style>
  <w:style w:type="table" w:styleId="897">
    <w:name w:val="Grid Table 5 Dark- Accent 4"/>
    <w:basedOn w:val="745"/>
    <w:next w:val="897"/>
    <w:link w:val="734"/>
    <w:uiPriority w:val="99"/>
    <w:qFormat/>
    <w:tblPr/>
  </w:style>
  <w:style w:type="table" w:styleId="898">
    <w:name w:val="Grid Table 5 Dark - Accent 5"/>
    <w:basedOn w:val="745"/>
    <w:next w:val="898"/>
    <w:link w:val="734"/>
    <w:uiPriority w:val="99"/>
    <w:qFormat/>
    <w:tblPr/>
  </w:style>
  <w:style w:type="table" w:styleId="899">
    <w:name w:val="Grid Table 5 Dark - Accent 6"/>
    <w:basedOn w:val="745"/>
    <w:next w:val="899"/>
    <w:link w:val="734"/>
    <w:uiPriority w:val="99"/>
    <w:qFormat/>
    <w:tblPr/>
  </w:style>
  <w:style w:type="table" w:styleId="900">
    <w:name w:val="Grid Table 6 Colorful"/>
    <w:basedOn w:val="745"/>
    <w:next w:val="900"/>
    <w:link w:val="734"/>
    <w:uiPriority w:val="99"/>
    <w:qFormat/>
    <w:tblPr/>
  </w:style>
  <w:style w:type="table" w:styleId="901">
    <w:name w:val="Grid Table 6 Colorful - Accent 1"/>
    <w:basedOn w:val="745"/>
    <w:next w:val="901"/>
    <w:link w:val="734"/>
    <w:uiPriority w:val="99"/>
    <w:qFormat/>
    <w:tblPr/>
  </w:style>
  <w:style w:type="table" w:styleId="902">
    <w:name w:val="Grid Table 6 Colorful - Accent 2"/>
    <w:basedOn w:val="745"/>
    <w:next w:val="902"/>
    <w:link w:val="734"/>
    <w:uiPriority w:val="99"/>
    <w:qFormat/>
    <w:tblPr/>
  </w:style>
  <w:style w:type="table" w:styleId="903">
    <w:name w:val="Grid Table 6 Colorful - Accent 3"/>
    <w:basedOn w:val="745"/>
    <w:next w:val="903"/>
    <w:link w:val="734"/>
    <w:uiPriority w:val="99"/>
    <w:qFormat/>
    <w:tblPr/>
  </w:style>
  <w:style w:type="table" w:styleId="904">
    <w:name w:val="Grid Table 6 Colorful - Accent 4"/>
    <w:basedOn w:val="745"/>
    <w:next w:val="904"/>
    <w:link w:val="734"/>
    <w:uiPriority w:val="99"/>
    <w:qFormat/>
    <w:tblPr/>
  </w:style>
  <w:style w:type="table" w:styleId="905">
    <w:name w:val="Grid Table 6 Colorful - Accent 5"/>
    <w:basedOn w:val="745"/>
    <w:next w:val="905"/>
    <w:link w:val="734"/>
    <w:uiPriority w:val="99"/>
    <w:qFormat/>
    <w:tblPr/>
  </w:style>
  <w:style w:type="table" w:styleId="906">
    <w:name w:val="Grid Table 6 Colorful - Accent 6"/>
    <w:basedOn w:val="745"/>
    <w:next w:val="906"/>
    <w:link w:val="734"/>
    <w:uiPriority w:val="99"/>
    <w:qFormat/>
    <w:tblPr/>
  </w:style>
  <w:style w:type="table" w:styleId="907">
    <w:name w:val="Grid Table 7 Colorful"/>
    <w:basedOn w:val="745"/>
    <w:next w:val="907"/>
    <w:link w:val="734"/>
    <w:uiPriority w:val="99"/>
    <w:qFormat/>
    <w:tblPr/>
  </w:style>
  <w:style w:type="table" w:styleId="908">
    <w:name w:val="Grid Table 7 Colorful - Accent 1"/>
    <w:basedOn w:val="745"/>
    <w:next w:val="908"/>
    <w:link w:val="734"/>
    <w:uiPriority w:val="99"/>
    <w:qFormat/>
    <w:tblPr/>
  </w:style>
  <w:style w:type="table" w:styleId="909">
    <w:name w:val="Grid Table 7 Colorful - Accent 2"/>
    <w:basedOn w:val="745"/>
    <w:next w:val="909"/>
    <w:link w:val="734"/>
    <w:uiPriority w:val="99"/>
    <w:qFormat/>
    <w:tblPr/>
  </w:style>
  <w:style w:type="table" w:styleId="910">
    <w:name w:val="Grid Table 7 Colorful - Accent 3"/>
    <w:basedOn w:val="745"/>
    <w:next w:val="910"/>
    <w:link w:val="734"/>
    <w:uiPriority w:val="99"/>
    <w:qFormat/>
    <w:tblPr/>
  </w:style>
  <w:style w:type="table" w:styleId="911">
    <w:name w:val="Grid Table 7 Colorful - Accent 4"/>
    <w:basedOn w:val="745"/>
    <w:next w:val="911"/>
    <w:link w:val="734"/>
    <w:uiPriority w:val="99"/>
    <w:qFormat/>
    <w:tblPr/>
  </w:style>
  <w:style w:type="table" w:styleId="912">
    <w:name w:val="Grid Table 7 Colorful - Accent 5"/>
    <w:basedOn w:val="745"/>
    <w:next w:val="912"/>
    <w:link w:val="734"/>
    <w:uiPriority w:val="99"/>
    <w:qFormat/>
    <w:tblPr/>
  </w:style>
  <w:style w:type="table" w:styleId="913">
    <w:name w:val="Grid Table 7 Colorful - Accent 6"/>
    <w:basedOn w:val="745"/>
    <w:next w:val="913"/>
    <w:link w:val="734"/>
    <w:uiPriority w:val="99"/>
    <w:qFormat/>
    <w:tblPr/>
  </w:style>
  <w:style w:type="table" w:styleId="914">
    <w:name w:val="List Table 1 Light"/>
    <w:basedOn w:val="745"/>
    <w:next w:val="914"/>
    <w:link w:val="734"/>
    <w:uiPriority w:val="99"/>
    <w:qFormat/>
    <w:tblPr/>
  </w:style>
  <w:style w:type="table" w:styleId="915">
    <w:name w:val="List Table 1 Light - Accent 1"/>
    <w:basedOn w:val="745"/>
    <w:next w:val="915"/>
    <w:link w:val="734"/>
    <w:uiPriority w:val="99"/>
    <w:qFormat/>
    <w:tblPr/>
  </w:style>
  <w:style w:type="table" w:styleId="916">
    <w:name w:val="List Table 1 Light - Accent 2"/>
    <w:basedOn w:val="745"/>
    <w:next w:val="916"/>
    <w:link w:val="734"/>
    <w:uiPriority w:val="99"/>
    <w:qFormat/>
    <w:tblPr/>
  </w:style>
  <w:style w:type="table" w:styleId="917">
    <w:name w:val="List Table 1 Light - Accent 3"/>
    <w:basedOn w:val="745"/>
    <w:next w:val="917"/>
    <w:link w:val="734"/>
    <w:uiPriority w:val="99"/>
    <w:qFormat/>
    <w:tblPr/>
  </w:style>
  <w:style w:type="table" w:styleId="918">
    <w:name w:val="List Table 1 Light - Accent 4"/>
    <w:basedOn w:val="745"/>
    <w:next w:val="918"/>
    <w:link w:val="734"/>
    <w:uiPriority w:val="99"/>
    <w:qFormat/>
    <w:tblPr/>
  </w:style>
  <w:style w:type="table" w:styleId="919">
    <w:name w:val="List Table 1 Light - Accent 5"/>
    <w:basedOn w:val="745"/>
    <w:next w:val="919"/>
    <w:link w:val="734"/>
    <w:uiPriority w:val="99"/>
    <w:qFormat/>
    <w:tblPr/>
  </w:style>
  <w:style w:type="table" w:styleId="920">
    <w:name w:val="List Table 1 Light - Accent 6"/>
    <w:basedOn w:val="745"/>
    <w:next w:val="920"/>
    <w:link w:val="734"/>
    <w:uiPriority w:val="99"/>
    <w:qFormat/>
    <w:tblPr/>
  </w:style>
  <w:style w:type="table" w:styleId="921">
    <w:name w:val="List Table 2"/>
    <w:basedOn w:val="745"/>
    <w:next w:val="921"/>
    <w:link w:val="734"/>
    <w:uiPriority w:val="99"/>
    <w:qFormat/>
    <w:tblPr/>
  </w:style>
  <w:style w:type="table" w:styleId="922">
    <w:name w:val="List Table 2 - Accent 1"/>
    <w:basedOn w:val="745"/>
    <w:next w:val="922"/>
    <w:link w:val="734"/>
    <w:uiPriority w:val="99"/>
    <w:qFormat/>
    <w:tblPr/>
  </w:style>
  <w:style w:type="table" w:styleId="923">
    <w:name w:val="List Table 2 - Accent 2"/>
    <w:basedOn w:val="745"/>
    <w:next w:val="923"/>
    <w:link w:val="734"/>
    <w:uiPriority w:val="99"/>
    <w:qFormat/>
    <w:tblPr/>
  </w:style>
  <w:style w:type="table" w:styleId="924">
    <w:name w:val="List Table 2 - Accent 3"/>
    <w:basedOn w:val="745"/>
    <w:next w:val="924"/>
    <w:link w:val="734"/>
    <w:uiPriority w:val="99"/>
    <w:qFormat/>
    <w:tblPr/>
  </w:style>
  <w:style w:type="table" w:styleId="925">
    <w:name w:val="List Table 2 - Accent 4"/>
    <w:basedOn w:val="745"/>
    <w:next w:val="925"/>
    <w:link w:val="734"/>
    <w:uiPriority w:val="99"/>
    <w:qFormat/>
    <w:tblPr/>
  </w:style>
  <w:style w:type="table" w:styleId="926">
    <w:name w:val="List Table 2 - Accent 5"/>
    <w:basedOn w:val="745"/>
    <w:next w:val="926"/>
    <w:link w:val="734"/>
    <w:uiPriority w:val="99"/>
    <w:qFormat/>
    <w:tblPr/>
  </w:style>
  <w:style w:type="table" w:styleId="927">
    <w:name w:val="List Table 2 - Accent 6"/>
    <w:basedOn w:val="745"/>
    <w:next w:val="927"/>
    <w:link w:val="734"/>
    <w:uiPriority w:val="99"/>
    <w:qFormat/>
    <w:tblPr/>
  </w:style>
  <w:style w:type="table" w:styleId="928">
    <w:name w:val="List Table 3"/>
    <w:basedOn w:val="745"/>
    <w:next w:val="928"/>
    <w:link w:val="734"/>
    <w:uiPriority w:val="99"/>
    <w:qFormat/>
    <w:tblPr/>
  </w:style>
  <w:style w:type="table" w:styleId="929">
    <w:name w:val="List Table 3 - Accent 1"/>
    <w:basedOn w:val="745"/>
    <w:next w:val="929"/>
    <w:link w:val="734"/>
    <w:uiPriority w:val="99"/>
    <w:qFormat/>
    <w:tblPr/>
  </w:style>
  <w:style w:type="table" w:styleId="930">
    <w:name w:val="List Table 3 - Accent 2"/>
    <w:basedOn w:val="745"/>
    <w:next w:val="930"/>
    <w:link w:val="734"/>
    <w:uiPriority w:val="99"/>
    <w:qFormat/>
    <w:tblPr/>
  </w:style>
  <w:style w:type="table" w:styleId="931">
    <w:name w:val="List Table 3 - Accent 3"/>
    <w:basedOn w:val="745"/>
    <w:next w:val="931"/>
    <w:link w:val="734"/>
    <w:uiPriority w:val="99"/>
    <w:qFormat/>
    <w:tblPr/>
  </w:style>
  <w:style w:type="table" w:styleId="932">
    <w:name w:val="List Table 3 - Accent 4"/>
    <w:basedOn w:val="745"/>
    <w:next w:val="932"/>
    <w:link w:val="734"/>
    <w:uiPriority w:val="99"/>
    <w:qFormat/>
    <w:tblPr/>
  </w:style>
  <w:style w:type="table" w:styleId="933">
    <w:name w:val="List Table 3 - Accent 5"/>
    <w:basedOn w:val="745"/>
    <w:next w:val="933"/>
    <w:link w:val="734"/>
    <w:uiPriority w:val="99"/>
    <w:qFormat/>
    <w:tblPr/>
  </w:style>
  <w:style w:type="table" w:styleId="934">
    <w:name w:val="List Table 3 - Accent 6"/>
    <w:basedOn w:val="745"/>
    <w:next w:val="934"/>
    <w:link w:val="734"/>
    <w:uiPriority w:val="99"/>
    <w:qFormat/>
    <w:tblPr/>
  </w:style>
  <w:style w:type="table" w:styleId="935">
    <w:name w:val="List Table 4"/>
    <w:basedOn w:val="745"/>
    <w:next w:val="935"/>
    <w:link w:val="734"/>
    <w:uiPriority w:val="99"/>
    <w:qFormat/>
    <w:tblPr/>
  </w:style>
  <w:style w:type="table" w:styleId="936">
    <w:name w:val="List Table 4 - Accent 1"/>
    <w:basedOn w:val="745"/>
    <w:next w:val="936"/>
    <w:link w:val="734"/>
    <w:uiPriority w:val="99"/>
    <w:qFormat/>
    <w:tblPr/>
  </w:style>
  <w:style w:type="table" w:styleId="937">
    <w:name w:val="List Table 4 - Accent 2"/>
    <w:basedOn w:val="745"/>
    <w:next w:val="937"/>
    <w:link w:val="734"/>
    <w:uiPriority w:val="99"/>
    <w:qFormat/>
    <w:tblPr/>
  </w:style>
  <w:style w:type="table" w:styleId="938">
    <w:name w:val="List Table 4 - Accent 3"/>
    <w:basedOn w:val="745"/>
    <w:next w:val="938"/>
    <w:link w:val="734"/>
    <w:uiPriority w:val="99"/>
    <w:qFormat/>
    <w:tblPr/>
  </w:style>
  <w:style w:type="table" w:styleId="939">
    <w:name w:val="List Table 4 - Accent 4"/>
    <w:basedOn w:val="745"/>
    <w:next w:val="939"/>
    <w:link w:val="734"/>
    <w:uiPriority w:val="99"/>
    <w:qFormat/>
    <w:tblPr/>
  </w:style>
  <w:style w:type="table" w:styleId="940">
    <w:name w:val="List Table 4 - Accent 5"/>
    <w:basedOn w:val="745"/>
    <w:next w:val="940"/>
    <w:link w:val="734"/>
    <w:uiPriority w:val="99"/>
    <w:qFormat/>
    <w:tblPr/>
  </w:style>
  <w:style w:type="table" w:styleId="941">
    <w:name w:val="List Table 4 - Accent 6"/>
    <w:basedOn w:val="745"/>
    <w:next w:val="941"/>
    <w:link w:val="734"/>
    <w:uiPriority w:val="99"/>
    <w:qFormat/>
    <w:tblPr/>
  </w:style>
  <w:style w:type="table" w:styleId="942">
    <w:name w:val="List Table 5 Dark"/>
    <w:basedOn w:val="745"/>
    <w:next w:val="942"/>
    <w:link w:val="734"/>
    <w:uiPriority w:val="99"/>
    <w:qFormat/>
    <w:tblPr/>
  </w:style>
  <w:style w:type="table" w:styleId="943">
    <w:name w:val="List Table 5 Dark - Accent 1"/>
    <w:basedOn w:val="745"/>
    <w:next w:val="943"/>
    <w:link w:val="734"/>
    <w:uiPriority w:val="99"/>
    <w:qFormat/>
    <w:tblPr/>
  </w:style>
  <w:style w:type="table" w:styleId="944">
    <w:name w:val="List Table 5 Dark - Accent 2"/>
    <w:basedOn w:val="745"/>
    <w:next w:val="944"/>
    <w:link w:val="734"/>
    <w:uiPriority w:val="99"/>
    <w:qFormat/>
    <w:tblPr/>
  </w:style>
  <w:style w:type="table" w:styleId="945">
    <w:name w:val="List Table 5 Dark - Accent 3"/>
    <w:basedOn w:val="745"/>
    <w:next w:val="945"/>
    <w:link w:val="734"/>
    <w:uiPriority w:val="99"/>
    <w:qFormat/>
    <w:tblPr/>
  </w:style>
  <w:style w:type="table" w:styleId="946">
    <w:name w:val="List Table 5 Dark - Accent 4"/>
    <w:basedOn w:val="745"/>
    <w:next w:val="946"/>
    <w:link w:val="734"/>
    <w:uiPriority w:val="99"/>
    <w:qFormat/>
    <w:tblPr/>
  </w:style>
  <w:style w:type="table" w:styleId="947">
    <w:name w:val="List Table 5 Dark - Accent 5"/>
    <w:basedOn w:val="745"/>
    <w:next w:val="947"/>
    <w:link w:val="734"/>
    <w:uiPriority w:val="99"/>
    <w:qFormat/>
    <w:tblPr/>
  </w:style>
  <w:style w:type="table" w:styleId="948">
    <w:name w:val="List Table 5 Dark - Accent 6"/>
    <w:basedOn w:val="745"/>
    <w:next w:val="948"/>
    <w:link w:val="734"/>
    <w:uiPriority w:val="99"/>
    <w:qFormat/>
    <w:tblPr/>
  </w:style>
  <w:style w:type="table" w:styleId="949">
    <w:name w:val="List Table 6 Colorful"/>
    <w:basedOn w:val="745"/>
    <w:next w:val="949"/>
    <w:link w:val="734"/>
    <w:uiPriority w:val="99"/>
    <w:qFormat/>
    <w:tblPr/>
  </w:style>
  <w:style w:type="table" w:styleId="950">
    <w:name w:val="List Table 6 Colorful - Accent 1"/>
    <w:basedOn w:val="745"/>
    <w:next w:val="950"/>
    <w:link w:val="734"/>
    <w:uiPriority w:val="99"/>
    <w:qFormat/>
    <w:tblPr/>
  </w:style>
  <w:style w:type="table" w:styleId="951">
    <w:name w:val="List Table 6 Colorful - Accent 2"/>
    <w:basedOn w:val="745"/>
    <w:next w:val="951"/>
    <w:link w:val="734"/>
    <w:uiPriority w:val="99"/>
    <w:qFormat/>
    <w:tblPr/>
  </w:style>
  <w:style w:type="table" w:styleId="952">
    <w:name w:val="List Table 6 Colorful - Accent 3"/>
    <w:basedOn w:val="745"/>
    <w:next w:val="952"/>
    <w:link w:val="734"/>
    <w:uiPriority w:val="99"/>
    <w:qFormat/>
    <w:tblPr/>
  </w:style>
  <w:style w:type="table" w:styleId="953">
    <w:name w:val="List Table 6 Colorful - Accent 4"/>
    <w:basedOn w:val="745"/>
    <w:next w:val="953"/>
    <w:link w:val="734"/>
    <w:uiPriority w:val="99"/>
    <w:qFormat/>
    <w:tblPr/>
  </w:style>
  <w:style w:type="table" w:styleId="954">
    <w:name w:val="List Table 6 Colorful - Accent 5"/>
    <w:basedOn w:val="745"/>
    <w:next w:val="954"/>
    <w:link w:val="734"/>
    <w:uiPriority w:val="99"/>
    <w:qFormat/>
    <w:tblPr/>
  </w:style>
  <w:style w:type="table" w:styleId="955">
    <w:name w:val="List Table 6 Colorful - Accent 6"/>
    <w:basedOn w:val="745"/>
    <w:next w:val="955"/>
    <w:link w:val="734"/>
    <w:uiPriority w:val="99"/>
    <w:qFormat/>
    <w:tblPr/>
  </w:style>
  <w:style w:type="table" w:styleId="956">
    <w:name w:val="List Table 7 Colorful"/>
    <w:basedOn w:val="745"/>
    <w:next w:val="956"/>
    <w:link w:val="734"/>
    <w:uiPriority w:val="99"/>
    <w:qFormat/>
    <w:tblPr/>
  </w:style>
  <w:style w:type="table" w:styleId="957">
    <w:name w:val="List Table 7 Colorful - Accent 1"/>
    <w:basedOn w:val="745"/>
    <w:next w:val="957"/>
    <w:link w:val="734"/>
    <w:uiPriority w:val="99"/>
    <w:qFormat/>
    <w:tblPr/>
  </w:style>
  <w:style w:type="table" w:styleId="958">
    <w:name w:val="List Table 7 Colorful - Accent 2"/>
    <w:basedOn w:val="745"/>
    <w:next w:val="958"/>
    <w:link w:val="734"/>
    <w:uiPriority w:val="99"/>
    <w:qFormat/>
    <w:tblPr/>
  </w:style>
  <w:style w:type="table" w:styleId="959">
    <w:name w:val="List Table 7 Colorful - Accent 3"/>
    <w:basedOn w:val="745"/>
    <w:next w:val="959"/>
    <w:link w:val="734"/>
    <w:uiPriority w:val="99"/>
    <w:qFormat/>
    <w:tblPr/>
  </w:style>
  <w:style w:type="table" w:styleId="960">
    <w:name w:val="List Table 7 Colorful - Accent 4"/>
    <w:basedOn w:val="745"/>
    <w:next w:val="960"/>
    <w:link w:val="734"/>
    <w:uiPriority w:val="99"/>
    <w:qFormat/>
    <w:tblPr/>
  </w:style>
  <w:style w:type="table" w:styleId="961">
    <w:name w:val="List Table 7 Colorful - Accent 5"/>
    <w:basedOn w:val="745"/>
    <w:next w:val="961"/>
    <w:link w:val="734"/>
    <w:uiPriority w:val="99"/>
    <w:qFormat/>
    <w:tblPr/>
  </w:style>
  <w:style w:type="table" w:styleId="962">
    <w:name w:val="List Table 7 Colorful - Accent 6"/>
    <w:basedOn w:val="745"/>
    <w:next w:val="962"/>
    <w:link w:val="734"/>
    <w:uiPriority w:val="99"/>
    <w:qFormat/>
    <w:tblPr/>
  </w:style>
  <w:style w:type="table" w:styleId="963">
    <w:name w:val="Lined - Accent"/>
    <w:basedOn w:val="745"/>
    <w:next w:val="963"/>
    <w:link w:val="734"/>
    <w:uiPriority w:val="99"/>
    <w:qFormat/>
    <w:rPr>
      <w:color w:val="404040"/>
    </w:rPr>
    <w:tblPr/>
  </w:style>
  <w:style w:type="table" w:styleId="964">
    <w:name w:val="Lined - Accent 1"/>
    <w:basedOn w:val="745"/>
    <w:next w:val="964"/>
    <w:link w:val="734"/>
    <w:uiPriority w:val="99"/>
    <w:qFormat/>
    <w:rPr>
      <w:color w:val="404040"/>
    </w:rPr>
    <w:tblPr/>
  </w:style>
  <w:style w:type="table" w:styleId="965">
    <w:name w:val="Lined - Accent 2"/>
    <w:basedOn w:val="745"/>
    <w:next w:val="965"/>
    <w:link w:val="734"/>
    <w:uiPriority w:val="99"/>
    <w:qFormat/>
    <w:rPr>
      <w:color w:val="404040"/>
    </w:rPr>
    <w:tblPr/>
  </w:style>
  <w:style w:type="table" w:styleId="966">
    <w:name w:val="Lined - Accent 3"/>
    <w:basedOn w:val="745"/>
    <w:next w:val="966"/>
    <w:link w:val="734"/>
    <w:uiPriority w:val="99"/>
    <w:qFormat/>
    <w:rPr>
      <w:color w:val="404040"/>
    </w:rPr>
    <w:tblPr/>
  </w:style>
  <w:style w:type="table" w:styleId="967">
    <w:name w:val="Lined - Accent 4"/>
    <w:basedOn w:val="745"/>
    <w:next w:val="967"/>
    <w:link w:val="734"/>
    <w:uiPriority w:val="99"/>
    <w:qFormat/>
    <w:rPr>
      <w:color w:val="404040"/>
    </w:rPr>
    <w:tblPr/>
  </w:style>
  <w:style w:type="table" w:styleId="968">
    <w:name w:val="Lined - Accent 5"/>
    <w:basedOn w:val="745"/>
    <w:next w:val="968"/>
    <w:link w:val="734"/>
    <w:uiPriority w:val="99"/>
    <w:qFormat/>
    <w:rPr>
      <w:color w:val="404040"/>
    </w:rPr>
    <w:tblPr/>
  </w:style>
  <w:style w:type="table" w:styleId="969">
    <w:name w:val="Lined - Accent 6"/>
    <w:basedOn w:val="745"/>
    <w:next w:val="969"/>
    <w:link w:val="734"/>
    <w:uiPriority w:val="99"/>
    <w:qFormat/>
    <w:rPr>
      <w:color w:val="404040"/>
    </w:rPr>
    <w:tblPr/>
  </w:style>
  <w:style w:type="table" w:styleId="970">
    <w:name w:val="Bordered &amp; Lined - Accent"/>
    <w:basedOn w:val="745"/>
    <w:next w:val="970"/>
    <w:link w:val="734"/>
    <w:uiPriority w:val="99"/>
    <w:qFormat/>
    <w:rPr>
      <w:color w:val="404040"/>
    </w:rPr>
    <w:tblPr/>
  </w:style>
  <w:style w:type="table" w:styleId="971">
    <w:name w:val="Bordered &amp; Lined - Accent 1"/>
    <w:basedOn w:val="745"/>
    <w:next w:val="971"/>
    <w:link w:val="734"/>
    <w:uiPriority w:val="99"/>
    <w:qFormat/>
    <w:rPr>
      <w:color w:val="404040"/>
    </w:rPr>
    <w:tblPr/>
  </w:style>
  <w:style w:type="table" w:styleId="972">
    <w:name w:val="Bordered &amp; Lined - Accent 2"/>
    <w:basedOn w:val="745"/>
    <w:next w:val="972"/>
    <w:link w:val="734"/>
    <w:uiPriority w:val="99"/>
    <w:qFormat/>
    <w:rPr>
      <w:color w:val="404040"/>
    </w:rPr>
    <w:tblPr/>
  </w:style>
  <w:style w:type="table" w:styleId="973">
    <w:name w:val="Bordered &amp; Lined - Accent 3"/>
    <w:basedOn w:val="745"/>
    <w:next w:val="973"/>
    <w:link w:val="734"/>
    <w:uiPriority w:val="99"/>
    <w:qFormat/>
    <w:rPr>
      <w:color w:val="404040"/>
    </w:rPr>
    <w:tblPr/>
  </w:style>
  <w:style w:type="table" w:styleId="974">
    <w:name w:val="Bordered &amp; Lined - Accent 4"/>
    <w:basedOn w:val="745"/>
    <w:next w:val="974"/>
    <w:link w:val="734"/>
    <w:uiPriority w:val="99"/>
    <w:qFormat/>
    <w:rPr>
      <w:color w:val="404040"/>
    </w:rPr>
    <w:tblPr/>
  </w:style>
  <w:style w:type="table" w:styleId="975">
    <w:name w:val="Bordered &amp; Lined - Accent 5"/>
    <w:basedOn w:val="745"/>
    <w:next w:val="975"/>
    <w:link w:val="734"/>
    <w:uiPriority w:val="99"/>
    <w:qFormat/>
    <w:rPr>
      <w:color w:val="404040"/>
    </w:rPr>
    <w:tblPr/>
  </w:style>
  <w:style w:type="table" w:styleId="976">
    <w:name w:val="Bordered &amp; Lined - Accent 6"/>
    <w:basedOn w:val="745"/>
    <w:next w:val="976"/>
    <w:link w:val="734"/>
    <w:uiPriority w:val="99"/>
    <w:qFormat/>
    <w:rPr>
      <w:color w:val="404040"/>
    </w:rPr>
    <w:tblPr/>
  </w:style>
  <w:style w:type="table" w:styleId="977">
    <w:name w:val="Bordered"/>
    <w:basedOn w:val="745"/>
    <w:next w:val="977"/>
    <w:link w:val="734"/>
    <w:uiPriority w:val="99"/>
    <w:qFormat/>
    <w:tblPr/>
  </w:style>
  <w:style w:type="table" w:styleId="978">
    <w:name w:val="Bordered - Accent 1"/>
    <w:basedOn w:val="745"/>
    <w:next w:val="978"/>
    <w:link w:val="734"/>
    <w:uiPriority w:val="99"/>
    <w:qFormat/>
    <w:tblPr/>
  </w:style>
  <w:style w:type="table" w:styleId="979">
    <w:name w:val="Bordered - Accent 2"/>
    <w:basedOn w:val="745"/>
    <w:next w:val="979"/>
    <w:link w:val="734"/>
    <w:uiPriority w:val="99"/>
    <w:qFormat/>
    <w:tblPr/>
  </w:style>
  <w:style w:type="table" w:styleId="980">
    <w:name w:val="Bordered - Accent 3"/>
    <w:basedOn w:val="745"/>
    <w:next w:val="980"/>
    <w:link w:val="734"/>
    <w:uiPriority w:val="99"/>
    <w:qFormat/>
    <w:tblPr/>
  </w:style>
  <w:style w:type="table" w:styleId="981">
    <w:name w:val="Bordered - Accent 4"/>
    <w:basedOn w:val="745"/>
    <w:next w:val="981"/>
    <w:link w:val="734"/>
    <w:uiPriority w:val="99"/>
    <w:qFormat/>
    <w:tblPr/>
  </w:style>
  <w:style w:type="table" w:styleId="982">
    <w:name w:val="Bordered - Accent 5"/>
    <w:basedOn w:val="745"/>
    <w:next w:val="982"/>
    <w:link w:val="734"/>
    <w:uiPriority w:val="99"/>
    <w:qFormat/>
    <w:tblPr/>
  </w:style>
  <w:style w:type="table" w:styleId="983">
    <w:name w:val="Bordered - Accent 6"/>
    <w:basedOn w:val="745"/>
    <w:next w:val="983"/>
    <w:link w:val="734"/>
    <w:uiPriority w:val="99"/>
    <w:qFormat/>
    <w:tblPr/>
  </w:style>
  <w:style w:type="character" w:styleId="984">
    <w:name w:val="Footnote Text Char"/>
    <w:next w:val="984"/>
    <w:link w:val="734"/>
    <w:uiPriority w:val="99"/>
    <w:qFormat/>
    <w:rPr>
      <w:sz w:val="18"/>
    </w:rPr>
  </w:style>
  <w:style w:type="paragraph" w:styleId="985">
    <w:name w:val="TOC 标题1"/>
    <w:next w:val="985"/>
    <w:link w:val="734"/>
    <w:uiPriority w:val="39"/>
    <w:unhideWhenUsed/>
    <w:qFormat/>
    <w:rPr>
      <w:lang w:val="en-US" w:eastAsia="zh-CN" w:bidi="ar-SA"/>
    </w:rPr>
  </w:style>
  <w:style w:type="paragraph" w:styleId="986">
    <w:name w:val="p0"/>
    <w:basedOn w:val="734"/>
    <w:next w:val="986"/>
    <w:link w:val="734"/>
    <w:qFormat/>
    <w:pPr>
      <w:widowControl/>
    </w:pPr>
    <w:rPr>
      <w:szCs w:val="21"/>
    </w:rPr>
  </w:style>
  <w:style w:type="paragraph" w:styleId="987">
    <w:name w:val="列出段落"/>
    <w:basedOn w:val="734"/>
    <w:next w:val="987"/>
    <w:link w:val="734"/>
    <w:uiPriority w:val="1"/>
    <w:qFormat/>
    <w:pPr>
      <w:ind w:firstLine="420"/>
    </w:pPr>
  </w:style>
  <w:style w:type="paragraph" w:styleId="988">
    <w:name w:val="Default"/>
    <w:next w:val="988"/>
    <w:link w:val="734"/>
    <w:qFormat/>
    <w:pPr>
      <w:widowControl w:val="off"/>
    </w:pPr>
    <w:rPr>
      <w:rFonts w:ascii="宋体" w:cs="宋体"/>
      <w:color w:val="000000"/>
      <w:sz w:val="24"/>
      <w:szCs w:val="24"/>
      <w:lang w:val="en-US" w:eastAsia="zh-CN" w:bidi="ar-SA"/>
    </w:rPr>
  </w:style>
  <w:style w:type="character" w:styleId="989">
    <w:name w:val="NormalCharacter1"/>
    <w:next w:val="989"/>
    <w:link w:val="734"/>
    <w:semiHidden/>
    <w:qFormat/>
    <w:rPr>
      <w:sz w:val="28"/>
      <w:lang w:val="en-US" w:eastAsia="zh-CN" w:bidi="ar-SA"/>
    </w:rPr>
  </w:style>
  <w:style w:type="paragraph" w:styleId="990">
    <w:name w:val="179"/>
    <w:basedOn w:val="734"/>
    <w:next w:val="990"/>
    <w:link w:val="734"/>
    <w:qFormat/>
    <w:pPr>
      <w:ind w:firstLine="420"/>
      <w:jc w:val="left"/>
      <w:widowControl/>
    </w:pPr>
    <w:rPr>
      <w:rFonts w:ascii="宋体" w:hAnsi="宋体"/>
      <w:sz w:val="24"/>
    </w:rPr>
  </w:style>
  <w:style w:type="paragraph" w:styleId="991">
    <w:name w:val="UserStyle_0"/>
    <w:next w:val="991"/>
    <w:link w:val="734"/>
    <w:qFormat/>
    <w:rPr>
      <w:color w:val="000000"/>
      <w:sz w:val="24"/>
      <w:szCs w:val="24"/>
      <w:lang w:val="en-US" w:eastAsia="zh-CN" w:bidi="ar-SA"/>
    </w:rPr>
  </w:style>
  <w:style w:type="paragraph" w:styleId="992">
    <w:name w:val="标准"/>
    <w:basedOn w:val="734"/>
    <w:next w:val="992"/>
    <w:link w:val="734"/>
    <w:qFormat/>
    <w:pPr>
      <w:ind w:firstLine="200"/>
      <w:spacing w:line="360" w:lineRule="auto"/>
    </w:pPr>
    <w:rPr>
      <w:rFonts w:cs="宋体"/>
      <w:sz w:val="20"/>
      <w:szCs w:val="20"/>
    </w:rPr>
  </w:style>
  <w:style w:type="paragraph" w:styleId="993">
    <w:name w:val="_Style 11"/>
    <w:basedOn w:val="734"/>
    <w:next w:val="987"/>
    <w:link w:val="734"/>
    <w:uiPriority w:val="34"/>
    <w:qFormat/>
    <w:pPr>
      <w:ind w:firstLine="420"/>
    </w:pPr>
    <w:rPr>
      <w:color w:val="000000"/>
      <w:szCs w:val="21"/>
    </w:rPr>
  </w:style>
  <w:style w:type="paragraph" w:styleId="994">
    <w:name w:val="BodyText1I21"/>
    <w:basedOn w:val="734"/>
    <w:next w:val="994"/>
    <w:link w:val="734"/>
    <w:qFormat/>
    <w:pPr>
      <w:ind w:firstLine="420"/>
      <w:spacing w:line="360" w:lineRule="auto"/>
      <w:widowControl/>
    </w:pPr>
    <w:rPr>
      <w:rFonts w:ascii="宋体" w:hAnsi="宋体" w:cs="Times New Roman"/>
      <w:sz w:val="20"/>
      <w:szCs w:val="20"/>
    </w:rPr>
  </w:style>
  <w:style w:type="paragraph" w:styleId="995">
    <w:name w:val="UserStyle_133"/>
    <w:basedOn w:val="734"/>
    <w:next w:val="995"/>
    <w:link w:val="734"/>
    <w:qFormat/>
    <w:pPr>
      <w:widowControl/>
    </w:pPr>
    <w:rPr>
      <w:rFonts w:ascii="Tahoma" w:hAnsi="Tahoma" w:cs="Times New Roman"/>
      <w:sz w:val="24"/>
    </w:rPr>
  </w:style>
  <w:style w:type="paragraph" w:styleId="996">
    <w:name w:val="AnnotationText1"/>
    <w:basedOn w:val="734"/>
    <w:next w:val="996"/>
    <w:link w:val="997"/>
    <w:qFormat/>
    <w:pPr>
      <w:jc w:val="left"/>
      <w:widowControl/>
    </w:pPr>
    <w:rPr>
      <w:rFonts w:cs="Times New Roman"/>
    </w:rPr>
  </w:style>
  <w:style w:type="character" w:styleId="997">
    <w:name w:val="UserStyle_12"/>
    <w:next w:val="997"/>
    <w:link w:val="996"/>
    <w:qFormat/>
    <w:rPr>
      <w:rFonts w:ascii="Times New Roman" w:hAnsi="Times New Roman" w:eastAsia="宋体"/>
      <w:sz w:val="21"/>
      <w:szCs w:val="24"/>
    </w:rPr>
  </w:style>
  <w:style w:type="paragraph" w:styleId="998">
    <w:name w:val="UserStyle_115"/>
    <w:next w:val="998"/>
    <w:link w:val="734"/>
    <w:qFormat/>
    <w:rPr>
      <w:color w:val="000000"/>
      <w:sz w:val="24"/>
      <w:szCs w:val="24"/>
      <w:lang w:val="en-US" w:eastAsia="zh-CN" w:bidi="ar-SA"/>
    </w:rPr>
  </w:style>
  <w:style w:type="paragraph" w:styleId="999">
    <w:name w:val="*正文-表格"/>
    <w:basedOn w:val="734"/>
    <w:next w:val="999"/>
    <w:link w:val="734"/>
    <w:qFormat/>
    <w:rPr>
      <w:sz w:val="24"/>
      <w:szCs w:val="20"/>
    </w:rPr>
  </w:style>
  <w:style w:type="character" w:styleId="1000">
    <w:name w:val="font21"/>
    <w:next w:val="1000"/>
    <w:link w:val="734"/>
    <w:qFormat/>
    <w:rPr>
      <w:rFonts w:hint="eastAsia" w:ascii="宋体" w:hAnsi="宋体" w:eastAsia="宋体" w:cs="宋体"/>
      <w:b/>
      <w:bCs/>
      <w:color w:val="000000"/>
      <w:sz w:val="28"/>
      <w:szCs w:val="28"/>
      <w:u w:val="none"/>
    </w:rPr>
  </w:style>
  <w:style w:type="paragraph" w:styleId="1001">
    <w:name w:val="标题 5（有编号）（绿盟科技）"/>
    <w:basedOn w:val="734"/>
    <w:next w:val="1002"/>
    <w:link w:val="73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2">
    <w:name w:val="正文（绿盟科技）"/>
    <w:next w:val="1002"/>
    <w:link w:val="734"/>
    <w:uiPriority w:val="99"/>
    <w:qFormat/>
    <w:pPr>
      <w:spacing w:line="300" w:lineRule="auto"/>
    </w:pPr>
    <w:rPr>
      <w:rFonts w:ascii="Arial" w:hAnsi="Arial" w:cs="黑体"/>
      <w:sz w:val="21"/>
      <w:szCs w:val="21"/>
      <w:lang w:val="en-US" w:eastAsia="zh-CN" w:bidi="ar-SA"/>
    </w:rPr>
  </w:style>
  <w:style w:type="paragraph" w:styleId="1003">
    <w:name w:val="投标文件正文"/>
    <w:basedOn w:val="734"/>
    <w:next w:val="1003"/>
    <w:link w:val="734"/>
    <w:qFormat/>
    <w:pPr>
      <w:ind w:firstLine="200"/>
      <w:spacing w:before="40" w:after="40" w:line="400" w:lineRule="exact"/>
    </w:pPr>
    <w:rPr>
      <w:sz w:val="24"/>
    </w:rPr>
  </w:style>
  <w:style w:type="paragraph" w:styleId="1004">
    <w:name w:val="BodyTextIndent1"/>
    <w:basedOn w:val="734"/>
    <w:next w:val="1005"/>
    <w:link w:val="734"/>
    <w:qFormat/>
    <w:pPr>
      <w:ind w:left="420"/>
      <w:spacing w:after="120"/>
    </w:pPr>
  </w:style>
  <w:style w:type="paragraph" w:styleId="1005">
    <w:name w:val="EnvelopeReturn1"/>
    <w:basedOn w:val="734"/>
    <w:next w:val="1005"/>
    <w:link w:val="734"/>
    <w:qFormat/>
    <w:rPr>
      <w:rFonts w:ascii="Arial" w:hAnsi="Arial"/>
    </w:rPr>
  </w:style>
  <w:style w:type="paragraph" w:styleId="1006">
    <w:name w:val="Table Paragraph"/>
    <w:basedOn w:val="734"/>
    <w:next w:val="1006"/>
    <w:link w:val="734"/>
    <w:uiPriority w:val="1"/>
    <w:qFormat/>
    <w:pPr>
      <w:ind w:left="107"/>
    </w:pPr>
    <w:rPr>
      <w:rFonts w:ascii="宋体" w:hAnsi="宋体" w:cs="宋体"/>
    </w:rPr>
  </w:style>
  <w:style w:type="paragraph" w:styleId="1007">
    <w:name w:val="列出段落1"/>
    <w:basedOn w:val="734"/>
    <w:next w:val="1007"/>
    <w:link w:val="734"/>
    <w:uiPriority w:val="34"/>
    <w:qFormat/>
    <w:pPr>
      <w:ind w:left="480"/>
      <w:jc w:val="left"/>
    </w:pPr>
    <w:rPr>
      <w:rFonts w:ascii="Calibri" w:hAnsi="Calibri" w:eastAsia="PMingLiU"/>
      <w:sz w:val="24"/>
      <w:szCs w:val="20"/>
      <w:lang w:eastAsia="zh-TW"/>
    </w:rPr>
  </w:style>
  <w:style w:type="paragraph" w:styleId="1008">
    <w:name w:val="正文文本缩进1"/>
    <w:next w:val="1008"/>
    <w:link w:val="734"/>
    <w:qFormat/>
    <w:pPr>
      <w:ind w:left="420"/>
      <w:jc w:val="both"/>
      <w:spacing w:after="120"/>
      <w:widowControl w:val="off"/>
    </w:pPr>
    <w:rPr>
      <w:sz w:val="21"/>
      <w:szCs w:val="24"/>
      <w:lang w:val="en-US" w:eastAsia="zh-CN" w:bidi="ar-SA"/>
    </w:rPr>
  </w:style>
  <w:style w:type="character" w:styleId="1009">
    <w:name w:val="font51"/>
    <w:next w:val="1009"/>
    <w:link w:val="734"/>
    <w:qFormat/>
    <w:rPr>
      <w:rFonts w:hint="eastAsia" w:ascii="微软雅黑" w:hAnsi="微软雅黑" w:eastAsia="微软雅黑" w:cs="微软雅黑"/>
      <w:color w:val="000000"/>
      <w:sz w:val="16"/>
      <w:szCs w:val="16"/>
      <w:u w:val="none"/>
    </w:rPr>
  </w:style>
  <w:style w:type="character" w:styleId="1010">
    <w:name w:val="font01"/>
    <w:next w:val="1010"/>
    <w:link w:val="734"/>
    <w:qFormat/>
    <w:rPr>
      <w:rFonts w:hint="eastAsia" w:ascii="微软雅黑" w:hAnsi="微软雅黑" w:eastAsia="微软雅黑" w:cs="微软雅黑"/>
      <w:color w:val="000000"/>
      <w:sz w:val="16"/>
      <w:szCs w:val="16"/>
      <w:u w:val="none"/>
    </w:rPr>
  </w:style>
  <w:style w:type="character" w:styleId="1011">
    <w:name w:val="font31"/>
    <w:next w:val="1011"/>
    <w:link w:val="734"/>
    <w:qFormat/>
    <w:rPr>
      <w:rFonts w:hint="eastAsia" w:ascii="微软雅黑" w:hAnsi="微软雅黑" w:eastAsia="微软雅黑" w:cs="微软雅黑"/>
      <w:color w:val="000000"/>
      <w:sz w:val="16"/>
      <w:szCs w:val="16"/>
      <w:u w:val="none"/>
    </w:rPr>
  </w:style>
  <w:style w:type="character" w:styleId="1012">
    <w:name w:val="font41"/>
    <w:next w:val="1012"/>
    <w:link w:val="734"/>
    <w:qFormat/>
    <w:rPr>
      <w:rFonts w:hint="eastAsia" w:ascii="宋体" w:hAnsi="宋体" w:eastAsia="宋体" w:cs="宋体"/>
      <w:color w:val="000000"/>
      <w:sz w:val="22"/>
      <w:szCs w:val="22"/>
      <w:u w:val="none"/>
    </w:rPr>
  </w:style>
  <w:style w:type="character" w:styleId="1013">
    <w:name w:val="font61"/>
    <w:next w:val="1013"/>
    <w:link w:val="734"/>
    <w:qFormat/>
    <w:rPr>
      <w:rFonts w:hint="eastAsia" w:ascii="宋体" w:hAnsi="宋体" w:eastAsia="宋体" w:cs="宋体"/>
      <w:color w:val="000000"/>
      <w:sz w:val="20"/>
      <w:szCs w:val="20"/>
      <w:u w:val="none"/>
    </w:rPr>
  </w:style>
  <w:style w:type="character" w:styleId="1014">
    <w:name w:val="font11"/>
    <w:next w:val="1014"/>
    <w:link w:val="734"/>
    <w:qFormat/>
    <w:rPr>
      <w:rFonts w:hint="eastAsia" w:ascii="宋体" w:hAnsi="宋体" w:eastAsia="宋体" w:cs="宋体"/>
      <w:color w:val="000000"/>
      <w:sz w:val="20"/>
      <w:szCs w:val="20"/>
      <w:u w:val="none"/>
    </w:rPr>
  </w:style>
  <w:style w:type="paragraph" w:styleId="1015">
    <w:name w:val="目录 111"/>
    <w:basedOn w:val="830"/>
    <w:next w:val="734"/>
    <w:link w:val="734"/>
    <w:qFormat/>
    <w:pPr>
      <w:jc w:val="left"/>
      <w:spacing w:after="100" w:line="259" w:lineRule="auto"/>
      <w:widowControl/>
    </w:pPr>
    <w:rPr>
      <w:rFonts w:ascii="Calibri" w:hAnsi="Calibri"/>
      <w:sz w:val="22"/>
      <w:szCs w:val="22"/>
    </w:rPr>
  </w:style>
  <w:style w:type="character" w:styleId="1016">
    <w:name w:val="font71"/>
    <w:next w:val="1016"/>
    <w:link w:val="734"/>
    <w:qFormat/>
    <w:rPr>
      <w:rFonts w:hint="eastAsia" w:ascii="宋体" w:hAnsi="宋体" w:eastAsia="宋体" w:cs="宋体"/>
      <w:color w:val="000000"/>
      <w:sz w:val="21"/>
      <w:szCs w:val="21"/>
      <w:u w:val="none"/>
    </w:rPr>
  </w:style>
  <w:style w:type="character" w:styleId="1017">
    <w:name w:val="font81"/>
    <w:next w:val="1017"/>
    <w:link w:val="734"/>
    <w:qFormat/>
    <w:rPr>
      <w:rFonts w:ascii="Times New Roman" w:hAnsi="Times New Roman" w:cs="Times New Roman"/>
      <w:color w:val="000000"/>
      <w:sz w:val="21"/>
      <w:szCs w:val="21"/>
      <w:u w:val="none"/>
    </w:rPr>
  </w:style>
  <w:style w:type="character" w:styleId="1018">
    <w:name w:val="font91"/>
    <w:next w:val="1018"/>
    <w:link w:val="734"/>
    <w:qFormat/>
    <w:rPr>
      <w:rFonts w:hint="eastAsia" w:ascii="宋体" w:hAnsi="宋体" w:eastAsia="宋体" w:cs="宋体"/>
      <w:color w:val="000000"/>
      <w:sz w:val="21"/>
      <w:szCs w:val="21"/>
      <w:u w:val="none"/>
    </w:rPr>
  </w:style>
  <w:style w:type="paragraph" w:styleId="1019">
    <w:name w:val="页脚1"/>
    <w:basedOn w:val="734"/>
    <w:next w:val="1019"/>
    <w:link w:val="734"/>
    <w:qFormat/>
    <w:pPr>
      <w:jc w:val="left"/>
      <w:tabs>
        <w:tab w:val="center" w:pos="4153" w:leader="none"/>
        <w:tab w:val="right" w:pos="8306" w:leader="none"/>
      </w:tabs>
    </w:pPr>
    <w:rPr>
      <w:sz w:val="18"/>
      <w:szCs w:val="18"/>
    </w:rPr>
  </w:style>
  <w:style w:type="paragraph" w:styleId="1020">
    <w:name w:val="正文缩进11"/>
    <w:basedOn w:val="734"/>
    <w:next w:val="1020"/>
    <w:link w:val="734"/>
    <w:unhideWhenUsed/>
    <w:qFormat/>
    <w:pPr>
      <w:ind w:firstLine="420"/>
    </w:pPr>
  </w:style>
  <w:style w:type="paragraph" w:styleId="1021">
    <w:name w:val="列表段落"/>
    <w:basedOn w:val="734"/>
    <w:next w:val="1021"/>
    <w:link w:val="734"/>
    <w:uiPriority w:val="34"/>
    <w:qFormat/>
    <w:pPr>
      <w:contextualSpacing/>
      <w:ind w:left="720"/>
    </w:pPr>
  </w:style>
  <w:style w:type="paragraph" w:styleId="1022">
    <w:name w:val="普通(网站)1"/>
    <w:basedOn w:val="734"/>
    <w:next w:val="1022"/>
    <w:link w:val="734"/>
    <w:qFormat/>
    <w:pPr>
      <w:jc w:val="left"/>
      <w:spacing w:before="100" w:beforeAutospacing="1" w:after="100" w:afterAutospacing="1"/>
      <w:widowControl/>
    </w:pPr>
    <w:rPr>
      <w:rFonts w:ascii="宋体" w:hAnsi="宋体" w:eastAsia="宋体" w:cs="宋体"/>
      <w:color w:val="000000"/>
      <w:sz w:val="24"/>
      <w:szCs w:val="20"/>
    </w:rPr>
  </w:style>
  <w:style w:type="paragraph" w:styleId="1023">
    <w:name w:val="纯文本11"/>
    <w:basedOn w:val="734"/>
    <w:next w:val="1023"/>
    <w:link w:val="734"/>
    <w:qFormat/>
    <w:rPr>
      <w:rFonts w:ascii="宋体" w:hAnsi="Courier New"/>
      <w:szCs w:val="20"/>
    </w:rPr>
  </w:style>
  <w:style w:type="paragraph" w:styleId="1024">
    <w:name w:val="纯文本1"/>
    <w:basedOn w:val="747"/>
    <w:next w:val="1024"/>
    <w:link w:val="734"/>
    <w:qFormat/>
    <w:rPr>
      <w:rFonts w:hAnsi="Courier New"/>
      <w:sz w:val="20"/>
    </w:rPr>
  </w:style>
  <w:style w:type="paragraph" w:styleId="1025">
    <w:name w:val="Body text|21"/>
    <w:basedOn w:val="734"/>
    <w:next w:val="1025"/>
    <w:link w:val="734"/>
    <w:qFormat/>
    <w:pPr>
      <w:spacing w:before="500" w:after="260" w:line="200" w:lineRule="exact"/>
      <w:shd w:val="clear" w:color="auto" w:fill="ffffff"/>
    </w:pPr>
    <w:rPr>
      <w:rFonts w:ascii="PMingLiU" w:hAnsi="PMingLiU" w:eastAsia="PMingLiU" w:cs="PMingLiU"/>
      <w:spacing w:val="10"/>
      <w:sz w:val="20"/>
      <w:szCs w:val="20"/>
    </w:rPr>
  </w:style>
  <w:style w:type="table" w:styleId="1026">
    <w:name w:val="Table Normal"/>
    <w:next w:val="1026"/>
    <w:link w:val="734"/>
    <w:unhideWhenUsed/>
    <w:qFormat/>
    <w:rPr>
      <w:lang w:val="en-US" w:eastAsia="zh-CN" w:bidi="ar-SA"/>
    </w:rPr>
    <w:tblPr/>
  </w:style>
  <w:style w:type="paragraph" w:styleId="1027">
    <w:name w:val="Table Text"/>
    <w:basedOn w:val="734"/>
    <w:next w:val="1027"/>
    <w:link w:val="734"/>
    <w:semiHidden/>
    <w:qFormat/>
    <w:rPr>
      <w:rFonts w:ascii="Arial" w:hAnsi="Arial" w:eastAsia="Arial" w:cs="Arial"/>
      <w:sz w:val="21"/>
      <w:szCs w:val="21"/>
      <w:lang w:eastAsia="en-US"/>
    </w:rPr>
  </w:style>
  <w:style w:type="paragraph" w:styleId="1028">
    <w:name w:val="BlockQuote1"/>
    <w:basedOn w:val="734"/>
    <w:next w:val="1028"/>
    <w:link w:val="734"/>
    <w:qFormat/>
    <w:pPr>
      <w:ind w:left="256" w:right="6" w:firstLine="624"/>
    </w:pPr>
    <w:rPr>
      <w:rFonts w:eastAsia="仿宋_GB2312"/>
      <w:sz w:val="28"/>
    </w:rPr>
  </w:style>
  <w:style w:type="character" w:styleId="15320" w:default="1">
    <w:name w:val="Default Paragraph Font"/>
    <w:uiPriority w:val="1"/>
    <w:semiHidden/>
    <w:unhideWhenUsed/>
  </w:style>
  <w:style w:type="numbering" w:styleId="15321" w:default="1">
    <w:name w:val="No List"/>
    <w:uiPriority w:val="99"/>
    <w:semiHidden/>
    <w:unhideWhenUsed/>
  </w:style>
  <w:style w:type="table" w:styleId="153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jp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jpg"/><Relationship Id="rId42"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8</cp:revision>
  <dcterms:created xsi:type="dcterms:W3CDTF">2021-06-29T14:28:00Z</dcterms:created>
  <dcterms:modified xsi:type="dcterms:W3CDTF">2026-05-27T06:03:02Z</dcterms:modified>
</cp:coreProperties>
</file>