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7076A">
      <w:pPr>
        <w:pStyle w:val="2"/>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right="0" w:firstLine="560"/>
        <w:rPr>
          <w:highlight w:val="none"/>
        </w:rPr>
      </w:pPr>
      <w:r>
        <w:rPr>
          <w:rFonts w:hint="eastAsia" w:ascii="宋体" w:hAnsi="宋体" w:eastAsia="宋体" w:cs="宋体"/>
          <w:color w:val="000000"/>
          <w:sz w:val="28"/>
          <w:szCs w:val="28"/>
          <w:highlight w:val="none"/>
        </w:rPr>
        <w:t>有建议或意见，请以书面形式并加盖公章、注明联系人、联系方式，于</w:t>
      </w:r>
      <w:r>
        <w:rPr>
          <w:rFonts w:hint="eastAsia" w:ascii="宋体" w:hAnsi="宋体" w:eastAsia="宋体" w:cs="宋体"/>
          <w:color w:val="000000"/>
          <w:sz w:val="28"/>
          <w:szCs w:val="28"/>
          <w:highlight w:val="none"/>
          <w:lang w:val="en-US" w:eastAsia="zh-CN"/>
        </w:rPr>
        <w:t>202</w:t>
      </w:r>
      <w:r>
        <w:rPr>
          <w:rFonts w:hint="eastAsia" w:ascii="宋体" w:hAnsi="宋体" w:cs="宋体"/>
          <w:color w:val="000000"/>
          <w:sz w:val="28"/>
          <w:szCs w:val="28"/>
          <w:highlight w:val="none"/>
          <w:lang w:val="en-US" w:eastAsia="zh-CN"/>
        </w:rPr>
        <w:t>6</w:t>
      </w:r>
      <w:r>
        <w:rPr>
          <w:rFonts w:hint="eastAsia" w:ascii="宋体" w:hAnsi="宋体" w:eastAsia="宋体" w:cs="宋体"/>
          <w:color w:val="000000"/>
          <w:sz w:val="28"/>
          <w:szCs w:val="28"/>
          <w:highlight w:val="none"/>
        </w:rPr>
        <w:t>年</w:t>
      </w:r>
      <w:r>
        <w:rPr>
          <w:rFonts w:hint="eastAsia" w:ascii="宋体" w:hAnsi="宋体" w:cs="宋体"/>
          <w:color w:val="000000"/>
          <w:sz w:val="28"/>
          <w:szCs w:val="28"/>
          <w:highlight w:val="none"/>
          <w:lang w:val="en-US" w:eastAsia="zh-CN"/>
        </w:rPr>
        <w:t>5</w:t>
      </w:r>
      <w:r>
        <w:rPr>
          <w:rFonts w:hint="eastAsia" w:ascii="宋体" w:hAnsi="宋体" w:eastAsia="宋体" w:cs="宋体"/>
          <w:color w:val="000000"/>
          <w:sz w:val="28"/>
          <w:szCs w:val="28"/>
          <w:highlight w:val="none"/>
        </w:rPr>
        <w:t>月</w:t>
      </w:r>
      <w:r>
        <w:rPr>
          <w:rFonts w:hint="eastAsia" w:ascii="宋体" w:hAnsi="宋体" w:cs="宋体"/>
          <w:color w:val="000000"/>
          <w:sz w:val="28"/>
          <w:szCs w:val="28"/>
          <w:highlight w:val="none"/>
          <w:lang w:val="en-US" w:eastAsia="zh-CN"/>
        </w:rPr>
        <w:t>27</w:t>
      </w:r>
      <w:r>
        <w:rPr>
          <w:rFonts w:hint="eastAsia" w:ascii="宋体" w:hAnsi="宋体" w:eastAsia="宋体" w:cs="宋体"/>
          <w:color w:val="000000"/>
          <w:sz w:val="28"/>
          <w:szCs w:val="28"/>
          <w:highlight w:val="none"/>
        </w:rPr>
        <w:t>日17:00之前送至我单位，逾期不受理（如邮寄，</w:t>
      </w:r>
      <w:r>
        <w:rPr>
          <w:rFonts w:hint="eastAsia" w:ascii="宋体" w:hAnsi="宋体" w:eastAsia="宋体" w:cs="宋体"/>
          <w:color w:val="000000"/>
          <w:sz w:val="28"/>
          <w:szCs w:val="28"/>
          <w:highlight w:val="none"/>
          <w:lang w:val="en-US" w:eastAsia="zh-CN"/>
        </w:rPr>
        <w:t>202</w:t>
      </w:r>
      <w:r>
        <w:rPr>
          <w:rFonts w:hint="eastAsia" w:ascii="宋体" w:hAnsi="宋体" w:cs="宋体"/>
          <w:color w:val="000000"/>
          <w:sz w:val="28"/>
          <w:szCs w:val="28"/>
          <w:highlight w:val="none"/>
          <w:lang w:val="en-US" w:eastAsia="zh-CN"/>
        </w:rPr>
        <w:t>6</w:t>
      </w:r>
      <w:r>
        <w:rPr>
          <w:rFonts w:hint="eastAsia" w:ascii="宋体" w:hAnsi="宋体" w:eastAsia="宋体" w:cs="宋体"/>
          <w:color w:val="000000"/>
          <w:sz w:val="28"/>
          <w:szCs w:val="28"/>
          <w:highlight w:val="none"/>
        </w:rPr>
        <w:t>年</w:t>
      </w:r>
      <w:r>
        <w:rPr>
          <w:rFonts w:hint="eastAsia" w:ascii="宋体" w:hAnsi="宋体" w:cs="宋体"/>
          <w:color w:val="000000"/>
          <w:sz w:val="28"/>
          <w:szCs w:val="28"/>
          <w:highlight w:val="none"/>
          <w:lang w:val="en-US" w:eastAsia="zh-CN"/>
        </w:rPr>
        <w:t>5</w:t>
      </w:r>
      <w:r>
        <w:rPr>
          <w:rFonts w:hint="eastAsia" w:ascii="宋体" w:hAnsi="宋体" w:eastAsia="宋体" w:cs="宋体"/>
          <w:color w:val="000000"/>
          <w:sz w:val="28"/>
          <w:szCs w:val="28"/>
          <w:highlight w:val="none"/>
        </w:rPr>
        <w:t>月</w:t>
      </w:r>
      <w:r>
        <w:rPr>
          <w:rFonts w:hint="eastAsia" w:ascii="宋体" w:hAnsi="宋体" w:cs="宋体"/>
          <w:color w:val="000000"/>
          <w:sz w:val="28"/>
          <w:szCs w:val="28"/>
          <w:highlight w:val="none"/>
          <w:lang w:val="en-US" w:eastAsia="zh-CN"/>
        </w:rPr>
        <w:t>27</w:t>
      </w:r>
      <w:bookmarkStart w:id="0" w:name="_GoBack"/>
      <w:bookmarkEnd w:id="0"/>
      <w:r>
        <w:rPr>
          <w:rFonts w:hint="eastAsia" w:ascii="宋体" w:hAnsi="宋体" w:eastAsia="宋体" w:cs="宋体"/>
          <w:color w:val="000000"/>
          <w:sz w:val="28"/>
          <w:szCs w:val="28"/>
          <w:highlight w:val="none"/>
        </w:rPr>
        <w:t>日17:00之后到达本公司的邮件将不再受理）。</w:t>
      </w:r>
    </w:p>
    <w:p w14:paraId="040EE84B">
      <w:pPr>
        <w:rPr>
          <w:highlight w:val="none"/>
        </w:rPr>
      </w:pPr>
    </w:p>
    <w:p w14:paraId="26A8E678">
      <w:pPr>
        <w:pStyle w:val="5"/>
        <w:rPr>
          <w:highlight w:val="none"/>
        </w:rPr>
      </w:pPr>
    </w:p>
    <w:p w14:paraId="65C574D2">
      <w:pPr>
        <w:rPr>
          <w:highlight w:val="none"/>
        </w:rPr>
      </w:pPr>
    </w:p>
    <w:p w14:paraId="392D9081">
      <w:pPr>
        <w:pStyle w:val="5"/>
        <w:rPr>
          <w:highlight w:val="none"/>
        </w:rPr>
      </w:pPr>
    </w:p>
    <w:p w14:paraId="18F312FE">
      <w:pPr>
        <w:rPr>
          <w:highlight w:val="none"/>
        </w:rPr>
      </w:pPr>
    </w:p>
    <w:p w14:paraId="1AB15FD2">
      <w:pPr>
        <w:pStyle w:val="5"/>
        <w:rPr>
          <w:highlight w:val="none"/>
        </w:rPr>
      </w:pPr>
    </w:p>
    <w:p w14:paraId="65D00462">
      <w:pPr>
        <w:rPr>
          <w:highlight w:val="none"/>
        </w:rPr>
      </w:pPr>
    </w:p>
    <w:p w14:paraId="2C7F0C06">
      <w:pPr>
        <w:pStyle w:val="5"/>
        <w:rPr>
          <w:highlight w:val="none"/>
        </w:rPr>
      </w:pPr>
    </w:p>
    <w:p w14:paraId="33422D8D">
      <w:pPr>
        <w:rPr>
          <w:highlight w:val="none"/>
        </w:rPr>
      </w:pPr>
    </w:p>
    <w:p w14:paraId="439B7696">
      <w:pPr>
        <w:pStyle w:val="5"/>
        <w:rPr>
          <w:highlight w:val="none"/>
        </w:rPr>
      </w:pPr>
    </w:p>
    <w:p w14:paraId="514630A7">
      <w:pPr>
        <w:rPr>
          <w:highlight w:val="none"/>
        </w:rPr>
      </w:pPr>
    </w:p>
    <w:p w14:paraId="1565BC06">
      <w:pPr>
        <w:pStyle w:val="5"/>
        <w:rPr>
          <w:highlight w:val="none"/>
        </w:rPr>
      </w:pPr>
    </w:p>
    <w:p w14:paraId="66F1786C">
      <w:pPr>
        <w:rPr>
          <w:highlight w:val="none"/>
        </w:rPr>
      </w:pPr>
    </w:p>
    <w:p w14:paraId="14C0E122">
      <w:pPr>
        <w:pStyle w:val="5"/>
        <w:rPr>
          <w:highlight w:val="none"/>
        </w:rPr>
      </w:pPr>
    </w:p>
    <w:p w14:paraId="120A640D">
      <w:pPr>
        <w:rPr>
          <w:highlight w:val="none"/>
        </w:rPr>
      </w:pPr>
    </w:p>
    <w:p w14:paraId="4C27762D">
      <w:pPr>
        <w:pStyle w:val="5"/>
        <w:rPr>
          <w:highlight w:val="none"/>
        </w:rPr>
      </w:pPr>
    </w:p>
    <w:p w14:paraId="4CA69A29">
      <w:pPr>
        <w:rPr>
          <w:highlight w:val="none"/>
        </w:rPr>
      </w:pPr>
    </w:p>
    <w:p w14:paraId="6A2D6B11">
      <w:pPr>
        <w:pStyle w:val="5"/>
        <w:rPr>
          <w:highlight w:val="none"/>
        </w:rPr>
      </w:pPr>
    </w:p>
    <w:p w14:paraId="5EA8705F">
      <w:pPr>
        <w:rPr>
          <w:highlight w:val="none"/>
        </w:rPr>
      </w:pPr>
    </w:p>
    <w:p w14:paraId="7902AF19">
      <w:pPr>
        <w:pStyle w:val="5"/>
        <w:rPr>
          <w:highlight w:val="none"/>
        </w:rPr>
      </w:pPr>
    </w:p>
    <w:p w14:paraId="4A16921F">
      <w:pPr>
        <w:rPr>
          <w:highlight w:val="none"/>
        </w:rPr>
      </w:pPr>
    </w:p>
    <w:p w14:paraId="2C1FCE57">
      <w:pPr>
        <w:rPr>
          <w:highlight w:val="none"/>
        </w:rPr>
      </w:pPr>
    </w:p>
    <w:p w14:paraId="0BD6B7F5">
      <w:pPr>
        <w:rPr>
          <w:highlight w:val="none"/>
        </w:rPr>
      </w:pPr>
    </w:p>
    <w:p w14:paraId="21A5150F">
      <w:pPr>
        <w:rPr>
          <w:highlight w:val="none"/>
        </w:rPr>
      </w:pPr>
    </w:p>
    <w:p w14:paraId="65043B47">
      <w:pPr>
        <w:rPr>
          <w:highlight w:val="none"/>
        </w:rPr>
      </w:pPr>
    </w:p>
    <w:p w14:paraId="51B38616">
      <w:pPr>
        <w:rPr>
          <w:highlight w:val="none"/>
        </w:rPr>
      </w:pPr>
    </w:p>
    <w:p w14:paraId="2BD77EA0">
      <w:pPr>
        <w:rPr>
          <w:highlight w:val="none"/>
        </w:rPr>
      </w:pPr>
    </w:p>
    <w:p w14:paraId="4C462793">
      <w:pPr>
        <w:pStyle w:val="5"/>
        <w:rPr>
          <w:highlight w:val="none"/>
        </w:rPr>
      </w:pPr>
    </w:p>
    <w:p w14:paraId="64186A60">
      <w:pPr>
        <w:rPr>
          <w:highlight w:val="none"/>
        </w:rPr>
      </w:pPr>
    </w:p>
    <w:p w14:paraId="45C32CB4">
      <w:pPr>
        <w:pStyle w:val="5"/>
        <w:rPr>
          <w:highlight w:val="none"/>
        </w:rPr>
      </w:pPr>
    </w:p>
    <w:p w14:paraId="42BD63DA">
      <w:pPr>
        <w:rPr>
          <w:highlight w:val="none"/>
        </w:rPr>
      </w:pPr>
    </w:p>
    <w:p w14:paraId="07907BFE">
      <w:pPr>
        <w:pStyle w:val="5"/>
        <w:rPr>
          <w:highlight w:val="none"/>
        </w:rPr>
      </w:pPr>
    </w:p>
    <w:p w14:paraId="7771946E">
      <w:pPr>
        <w:pStyle w:val="5"/>
        <w:rPr>
          <w:highlight w:val="none"/>
        </w:rPr>
      </w:pPr>
    </w:p>
    <w:p w14:paraId="622CD864">
      <w:pPr>
        <w:rPr>
          <w:highlight w:val="none"/>
        </w:rPr>
      </w:pPr>
    </w:p>
    <w:p w14:paraId="5BA8A642">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项目要求（采购需求）</w:t>
      </w:r>
    </w:p>
    <w:p w14:paraId="51BAEBE2">
      <w:pPr>
        <w:pageBreakBefore w:val="0"/>
        <w:numPr>
          <w:ilvl w:val="0"/>
          <w:numId w:val="0"/>
        </w:numPr>
        <w:spacing w:line="360" w:lineRule="auto"/>
        <w:rPr>
          <w:rStyle w:val="20"/>
          <w:rFonts w:hint="eastAsia" w:ascii="宋体" w:hAnsi="宋体" w:eastAsia="宋体" w:cs="宋体"/>
          <w:b/>
          <w:bCs/>
          <w:color w:val="auto"/>
          <w:sz w:val="24"/>
          <w:szCs w:val="24"/>
          <w:highlight w:val="none"/>
          <w:lang w:val="en-US"/>
        </w:rPr>
      </w:pPr>
    </w:p>
    <w:p w14:paraId="025BCC9E">
      <w:pPr>
        <w:pageBreakBefore w:val="0"/>
        <w:numPr>
          <w:ilvl w:val="0"/>
          <w:numId w:val="0"/>
        </w:numPr>
        <w:spacing w:line="360" w:lineRule="auto"/>
        <w:rPr>
          <w:rStyle w:val="20"/>
          <w:rFonts w:hint="eastAsia" w:ascii="宋体" w:hAnsi="宋体" w:eastAsia="宋体" w:cs="宋体"/>
          <w:color w:val="auto"/>
          <w:sz w:val="24"/>
          <w:szCs w:val="24"/>
          <w:highlight w:val="none"/>
        </w:rPr>
      </w:pPr>
      <w:r>
        <w:rPr>
          <w:rStyle w:val="20"/>
          <w:rFonts w:hint="eastAsia" w:ascii="宋体" w:hAnsi="宋体" w:eastAsia="宋体" w:cs="宋体"/>
          <w:b/>
          <w:bCs/>
          <w:color w:val="auto"/>
          <w:sz w:val="24"/>
          <w:szCs w:val="24"/>
          <w:highlight w:val="none"/>
          <w:lang w:val="en-US"/>
        </w:rPr>
        <w:t>一、</w:t>
      </w:r>
      <w:r>
        <w:rPr>
          <w:rStyle w:val="20"/>
          <w:rFonts w:hint="eastAsia" w:ascii="宋体" w:hAnsi="宋体" w:eastAsia="宋体" w:cs="宋体"/>
          <w:b/>
          <w:bCs/>
          <w:color w:val="auto"/>
          <w:sz w:val="24"/>
          <w:szCs w:val="24"/>
          <w:highlight w:val="none"/>
        </w:rPr>
        <w:t>本项目不接受超过</w:t>
      </w:r>
      <w:r>
        <w:rPr>
          <w:rStyle w:val="20"/>
          <w:rFonts w:hint="eastAsia" w:ascii="宋体" w:hAnsi="宋体" w:cs="宋体"/>
          <w:b/>
          <w:bCs/>
          <w:color w:val="auto"/>
          <w:sz w:val="24"/>
          <w:szCs w:val="24"/>
          <w:highlight w:val="none"/>
          <w:lang w:val="en-US" w:eastAsia="zh-CN"/>
        </w:rPr>
        <w:t xml:space="preserve">185.6106 </w:t>
      </w:r>
      <w:r>
        <w:rPr>
          <w:rStyle w:val="20"/>
          <w:rFonts w:hint="eastAsia" w:ascii="宋体" w:hAnsi="宋体" w:eastAsia="宋体" w:cs="宋体"/>
          <w:b/>
          <w:bCs/>
          <w:color w:val="auto"/>
          <w:sz w:val="24"/>
          <w:szCs w:val="24"/>
          <w:highlight w:val="none"/>
          <w:lang w:val="en-US"/>
        </w:rPr>
        <w:t>万元人民币</w:t>
      </w:r>
      <w:r>
        <w:rPr>
          <w:rStyle w:val="20"/>
          <w:rFonts w:hint="eastAsia" w:ascii="宋体" w:hAnsi="宋体" w:eastAsia="宋体" w:cs="宋体"/>
          <w:bCs/>
          <w:color w:val="auto"/>
          <w:sz w:val="24"/>
          <w:szCs w:val="24"/>
          <w:highlight w:val="none"/>
        </w:rPr>
        <w:t>（采购项目预算金额）的报价。</w:t>
      </w:r>
      <w:r>
        <w:rPr>
          <w:rStyle w:val="20"/>
          <w:rFonts w:hint="eastAsia" w:ascii="宋体" w:hAnsi="宋体" w:cs="宋体"/>
          <w:bCs/>
          <w:color w:val="auto"/>
          <w:sz w:val="24"/>
          <w:szCs w:val="24"/>
          <w:highlight w:val="none"/>
          <w:lang w:val="en-US" w:eastAsia="zh-CN"/>
        </w:rPr>
        <w:t>注：报价包含但不限于水电费、车辆运行、日常养护、工具劳务用品、保险、人员的各项工资、福利，劳保，管理费和税费等全部费用，采购人不再支付报价以外的任何费用。</w:t>
      </w:r>
    </w:p>
    <w:p w14:paraId="246B41D6">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二、项目</w:t>
      </w:r>
      <w:r>
        <w:rPr>
          <w:rFonts w:hint="eastAsia" w:ascii="宋体" w:hAnsi="宋体" w:eastAsia="宋体" w:cs="宋体"/>
          <w:b/>
          <w:bCs/>
          <w:color w:val="auto"/>
          <w:sz w:val="24"/>
          <w:szCs w:val="24"/>
          <w:highlight w:val="none"/>
          <w:lang w:eastAsia="zh-CN"/>
        </w:rPr>
        <w:t>概况：</w:t>
      </w:r>
    </w:p>
    <w:p w14:paraId="0A6ECA73">
      <w:pPr>
        <w:keepNext w:val="0"/>
        <w:keepLines w:val="0"/>
        <w:pageBreakBefore w:val="0"/>
        <w:widowControl w:val="0"/>
        <w:numPr>
          <w:ilvl w:val="0"/>
          <w:numId w:val="0"/>
        </w:numPr>
        <w:spacing w:before="0" w:beforeAutospacing="0" w:after="0" w:afterAutospacing="0" w:line="360" w:lineRule="auto"/>
        <w:ind w:firstLine="480"/>
        <w:jc w:val="left"/>
        <w:rPr>
          <w:rStyle w:val="20"/>
          <w:rFonts w:hint="eastAsia" w:ascii="宋体" w:hAnsi="宋体" w:eastAsia="宋体" w:cs="宋体"/>
          <w:b w:val="0"/>
          <w:i w:val="0"/>
          <w:caps w:val="0"/>
          <w:color w:val="auto"/>
          <w:spacing w:val="0"/>
          <w:sz w:val="24"/>
          <w:szCs w:val="24"/>
          <w:highlight w:val="none"/>
          <w:lang w:val="en-US" w:eastAsia="zh-CN" w:bidi="ar-SA"/>
        </w:rPr>
      </w:pPr>
      <w:r>
        <w:rPr>
          <w:rStyle w:val="20"/>
          <w:rFonts w:hint="eastAsia" w:ascii="宋体" w:hAnsi="宋体" w:eastAsia="宋体" w:cs="宋体"/>
          <w:b w:val="0"/>
          <w:i w:val="0"/>
          <w:caps w:val="0"/>
          <w:color w:val="auto"/>
          <w:spacing w:val="0"/>
          <w:sz w:val="24"/>
          <w:szCs w:val="24"/>
          <w:highlight w:val="none"/>
          <w:lang w:val="en-US" w:eastAsia="zh-CN" w:bidi="ar-SA"/>
        </w:rPr>
        <w:t>1、养护服务期：</w:t>
      </w:r>
      <w:r>
        <w:rPr>
          <w:rStyle w:val="20"/>
          <w:rFonts w:hint="eastAsia" w:ascii="宋体" w:hAnsi="宋体" w:cs="宋体"/>
          <w:b w:val="0"/>
          <w:i w:val="0"/>
          <w:caps w:val="0"/>
          <w:color w:val="auto"/>
          <w:spacing w:val="0"/>
          <w:sz w:val="24"/>
          <w:szCs w:val="24"/>
          <w:highlight w:val="none"/>
          <w:lang w:val="en-US" w:eastAsia="zh-CN" w:bidi="ar-SA"/>
        </w:rPr>
        <w:t>18个月</w:t>
      </w:r>
      <w:r>
        <w:rPr>
          <w:rStyle w:val="20"/>
          <w:rFonts w:hint="eastAsia" w:ascii="宋体" w:hAnsi="宋体" w:eastAsia="宋体" w:cs="宋体"/>
          <w:b w:val="0"/>
          <w:i w:val="0"/>
          <w:caps w:val="0"/>
          <w:color w:val="auto"/>
          <w:spacing w:val="0"/>
          <w:sz w:val="24"/>
          <w:szCs w:val="24"/>
          <w:highlight w:val="none"/>
          <w:lang w:val="en-US" w:eastAsia="zh-CN" w:bidi="ar-SA"/>
        </w:rPr>
        <w:t>。</w:t>
      </w:r>
    </w:p>
    <w:p w14:paraId="4E7E3A5C">
      <w:pPr>
        <w:keepNext w:val="0"/>
        <w:keepLines w:val="0"/>
        <w:pageBreakBefore w:val="0"/>
        <w:widowControl w:val="0"/>
        <w:numPr>
          <w:ilvl w:val="0"/>
          <w:numId w:val="0"/>
        </w:numPr>
        <w:spacing w:before="0" w:beforeAutospacing="0" w:after="0" w:afterAutospacing="0" w:line="360" w:lineRule="auto"/>
        <w:ind w:firstLine="480"/>
        <w:jc w:val="left"/>
        <w:rPr>
          <w:rStyle w:val="20"/>
          <w:rFonts w:hint="eastAsia" w:ascii="宋体" w:hAnsi="宋体" w:cs="宋体"/>
          <w:b w:val="0"/>
          <w:i w:val="0"/>
          <w:caps w:val="0"/>
          <w:color w:val="auto"/>
          <w:spacing w:val="0"/>
          <w:sz w:val="24"/>
          <w:szCs w:val="24"/>
          <w:highlight w:val="none"/>
          <w:lang w:val="en-US" w:eastAsia="zh-CN" w:bidi="ar-SA"/>
        </w:rPr>
      </w:pPr>
      <w:r>
        <w:rPr>
          <w:rStyle w:val="20"/>
          <w:rFonts w:hint="eastAsia" w:ascii="宋体" w:hAnsi="宋体" w:eastAsia="宋体" w:cs="宋体"/>
          <w:b w:val="0"/>
          <w:i w:val="0"/>
          <w:caps w:val="0"/>
          <w:color w:val="auto"/>
          <w:spacing w:val="0"/>
          <w:sz w:val="24"/>
          <w:szCs w:val="24"/>
          <w:highlight w:val="none"/>
          <w:lang w:val="en-US" w:eastAsia="zh-CN" w:bidi="ar-SA"/>
        </w:rPr>
        <w:t>2、项目养护范围及面积：</w:t>
      </w:r>
      <w:r>
        <w:rPr>
          <w:rStyle w:val="20"/>
          <w:rFonts w:hint="eastAsia" w:ascii="宋体" w:hAnsi="宋体" w:cs="宋体"/>
          <w:b w:val="0"/>
          <w:i w:val="0"/>
          <w:caps w:val="0"/>
          <w:color w:val="auto"/>
          <w:spacing w:val="0"/>
          <w:sz w:val="24"/>
          <w:szCs w:val="24"/>
          <w:highlight w:val="none"/>
          <w:lang w:val="en-US" w:eastAsia="zh-CN" w:bidi="ar-SA"/>
        </w:rPr>
        <w:t xml:space="preserve">     </w:t>
      </w:r>
    </w:p>
    <w:p w14:paraId="5C2216F2">
      <w:pPr>
        <w:keepNext w:val="0"/>
        <w:keepLines w:val="0"/>
        <w:pageBreakBefore w:val="0"/>
        <w:widowControl w:val="0"/>
        <w:numPr>
          <w:ilvl w:val="0"/>
          <w:numId w:val="0"/>
        </w:numPr>
        <w:spacing w:before="0" w:beforeAutospacing="0" w:after="0" w:afterAutospacing="0" w:line="360" w:lineRule="auto"/>
        <w:ind w:firstLine="480"/>
        <w:jc w:val="left"/>
        <w:rPr>
          <w:rStyle w:val="20"/>
          <w:rFonts w:hint="eastAsia" w:ascii="宋体" w:hAnsi="宋体" w:eastAsia="宋体" w:cs="宋体"/>
          <w:b w:val="0"/>
          <w:i w:val="0"/>
          <w:caps w:val="0"/>
          <w:color w:val="auto"/>
          <w:spacing w:val="0"/>
          <w:sz w:val="24"/>
          <w:szCs w:val="24"/>
          <w:highlight w:val="none"/>
          <w:lang w:val="en-US" w:eastAsia="zh-CN" w:bidi="ar-SA"/>
        </w:rPr>
      </w:pPr>
      <w:r>
        <w:rPr>
          <w:rStyle w:val="20"/>
          <w:rFonts w:hint="eastAsia" w:ascii="宋体" w:hAnsi="宋体" w:eastAsia="宋体" w:cs="宋体"/>
          <w:b w:val="0"/>
          <w:i w:val="0"/>
          <w:caps w:val="0"/>
          <w:color w:val="auto"/>
          <w:spacing w:val="0"/>
          <w:sz w:val="24"/>
          <w:szCs w:val="24"/>
          <w:highlight w:val="none"/>
          <w:lang w:val="en-US" w:eastAsia="zh-CN" w:bidi="ar-SA"/>
        </w:rPr>
        <w:t>和平大道(经开区界至和平桥)183476平方米，香樟:1445棵</w:t>
      </w:r>
      <w:r>
        <w:rPr>
          <w:rStyle w:val="20"/>
          <w:rFonts w:hint="eastAsia" w:ascii="宋体" w:hAnsi="宋体" w:cs="宋体"/>
          <w:b w:val="0"/>
          <w:i w:val="0"/>
          <w:caps w:val="0"/>
          <w:color w:val="auto"/>
          <w:spacing w:val="0"/>
          <w:sz w:val="24"/>
          <w:szCs w:val="24"/>
          <w:highlight w:val="none"/>
          <w:lang w:val="en-US" w:eastAsia="zh-CN" w:bidi="ar-SA"/>
        </w:rPr>
        <w:t>；</w:t>
      </w:r>
      <w:r>
        <w:rPr>
          <w:rStyle w:val="20"/>
          <w:rFonts w:hint="eastAsia" w:ascii="宋体" w:hAnsi="宋体" w:eastAsia="宋体" w:cs="宋体"/>
          <w:b w:val="0"/>
          <w:i w:val="0"/>
          <w:caps w:val="0"/>
          <w:color w:val="auto"/>
          <w:spacing w:val="0"/>
          <w:sz w:val="24"/>
          <w:szCs w:val="24"/>
          <w:highlight w:val="none"/>
          <w:lang w:val="en-US" w:eastAsia="zh-CN" w:bidi="ar-SA"/>
        </w:rPr>
        <w:t>黄山公园66000平方米；高速两侧 (云龙区段) 绿化带 700000平方米；机场路(潘塘高速至铜山界) 两侧绿化 260000平方米</w:t>
      </w:r>
      <w:r>
        <w:rPr>
          <w:rStyle w:val="20"/>
          <w:rFonts w:hint="eastAsia" w:ascii="宋体" w:hAnsi="宋体" w:cs="宋体"/>
          <w:b w:val="0"/>
          <w:i w:val="0"/>
          <w:caps w:val="0"/>
          <w:color w:val="auto"/>
          <w:spacing w:val="0"/>
          <w:sz w:val="24"/>
          <w:szCs w:val="24"/>
          <w:highlight w:val="none"/>
          <w:lang w:val="en-US" w:eastAsia="zh-CN" w:bidi="ar-SA"/>
        </w:rPr>
        <w:t>。</w:t>
      </w:r>
      <w:r>
        <w:rPr>
          <w:rStyle w:val="20"/>
          <w:rFonts w:hint="eastAsia" w:ascii="宋体" w:hAnsi="宋体" w:eastAsia="宋体" w:cs="宋体"/>
          <w:b w:val="0"/>
          <w:i w:val="0"/>
          <w:caps w:val="0"/>
          <w:color w:val="auto"/>
          <w:spacing w:val="0"/>
          <w:sz w:val="24"/>
          <w:szCs w:val="24"/>
          <w:highlight w:val="none"/>
          <w:lang w:val="en-US" w:eastAsia="zh-CN" w:bidi="ar-SA"/>
        </w:rPr>
        <w:t>总计：绿地面积:1209476平方米，香樟:1445棵。</w:t>
      </w:r>
    </w:p>
    <w:p w14:paraId="0621FD9C">
      <w:pPr>
        <w:keepNext w:val="0"/>
        <w:keepLines w:val="0"/>
        <w:pageBreakBefore w:val="0"/>
        <w:widowControl w:val="0"/>
        <w:numPr>
          <w:ilvl w:val="0"/>
          <w:numId w:val="0"/>
        </w:numPr>
        <w:spacing w:before="0" w:beforeAutospacing="0" w:after="0" w:afterAutospacing="0" w:line="360" w:lineRule="auto"/>
        <w:ind w:firstLine="480"/>
        <w:jc w:val="left"/>
        <w:rPr>
          <w:rStyle w:val="20"/>
          <w:rFonts w:hint="eastAsia" w:ascii="宋体" w:hAnsi="宋体" w:eastAsia="宋体" w:cs="宋体"/>
          <w:b w:val="0"/>
          <w:i w:val="0"/>
          <w:caps w:val="0"/>
          <w:color w:val="auto"/>
          <w:spacing w:val="0"/>
          <w:sz w:val="24"/>
          <w:szCs w:val="24"/>
          <w:highlight w:val="none"/>
          <w:lang w:val="en-US" w:eastAsia="zh-CN" w:bidi="ar-SA"/>
        </w:rPr>
      </w:pPr>
      <w:r>
        <w:rPr>
          <w:rStyle w:val="20"/>
          <w:rFonts w:hint="eastAsia" w:ascii="宋体" w:hAnsi="宋体" w:eastAsia="宋体" w:cs="宋体"/>
          <w:b w:val="0"/>
          <w:i w:val="0"/>
          <w:caps w:val="0"/>
          <w:color w:val="auto"/>
          <w:spacing w:val="0"/>
          <w:sz w:val="24"/>
          <w:szCs w:val="24"/>
          <w:highlight w:val="none"/>
          <w:lang w:val="en-US" w:eastAsia="zh-CN" w:bidi="ar-SA"/>
        </w:rPr>
        <w:t>3、养护内容：</w:t>
      </w:r>
    </w:p>
    <w:p w14:paraId="4A7E5073">
      <w:pPr>
        <w:keepNext w:val="0"/>
        <w:keepLines w:val="0"/>
        <w:pageBreakBefore w:val="0"/>
        <w:widowControl w:val="0"/>
        <w:numPr>
          <w:ilvl w:val="0"/>
          <w:numId w:val="0"/>
        </w:numPr>
        <w:spacing w:before="0" w:beforeAutospacing="0" w:after="0" w:afterAutospacing="0" w:line="360" w:lineRule="auto"/>
        <w:ind w:firstLine="480"/>
        <w:jc w:val="left"/>
        <w:rPr>
          <w:rStyle w:val="20"/>
          <w:rFonts w:hint="eastAsia" w:ascii="宋体" w:hAnsi="宋体" w:eastAsia="宋体" w:cs="宋体"/>
          <w:b w:val="0"/>
          <w:i w:val="0"/>
          <w:caps w:val="0"/>
          <w:color w:val="auto"/>
          <w:spacing w:val="0"/>
          <w:sz w:val="24"/>
          <w:szCs w:val="24"/>
          <w:highlight w:val="none"/>
          <w:lang w:val="en-US" w:eastAsia="zh-CN" w:bidi="ar-SA"/>
        </w:rPr>
      </w:pPr>
      <w:r>
        <w:rPr>
          <w:rStyle w:val="20"/>
          <w:rFonts w:hint="eastAsia" w:ascii="宋体" w:hAnsi="宋体" w:eastAsia="宋体" w:cs="宋体"/>
          <w:b w:val="0"/>
          <w:i w:val="0"/>
          <w:caps w:val="0"/>
          <w:color w:val="auto"/>
          <w:spacing w:val="0"/>
          <w:sz w:val="24"/>
          <w:szCs w:val="24"/>
          <w:highlight w:val="none"/>
          <w:lang w:val="en-US" w:eastAsia="zh-CN" w:bidi="ar-SA"/>
        </w:rPr>
        <w:t>包括但不限于修剪、除草、施肥、浇水、抹芽、除萌、</w:t>
      </w:r>
      <w:r>
        <w:rPr>
          <w:rStyle w:val="20"/>
          <w:rFonts w:hint="eastAsia" w:ascii="宋体" w:hAnsi="宋体" w:cs="宋体"/>
          <w:b w:val="0"/>
          <w:i w:val="0"/>
          <w:caps w:val="0"/>
          <w:color w:val="auto"/>
          <w:spacing w:val="0"/>
          <w:sz w:val="24"/>
          <w:szCs w:val="24"/>
          <w:highlight w:val="none"/>
          <w:lang w:val="en-US" w:eastAsia="zh-CN" w:bidi="ar-SA"/>
        </w:rPr>
        <w:t>病虫害防治</w:t>
      </w:r>
      <w:r>
        <w:rPr>
          <w:rStyle w:val="20"/>
          <w:rFonts w:hint="eastAsia" w:ascii="宋体" w:hAnsi="宋体" w:eastAsia="宋体" w:cs="宋体"/>
          <w:b w:val="0"/>
          <w:i w:val="0"/>
          <w:caps w:val="0"/>
          <w:color w:val="auto"/>
          <w:spacing w:val="0"/>
          <w:sz w:val="24"/>
          <w:szCs w:val="24"/>
          <w:highlight w:val="none"/>
          <w:lang w:val="en-US" w:eastAsia="zh-CN" w:bidi="ar-SA"/>
        </w:rPr>
        <w:t>、草坪修剪、</w:t>
      </w:r>
      <w:r>
        <w:rPr>
          <w:rStyle w:val="20"/>
          <w:rFonts w:hint="eastAsia" w:ascii="宋体" w:hAnsi="宋体" w:cs="宋体"/>
          <w:b w:val="0"/>
          <w:i w:val="0"/>
          <w:caps w:val="0"/>
          <w:color w:val="auto"/>
          <w:spacing w:val="0"/>
          <w:sz w:val="24"/>
          <w:szCs w:val="24"/>
          <w:highlight w:val="none"/>
          <w:lang w:val="en-US" w:eastAsia="zh-CN" w:bidi="ar-SA"/>
        </w:rPr>
        <w:t>苗木补植、</w:t>
      </w:r>
      <w:r>
        <w:rPr>
          <w:rStyle w:val="20"/>
          <w:rFonts w:hint="eastAsia" w:ascii="宋体" w:hAnsi="宋体" w:eastAsia="宋体" w:cs="宋体"/>
          <w:b w:val="0"/>
          <w:i w:val="0"/>
          <w:caps w:val="0"/>
          <w:color w:val="auto"/>
          <w:spacing w:val="0"/>
          <w:sz w:val="24"/>
          <w:szCs w:val="24"/>
          <w:highlight w:val="none"/>
          <w:lang w:val="en-US" w:eastAsia="zh-CN" w:bidi="ar-SA"/>
        </w:rPr>
        <w:t>防寒、防涝、防旱、防火、卫生保洁、秩序管理、设施设备维修保养、垃圾清理清运等。</w:t>
      </w:r>
    </w:p>
    <w:p w14:paraId="6B868292">
      <w:pPr>
        <w:pageBreakBefore w:val="0"/>
        <w:spacing w:line="360" w:lineRule="auto"/>
        <w:ind w:right="0"/>
        <w:jc w:val="both"/>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服务</w:t>
      </w:r>
      <w:r>
        <w:rPr>
          <w:rFonts w:hint="eastAsia" w:ascii="宋体" w:hAnsi="宋体" w:eastAsia="宋体" w:cs="宋体"/>
          <w:b/>
          <w:bCs/>
          <w:color w:val="000000"/>
          <w:sz w:val="24"/>
          <w:szCs w:val="24"/>
          <w:highlight w:val="none"/>
        </w:rPr>
        <w:t>要求：</w:t>
      </w:r>
    </w:p>
    <w:p w14:paraId="09FF2467">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（一）园艺部分</w:t>
      </w:r>
    </w:p>
    <w:p w14:paraId="7A8E85BE">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1、树木</w:t>
      </w:r>
    </w:p>
    <w:p w14:paraId="4757359F">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1.1生长旺盛，树干挺直，倾斜度不超过10度，树冠圆整，主侧枝分枝均匀，内膛通风透光；行道树分枝点统一、整齐；花灌木修剪及时合理。</w:t>
      </w:r>
    </w:p>
    <w:p w14:paraId="48D6AB3E">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1.2叶色正常，无卷叶、黄叶（生长季节），无病虫害；枝干健壮，无枯死枝，无蛀干害虫危害。</w:t>
      </w:r>
    </w:p>
    <w:p w14:paraId="1162F252">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1.3无死树枯枝，缺株率在2%以下（含2%）。</w:t>
      </w:r>
    </w:p>
    <w:p w14:paraId="21B712DF">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1.4树干伤口及时处理，树洞及时修补。</w:t>
      </w:r>
    </w:p>
    <w:p w14:paraId="1ED5C9E7">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1.5树池规格一致，池缘整齐，完好无损。</w:t>
      </w:r>
    </w:p>
    <w:p w14:paraId="58731A05">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1.6涂白均匀，上口平齐，距地面1.2米。</w:t>
      </w:r>
    </w:p>
    <w:p w14:paraId="35916C7C">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1.7苗木扶正，要求对道路及绿地内歪斜苗木进行及时扶正。</w:t>
      </w:r>
    </w:p>
    <w:p w14:paraId="61C53D57">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1.8生长季节连续20天无降雨需及时浇水或喷雾除尘，喷雾除尘时需结合使用植物清洗剂，提高植物鲜洁度。</w:t>
      </w:r>
    </w:p>
    <w:p w14:paraId="7CCCE18B">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1.9、5-10月每月修剪（或剥芽）二次，冬天整形修剪一次。</w:t>
      </w:r>
    </w:p>
    <w:p w14:paraId="239520C5">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 每年施厩肥一次。</w:t>
      </w:r>
    </w:p>
    <w:p w14:paraId="3DED2941">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2、草坪、地被</w:t>
      </w:r>
    </w:p>
    <w:p w14:paraId="7E514637">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2.1生长旺盛，色泽正常，覆盖率不低于95%，单块空秃面积不超过0.1平方米（0.3m*0.3m）。草坪绿色期：冷季型草坪不得少于300天，暖季型草坪不得少于210天。</w:t>
      </w:r>
    </w:p>
    <w:p w14:paraId="3729B908">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2.2、5-10月每半月清除杂草一遍，冬季前再清除一遍，确保绿地内基本无杂草，杂草率不超过10%</w:t>
      </w:r>
    </w:p>
    <w:p w14:paraId="5AE2132B">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修剪及时，4月修剪一次，5-10月份冷季型草坪一月修剪两次，暖季型一个月一次，11月上旬一次。修剪高度符合要求，净高度冷季型草坪冬季不超过8cm，夏季不超过10cm，暖季型草坪夏季不超过8cm，冬季尽量低剪。</w:t>
      </w:r>
    </w:p>
    <w:p w14:paraId="13CD293A">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2.4、地形平整，无坑，不积水。</w:t>
      </w:r>
    </w:p>
    <w:p w14:paraId="6BB12D34">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2.5、草坪与模纹及苗木树穴之间界限清晰，切边线条流畅。</w:t>
      </w:r>
    </w:p>
    <w:p w14:paraId="2EA9DBB9">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2.6、生长季节连续15天无降雨需及时浇水，确保无旱情；进入冬季前全面灌冬水一遍。</w:t>
      </w:r>
    </w:p>
    <w:p w14:paraId="28C0C3FC">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2.7、每年施尿素、复合肥等4次以上，确保长势良好。</w:t>
      </w:r>
    </w:p>
    <w:p w14:paraId="373D0BA3">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3、绿篱色块及球类</w:t>
      </w:r>
    </w:p>
    <w:p w14:paraId="5304C447">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3.1生长旺盛，枝条茂密，色泽正常。</w:t>
      </w:r>
    </w:p>
    <w:p w14:paraId="6A384030">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3.2、“五一”前全面修剪一次，5—1 0月生长旺季随时修剪，新生萌蘖枝条不得高于2cm；修剪线条整齐划一，按设计要求严格控制高度，同一地段球类的形状、规格一致。</w:t>
      </w:r>
    </w:p>
    <w:p w14:paraId="7C5F9AFD">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3.3、完整无缺，缺株空秃应及时补齐。</w:t>
      </w:r>
    </w:p>
    <w:p w14:paraId="18351F6B">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3.4、生长季节连续15天无降雨需及时浇水，并结合使用植物清洗剂，冲刷除尘一次，确保植物无旱情并保持清洁度；进入冬季前全面灌冬水一遍。</w:t>
      </w:r>
    </w:p>
    <w:p w14:paraId="4857CD9A">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3.5、冬、春季及时清理越冬杂草，5—10月杂草生长旺季，随时清除，确保无明显杂草；冬季前再彻底清除一遍。</w:t>
      </w:r>
    </w:p>
    <w:p w14:paraId="750598C3">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3.6、生长季节每月叶面施肥一次；绿篱、色块、球类每年施厩肥二次，确保生长旺盛。</w:t>
      </w:r>
    </w:p>
    <w:p w14:paraId="536FC0D5">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(二)病虫害防治部分</w:t>
      </w:r>
    </w:p>
    <w:p w14:paraId="70E31E49">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病虫害控制在不影响观赏效果的程度内，防治费用由乙方承担。</w:t>
      </w:r>
    </w:p>
    <w:p w14:paraId="10962647">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1、树木基本无明显的病虫害危害迹象，危害率在8％以下。</w:t>
      </w:r>
    </w:p>
    <w:p w14:paraId="511711DC">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2、草坪、地被类地上地下无明显病虫危害迹象，危害率8％以下。</w:t>
      </w:r>
    </w:p>
    <w:p w14:paraId="2DBAD5A3">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3、花坛内无严重地上地下无明显病虫危害现象，危害率8％以下。</w:t>
      </w:r>
    </w:p>
    <w:p w14:paraId="3DA43FB3">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4、绿篱色块及球类基本无明显病虫危害迹象，危害率5％以下。</w:t>
      </w:r>
    </w:p>
    <w:p w14:paraId="27894166">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(三)其他</w:t>
      </w:r>
    </w:p>
    <w:p w14:paraId="0493FBDD">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1、园林设施完好无损，广场、体育设施、卫生间等完好，无乱贴乱画现象。</w:t>
      </w:r>
    </w:p>
    <w:p w14:paraId="2BFE9B4B">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2、绿化生产垃圾能及时清运。</w:t>
      </w:r>
    </w:p>
    <w:p w14:paraId="19082CFC">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3、秩序管理绿地内无设摊摆卖，无拴挂，无践踏绿地和其他破坏绿化的行为。</w:t>
      </w:r>
    </w:p>
    <w:p w14:paraId="1373CD7A">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4、台账记录详细如实。</w:t>
      </w:r>
    </w:p>
    <w:p w14:paraId="5F7CD03D">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5、确保甲方在上级各种检查以及各类创建评比活动中不失分，做到批评投诉少。</w:t>
      </w:r>
    </w:p>
    <w:p w14:paraId="459F2347">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6、履行合同承诺，每分区绿地内有固定养护人员进行日常养护。</w:t>
      </w:r>
    </w:p>
    <w:p w14:paraId="25F10362">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7、养护单位须配备必要的种植、运输工具，负责养护范围内的树木修补、种植、迁移工作。</w:t>
      </w:r>
    </w:p>
    <w:p w14:paraId="08B492C8">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、负责养护范围内的盆花、盆景及水生植物的修剪、施肥、除草、浇水等日常养护工作。</w:t>
      </w:r>
    </w:p>
    <w:p w14:paraId="5CC17BEB">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、按要求每月将苗木生长情况及日常养护计划，人员安排计划上报业主。</w:t>
      </w:r>
    </w:p>
    <w:p w14:paraId="38818214">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、遭遇市政工程、重大活动时，乙方应派人员做好绿地的维护管理工作，保证绿化及设施完好。</w:t>
      </w:r>
    </w:p>
    <w:p w14:paraId="3463A246">
      <w:pPr>
        <w:pageBreakBefore w:val="0"/>
        <w:spacing w:line="360" w:lineRule="auto"/>
        <w:ind w:right="0" w:firstLine="480"/>
        <w:jc w:val="both"/>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、及时缴纳水费电费，及时修复各类设备设施。</w:t>
      </w:r>
    </w:p>
    <w:p w14:paraId="2283C992">
      <w:pPr>
        <w:pageBreakBefore w:val="0"/>
        <w:spacing w:line="360" w:lineRule="auto"/>
        <w:ind w:right="0"/>
        <w:jc w:val="both"/>
        <w:outlineLvl w:val="9"/>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w:t>
      </w:r>
      <w:r>
        <w:rPr>
          <w:rFonts w:hint="eastAsia" w:ascii="宋体" w:hAnsi="宋体" w:eastAsia="宋体" w:cs="宋体"/>
          <w:b/>
          <w:bCs/>
          <w:sz w:val="24"/>
          <w:szCs w:val="24"/>
          <w:highlight w:val="none"/>
          <w:lang w:val="en-US" w:eastAsia="zh-CN"/>
        </w:rPr>
        <w:t>工作人员配备要求和养护机械设备配置要求</w:t>
      </w:r>
      <w:r>
        <w:rPr>
          <w:rFonts w:hint="eastAsia" w:ascii="宋体" w:hAnsi="宋体" w:eastAsia="宋体" w:cs="宋体"/>
          <w:b/>
          <w:bCs/>
          <w:color w:val="000000"/>
          <w:sz w:val="24"/>
          <w:szCs w:val="24"/>
          <w:highlight w:val="none"/>
        </w:rPr>
        <w:t>（本条为实质性响应指标，</w:t>
      </w:r>
      <w:r>
        <w:rPr>
          <w:rFonts w:hint="eastAsia" w:ascii="宋体" w:hAnsi="宋体" w:eastAsia="宋体" w:cs="宋体"/>
          <w:b/>
          <w:bCs/>
          <w:sz w:val="24"/>
          <w:szCs w:val="24"/>
          <w:highlight w:val="none"/>
          <w:lang w:val="en-US" w:eastAsia="zh-CN"/>
        </w:rPr>
        <w:t>如有任何一项不满足或负偏离则视为无效投标</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eastAsia="zh-CN"/>
        </w:rPr>
        <w:t>。</w:t>
      </w:r>
    </w:p>
    <w:p w14:paraId="6E06BB17">
      <w:pPr>
        <w:pageBreakBefore w:val="0"/>
        <w:spacing w:line="360" w:lineRule="auto"/>
        <w:ind w:right="0" w:firstLine="241"/>
        <w:jc w:val="both"/>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一）</w:t>
      </w:r>
      <w:r>
        <w:rPr>
          <w:rFonts w:hint="eastAsia" w:ascii="宋体" w:hAnsi="宋体" w:eastAsia="宋体" w:cs="宋体"/>
          <w:b/>
          <w:bCs/>
          <w:color w:val="000000"/>
          <w:sz w:val="24"/>
          <w:szCs w:val="24"/>
          <w:highlight w:val="none"/>
        </w:rPr>
        <w:t>工作人员配备要求</w:t>
      </w:r>
    </w:p>
    <w:p w14:paraId="43745008">
      <w:pPr>
        <w:pageBreakBefore w:val="0"/>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（1）工作人员年龄符合相关政策要求。</w:t>
      </w:r>
    </w:p>
    <w:p w14:paraId="091FCE84">
      <w:pPr>
        <w:spacing w:line="360" w:lineRule="auto"/>
        <w:ind w:firstLine="482"/>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（2）拟投入本项目的项目负责人不得少于</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人，现场养护管理工人不得少于</w:t>
      </w:r>
      <w:r>
        <w:rPr>
          <w:rFonts w:hint="eastAsia" w:ascii="宋体" w:hAnsi="宋体" w:cs="宋体"/>
          <w:color w:val="000000"/>
          <w:sz w:val="24"/>
          <w:szCs w:val="24"/>
          <w:highlight w:val="none"/>
          <w:lang w:val="en-US" w:eastAsia="zh-CN"/>
        </w:rPr>
        <w:t>44</w:t>
      </w:r>
      <w:r>
        <w:rPr>
          <w:rFonts w:hint="eastAsia" w:ascii="宋体" w:hAnsi="宋体" w:eastAsia="宋体" w:cs="宋体"/>
          <w:color w:val="000000"/>
          <w:sz w:val="24"/>
          <w:szCs w:val="24"/>
          <w:highlight w:val="none"/>
          <w:lang w:val="en-US" w:eastAsia="zh-CN"/>
        </w:rPr>
        <w:t>人。</w:t>
      </w:r>
    </w:p>
    <w:p w14:paraId="766007A2">
      <w:pPr>
        <w:spacing w:line="360" w:lineRule="auto"/>
        <w:ind w:firstLine="482"/>
        <w:rPr>
          <w:rFonts w:hint="eastAsia" w:ascii="宋体" w:hAnsi="宋体" w:cs="宋体"/>
          <w:b/>
          <w:color w:val="000000"/>
          <w:sz w:val="24"/>
          <w:highlight w:val="none"/>
        </w:rPr>
      </w:pPr>
      <w:r>
        <w:rPr>
          <w:rFonts w:hint="eastAsia" w:ascii="宋体" w:hAnsi="宋体" w:cs="宋体"/>
          <w:b/>
          <w:color w:val="000000"/>
          <w:sz w:val="24"/>
          <w:highlight w:val="none"/>
          <w:lang w:val="en-US" w:eastAsia="zh-CN"/>
        </w:rPr>
        <w:t>注：</w:t>
      </w:r>
      <w:r>
        <w:rPr>
          <w:rFonts w:hint="eastAsia" w:ascii="宋体" w:hAnsi="宋体" w:cs="宋体"/>
          <w:b/>
          <w:color w:val="000000"/>
          <w:sz w:val="24"/>
          <w:highlight w:val="none"/>
        </w:rPr>
        <w:t>负责本项目的项目负责人常驻现场并不得同时兼任其他同类项目的项目负责人。</w:t>
      </w:r>
    </w:p>
    <w:p w14:paraId="6417A94E">
      <w:pPr>
        <w:spacing w:line="360" w:lineRule="auto"/>
        <w:ind w:firstLine="482"/>
        <w:rPr>
          <w:rFonts w:hint="eastAsia" w:ascii="宋体" w:hAnsi="宋体" w:cs="宋体"/>
          <w:b/>
          <w:color w:val="000000"/>
          <w:sz w:val="24"/>
          <w:highlight w:val="none"/>
        </w:rPr>
      </w:pPr>
    </w:p>
    <w:p w14:paraId="24BEE0DC">
      <w:pPr>
        <w:pageBreakBefore w:val="0"/>
        <w:spacing w:line="360" w:lineRule="auto"/>
        <w:ind w:right="0" w:firstLine="241"/>
        <w:jc w:val="both"/>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lang w:val="en-US" w:eastAsia="zh-CN"/>
        </w:rPr>
        <w:t>二）</w:t>
      </w:r>
      <w:r>
        <w:rPr>
          <w:rFonts w:hint="eastAsia" w:ascii="宋体" w:hAnsi="宋体" w:eastAsia="宋体" w:cs="宋体"/>
          <w:b/>
          <w:bCs/>
          <w:sz w:val="24"/>
          <w:szCs w:val="24"/>
          <w:highlight w:val="none"/>
          <w:lang w:val="en-US" w:eastAsia="zh-CN"/>
        </w:rPr>
        <w:t>养护机械</w:t>
      </w:r>
      <w:r>
        <w:rPr>
          <w:rFonts w:hint="eastAsia" w:ascii="宋体" w:hAnsi="宋体" w:eastAsia="宋体" w:cs="宋体"/>
          <w:b/>
          <w:bCs/>
          <w:color w:val="000000"/>
          <w:sz w:val="24"/>
          <w:szCs w:val="24"/>
          <w:highlight w:val="none"/>
        </w:rPr>
        <w:t>设备配置要求</w:t>
      </w:r>
    </w:p>
    <w:tbl>
      <w:tblPr>
        <w:tblStyle w:val="3"/>
        <w:tblW w:w="8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2"/>
        <w:gridCol w:w="1290"/>
        <w:gridCol w:w="911"/>
        <w:gridCol w:w="967"/>
        <w:gridCol w:w="1489"/>
        <w:gridCol w:w="1674"/>
        <w:gridCol w:w="1014"/>
      </w:tblGrid>
      <w:tr w14:paraId="7EBE4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7" w:hRule="exact"/>
          <w:jc w:val="center"/>
        </w:trPr>
        <w:tc>
          <w:tcPr>
            <w:tcW w:w="1522" w:type="dxa"/>
            <w:vAlign w:val="center"/>
          </w:tcPr>
          <w:p w14:paraId="4C6D4783">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rPr>
              <w:t>吊车或货车</w:t>
            </w:r>
          </w:p>
        </w:tc>
        <w:tc>
          <w:tcPr>
            <w:tcW w:w="1290" w:type="dxa"/>
            <w:vAlign w:val="center"/>
          </w:tcPr>
          <w:p w14:paraId="758AFEB0">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rPr>
              <w:t>打药、喷药设备</w:t>
            </w:r>
          </w:p>
        </w:tc>
        <w:tc>
          <w:tcPr>
            <w:tcW w:w="911" w:type="dxa"/>
            <w:vAlign w:val="center"/>
          </w:tcPr>
          <w:p w14:paraId="30B3D491">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rPr>
              <w:t>水泵</w:t>
            </w:r>
          </w:p>
        </w:tc>
        <w:tc>
          <w:tcPr>
            <w:tcW w:w="967" w:type="dxa"/>
            <w:vAlign w:val="center"/>
          </w:tcPr>
          <w:p w14:paraId="25723109">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lang w:val="en-US" w:eastAsia="zh-CN" w:bidi="ar-SA"/>
              </w:rPr>
              <w:t>草坪修剪机</w:t>
            </w:r>
          </w:p>
        </w:tc>
        <w:tc>
          <w:tcPr>
            <w:tcW w:w="1489" w:type="dxa"/>
            <w:vAlign w:val="center"/>
          </w:tcPr>
          <w:p w14:paraId="15E62321">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eastAsia="宋体" w:cs="宋体"/>
                <w:bCs/>
                <w:color w:val="000000"/>
                <w:sz w:val="24"/>
                <w:szCs w:val="24"/>
                <w:highlight w:val="none"/>
              </w:rPr>
              <w:t>绿篱修剪机</w:t>
            </w:r>
          </w:p>
        </w:tc>
        <w:tc>
          <w:tcPr>
            <w:tcW w:w="1674" w:type="dxa"/>
            <w:vAlign w:val="center"/>
          </w:tcPr>
          <w:p w14:paraId="581615C2">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其他小型园林机具</w:t>
            </w:r>
          </w:p>
        </w:tc>
        <w:tc>
          <w:tcPr>
            <w:tcW w:w="1014" w:type="dxa"/>
            <w:vAlign w:val="center"/>
          </w:tcPr>
          <w:p w14:paraId="1A9C7E8D">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道路</w:t>
            </w:r>
            <w:r>
              <w:rPr>
                <w:rFonts w:hint="eastAsia" w:ascii="宋体" w:hAnsi="宋体" w:cs="宋体"/>
                <w:bCs/>
                <w:color w:val="000000"/>
                <w:sz w:val="24"/>
                <w:szCs w:val="24"/>
                <w:highlight w:val="none"/>
                <w:lang w:val="en-US" w:eastAsia="zh-CN"/>
              </w:rPr>
              <w:t>洒水车</w:t>
            </w:r>
          </w:p>
        </w:tc>
      </w:tr>
      <w:tr w14:paraId="64854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 w:hRule="exact"/>
          <w:jc w:val="center"/>
        </w:trPr>
        <w:tc>
          <w:tcPr>
            <w:tcW w:w="1522" w:type="dxa"/>
            <w:vAlign w:val="center"/>
          </w:tcPr>
          <w:p w14:paraId="39F28C69">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rPr>
              <w:t>辆</w:t>
            </w:r>
          </w:p>
        </w:tc>
        <w:tc>
          <w:tcPr>
            <w:tcW w:w="1290" w:type="dxa"/>
            <w:vAlign w:val="center"/>
          </w:tcPr>
          <w:p w14:paraId="5C2151A8">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台</w:t>
            </w:r>
          </w:p>
        </w:tc>
        <w:tc>
          <w:tcPr>
            <w:tcW w:w="911" w:type="dxa"/>
            <w:vAlign w:val="center"/>
          </w:tcPr>
          <w:p w14:paraId="3E7D12DB">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rPr>
              <w:t>8</w:t>
            </w:r>
            <w:r>
              <w:rPr>
                <w:rFonts w:hint="eastAsia" w:ascii="宋体" w:hAnsi="宋体" w:eastAsia="宋体" w:cs="宋体"/>
                <w:bCs/>
                <w:color w:val="000000"/>
                <w:sz w:val="24"/>
                <w:szCs w:val="24"/>
                <w:highlight w:val="none"/>
              </w:rPr>
              <w:t>台</w:t>
            </w:r>
          </w:p>
        </w:tc>
        <w:tc>
          <w:tcPr>
            <w:tcW w:w="967" w:type="dxa"/>
            <w:vAlign w:val="center"/>
          </w:tcPr>
          <w:p w14:paraId="5CA2307B">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bidi="ar-SA"/>
              </w:rPr>
              <w:t>5</w:t>
            </w:r>
            <w:r>
              <w:rPr>
                <w:rFonts w:hint="eastAsia" w:ascii="宋体" w:hAnsi="宋体" w:eastAsia="宋体" w:cs="宋体"/>
                <w:bCs/>
                <w:color w:val="000000"/>
                <w:sz w:val="24"/>
                <w:szCs w:val="24"/>
                <w:highlight w:val="none"/>
                <w:lang w:val="en-US" w:eastAsia="zh-CN" w:bidi="ar-SA"/>
              </w:rPr>
              <w:t>台</w:t>
            </w:r>
          </w:p>
        </w:tc>
        <w:tc>
          <w:tcPr>
            <w:tcW w:w="1489" w:type="dxa"/>
            <w:vAlign w:val="center"/>
          </w:tcPr>
          <w:p w14:paraId="7ECCD967">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bidi="ar-SA"/>
              </w:rPr>
            </w:pPr>
            <w:r>
              <w:rPr>
                <w:rFonts w:hint="eastAsia" w:ascii="宋体" w:hAnsi="宋体" w:cs="宋体"/>
                <w:bCs/>
                <w:color w:val="000000"/>
                <w:sz w:val="24"/>
                <w:szCs w:val="24"/>
                <w:highlight w:val="none"/>
                <w:lang w:val="en-US" w:eastAsia="zh-CN"/>
              </w:rPr>
              <w:t>15</w:t>
            </w:r>
            <w:r>
              <w:rPr>
                <w:rFonts w:hint="eastAsia" w:ascii="宋体" w:hAnsi="宋体" w:eastAsia="宋体" w:cs="宋体"/>
                <w:bCs/>
                <w:color w:val="000000"/>
                <w:sz w:val="24"/>
                <w:szCs w:val="24"/>
                <w:highlight w:val="none"/>
              </w:rPr>
              <w:t>台</w:t>
            </w:r>
          </w:p>
        </w:tc>
        <w:tc>
          <w:tcPr>
            <w:tcW w:w="1674" w:type="dxa"/>
            <w:vAlign w:val="center"/>
          </w:tcPr>
          <w:p w14:paraId="06776C06">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10</w:t>
            </w:r>
            <w:r>
              <w:rPr>
                <w:rFonts w:hint="eastAsia" w:ascii="宋体" w:hAnsi="宋体" w:eastAsia="宋体" w:cs="宋体"/>
                <w:bCs/>
                <w:color w:val="000000"/>
                <w:sz w:val="24"/>
                <w:szCs w:val="24"/>
                <w:highlight w:val="none"/>
                <w:lang w:val="en-US" w:eastAsia="zh-CN"/>
              </w:rPr>
              <w:t>台</w:t>
            </w:r>
          </w:p>
        </w:tc>
        <w:tc>
          <w:tcPr>
            <w:tcW w:w="1014" w:type="dxa"/>
            <w:vAlign w:val="center"/>
          </w:tcPr>
          <w:p w14:paraId="07330F28">
            <w:pPr>
              <w:keepNext w:val="0"/>
              <w:keepLines w:val="0"/>
              <w:pageBreakBefore w:val="0"/>
              <w:widowControl w:val="0"/>
              <w:spacing w:line="360" w:lineRule="auto"/>
              <w:ind w:right="0" w:firstLine="0"/>
              <w:jc w:val="center"/>
              <w:outlineLvl w:val="9"/>
              <w:rPr>
                <w:rFonts w:hint="eastAsia" w:ascii="宋体" w:hAnsi="宋体" w:eastAsia="宋体" w:cs="宋体"/>
                <w:bCs/>
                <w:color w:val="000000"/>
                <w:sz w:val="24"/>
                <w:szCs w:val="24"/>
                <w:highlight w:val="none"/>
              </w:rPr>
            </w:pPr>
            <w:r>
              <w:rPr>
                <w:rFonts w:hint="eastAsia" w:ascii="宋体" w:hAnsi="宋体" w:cs="宋体"/>
                <w:bCs/>
                <w:color w:val="000000"/>
                <w:sz w:val="24"/>
                <w:szCs w:val="24"/>
                <w:highlight w:val="none"/>
                <w:lang w:val="en-US" w:eastAsia="zh-CN"/>
              </w:rPr>
              <w:t>1</w:t>
            </w:r>
            <w:r>
              <w:rPr>
                <w:rFonts w:hint="eastAsia" w:ascii="宋体" w:hAnsi="宋体" w:eastAsia="宋体" w:cs="宋体"/>
                <w:bCs/>
                <w:color w:val="000000"/>
                <w:sz w:val="24"/>
                <w:szCs w:val="24"/>
                <w:highlight w:val="none"/>
                <w:lang w:val="en-US" w:eastAsia="zh-CN"/>
              </w:rPr>
              <w:t>辆</w:t>
            </w:r>
          </w:p>
        </w:tc>
      </w:tr>
    </w:tbl>
    <w:p w14:paraId="4F49B480">
      <w:pPr>
        <w:pageBreakBefore w:val="0"/>
        <w:spacing w:line="360" w:lineRule="auto"/>
        <w:ind w:right="0"/>
        <w:jc w:val="both"/>
        <w:outlineLvl w:val="9"/>
        <w:rPr>
          <w:rFonts w:hint="eastAsia" w:ascii="宋体" w:hAnsi="宋体" w:eastAsia="宋体" w:cs="宋体"/>
          <w:b/>
          <w:bCs/>
          <w:color w:val="000000"/>
          <w:sz w:val="24"/>
          <w:szCs w:val="24"/>
          <w:highlight w:val="none"/>
          <w:lang w:val="en-US" w:eastAsia="zh-CN"/>
        </w:rPr>
      </w:pPr>
    </w:p>
    <w:p w14:paraId="14623E62">
      <w:pPr>
        <w:pageBreakBefore w:val="0"/>
        <w:spacing w:line="360" w:lineRule="auto"/>
        <w:ind w:right="0"/>
        <w:jc w:val="both"/>
        <w:outlineLvl w:val="9"/>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五、</w:t>
      </w:r>
      <w:r>
        <w:rPr>
          <w:rFonts w:hint="eastAsia" w:ascii="宋体" w:hAnsi="宋体" w:cs="宋体"/>
          <w:b/>
          <w:bCs/>
          <w:color w:val="000000"/>
          <w:sz w:val="24"/>
          <w:szCs w:val="24"/>
          <w:highlight w:val="none"/>
          <w:lang w:val="en-US" w:eastAsia="zh-CN"/>
        </w:rPr>
        <w:t>其他</w:t>
      </w:r>
      <w:r>
        <w:rPr>
          <w:rFonts w:hint="eastAsia" w:ascii="宋体" w:hAnsi="宋体" w:eastAsia="宋体" w:cs="宋体"/>
          <w:b/>
          <w:bCs/>
          <w:color w:val="000000"/>
          <w:sz w:val="24"/>
          <w:szCs w:val="24"/>
          <w:highlight w:val="none"/>
          <w:lang w:val="en-US" w:eastAsia="zh-CN"/>
        </w:rPr>
        <w:t>要求</w:t>
      </w:r>
    </w:p>
    <w:p w14:paraId="04917BA4">
      <w:pPr>
        <w:pageBreakBefore w:val="0"/>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1、员工管理：遵纪守法、服从领导；统一着装，仪表整洁；文明用语；定期接受培训。</w:t>
      </w:r>
    </w:p>
    <w:p w14:paraId="254FC4CD">
      <w:pPr>
        <w:pageBreakBefore w:val="0"/>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2、采购人有各种重大活动时，积极做好突击保障任务。</w:t>
      </w:r>
    </w:p>
    <w:p w14:paraId="2832FF6E">
      <w:pPr>
        <w:pageBreakBefore w:val="0"/>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3、供应商必须按国家、省、市法律法规制度，及时、足额给员工缴纳员工社会保险费。若因供应商每月给员工缴纳社会保险费引起的任何劳务纠纷，由中标供应商承担全部责任，与采购人无关。</w:t>
      </w:r>
    </w:p>
    <w:p w14:paraId="010DA0F1">
      <w:pPr>
        <w:pageBreakBefore w:val="0"/>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4、供应商管理不善或操作不当等原因造成事故的，由中标供应商承担责任并负责赔偿，并负责善后处理（产生事故的直接原因以政府部门的鉴定结论为准）。</w:t>
      </w:r>
    </w:p>
    <w:p w14:paraId="663CD746">
      <w:pPr>
        <w:pageBreakBefore w:val="0"/>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5、供应商须加强应急管理，制定各类突发事件应急预案，加强应急演练。需积极完成采购人另行安排的其他工作，如抗洪防汛、清除积雪、整治环境卫生等。</w:t>
      </w:r>
    </w:p>
    <w:p w14:paraId="62AA1A77">
      <w:pPr>
        <w:pageBreakBefore w:val="0"/>
        <w:spacing w:line="360" w:lineRule="auto"/>
        <w:ind w:right="0" w:firstLine="480"/>
        <w:jc w:val="both"/>
        <w:outlineLvl w:val="9"/>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6、所有人员必须遵守采购人的工作纪律要求。</w:t>
      </w:r>
    </w:p>
    <w:p w14:paraId="1F87C3BE">
      <w:pPr>
        <w:numPr>
          <w:ilvl w:val="0"/>
          <w:numId w:val="0"/>
        </w:numPr>
        <w:spacing w:before="0" w:beforeAutospacing="0" w:after="0" w:afterAutospacing="0" w:line="360" w:lineRule="auto"/>
        <w:ind w:firstLine="482"/>
        <w:jc w:val="left"/>
        <w:rPr>
          <w:highlight w:val="none"/>
        </w:rPr>
      </w:pPr>
      <w:r>
        <w:rPr>
          <w:rStyle w:val="20"/>
          <w:rFonts w:hint="eastAsia" w:ascii="宋体" w:hAnsi="宋体" w:cs="宋体"/>
          <w:b/>
          <w:bCs/>
          <w:i w:val="0"/>
          <w:caps w:val="0"/>
          <w:color w:val="auto"/>
          <w:spacing w:val="0"/>
          <w:sz w:val="24"/>
          <w:szCs w:val="24"/>
          <w:highlight w:val="none"/>
          <w:lang w:val="en-US" w:eastAsia="zh-CN" w:bidi="ar-SA"/>
        </w:rPr>
        <w:t>7、</w:t>
      </w:r>
      <w:r>
        <w:rPr>
          <w:rStyle w:val="20"/>
          <w:rFonts w:hint="eastAsia" w:ascii="宋体" w:hAnsi="宋体" w:eastAsia="宋体" w:cs="宋体"/>
          <w:b/>
          <w:bCs/>
          <w:i w:val="0"/>
          <w:caps w:val="0"/>
          <w:color w:val="auto"/>
          <w:spacing w:val="0"/>
          <w:sz w:val="24"/>
          <w:szCs w:val="24"/>
          <w:highlight w:val="none"/>
          <w:lang w:val="en-US" w:eastAsia="zh-CN" w:bidi="ar-SA"/>
        </w:rPr>
        <w:t>其他要求：</w:t>
      </w:r>
      <w:r>
        <w:rPr>
          <w:rFonts w:hint="eastAsia" w:ascii="宋体" w:hAnsi="宋体" w:cs="宋体"/>
          <w:b/>
          <w:bCs/>
          <w:color w:val="000000" w:themeColor="text1"/>
          <w:sz w:val="24"/>
          <w:highlight w:val="none"/>
          <w14:textFill>
            <w14:solidFill>
              <w14:schemeClr w14:val="tx1"/>
            </w14:solidFill>
          </w14:textFill>
        </w:rPr>
        <w:t>见《磋商文件》附件：6、《</w:t>
      </w:r>
      <w:r>
        <w:rPr>
          <w:rFonts w:hint="eastAsia" w:ascii="宋体" w:hAnsi="宋体" w:cs="宋体"/>
          <w:sz w:val="24"/>
          <w:highlight w:val="none"/>
        </w:rPr>
        <w:t>合同草案条款</w:t>
      </w:r>
      <w:r>
        <w:rPr>
          <w:rFonts w:hint="eastAsia" w:ascii="宋体" w:hAnsi="宋体" w:cs="宋体"/>
          <w:b/>
          <w:bCs/>
          <w:color w:val="000000" w:themeColor="text1"/>
          <w:sz w:val="24"/>
          <w:highlight w:val="none"/>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pStyle w:val="1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D0A01"/>
    <w:rsid w:val="08A34DB8"/>
    <w:rsid w:val="1EAC35F1"/>
    <w:rsid w:val="48BD0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2" w:lineRule="auto"/>
    </w:pPr>
    <w:rPr>
      <w:rFonts w:hint="default" w:ascii="Times New Roman" w:hAnsi="Times New Roman" w:eastAsia="宋体" w:cs="Times New Roman"/>
      <w:sz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paragraph" w:customStyle="1" w:styleId="5">
    <w:name w:val="目录 11"/>
    <w:basedOn w:val="6"/>
    <w:next w:val="1"/>
    <w:qFormat/>
    <w:uiPriority w:val="0"/>
  </w:style>
  <w:style w:type="paragraph" w:customStyle="1" w:styleId="6">
    <w:name w:val="正文112"/>
    <w:next w:val="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7">
    <w:name w:val="正文首行缩进1"/>
    <w:basedOn w:val="8"/>
    <w:next w:val="18"/>
    <w:qFormat/>
    <w:uiPriority w:val="0"/>
    <w:pPr>
      <w:widowControl w:val="0"/>
      <w:ind w:firstLine="420"/>
    </w:pPr>
    <w:rPr>
      <w:sz w:val="21"/>
    </w:rPr>
  </w:style>
  <w:style w:type="paragraph" w:customStyle="1" w:styleId="8">
    <w:name w:val="正文文本11"/>
    <w:basedOn w:val="9"/>
    <w:next w:val="11"/>
    <w:qFormat/>
    <w:uiPriority w:val="0"/>
    <w:pPr>
      <w:spacing w:after="120"/>
    </w:pPr>
  </w:style>
  <w:style w:type="paragraph" w:customStyle="1" w:styleId="9">
    <w:name w:val="正文12"/>
    <w:next w:val="10"/>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0">
    <w:name w:val="标题 21"/>
    <w:basedOn w:val="9"/>
    <w:next w:val="9"/>
    <w:qFormat/>
    <w:uiPriority w:val="9"/>
    <w:pPr>
      <w:keepNext/>
      <w:keepLines/>
      <w:numPr>
        <w:ilvl w:val="0"/>
        <w:numId w:val="1"/>
      </w:numPr>
      <w:spacing w:before="260" w:after="260" w:line="416" w:lineRule="auto"/>
      <w:outlineLvl w:val="1"/>
    </w:pPr>
    <w:rPr>
      <w:rFonts w:ascii="Cambria" w:hAnsi="Cambria"/>
      <w:b/>
      <w:bCs/>
      <w:sz w:val="28"/>
      <w:szCs w:val="32"/>
    </w:rPr>
  </w:style>
  <w:style w:type="paragraph" w:customStyle="1" w:styleId="11">
    <w:name w:val="正文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正文文本缩进1"/>
    <w:basedOn w:val="13"/>
    <w:next w:val="17"/>
    <w:qFormat/>
    <w:uiPriority w:val="0"/>
    <w:pPr>
      <w:spacing w:after="120"/>
      <w:ind w:left="420"/>
    </w:pPr>
  </w:style>
  <w:style w:type="paragraph" w:customStyle="1" w:styleId="13">
    <w:name w:val="正文1"/>
    <w:basedOn w:val="14"/>
    <w:next w:val="5"/>
    <w:qFormat/>
    <w:uiPriority w:val="0"/>
    <w:pPr>
      <w:spacing w:line="360" w:lineRule="auto"/>
      <w:ind w:firstLine="361"/>
    </w:pPr>
    <w:rPr>
      <w:rFonts w:ascii="宋体" w:hAnsi="宋体" w:eastAsia="仿宋_GB2312"/>
      <w:sz w:val="24"/>
    </w:rPr>
  </w:style>
  <w:style w:type="paragraph" w:customStyle="1" w:styleId="14">
    <w:name w:val="正文11"/>
    <w:next w:val="15"/>
    <w:qFormat/>
    <w:uiPriority w:val="0"/>
    <w:pPr>
      <w:jc w:val="both"/>
    </w:pPr>
    <w:rPr>
      <w:rFonts w:hint="default" w:ascii="Times New Roman" w:hAnsi="Times New Roman" w:eastAsia="宋体" w:cs="Times New Roman"/>
      <w:lang w:val="en-US" w:eastAsia="zh-CN" w:bidi="ar-SA"/>
    </w:rPr>
  </w:style>
  <w:style w:type="paragraph" w:customStyle="1" w:styleId="15">
    <w:name w:val="文本块1"/>
    <w:basedOn w:val="11"/>
    <w:next w:val="16"/>
    <w:qFormat/>
    <w:uiPriority w:val="0"/>
    <w:pPr>
      <w:ind w:left="256" w:right="6" w:firstLine="624"/>
    </w:pPr>
    <w:rPr>
      <w:rFonts w:eastAsia="仿宋_GB2312"/>
      <w:sz w:val="28"/>
      <w:szCs w:val="20"/>
    </w:rPr>
  </w:style>
  <w:style w:type="paragraph" w:customStyle="1" w:styleId="16">
    <w:name w:val="标题 41"/>
    <w:basedOn w:val="9"/>
    <w:next w:val="14"/>
    <w:qFormat/>
    <w:uiPriority w:val="0"/>
    <w:pPr>
      <w:keepNext/>
      <w:keepLines/>
      <w:spacing w:before="280" w:after="290" w:line="376" w:lineRule="auto"/>
      <w:outlineLvl w:val="3"/>
    </w:pPr>
    <w:rPr>
      <w:rFonts w:ascii="Arial" w:hAnsi="Arial" w:eastAsia="黑体"/>
      <w:b/>
      <w:bCs/>
      <w:sz w:val="28"/>
      <w:szCs w:val="28"/>
    </w:rPr>
  </w:style>
  <w:style w:type="paragraph" w:customStyle="1" w:styleId="17">
    <w:name w:val="寄信人地址1"/>
    <w:basedOn w:val="9"/>
    <w:qFormat/>
    <w:uiPriority w:val="0"/>
    <w:rPr>
      <w:rFonts w:ascii="Arial" w:hAnsi="Arial"/>
    </w:rPr>
  </w:style>
  <w:style w:type="paragraph" w:customStyle="1" w:styleId="18">
    <w:name w:val="正文首行缩进 211"/>
    <w:basedOn w:val="19"/>
    <w:next w:val="6"/>
    <w:qFormat/>
    <w:uiPriority w:val="0"/>
    <w:pPr>
      <w:ind w:firstLine="420"/>
    </w:pPr>
    <w:rPr>
      <w:rFonts w:ascii="Times New Roman" w:hAnsi="Times New Roman"/>
    </w:rPr>
  </w:style>
  <w:style w:type="paragraph" w:customStyle="1" w:styleId="19">
    <w:name w:val="正文文本缩进11"/>
    <w:basedOn w:val="9"/>
    <w:next w:val="6"/>
    <w:qFormat/>
    <w:uiPriority w:val="0"/>
    <w:pPr>
      <w:spacing w:after="120"/>
      <w:ind w:left="420"/>
    </w:pPr>
    <w:rPr>
      <w:rFonts w:ascii="Calibri" w:hAnsi="Calibri"/>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2348</Words>
  <Characters>2505</Characters>
  <Lines>0</Lines>
  <Paragraphs>0</Paragraphs>
  <TotalTime>0</TotalTime>
  <ScaleCrop>false</ScaleCrop>
  <LinksUpToDate>false</LinksUpToDate>
  <CharactersWithSpaces>2518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2026-05-21T06:41:00Z</dcterms:created>
  <dc:creator>知识产权</dc:creator>
  <cp:lastModifiedBy>仟倾万斛</cp:lastModifiedBy>
  <dcterms:modified xsi:type="dcterms:W3CDTF">2026-05-22T02:43:16Z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3D15D47EBA66497A861B37FD4ADA8732_11</vt:lpwstr>
  </property>
  <property fmtid="{D5CDD505-2E9C-101B-9397-08002B2CF9AE}" pid="4" name="KSOTemplateDocerSaveRecord">
    <vt:lpwstr>eyJoZGlkIjoiNmVjYWE4ODBmYzhiODk5MTJiZTBhMzI5Yjk3NThjMDMiLCJ1c2VySWQiOiI1MDA2Mjk3ODAifQ==</vt:lpwstr>
  </property>
</Properties>
</file>