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center"/>
        <w:rPr>
          <w:rFonts w:hint="eastAsia" w:ascii="宋体" w:hAnsi="宋体" w:eastAsia="宋体" w:cs="宋体"/>
          <w:b/>
          <w:color w:val="auto"/>
          <w:spacing w:val="76"/>
          <w:sz w:val="120"/>
          <w:szCs w:val="120"/>
          <w:highlight w:val="none"/>
        </w:rPr>
      </w:pPr>
      <w:r>
        <w:rPr>
          <w:rFonts w:hint="eastAsia" w:ascii="宋体" w:hAnsi="宋体" w:eastAsia="宋体" w:cs="宋体"/>
          <w:b/>
          <w:color w:val="auto"/>
          <w:spacing w:val="76"/>
          <w:sz w:val="120"/>
          <w:szCs w:val="120"/>
          <w:highlight w:val="none"/>
        </w:rPr>
      </w:r>
      <w:r/>
    </w:p>
    <w:p>
      <w:pPr>
        <w:jc w:val="center"/>
        <w:rPr>
          <w:rFonts w:hint="eastAsia" w:ascii="宋体" w:hAnsi="宋体" w:eastAsia="宋体" w:cs="宋体"/>
          <w:b/>
          <w:color w:val="auto"/>
          <w:spacing w:val="76"/>
          <w:sz w:val="156"/>
          <w:highlight w:val="none"/>
        </w:rPr>
      </w:pPr>
      <w:r>
        <w:rPr>
          <w:rFonts w:hint="eastAsia" w:ascii="宋体" w:hAnsi="宋体" w:eastAsia="宋体" w:cs="宋体"/>
          <w:b/>
          <w:color w:val="auto"/>
          <w:spacing w:val="76"/>
          <w:sz w:val="120"/>
          <w:szCs w:val="120"/>
          <w:highlight w:val="none"/>
        </w:rPr>
        <w:t xml:space="preserve">竞争性磋商文件</w:t>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spacing w:line="48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1200"/>
        <w:spacing w:line="480" w:lineRule="auto"/>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 xml:space="preserve">项目编号：</w:t>
      </w:r>
      <w:r>
        <w:rPr>
          <w:rFonts w:hint="eastAsia" w:ascii="宋体" w:hAnsi="宋体" w:eastAsia="宋体" w:cs="宋体"/>
          <w:color w:val="auto"/>
          <w:sz w:val="30"/>
          <w:szCs w:val="30"/>
          <w:highlight w:val="none"/>
          <w:lang w:eastAsia="zh-CN"/>
        </w:rPr>
        <w:t xml:space="preserve">JSZC-320300-JLGC-C2026-0002</w:t>
      </w:r>
      <w:r/>
    </w:p>
    <w:p>
      <w:pPr>
        <w:ind w:firstLine="1200"/>
        <w:spacing w:line="480" w:lineRule="auto"/>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 xml:space="preserve">项目名称：</w:t>
      </w:r>
      <w:r>
        <w:rPr>
          <w:rFonts w:hint="eastAsia" w:ascii="宋体" w:hAnsi="宋体" w:cs="宋体"/>
          <w:color w:val="auto"/>
          <w:sz w:val="30"/>
          <w:szCs w:val="30"/>
          <w:highlight w:val="none"/>
          <w:lang w:eastAsia="zh-CN"/>
        </w:rPr>
        <w:t xml:space="preserve">2026年水环境监测</w:t>
      </w:r>
      <w:r/>
    </w:p>
    <w:p>
      <w:pPr>
        <w:ind w:firstLine="1200"/>
        <w:spacing w:line="48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采 购 人：徐州市水务局</w:t>
      </w:r>
      <w:r/>
    </w:p>
    <w:p>
      <w:pPr>
        <w:ind w:firstLine="1200"/>
        <w:spacing w:line="480" w:lineRule="auto"/>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 xml:space="preserve">采购代理机构：</w:t>
      </w:r>
      <w:r>
        <w:rPr>
          <w:rFonts w:hint="eastAsia" w:ascii="宋体" w:hAnsi="宋体" w:eastAsia="宋体" w:cs="宋体"/>
          <w:color w:val="auto"/>
          <w:sz w:val="30"/>
          <w:szCs w:val="30"/>
          <w:highlight w:val="none"/>
          <w:lang w:eastAsia="zh-CN"/>
        </w:rPr>
        <w:t xml:space="preserve">江苏建联工程管理有限公司</w:t>
      </w:r>
      <w:r/>
    </w:p>
    <w:p>
      <w:pPr>
        <w:pStyle w:val="856"/>
        <w:jc w:val="left"/>
        <w:spacing w:line="264"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856"/>
        <w:jc w:val="left"/>
        <w:spacing w:line="264"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856"/>
        <w:jc w:val="left"/>
        <w:spacing w:line="264"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856"/>
        <w:jc w:val="center"/>
        <w:spacing w:line="264"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t xml:space="preserve">二〇二</w:t>
      </w:r>
      <w:r>
        <w:rPr>
          <w:rFonts w:hint="eastAsia" w:ascii="宋体" w:hAnsi="宋体" w:eastAsia="宋体" w:cs="宋体"/>
          <w:bCs/>
          <w:color w:val="auto"/>
          <w:sz w:val="30"/>
          <w:highlight w:val="none"/>
          <w:lang w:val="en-US" w:eastAsia="zh-CN"/>
        </w:rPr>
        <w:t xml:space="preserve">六</w:t>
      </w:r>
      <w:r>
        <w:rPr>
          <w:rFonts w:hint="eastAsia" w:ascii="宋体" w:hAnsi="宋体" w:eastAsia="宋体" w:cs="宋体"/>
          <w:bCs/>
          <w:color w:val="auto"/>
          <w:sz w:val="30"/>
          <w:highlight w:val="none"/>
        </w:rPr>
        <w:t xml:space="preserve">年</w:t>
      </w:r>
      <w:r>
        <w:rPr>
          <w:rFonts w:hint="eastAsia" w:ascii="宋体" w:hAnsi="宋体" w:eastAsia="宋体" w:cs="宋体"/>
          <w:bCs/>
          <w:color w:val="auto"/>
          <w:sz w:val="30"/>
          <w:highlight w:val="none"/>
          <w:lang w:val="en-US" w:eastAsia="zh-CN"/>
        </w:rPr>
        <w:t xml:space="preserve">六</w:t>
      </w:r>
      <w:r>
        <w:rPr>
          <w:rFonts w:hint="eastAsia" w:ascii="宋体" w:hAnsi="宋体" w:eastAsia="宋体" w:cs="宋体"/>
          <w:bCs/>
          <w:color w:val="auto"/>
          <w:sz w:val="30"/>
          <w:highlight w:val="none"/>
        </w:rPr>
        <w:t xml:space="preserve">月</w:t>
      </w:r>
      <w:r/>
    </w:p>
    <w:p>
      <w:pPr>
        <w:pStyle w:val="856"/>
        <w:jc w:val="center"/>
        <w:spacing w:line="264"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856"/>
        <w:spacing w:line="264"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856"/>
        <w:spacing w:line="264"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856"/>
        <w:spacing w:line="264"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856"/>
        <w:spacing w:line="264" w:lineRule="auto"/>
        <w:rPr>
          <w:rFonts w:hint="eastAsia" w:ascii="宋体" w:hAnsi="宋体" w:eastAsia="宋体" w:cs="宋体"/>
          <w:bCs/>
          <w:color w:val="auto"/>
          <w:sz w:val="30"/>
          <w:highlight w:val="none"/>
        </w:rPr>
        <w:sectPr>
          <w:footnotePr/>
          <w:endnotePr/>
          <w:type w:val="nextPage"/>
          <w:pgSz w:w="11906" w:h="16838" w:orient="portrait"/>
          <w:pgMar w:top="1134" w:right="1247" w:bottom="680" w:left="1247" w:header="851" w:footer="992" w:gutter="0"/>
          <w:cols w:num="1" w:sep="0" w:space="1701" w:equalWidth="1"/>
          <w:docGrid w:linePitch="360"/>
          <w:titlePg/>
        </w:sectPr>
      </w:pPr>
      <w:r>
        <w:rPr>
          <w:rFonts w:hint="eastAsia" w:ascii="宋体" w:hAnsi="宋体" w:eastAsia="宋体" w:cs="宋体"/>
          <w:bCs/>
          <w:color w:val="auto"/>
          <w:sz w:val="30"/>
          <w:highlight w:val="none"/>
        </w:rPr>
      </w:r>
      <w:r/>
    </w:p>
    <w:p>
      <w:pPr>
        <w:pStyle w:val="856"/>
        <w:spacing w:line="264"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856"/>
        <w:jc w:val="center"/>
        <w:spacing w:line="264"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竞争性磋商文件</w:t>
      </w:r>
      <w:r/>
    </w:p>
    <w:p>
      <w:pPr>
        <w:pStyle w:val="856"/>
        <w:jc w:val="center"/>
        <w:spacing w:line="264" w:lineRule="auto"/>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lang w:eastAsia="zh-CN"/>
        </w:rPr>
        <w:t xml:space="preserve">JSZC-320300-JLGC-C2026-0002</w:t>
      </w:r>
      <w:r/>
    </w:p>
    <w:p>
      <w:pPr>
        <w:pStyle w:val="1027"/>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0"/>
        <w:jc w:val="both"/>
        <w:spacing w:before="0" w:after="0" w:line="85" w:lineRule="atLeast"/>
        <w:tabs>
          <w:tab w:val="left" w:pos="3240"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（供应商）</w:t>
      </w:r>
      <w:r>
        <w:rPr>
          <w:rFonts w:hint="eastAsia" w:ascii="宋体" w:hAnsi="宋体" w:eastAsia="宋体" w:cs="宋体"/>
          <w:color w:val="auto"/>
          <w:sz w:val="24"/>
          <w:highlight w:val="none"/>
        </w:rPr>
        <w:t xml:space="preserve">：</w:t>
      </w:r>
      <w:r/>
    </w:p>
    <w:p>
      <w:pPr>
        <w:ind w:left="0" w:right="0" w:firstLine="48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按照《中华人民共和国政府采购法》《中华人民共和国政府采购法实施条例》及《政府采购竞争性磋商采购方式管理暂行办法》的规定，</w:t>
      </w:r>
      <w:r>
        <w:rPr>
          <w:rFonts w:hint="eastAsia" w:ascii="宋体" w:hAnsi="宋体" w:eastAsia="宋体" w:cs="宋体"/>
          <w:color w:val="auto"/>
          <w:sz w:val="24"/>
          <w:highlight w:val="none"/>
          <w:u w:val="single"/>
          <w:lang w:eastAsia="zh-CN"/>
        </w:rPr>
        <w:t xml:space="preserve">江苏建联工程管理有限公司</w:t>
      </w:r>
      <w:r>
        <w:rPr>
          <w:rFonts w:hint="eastAsia" w:ascii="宋体" w:hAnsi="宋体" w:eastAsia="宋体" w:cs="宋体"/>
          <w:color w:val="auto"/>
          <w:sz w:val="24"/>
          <w:highlight w:val="none"/>
        </w:rPr>
        <w:t xml:space="preserve">对</w:t>
      </w:r>
      <w:r>
        <w:rPr>
          <w:rFonts w:hint="eastAsia" w:ascii="宋体" w:hAnsi="宋体" w:cs="宋体"/>
          <w:color w:val="auto"/>
          <w:sz w:val="24"/>
          <w:highlight w:val="none"/>
          <w:u w:val="single"/>
          <w:lang w:eastAsia="zh-CN"/>
        </w:rPr>
        <w:t xml:space="preserve">2026年水环境监测</w:t>
      </w:r>
      <w:r>
        <w:rPr>
          <w:rFonts w:hint="eastAsia" w:ascii="宋体" w:hAnsi="宋体" w:eastAsia="宋体" w:cs="宋体"/>
          <w:color w:val="auto"/>
          <w:sz w:val="24"/>
          <w:highlight w:val="none"/>
        </w:rPr>
        <w:t xml:space="preserve">采取竞争性磋商采购方式进行采购。如贵单位有意与本公司合作，请按以下竞争性磋商文件（以下简称磋商文件）要求参加磋商。</w:t>
      </w:r>
      <w:r/>
    </w:p>
    <w:p>
      <w:pPr>
        <w:pStyle w:val="102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56"/>
        <w:ind w:left="497"/>
        <w:jc w:val="center"/>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第一章 项目说明</w:t>
      </w:r>
      <w:r/>
    </w:p>
    <w:p>
      <w:pPr>
        <w:pStyle w:val="856"/>
        <w:ind w:left="497"/>
        <w:jc w:val="center"/>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56"/>
        <w:ind w:firstLine="480"/>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一、采购人：徐州市水务局</w:t>
      </w:r>
      <w:r/>
    </w:p>
    <w:p>
      <w:pPr>
        <w:pStyle w:val="856"/>
        <w:ind w:firstLine="480"/>
        <w:spacing w:line="264"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二、项目名称：</w:t>
      </w:r>
      <w:r>
        <w:rPr>
          <w:rFonts w:hint="eastAsia" w:ascii="宋体" w:hAnsi="宋体" w:eastAsia="宋体" w:cs="宋体"/>
          <w:color w:val="auto"/>
          <w:sz w:val="24"/>
          <w:highlight w:val="none"/>
          <w:lang w:eastAsia="zh-CN"/>
        </w:rPr>
        <w:t xml:space="preserve">2026年水环境监测</w:t>
      </w:r>
      <w:r/>
    </w:p>
    <w:p>
      <w:pPr>
        <w:pStyle w:val="856"/>
        <w:ind w:firstLine="480"/>
        <w:jc w:val="left"/>
        <w:spacing w:line="264"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三、项目编号：</w:t>
      </w:r>
      <w:r>
        <w:rPr>
          <w:rFonts w:hint="eastAsia" w:ascii="宋体" w:hAnsi="宋体" w:eastAsia="宋体" w:cs="宋体"/>
          <w:color w:val="auto"/>
          <w:sz w:val="24"/>
          <w:highlight w:val="none"/>
          <w:lang w:eastAsia="zh-CN"/>
        </w:rPr>
        <w:t xml:space="preserve">JSZC-320300-JLGC-C2026-0002</w:t>
      </w:r>
      <w:r/>
    </w:p>
    <w:p>
      <w:pPr>
        <w:pStyle w:val="856"/>
        <w:ind w:firstLine="497"/>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四、采购邀请：通过发布公告的方式邀请符合相应资格条件的供应商参与竞争性磋商采购活动。</w:t>
      </w:r>
      <w:r/>
    </w:p>
    <w:p>
      <w:pPr>
        <w:pStyle w:val="856"/>
        <w:ind w:firstLine="480"/>
        <w:jc w:val="left"/>
        <w:spacing w:line="264"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五、采购方式：竞争性磋商采购方式。</w:t>
      </w:r>
      <w:r/>
    </w:p>
    <w:p>
      <w:pPr>
        <w:pStyle w:val="856"/>
        <w:ind w:firstLine="480"/>
        <w:jc w:val="left"/>
        <w:spacing w:line="264"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六、供应商资格条件：见竞争性磋商公告（项目编号：</w:t>
      </w:r>
      <w:r>
        <w:rPr>
          <w:rFonts w:hint="eastAsia" w:ascii="宋体" w:hAnsi="宋体" w:eastAsia="宋体" w:cs="宋体"/>
          <w:color w:val="auto"/>
          <w:sz w:val="24"/>
          <w:highlight w:val="none"/>
          <w:lang w:eastAsia="zh-CN"/>
        </w:rPr>
        <w:t xml:space="preserve">JSZC-320300-JLGC-C2026-0002</w:t>
      </w:r>
      <w:r>
        <w:rPr>
          <w:rFonts w:hint="eastAsia" w:ascii="宋体" w:hAnsi="宋体" w:eastAsia="宋体" w:cs="宋体"/>
          <w:color w:val="auto"/>
          <w:sz w:val="24"/>
          <w:highlight w:val="none"/>
        </w:rPr>
        <w:t xml:space="preserve">）</w:t>
      </w:r>
      <w:r/>
    </w:p>
    <w:p>
      <w:pPr>
        <w:pStyle w:val="856"/>
        <w:ind w:left="497"/>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七、采购预算（采购项目预算金额）：见《磋商文件》附件2.《项目要求（采购需求）》。</w:t>
      </w:r>
      <w:r/>
    </w:p>
    <w:p>
      <w:pPr>
        <w:pStyle w:val="856"/>
        <w:ind w:firstLine="480"/>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八、采购需求：见《磋商文件》附件2.《项目要求（采购需求）》</w:t>
      </w:r>
      <w:r/>
    </w:p>
    <w:p>
      <w:pPr>
        <w:pStyle w:val="856"/>
        <w:ind w:firstLine="480"/>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九、合同草案条款：见《磋商文件》附件6.《合同草案条款》。</w:t>
      </w:r>
      <w:r/>
    </w:p>
    <w:p>
      <w:pPr>
        <w:pStyle w:val="856"/>
        <w:ind w:firstLine="480"/>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十、报价要求</w:t>
      </w:r>
      <w:r/>
    </w:p>
    <w:p>
      <w:pPr>
        <w:pStyle w:val="856"/>
        <w:ind w:firstLine="480"/>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1.供应商报价为要约，</w:t>
      </w:r>
      <w:r>
        <w:rPr>
          <w:rFonts w:hint="eastAsia" w:ascii="宋体" w:hAnsi="宋体" w:eastAsia="宋体" w:cs="宋体"/>
          <w:color w:val="auto"/>
          <w:sz w:val="24"/>
          <w:highlight w:val="none"/>
          <w:lang w:eastAsia="zh-CN"/>
        </w:rPr>
        <w:t xml:space="preserve">江苏建联工程管理有限公司</w:t>
      </w:r>
      <w:r>
        <w:rPr>
          <w:rFonts w:hint="eastAsia" w:ascii="宋体" w:hAnsi="宋体" w:eastAsia="宋体" w:cs="宋体"/>
          <w:color w:val="auto"/>
          <w:sz w:val="24"/>
          <w:highlight w:val="none"/>
        </w:rPr>
        <w:t xml:space="preserve">无承诺表示时视为未成交，</w:t>
      </w:r>
      <w:r>
        <w:rPr>
          <w:rFonts w:hint="eastAsia" w:ascii="宋体" w:hAnsi="宋体" w:eastAsia="宋体" w:cs="宋体"/>
          <w:color w:val="auto"/>
          <w:sz w:val="24"/>
          <w:highlight w:val="none"/>
          <w:lang w:eastAsia="zh-CN"/>
        </w:rPr>
        <w:t xml:space="preserve">江苏建联工程管理有限公司</w:t>
      </w:r>
      <w:r>
        <w:rPr>
          <w:rFonts w:hint="eastAsia" w:ascii="宋体" w:hAnsi="宋体" w:eastAsia="宋体" w:cs="宋体"/>
          <w:color w:val="auto"/>
          <w:sz w:val="24"/>
          <w:highlight w:val="none"/>
        </w:rPr>
        <w:t xml:space="preserve">认为必要时可重新进行竞争性磋商采购或采取其它方式采购。</w:t>
      </w:r>
      <w:r/>
    </w:p>
    <w:p>
      <w:pPr>
        <w:ind w:left="0" w:right="0" w:firstLine="48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2、按照《磋商报价表》要求填写首次报价。</w:t>
      </w:r>
      <w:r/>
    </w:p>
    <w:p>
      <w:pPr>
        <w:ind w:left="0" w:right="-57" w:firstLine="48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856"/>
        <w:ind w:firstLine="480"/>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第二章 磋商保证金</w:t>
      </w:r>
      <w:r/>
    </w:p>
    <w:p>
      <w:pPr>
        <w:ind w:firstLine="482"/>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十一、供应商提交磋商保证金</w:t>
      </w:r>
      <w:r/>
    </w:p>
    <w:p>
      <w:pPr>
        <w:ind w:right="-57" w:firstLine="482"/>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1、磋商保证金交纳数额和形式：不需交纳。</w:t>
      </w:r>
      <w:r/>
    </w:p>
    <w:p>
      <w:pPr>
        <w:pStyle w:val="856"/>
        <w:jc w:val="left"/>
        <w:spacing w:line="264" w:lineRule="auto"/>
        <w:tabs>
          <w:tab w:val="center" w:pos="4461" w:leader="none"/>
          <w:tab w:val="left" w:pos="6012" w:leader="none"/>
        </w:tabs>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pStyle w:val="856"/>
        <w:ind w:left="497" w:firstLine="2520"/>
        <w:jc w:val="left"/>
        <w:spacing w:line="264" w:lineRule="auto"/>
        <w:tabs>
          <w:tab w:val="center" w:pos="4461" w:leader="none"/>
          <w:tab w:val="left" w:pos="6012" w:leader="none"/>
        </w:tabs>
        <w:rPr>
          <w:rFonts w:hint="eastAsia" w:ascii="宋体" w:hAnsi="宋体" w:eastAsia="宋体" w:cs="宋体"/>
          <w:color w:val="auto"/>
          <w:sz w:val="24"/>
          <w:highlight w:val="none"/>
        </w:rPr>
      </w:pPr>
      <w:r>
        <w:rPr>
          <w:rFonts w:hint="eastAsia" w:ascii="宋体" w:hAnsi="宋体" w:eastAsia="宋体" w:cs="宋体"/>
          <w:color w:val="auto"/>
          <w:sz w:val="28"/>
          <w:szCs w:val="28"/>
          <w:highlight w:val="none"/>
          <w:lang w:val="en-US" w:eastAsia="zh-CN" w:bidi="ar-SA"/>
        </w:rPr>
        <w:t xml:space="preserve">第三章 响应文件</w:t>
      </w:r>
      <w:r>
        <w:rPr>
          <w:rFonts w:hint="eastAsia" w:ascii="宋体" w:hAnsi="宋体" w:eastAsia="宋体" w:cs="宋体"/>
          <w:color w:val="auto"/>
          <w:sz w:val="28"/>
          <w:szCs w:val="28"/>
          <w:highlight w:val="none"/>
          <w:lang w:val="en-US" w:eastAsia="zh-CN" w:bidi="ar-SA"/>
        </w:rPr>
        <w:tab/>
      </w:r>
      <w:r/>
    </w:p>
    <w:p>
      <w:pPr>
        <w:pStyle w:val="856"/>
        <w:ind w:left="497"/>
        <w:jc w:val="center"/>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spacing w:line="360" w:lineRule="auto"/>
        <w:widowControl/>
        <w:rPr>
          <w:rFonts w:hint="eastAsia" w:ascii="宋体" w:hAnsi="宋体" w:eastAsia="宋体" w:cs="宋体"/>
          <w:b/>
          <w:bCs/>
          <w:color w:val="auto"/>
          <w:sz w:val="24"/>
          <w:highlight w:val="none"/>
        </w:rPr>
        <w:outlineLvl w:val="2"/>
      </w:pPr>
      <w:r>
        <w:rPr>
          <w:rFonts w:hint="eastAsia" w:ascii="宋体" w:hAnsi="宋体" w:eastAsia="宋体" w:cs="宋体"/>
          <w:b/>
          <w:bCs/>
          <w:color w:val="auto"/>
          <w:sz w:val="24"/>
          <w:highlight w:val="none"/>
        </w:rPr>
        <w:t xml:space="preserve">十二、提交响应文件要求</w:t>
      </w:r>
      <w:r/>
    </w:p>
    <w:p>
      <w:pPr>
        <w:ind w:firstLine="480"/>
        <w:spacing w:line="360" w:lineRule="auto"/>
        <w:widowControl/>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（一）本项目通过“苏采云”系统进行电子采购，即供应商响应文件从政府采购客户端工具制作并通过“苏采云”系统提交。</w:t>
      </w:r>
      <w:r/>
    </w:p>
    <w:p>
      <w:pPr>
        <w:ind w:firstLine="480"/>
        <w:spacing w:line="360" w:lineRule="auto"/>
        <w:widowControl/>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widowControl/>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widowControl/>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使用需要第三方认证的电子签名、数据电文，通过互联网方式提交首次响应文件。即：使用“电子签名认证证书（CA数字证书）”登录“苏采云”系统（网址：http://jszfcg.jsczt.cn/</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或进入徐州政府采购网（网址：https://czj.xz.gov.cn/zfcg/index.html）--业务工作--用户登录，点击“苏采云”进入系统），按照要求通过互联网方式提交首次响应文件。</w:t>
      </w:r>
      <w:r/>
    </w:p>
    <w:p>
      <w:pPr>
        <w:ind w:firstLine="482"/>
        <w:spacing w:line="360" w:lineRule="auto"/>
        <w:widowControl/>
        <w:rPr>
          <w:rFonts w:hint="eastAsia" w:ascii="宋体" w:hAnsi="宋体" w:eastAsia="宋体" w:cs="宋体"/>
          <w:b/>
          <w:bCs/>
          <w:color w:val="auto"/>
          <w:sz w:val="24"/>
          <w:highlight w:val="none"/>
        </w:rPr>
        <w:outlineLvl w:val="2"/>
      </w:pPr>
      <w:r>
        <w:rPr>
          <w:rFonts w:hint="eastAsia" w:ascii="宋体" w:hAnsi="宋体" w:eastAsia="宋体" w:cs="宋体"/>
          <w:b/>
          <w:bCs/>
          <w:color w:val="auto"/>
          <w:sz w:val="24"/>
          <w:highlight w:val="none"/>
        </w:rPr>
        <w:t xml:space="preserve">“苏采云”系统使用要求：</w:t>
      </w:r>
      <w:r/>
    </w:p>
    <w:p>
      <w:pPr>
        <w:ind w:firstLine="480"/>
        <w:spacing w:line="360" w:lineRule="auto"/>
        <w:widowControl/>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1.使用谷歌浏览器参与不见面开标及磋商环节。</w:t>
      </w:r>
      <w:r/>
    </w:p>
    <w:p>
      <w:pPr>
        <w:ind w:firstLine="480"/>
        <w:spacing w:line="360" w:lineRule="auto"/>
        <w:widowControl/>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2.电脑需提前准备好麦克风、音响，摄像头，提前检查保证能够正常使用。</w:t>
      </w:r>
      <w:r/>
    </w:p>
    <w:p>
      <w:pPr>
        <w:ind w:firstLine="480"/>
        <w:spacing w:line="360" w:lineRule="auto"/>
        <w:widowControl/>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3.操作系统至少win7以上，建议使用win10操作系统。</w:t>
      </w:r>
      <w:r/>
    </w:p>
    <w:p>
      <w:pPr>
        <w:ind w:firstLine="480"/>
        <w:spacing w:line="360" w:lineRule="auto"/>
        <w:widowControl/>
        <w:rPr>
          <w:rFonts w:hint="eastAsia" w:ascii="宋体" w:hAnsi="宋体" w:eastAsia="宋体" w:cs="宋体"/>
          <w:color w:val="auto"/>
          <w:sz w:val="24"/>
          <w:highlight w:val="none"/>
        </w:rPr>
        <w:outlineLvl w:val="2"/>
      </w:pPr>
      <w:r>
        <w:rPr>
          <w:rFonts w:hint="eastAsia" w:ascii="宋体" w:hAnsi="宋体" w:eastAsia="宋体" w:cs="宋体"/>
          <w:b/>
          <w:bCs/>
          <w:color w:val="auto"/>
          <w:sz w:val="24"/>
          <w:highlight w:val="none"/>
        </w:rPr>
        <w:t xml:space="preserve">（二）首次响应文件提交的截止时间：</w:t>
      </w:r>
      <w:r>
        <w:rPr>
          <w:rFonts w:hint="eastAsia" w:ascii="宋体" w:hAnsi="宋体" w:eastAsia="宋体" w:cs="宋体"/>
          <w:b/>
          <w:bCs/>
          <w:color w:val="auto"/>
          <w:sz w:val="24"/>
          <w:highlight w:val="none"/>
          <w:lang w:eastAsia="zh-CN"/>
        </w:rPr>
        <w:t xml:space="preserve">202</w:t>
      </w: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lang w:eastAsia="zh-CN"/>
        </w:rPr>
        <w:t xml:space="preserve">年</w:t>
      </w:r>
      <w:r>
        <w:rPr>
          <w:rFonts w:hint="eastAsia" w:ascii="宋体" w:hAnsi="宋体" w:cs="宋体"/>
          <w:b/>
          <w:bCs/>
          <w:color w:val="auto"/>
          <w:sz w:val="24"/>
          <w:highlight w:val="none"/>
          <w:lang w:val="en-US" w:eastAsia="zh-CN"/>
        </w:rPr>
        <w:t xml:space="preserve">6</w:t>
      </w:r>
      <w:r>
        <w:rPr>
          <w:rFonts w:hint="eastAsia" w:ascii="宋体" w:hAnsi="宋体" w:eastAsia="宋体" w:cs="宋体"/>
          <w:b/>
          <w:bCs/>
          <w:color w:val="auto"/>
          <w:sz w:val="24"/>
          <w:highlight w:val="none"/>
          <w:lang w:val="en-US" w:eastAsia="zh-CN"/>
        </w:rPr>
        <w:t xml:space="preserve">月</w:t>
      </w:r>
      <w:r>
        <w:rPr>
          <w:rFonts w:hint="eastAsia" w:ascii="宋体" w:hAnsi="宋体" w:cs="宋体"/>
          <w:b/>
          <w:bCs/>
          <w:color w:val="auto"/>
          <w:sz w:val="24"/>
          <w:highlight w:val="none"/>
          <w:lang w:val="en-US" w:eastAsia="zh-CN"/>
        </w:rPr>
        <w:t xml:space="preserve">18</w:t>
      </w:r>
      <w:r>
        <w:rPr>
          <w:rFonts w:hint="eastAsia" w:ascii="宋体" w:hAnsi="宋体" w:eastAsia="宋体" w:cs="宋体"/>
          <w:b/>
          <w:bCs/>
          <w:color w:val="auto"/>
          <w:sz w:val="24"/>
          <w:highlight w:val="none"/>
          <w:lang w:eastAsia="zh-CN"/>
        </w:rPr>
        <w:t xml:space="preserve">日上午</w:t>
      </w:r>
      <w:r>
        <w:rPr>
          <w:rFonts w:hint="eastAsia" w:ascii="宋体" w:hAnsi="宋体" w:eastAsia="宋体" w:cs="宋体"/>
          <w:b/>
          <w:bCs/>
          <w:color w:val="auto"/>
          <w:sz w:val="24"/>
          <w:highlight w:val="none"/>
          <w:lang w:val="en-US" w:eastAsia="zh-CN"/>
        </w:rPr>
        <w:t xml:space="preserve">09</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0，</w:t>
      </w:r>
      <w:r>
        <w:rPr>
          <w:rFonts w:hint="eastAsia" w:ascii="宋体" w:hAnsi="宋体" w:eastAsia="宋体" w:cs="宋体"/>
          <w:color w:val="auto"/>
          <w:sz w:val="24"/>
          <w:highlight w:val="none"/>
        </w:rPr>
        <w:t xml:space="preserve">在截止时间后提交的首次响应文件为无效文件，将被拒收。</w:t>
      </w:r>
      <w:r/>
    </w:p>
    <w:p>
      <w:pPr>
        <w:ind w:firstLine="480"/>
        <w:spacing w:line="360" w:lineRule="auto"/>
        <w:widowControl/>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（三）首次响应文件提交时间、地点：</w:t>
      </w:r>
      <w:r/>
    </w:p>
    <w:p>
      <w:pPr>
        <w:ind w:firstLine="480"/>
        <w:spacing w:line="360" w:lineRule="auto"/>
        <w:widowControl/>
        <w:rPr>
          <w:rFonts w:hint="eastAsia" w:ascii="宋体" w:hAnsi="宋体" w:eastAsia="宋体" w:cs="宋体"/>
          <w:b/>
          <w:bCs/>
          <w:color w:val="auto"/>
          <w:sz w:val="24"/>
          <w:highlight w:val="none"/>
        </w:rPr>
        <w:outlineLvl w:val="2"/>
      </w:pPr>
      <w:r>
        <w:rPr>
          <w:rFonts w:hint="eastAsia" w:ascii="宋体" w:hAnsi="宋体" w:eastAsia="宋体" w:cs="宋体"/>
          <w:color w:val="auto"/>
          <w:sz w:val="24"/>
          <w:highlight w:val="none"/>
        </w:rPr>
        <w:t xml:space="preserve">1.提交时间</w:t>
      </w:r>
      <w:r>
        <w:rPr>
          <w:rFonts w:hint="eastAsia" w:ascii="宋体" w:hAnsi="宋体" w:eastAsia="宋体" w:cs="宋体"/>
          <w:color w:val="auto"/>
          <w:sz w:val="24"/>
          <w:highlight w:val="none"/>
          <w:lang w:eastAsia="zh-CN"/>
        </w:rPr>
        <w:t xml:space="preserve">：</w:t>
      </w:r>
      <w:r>
        <w:rPr>
          <w:rFonts w:hint="eastAsia" w:ascii="宋体" w:hAnsi="宋体" w:eastAsia="宋体" w:cs="宋体"/>
          <w:b/>
          <w:bCs/>
          <w:color w:val="auto"/>
          <w:sz w:val="24"/>
          <w:highlight w:val="none"/>
        </w:rPr>
        <w:t xml:space="preserve">首次响应文件提交的截止时间（</w:t>
      </w:r>
      <w:r>
        <w:rPr>
          <w:rFonts w:hint="eastAsia" w:ascii="宋体" w:hAnsi="宋体" w:eastAsia="宋体" w:cs="宋体"/>
          <w:b/>
          <w:bCs/>
          <w:color w:val="auto"/>
          <w:sz w:val="24"/>
          <w:highlight w:val="none"/>
          <w:lang w:eastAsia="zh-CN"/>
        </w:rPr>
        <w:t xml:space="preserve">202</w:t>
      </w: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lang w:eastAsia="zh-CN"/>
        </w:rPr>
        <w:t xml:space="preserve">年</w:t>
      </w:r>
      <w:r>
        <w:rPr>
          <w:rFonts w:hint="eastAsia" w:ascii="宋体" w:hAnsi="宋体" w:cs="宋体"/>
          <w:b/>
          <w:bCs/>
          <w:color w:val="auto"/>
          <w:sz w:val="24"/>
          <w:highlight w:val="none"/>
          <w:lang w:val="en-US" w:eastAsia="zh-CN"/>
        </w:rPr>
        <w:t xml:space="preserve">6</w:t>
      </w:r>
      <w:r>
        <w:rPr>
          <w:rFonts w:hint="eastAsia" w:ascii="宋体" w:hAnsi="宋体" w:eastAsia="宋体" w:cs="宋体"/>
          <w:b/>
          <w:bCs/>
          <w:color w:val="auto"/>
          <w:sz w:val="24"/>
          <w:highlight w:val="none"/>
          <w:lang w:val="en-US" w:eastAsia="zh-CN"/>
        </w:rPr>
        <w:t xml:space="preserve">月</w:t>
      </w:r>
      <w:r>
        <w:rPr>
          <w:rFonts w:hint="eastAsia" w:ascii="宋体" w:hAnsi="宋体" w:cs="宋体"/>
          <w:b/>
          <w:bCs/>
          <w:color w:val="auto"/>
          <w:sz w:val="24"/>
          <w:highlight w:val="none"/>
          <w:lang w:val="en-US" w:eastAsia="zh-CN"/>
        </w:rPr>
        <w:t xml:space="preserve">18</w:t>
      </w:r>
      <w:r>
        <w:rPr>
          <w:rFonts w:hint="eastAsia" w:ascii="宋体" w:hAnsi="宋体" w:eastAsia="宋体" w:cs="宋体"/>
          <w:b/>
          <w:bCs/>
          <w:color w:val="auto"/>
          <w:sz w:val="24"/>
          <w:highlight w:val="none"/>
          <w:lang w:eastAsia="zh-CN"/>
        </w:rPr>
        <w:t xml:space="preserve">日上午</w:t>
      </w:r>
      <w:r>
        <w:rPr>
          <w:rFonts w:hint="eastAsia" w:ascii="宋体" w:hAnsi="宋体" w:eastAsia="宋体" w:cs="宋体"/>
          <w:b/>
          <w:bCs/>
          <w:color w:val="auto"/>
          <w:sz w:val="24"/>
          <w:highlight w:val="none"/>
          <w:lang w:val="en-US" w:eastAsia="zh-CN"/>
        </w:rPr>
        <w:t xml:space="preserve">09</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30</w:t>
      </w:r>
      <w:r>
        <w:rPr>
          <w:rFonts w:hint="eastAsia" w:ascii="宋体" w:hAnsi="宋体" w:eastAsia="宋体" w:cs="宋体"/>
          <w:b/>
          <w:bCs/>
          <w:color w:val="auto"/>
          <w:sz w:val="24"/>
          <w:highlight w:val="none"/>
        </w:rPr>
        <w:t xml:space="preserve">）前。</w:t>
      </w:r>
      <w:r/>
    </w:p>
    <w:p>
      <w:pPr>
        <w:ind w:firstLine="480"/>
        <w:spacing w:line="360" w:lineRule="auto"/>
        <w:widowControl/>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2.提交地点：“苏采云”系统（网址：http://jszfcg.jsczt.cn/）“开标大厅”或进入徐州政府采购网（网址：https://czj.xz.gov.cn/zfcg/index.html）-业务工作-用户登录，点击“苏采云”进入系统“开标大厅”。 </w:t>
      </w:r>
      <w:r/>
    </w:p>
    <w:p>
      <w:pPr>
        <w:ind w:firstLine="480"/>
        <w:spacing w:line="360" w:lineRule="auto"/>
        <w:widowControl/>
        <w:rPr>
          <w:rFonts w:hint="eastAsia" w:ascii="宋体" w:hAnsi="宋体" w:eastAsia="宋体" w:cs="宋体"/>
          <w:b/>
          <w:bCs/>
          <w:color w:val="auto"/>
          <w:sz w:val="24"/>
          <w:highlight w:val="none"/>
        </w:rPr>
        <w:outlineLvl w:val="2"/>
      </w:pPr>
      <w:r>
        <w:rPr>
          <w:rFonts w:hint="eastAsia" w:ascii="宋体" w:hAnsi="宋体" w:eastAsia="宋体" w:cs="宋体"/>
          <w:b/>
          <w:bCs/>
          <w:color w:val="auto"/>
          <w:sz w:val="24"/>
          <w:highlight w:val="none"/>
        </w:rPr>
        <w:t xml:space="preserve">（四）首次响应文件开启时间：</w:t>
      </w:r>
      <w:r>
        <w:rPr>
          <w:rFonts w:hint="eastAsia" w:ascii="宋体" w:hAnsi="宋体" w:eastAsia="宋体" w:cs="宋体"/>
          <w:b/>
          <w:bCs/>
          <w:color w:val="auto"/>
          <w:sz w:val="24"/>
          <w:highlight w:val="none"/>
          <w:lang w:eastAsia="zh-CN"/>
        </w:rPr>
        <w:t xml:space="preserve">202</w:t>
      </w: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lang w:eastAsia="zh-CN"/>
        </w:rPr>
        <w:t xml:space="preserve">年</w:t>
      </w:r>
      <w:r>
        <w:rPr>
          <w:rFonts w:hint="eastAsia" w:ascii="宋体" w:hAnsi="宋体" w:cs="宋体"/>
          <w:b/>
          <w:bCs/>
          <w:color w:val="auto"/>
          <w:sz w:val="24"/>
          <w:highlight w:val="none"/>
          <w:lang w:val="en-US" w:eastAsia="zh-CN"/>
        </w:rPr>
        <w:t xml:space="preserve">6</w:t>
      </w:r>
      <w:r>
        <w:rPr>
          <w:rFonts w:hint="eastAsia" w:ascii="宋体" w:hAnsi="宋体" w:eastAsia="宋体" w:cs="宋体"/>
          <w:b/>
          <w:bCs/>
          <w:color w:val="auto"/>
          <w:sz w:val="24"/>
          <w:highlight w:val="none"/>
          <w:lang w:val="en-US" w:eastAsia="zh-CN"/>
        </w:rPr>
        <w:t xml:space="preserve">月</w:t>
      </w:r>
      <w:bookmarkStart w:id="8" w:name="_GoBack"/>
      <w:r/>
      <w:bookmarkEnd w:id="8"/>
      <w:r>
        <w:rPr>
          <w:rFonts w:hint="eastAsia" w:ascii="宋体" w:hAnsi="宋体" w:cs="宋体"/>
          <w:b/>
          <w:bCs/>
          <w:color w:val="auto"/>
          <w:sz w:val="24"/>
          <w:highlight w:val="none"/>
          <w:lang w:val="en-US" w:eastAsia="zh-CN"/>
        </w:rPr>
        <w:t xml:space="preserve">18</w:t>
      </w:r>
      <w:r>
        <w:rPr>
          <w:rFonts w:hint="eastAsia" w:ascii="宋体" w:hAnsi="宋体" w:eastAsia="宋体" w:cs="宋体"/>
          <w:b/>
          <w:bCs/>
          <w:color w:val="auto"/>
          <w:sz w:val="24"/>
          <w:highlight w:val="none"/>
          <w:lang w:eastAsia="zh-CN"/>
        </w:rPr>
        <w:t xml:space="preserve">日上午</w:t>
      </w:r>
      <w:r>
        <w:rPr>
          <w:rFonts w:hint="eastAsia" w:ascii="宋体" w:hAnsi="宋体" w:eastAsia="宋体" w:cs="宋体"/>
          <w:b/>
          <w:bCs/>
          <w:color w:val="auto"/>
          <w:sz w:val="24"/>
          <w:highlight w:val="none"/>
          <w:lang w:val="en-US" w:eastAsia="zh-CN"/>
        </w:rPr>
        <w:t xml:space="preserve">09</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30</w:t>
      </w:r>
      <w:r>
        <w:rPr>
          <w:rFonts w:hint="eastAsia" w:ascii="宋体" w:hAnsi="宋体" w:eastAsia="宋体" w:cs="宋体"/>
          <w:b/>
          <w:bCs/>
          <w:color w:val="auto"/>
          <w:sz w:val="24"/>
          <w:highlight w:val="none"/>
        </w:rPr>
        <w:t xml:space="preserve">。</w:t>
      </w:r>
      <w:r/>
    </w:p>
    <w:p>
      <w:pPr>
        <w:ind w:firstLine="480"/>
        <w:spacing w:line="360" w:lineRule="auto"/>
        <w:widowControl/>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（五）首次响应文件开启地点：</w:t>
      </w:r>
      <w:r/>
    </w:p>
    <w:p>
      <w:pPr>
        <w:ind w:firstLine="480"/>
        <w:spacing w:line="360" w:lineRule="auto"/>
        <w:widowControl/>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“苏采云”系统（网址：http://jszfcg.jsczt.cn/）“开标大厅”或进入徐州政府采购网（网址：https://czj.xz.gov.cn/zfcg/index.html）-业务工作-用户登录，点击“苏采云”进入系统“开标大厅”。</w:t>
      </w:r>
      <w:r/>
    </w:p>
    <w:p>
      <w:pPr>
        <w:ind w:firstLine="480"/>
        <w:spacing w:line="360" w:lineRule="auto"/>
        <w:widowControl/>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spacing w:line="360" w:lineRule="auto"/>
        <w:widowControl/>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（七）不接受不按要求加盖公章（电子签章）的首次响应文件。电子签章相关要求见“苏采云”系统。</w:t>
      </w:r>
      <w:r/>
    </w:p>
    <w:p>
      <w:pPr>
        <w:ind w:firstLine="480"/>
        <w:spacing w:line="360" w:lineRule="auto"/>
        <w:widowControl/>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（八）首次响应文件解密：到达开启时间，“苏采云”系统自动提取所有响应文件，供应商按采购文件规定方式按时在线解密。本项目采购文件规定的供应商按时在线解密方式：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color w:val="auto"/>
          <w:sz w:val="24"/>
          <w:highlight w:val="none"/>
        </w:rPr>
        <w:t xml:space="preserve">开启时间后30分钟内</w:t>
      </w:r>
      <w:r>
        <w:rPr>
          <w:rFonts w:hint="eastAsia" w:ascii="宋体" w:hAnsi="宋体" w:eastAsia="宋体" w:cs="宋体"/>
          <w:color w:val="auto"/>
          <w:sz w:val="24"/>
          <w:highlight w:val="none"/>
        </w:rPr>
        <w:t xml:space="preserve">，通过“苏采云”系统（使用“CA数字证书”）解密。</w:t>
      </w:r>
      <w:r/>
    </w:p>
    <w:p>
      <w:pPr>
        <w:ind w:firstLine="480"/>
        <w:spacing w:line="360" w:lineRule="auto"/>
        <w:widowControl/>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（九）采购文件（后缀名为“.kedt”）、供应商操作手册及政府采购客户端工具可通过“苏采云”系统（网址：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highlight w:val="none"/>
        </w:rPr>
        <w:t xml:space="preserve">http://jszfcg.jsczt.cn/</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56"/>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（十）相关说明: 供应商在“苏采云”系统中提交首次响应文件的时间即为数据电文（响应文件，下同）的发送时间和接收时间。</w:t>
      </w:r>
      <w:r/>
    </w:p>
    <w:p>
      <w:pPr>
        <w:pStyle w:val="856"/>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十三、响应文件编制要求</w:t>
      </w:r>
      <w:r/>
    </w:p>
    <w:p>
      <w:pPr>
        <w:pStyle w:val="856"/>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请按照以下要求（包括但不限于以下要求）制作：</w:t>
      </w:r>
      <w:r/>
    </w:p>
    <w:p>
      <w:pPr>
        <w:pStyle w:val="856"/>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（一）基本目录</w:t>
      </w:r>
      <w:r/>
    </w:p>
    <w:p>
      <w:pPr>
        <w:ind w:firstLine="480"/>
        <w:spacing w:line="360" w:lineRule="auto"/>
        <w:widowControl/>
        <w:rPr>
          <w:rFonts w:hint="eastAsia" w:ascii="宋体" w:hAnsi="宋体" w:eastAsia="宋体" w:cs="宋体"/>
          <w:color w:val="auto"/>
          <w:sz w:val="24"/>
          <w:highlight w:val="none"/>
        </w:rPr>
        <w:outlineLvl w:val="2"/>
      </w:pPr>
      <w:r>
        <w:rPr>
          <w:rFonts w:hint="eastAsia" w:ascii="宋体" w:hAnsi="宋体" w:eastAsia="宋体" w:cs="宋体"/>
          <w:b/>
          <w:bCs/>
          <w:color w:val="auto"/>
          <w:sz w:val="24"/>
          <w:highlight w:val="none"/>
        </w:rPr>
        <w:t xml:space="preserve">1.《磋商报价表》</w:t>
      </w:r>
      <w:r>
        <w:rPr>
          <w:rFonts w:hint="eastAsia" w:ascii="宋体" w:hAnsi="宋体" w:eastAsia="宋体" w:cs="宋体"/>
          <w:color w:val="auto"/>
          <w:sz w:val="24"/>
          <w:highlight w:val="none"/>
        </w:rPr>
        <w:t xml:space="preserve">（加盖电子签章，格式见《磋商文件》附件。政府采购客户端工具输入报价自动生成）</w:t>
      </w:r>
      <w:r>
        <w:rPr>
          <w:rFonts w:hint="eastAsia" w:ascii="宋体" w:hAnsi="宋体" w:eastAsia="宋体" w:cs="宋体"/>
          <w:b/>
          <w:color w:val="auto"/>
          <w:sz w:val="24"/>
          <w:highlight w:val="none"/>
        </w:rPr>
        <w:t xml:space="preserve">（必须提供，否则响应无效）</w:t>
      </w:r>
      <w:r>
        <w:rPr>
          <w:rFonts w:hint="eastAsia" w:ascii="宋体" w:hAnsi="宋体" w:eastAsia="宋体" w:cs="宋体"/>
          <w:color w:val="auto"/>
          <w:sz w:val="24"/>
          <w:highlight w:val="none"/>
        </w:rPr>
        <w:t xml:space="preserve">；</w:t>
      </w:r>
      <w:r/>
    </w:p>
    <w:p>
      <w:pPr>
        <w:ind w:firstLine="480"/>
        <w:spacing w:line="360" w:lineRule="auto"/>
        <w:widowControl/>
        <w:rPr>
          <w:rFonts w:hint="eastAsia" w:ascii="宋体" w:hAnsi="宋体" w:eastAsia="宋体" w:cs="宋体"/>
          <w:b/>
          <w:bCs/>
          <w:color w:val="auto"/>
          <w:sz w:val="24"/>
          <w:highlight w:val="none"/>
        </w:rPr>
        <w:outlineLvl w:val="2"/>
      </w:pPr>
      <w:r>
        <w:rPr>
          <w:rFonts w:hint="eastAsia" w:ascii="宋体" w:hAnsi="宋体" w:eastAsia="宋体" w:cs="宋体"/>
          <w:b/>
          <w:bCs/>
          <w:color w:val="auto"/>
          <w:sz w:val="24"/>
          <w:highlight w:val="none"/>
        </w:rPr>
        <w:t xml:space="preserve">2.授权委托书（提供原件的扫描件，格式见《磋商文件》附件）</w:t>
      </w:r>
      <w:r>
        <w:rPr>
          <w:rFonts w:hint="eastAsia" w:ascii="宋体" w:hAnsi="宋体" w:eastAsia="宋体" w:cs="宋体"/>
          <w:b/>
          <w:color w:val="auto"/>
          <w:sz w:val="24"/>
          <w:highlight w:val="none"/>
        </w:rPr>
        <w:t xml:space="preserve">（必须提供，否则响应无效）</w:t>
      </w:r>
      <w:r>
        <w:rPr>
          <w:rFonts w:hint="eastAsia" w:ascii="宋体" w:hAnsi="宋体" w:eastAsia="宋体" w:cs="宋体"/>
          <w:b/>
          <w:bCs/>
          <w:color w:val="auto"/>
          <w:sz w:val="24"/>
          <w:highlight w:val="none"/>
        </w:rPr>
        <w:t xml:space="preserve">；</w:t>
      </w:r>
      <w:r/>
    </w:p>
    <w:p>
      <w:pPr>
        <w:ind w:firstLine="480"/>
        <w:spacing w:line="360" w:lineRule="auto"/>
        <w:widowControl/>
        <w:rPr>
          <w:rFonts w:hint="eastAsia" w:ascii="宋体" w:hAnsi="宋体" w:eastAsia="宋体" w:cs="宋体"/>
          <w:b/>
          <w:bCs/>
          <w:color w:val="auto"/>
          <w:sz w:val="24"/>
          <w:highlight w:val="none"/>
        </w:rPr>
        <w:outlineLvl w:val="2"/>
      </w:pPr>
      <w:r>
        <w:rPr>
          <w:rFonts w:hint="eastAsia" w:ascii="宋体" w:hAnsi="宋体" w:eastAsia="宋体" w:cs="宋体"/>
          <w:b/>
          <w:bCs/>
          <w:color w:val="auto"/>
          <w:sz w:val="24"/>
          <w:highlight w:val="none"/>
        </w:rPr>
        <w:t xml:space="preserve">3.授权委托书中受托人身份证原件的扫描件</w:t>
      </w:r>
      <w:r>
        <w:rPr>
          <w:rFonts w:hint="eastAsia" w:ascii="宋体" w:hAnsi="宋体" w:eastAsia="宋体" w:cs="宋体"/>
          <w:b/>
          <w:color w:val="auto"/>
          <w:sz w:val="24"/>
          <w:highlight w:val="none"/>
        </w:rPr>
        <w:t xml:space="preserve">（必须提供，否则响应无效）</w:t>
      </w:r>
      <w:r>
        <w:rPr>
          <w:rFonts w:hint="eastAsia" w:ascii="宋体" w:hAnsi="宋体" w:eastAsia="宋体" w:cs="宋体"/>
          <w:b/>
          <w:bCs/>
          <w:color w:val="auto"/>
          <w:sz w:val="24"/>
          <w:highlight w:val="none"/>
        </w:rPr>
        <w:t xml:space="preserve">；</w:t>
      </w:r>
      <w:r/>
    </w:p>
    <w:p>
      <w:pPr>
        <w:ind w:firstLine="482"/>
        <w:spacing w:line="360" w:lineRule="auto"/>
        <w:rPr>
          <w:rFonts w:hint="eastAsia" w:ascii="宋体" w:hAnsi="宋体" w:eastAsia="宋体" w:cs="宋体"/>
          <w:color w:val="auto"/>
          <w:highlight w:val="none"/>
        </w:rPr>
      </w:pP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供应商认为需要提供的其他资料（如有）。</w:t>
      </w:r>
      <w:r/>
    </w:p>
    <w:p>
      <w:pPr>
        <w:pStyle w:val="856"/>
        <w:ind w:firstLine="425"/>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（二）资格条件（1～6项必须提供，否则响应无效）</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1、具有独立承担民事责任的能力：提供合法有效的法人的营业执照或事业法人证书扫描件。以上证明文件提供原件的扫描件。  </w:t>
      </w:r>
      <w:r/>
    </w:p>
    <w:p>
      <w:pPr>
        <w:pStyle w:val="861"/>
        <w:ind w:left="0" w:firstLine="482"/>
        <w:spacing w:after="0"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2、具备履行合同所必需的设备和专业技术能力的证明材料。响应文件中提供《具备履行合同所必需的设备和专业技术能力的书面声明》（加盖电子签章，格式见《磋商文件》附件）。</w:t>
      </w:r>
      <w:r/>
    </w:p>
    <w:p>
      <w:pPr>
        <w:pStyle w:val="856"/>
        <w:ind w:firstLine="482"/>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3、具有良好的商业信誉和健全的财务会计制度:</w:t>
      </w:r>
      <w:r/>
    </w:p>
    <w:p>
      <w:pPr>
        <w:pStyle w:val="856"/>
        <w:ind w:firstLine="482"/>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即提供供应商的“首次响应文件提交的截止时间”前6个月内任何1月（不含“首次响应文件提交的截止时间”当月）的资产负债表和利润表月报表的扫描件各1份；或提供合法有效的经第三方机构审计的2024年度或2025年度财务审计报告（应包括审计报告正文、资产负债表、现金流量表、利润表（若供应商为事业单位则无须提供资产负债表、现金流量表、利润表））；或供应商的本项目“响应文件提交的截止时间”前6个月内银行出具的资信证明扫描件；</w:t>
      </w:r>
      <w:r/>
    </w:p>
    <w:p>
      <w:pPr>
        <w:pStyle w:val="856"/>
        <w:ind w:firstLine="482"/>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4.</w:t>
      </w:r>
      <w:r>
        <w:rPr>
          <w:rFonts w:hint="eastAsia" w:ascii="宋体" w:hAnsi="宋体" w:eastAsia="宋体" w:cs="宋体"/>
          <w:b w:val="0"/>
          <w:bCs w:val="0"/>
          <w:color w:val="auto"/>
          <w:sz w:val="24"/>
          <w:highlight w:val="none"/>
        </w:rPr>
        <w:t xml:space="preserve">有依法缴纳税收和社会保障资金的良好记录</w:t>
      </w:r>
      <w:r>
        <w:rPr>
          <w:rFonts w:hint="eastAsia" w:ascii="宋体" w:hAnsi="宋体" w:eastAsia="宋体" w:cs="宋体"/>
          <w:b w:val="0"/>
          <w:bCs w:val="0"/>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即提供供应商的“首次响应文件提交的截止时间”前6个月内任何1月的依法缴纳税收和社会保障资金的相关材料的扫描件（依法免税或不需要缴纳社会保障资金的供应商，应提供相应文件证明其依法免税或不需要缴纳社会保障资金）；</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val="en-US" w:eastAsia="zh-CN"/>
        </w:rPr>
        <w:t xml:space="preserve">5.</w:t>
      </w:r>
      <w:r>
        <w:rPr>
          <w:rFonts w:hint="eastAsia" w:ascii="宋体" w:hAnsi="宋体" w:eastAsia="宋体" w:cs="宋体"/>
          <w:b w:val="0"/>
          <w:bCs/>
          <w:color w:val="auto"/>
          <w:sz w:val="24"/>
          <w:highlight w:val="none"/>
        </w:rPr>
        <w:t xml:space="preserve">参加政府采购活动前三年内，在经营活动中没有重大违法记录：即提供供应商参加政府采购活动前3年内在经营活动中没有重大违法记录的书面声明（加盖电子签章，格式见《磋商文件》附件）；</w:t>
      </w:r>
      <w:r/>
    </w:p>
    <w:p>
      <w:pPr>
        <w:pStyle w:val="857"/>
        <w:numPr>
          <w:ilvl w:val="0"/>
          <w:numId w:val="0"/>
        </w:numPr>
        <w:ind w:right="-328" w:firstLine="480"/>
        <w:spacing w:line="360" w:lineRule="auto"/>
        <w:tabs>
          <w:tab w:val="left" w:pos="5578"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未被“信用中国”网站（www.creditchina.gov.cn）列入失信被执行人、重大税收违法案件当事人名单、政府采购严重失信行为记录名单</w:t>
      </w:r>
      <w:r>
        <w:rPr>
          <w:rFonts w:hint="eastAsia" w:ascii="宋体" w:hAnsi="宋体" w:eastAsia="宋体" w:cs="宋体"/>
          <w:color w:val="auto"/>
          <w:sz w:val="24"/>
          <w:szCs w:val="24"/>
          <w:highlight w:val="none"/>
          <w:lang w:val="en-US" w:eastAsia="zh-CN"/>
        </w:rPr>
        <w:t xml:space="preserve">。</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本项目特定资格要求：</w:t>
      </w:r>
      <w:r/>
    </w:p>
    <w:p>
      <w:pPr>
        <w:ind w:firstLine="723"/>
        <w:spacing w:line="360" w:lineRule="auto"/>
        <w:rPr>
          <w:rFonts w:hint="eastAsia" w:ascii="宋体" w:hAnsi="宋体" w:eastAsia="宋体" w:cs="宋体"/>
          <w:color w:val="auto"/>
          <w:highlight w:val="none"/>
        </w:rPr>
      </w:pPr>
      <w:r>
        <w:rPr>
          <w:rFonts w:hint="eastAsia" w:ascii="宋体" w:hAnsi="宋体" w:eastAsia="宋体" w:cs="宋体"/>
          <w:b/>
          <w:bCs/>
          <w:color w:val="auto"/>
          <w:sz w:val="24"/>
          <w:szCs w:val="24"/>
          <w:highlight w:val="none"/>
        </w:rPr>
        <w:t xml:space="preserve">无</w:t>
      </w:r>
      <w:r/>
    </w:p>
    <w:p>
      <w:pPr>
        <w:pStyle w:val="856"/>
        <w:ind w:firstLine="425"/>
        <w:spacing w:line="264" w:lineRule="auto"/>
        <w:rPr>
          <w:rFonts w:hint="eastAsia" w:ascii="宋体" w:hAnsi="宋体" w:eastAsia="宋体" w:cs="宋体"/>
          <w:bCs/>
          <w:color w:val="auto"/>
          <w:sz w:val="24"/>
          <w:highlight w:val="none"/>
        </w:rPr>
      </w:pPr>
      <w:r>
        <w:rPr>
          <w:rFonts w:hint="eastAsia" w:ascii="宋体" w:hAnsi="宋体" w:eastAsia="宋体" w:cs="宋体"/>
          <w:b/>
          <w:bCs w:val="0"/>
          <w:color w:val="auto"/>
          <w:sz w:val="24"/>
          <w:highlight w:val="none"/>
        </w:rPr>
        <w:t xml:space="preserve">（三）符合条件（必须提供</w:t>
      </w:r>
      <w:r>
        <w:rPr>
          <w:rFonts w:hint="eastAsia" w:ascii="宋体" w:hAnsi="宋体" w:eastAsia="宋体" w:cs="宋体"/>
          <w:b/>
          <w:bCs/>
          <w:color w:val="auto"/>
          <w:sz w:val="24"/>
          <w:highlight w:val="none"/>
        </w:rPr>
        <w:t xml:space="preserve">，否则</w:t>
      </w:r>
      <w:r>
        <w:rPr>
          <w:rFonts w:hint="eastAsia" w:ascii="宋体" w:hAnsi="宋体" w:eastAsia="宋体" w:cs="宋体"/>
          <w:b/>
          <w:color w:val="auto"/>
          <w:sz w:val="24"/>
          <w:highlight w:val="none"/>
        </w:rPr>
        <w:t xml:space="preserve">响应无效</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           </w:t>
      </w:r>
      <w:r/>
    </w:p>
    <w:p>
      <w:pPr>
        <w:ind w:firstLine="482"/>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1、《承诺书》（加盖电子签章，格式见《磋商文件》附件）；</w:t>
      </w:r>
      <w:r/>
    </w:p>
    <w:p>
      <w:pPr>
        <w:ind w:firstLine="482"/>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2、授权委托书（提供原件的扫描件，格式见《磋商文件》附件）；</w:t>
      </w:r>
      <w:r/>
    </w:p>
    <w:p>
      <w:pPr>
        <w:ind w:firstLine="482"/>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3、偏离表（加盖电子签章，格式见《磋商文件》附件）；</w:t>
      </w:r>
      <w:r/>
    </w:p>
    <w:p>
      <w:pPr>
        <w:ind w:firstLine="482"/>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4、分项价格表（加盖电子签章，格式《磋商文件》附件）；</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 w:val="0"/>
          <w:bCs w:val="0"/>
          <w:color w:val="auto"/>
          <w:sz w:val="24"/>
          <w:highlight w:val="none"/>
        </w:rPr>
        <w:t xml:space="preserve">5、法律法规和磋商文件约定的其他响应无效行为；</w:t>
      </w:r>
      <w:r/>
    </w:p>
    <w:p>
      <w:pPr>
        <w:pStyle w:val="856"/>
        <w:ind w:firstLine="480"/>
        <w:spacing w:line="264"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（四）综合评审评分项</w:t>
      </w:r>
      <w:r/>
    </w:p>
    <w:p>
      <w:pPr>
        <w:ind w:firstLine="482"/>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1、技术部分（要求见《磋商文件》中《评分细则》、《采购需求》）</w:t>
      </w:r>
      <w:r/>
    </w:p>
    <w:p>
      <w:pPr>
        <w:ind w:firstLine="482"/>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2、商务部分（要求见《磋商文件》中《评分细则》）</w:t>
      </w:r>
      <w:r/>
    </w:p>
    <w:p>
      <w:pPr>
        <w:ind w:firstLine="482"/>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3、评分细则中评分得分需提供的相关证明文件扫描件或供应商认为需要提供的其他资料扫描件。</w:t>
      </w:r>
      <w:r/>
    </w:p>
    <w:p>
      <w:pPr>
        <w:pStyle w:val="856"/>
        <w:ind w:firstLine="480"/>
        <w:spacing w:line="264"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（五）价格折扣文件格式</w:t>
      </w:r>
      <w:r/>
    </w:p>
    <w:p>
      <w:pPr>
        <w:pStyle w:val="856"/>
        <w:ind w:firstLine="48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bCs/>
          <w:color w:val="auto"/>
          <w:sz w:val="24"/>
          <w:szCs w:val="24"/>
          <w:highlight w:val="none"/>
        </w:rPr>
        <w:t xml:space="preserve">供应商为中小企业（含中型、小型、微型企业，下同）的，提供《中小企业声明函》（加盖电子签章，填写完整。格式见《磋商文件》第十章 响应文件相关格式）。</w:t>
      </w:r>
      <w:r>
        <w:rPr>
          <w:rFonts w:hint="eastAsia" w:ascii="宋体" w:hAnsi="宋体" w:eastAsia="宋体" w:cs="宋体"/>
          <w:b w:val="0"/>
          <w:color w:val="auto"/>
          <w:sz w:val="24"/>
          <w:szCs w:val="24"/>
          <w:highlight w:val="none"/>
        </w:rPr>
        <w:t xml:space="preserve">《中小企业声明函》查询渠道参考工业和信息化部发布的中小企业规模自测小程序。</w:t>
      </w:r>
      <w:r/>
    </w:p>
    <w:p>
      <w:pPr>
        <w:pStyle w:val="857"/>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注：中小企业（含中型、小型、微型企业，下同），应当同时符合以下条件：</w:t>
      </w:r>
      <w:r/>
    </w:p>
    <w:p>
      <w:pPr>
        <w:pStyle w:val="857"/>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 符合中小企业划分标准；</w:t>
      </w:r>
      <w:r/>
    </w:p>
    <w:p>
      <w:pPr>
        <w:pStyle w:val="857"/>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 提供本企业制造的货物、承担的工程或者服务，或者提供其他中小企业制造的货物。本项所称货物不包括使用大型企业注册商标的货物。小型、微型企业提供中型企业制造的货物的，视同为中型企业。</w:t>
      </w:r>
      <w:r/>
    </w:p>
    <w:p>
      <w:pPr>
        <w:pStyle w:val="857"/>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pStyle w:val="857"/>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响应供应商为残疾人福利性单位的，视同小微企业，提供《残疾人福利性单位声明函》（加盖公章，格式见磋商文件第七章《响应文件相关格式》）。具体</w:t>
      </w:r>
      <w:r>
        <w:rPr>
          <w:rFonts w:hint="eastAsia" w:ascii="宋体" w:hAnsi="宋体" w:eastAsia="宋体" w:cs="宋体"/>
          <w:color w:val="auto"/>
          <w:sz w:val="24"/>
          <w:szCs w:val="24"/>
          <w:highlight w:val="none"/>
        </w:rPr>
        <w:t xml:space="preserve">以《关于促进残疾人就业政府采购政策的通知》（财库〔2017〕141号）的规定为准。</w:t>
      </w:r>
      <w:r/>
    </w:p>
    <w:p>
      <w:pPr>
        <w:pStyle w:val="857"/>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响应供应商为监狱企业的，视同小微企业，提供省级以上监狱管理局、戒毒管理局（含新疆生产建设兵团）出具的属于监狱企业的证明文件复印件。具体以《财政部 司法部关于政府采购支持监狱企业发展有关问题的通知》（财库〔2014〕68号）的规定为准。</w:t>
      </w:r>
      <w:r/>
    </w:p>
    <w:p>
      <w:pPr>
        <w:pStyle w:val="857"/>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供应商为监狱企业的，提供省级以上监狱管理局、戒毒管理局（含新疆生产建设兵团）出具的属于监狱企业的证明文件复印件。</w:t>
      </w:r>
      <w:r/>
    </w:p>
    <w:p>
      <w:pPr>
        <w:pStyle w:val="857"/>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注：具体以《财政部司法部关于政府采购支持监狱企业发展有关问题的通知》（财库〔2014〕68号）的规定为准。</w:t>
      </w:r>
      <w:r/>
    </w:p>
    <w:p>
      <w:pPr>
        <w:pStyle w:val="857"/>
        <w:ind w:left="176" w:right="29"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供应商为享受政府采购支持政策的残疾人福利性单位的，提供《残疾人福利性单位声明函》原件（加盖公章，格式见《磋商文件》第十章 响应文件相关格式）。</w:t>
      </w:r>
      <w:r/>
    </w:p>
    <w:p>
      <w:pPr>
        <w:pStyle w:val="857"/>
        <w:ind w:firstLine="56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享受政府采购支持政策的残疾人福利性单位应当同时满足以下条件：</w:t>
      </w:r>
      <w:r/>
    </w:p>
    <w:p>
      <w:pPr>
        <w:pStyle w:val="857"/>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（一）安置的残疾人占本单位在职职工人数的比例不低于25%（含25%），并且安置的残疾人人数不少于10人（含10人）；</w:t>
      </w:r>
      <w:r/>
    </w:p>
    <w:p>
      <w:pPr>
        <w:pStyle w:val="857"/>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（二）依法与安置的每位残疾人签订了一年以上（含一年）的劳动合同或服务协议；</w:t>
      </w:r>
      <w:r/>
    </w:p>
    <w:p>
      <w:pPr>
        <w:pStyle w:val="857"/>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（三）为安置的每位残疾人按月足额缴纳了基本养老保险、基本医疗保险、失业保险、工伤保险和生育保险等社会保险费；</w:t>
      </w:r>
      <w:r/>
    </w:p>
    <w:p>
      <w:pPr>
        <w:pStyle w:val="857"/>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（四）通过银行等金融机构向安置的每位残疾人，按月支付了不低于单位所在区县适用的经省级人民政府批准的月最低工资标准的工资；</w:t>
      </w:r>
      <w:r/>
    </w:p>
    <w:p>
      <w:pPr>
        <w:pStyle w:val="857"/>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（五）提供本单位制造的货物、承担的工程或者服务（以下简称产品），或者提供其他残疾人福利性单位制造的货物（不包括使用非残疾人福利性单位注册商标的货物）。</w:t>
      </w:r>
      <w:r/>
    </w:p>
    <w:p>
      <w:pPr>
        <w:pStyle w:val="857"/>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具体以《三部门联合发布关于促进残疾人就业政府采购政策的通知》（财库〔2017〕141号）规定为准。</w:t>
      </w:r>
      <w:r/>
    </w:p>
    <w:p>
      <w:pPr>
        <w:pStyle w:val="856"/>
        <w:ind w:firstLine="482"/>
        <w:spacing w:line="264"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本项目不属于专门面对中小微企业项目。</w:t>
      </w:r>
      <w:r/>
    </w:p>
    <w:p>
      <w:pPr>
        <w:pStyle w:val="856"/>
        <w:ind w:left="0" w:firstLine="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（六）提交的首次响应文件的密封、签署、盖章要求：</w:t>
      </w:r>
      <w:r/>
    </w:p>
    <w:p>
      <w:pPr>
        <w:pStyle w:val="856"/>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1、密封（加密）要求：</w:t>
      </w:r>
      <w:r/>
    </w:p>
    <w:p>
      <w:pPr>
        <w:pStyle w:val="8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2、签署要求：见《磋商文件》第九章附件中相关格式要求</w:t>
      </w:r>
      <w:r>
        <w:rPr>
          <w:rFonts w:hint="eastAsia" w:ascii="宋体" w:hAnsi="宋体" w:eastAsia="宋体" w:cs="宋体"/>
          <w:b/>
          <w:bCs/>
          <w:color w:val="auto"/>
          <w:sz w:val="24"/>
          <w:szCs w:val="24"/>
          <w:highlight w:val="none"/>
        </w:rPr>
        <w:t xml:space="preserve">（特别提醒：竞争性磋商文件中如需“被授权代表签字或盖章”，供应商可打印成文档，签字或盖章后再扫描上传，最后再电子签章）。</w:t>
      </w:r>
      <w:r/>
    </w:p>
    <w:p>
      <w:pPr>
        <w:pStyle w:val="8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3、盖章要求：见《磋商文件》第九章附件中相关格式要求。供应商须通过“苏采云”系统提供的政府采购客户端工具（使用“CA数字证书”）加盖电子签章。</w:t>
      </w:r>
      <w:r/>
    </w:p>
    <w:p>
      <w:pPr>
        <w:pStyle w:val="856"/>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（七）通过“苏采云”系统提交政府采购客户端工具导出加密的响应文件（后缀名为zip）。响应文件不得超过150M！ </w:t>
      </w:r>
      <w:r/>
    </w:p>
    <w:p>
      <w:pPr>
        <w:pStyle w:val="856"/>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pStyle w:val="856"/>
        <w:ind w:firstLine="241"/>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供应商应当按照《磋商文件》的要求编制响应文件，并对其提交的响应文件的真实性、合法性承担法律责任。</w:t>
      </w:r>
      <w:r/>
    </w:p>
    <w:p>
      <w:pPr>
        <w:pStyle w:val="856"/>
        <w:ind w:firstLine="241"/>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 签订合同前，中标人必须向采购人提交其响应文件中所有扫描件的原件，采购人核查无误后，签订合同。如中标人不能在采购人规定的时间内向采购人提供原件，将被采购人视为放弃中标资格。</w:t>
      </w:r>
      <w:r/>
    </w:p>
    <w:p>
      <w:pPr>
        <w:pStyle w:val="856"/>
        <w:ind w:firstLine="24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3.采购人索取成交供应商的响应文件，须在双方签订政府采购合同后，由本代理公司提供给采购人。</w:t>
      </w:r>
      <w:r/>
    </w:p>
    <w:p>
      <w:pPr>
        <w:pStyle w:val="856"/>
        <w:ind w:firstLine="478"/>
        <w:jc w:val="center"/>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56"/>
        <w:ind w:firstLine="478"/>
        <w:jc w:val="center"/>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第四章 磋商相关说明</w:t>
      </w:r>
      <w:r/>
    </w:p>
    <w:p>
      <w:pPr>
        <w:pStyle w:val="856"/>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十四、磋商相关说明</w:t>
      </w:r>
      <w:r/>
    </w:p>
    <w:p>
      <w:pPr>
        <w:pStyle w:val="856"/>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（一）磋商要求</w:t>
      </w:r>
      <w:r/>
    </w:p>
    <w:p>
      <w:pPr>
        <w:pStyle w:val="856"/>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1、被邀请参与磋商的供应商需按本竞争性磋商文件要求的截止时间、方式（地点）提交首次响应文件，同时派人通过“苏采云”系统在“开标大厅”等待磋商。</w:t>
      </w:r>
      <w:r/>
    </w:p>
    <w:p>
      <w:pPr>
        <w:pStyle w:val="856"/>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2、供应商可通过CA数字证书，在首次响应文件开启时间后，使用CA数字证书在规定时间内解密各自响应文件。</w:t>
      </w:r>
      <w:r/>
    </w:p>
    <w:p>
      <w:pPr>
        <w:pStyle w:val="856"/>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3、供应商的授权代表或法人须全程守候在“苏采云”系统开标大厅，并确保视频设备正常使用。授权代表或法人须携带授权委托书原件及身份证原件，经磋商小组核查后参与磋商活动。</w:t>
      </w:r>
      <w:r/>
    </w:p>
    <w:p>
      <w:pPr>
        <w:pStyle w:val="856"/>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4、磋商顺序按照“苏采云”系统内供应商电子标书显示先后时间进行。</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856"/>
        <w:ind w:firstLine="480"/>
        <w:spacing w:line="360" w:lineRule="auto"/>
        <w:rPr>
          <w:rFonts w:hint="eastAsia" w:ascii="宋体" w:hAnsi="宋体" w:eastAsia="宋体" w:cs="宋体"/>
          <w:b/>
          <w:color w:val="auto"/>
          <w:sz w:val="24"/>
          <w:highlight w:val="none"/>
          <w:lang w:val="en-US" w:eastAsia="zh-CN" w:bidi="ar-SA"/>
        </w:rPr>
      </w:pPr>
      <w:r>
        <w:rPr>
          <w:rFonts w:hint="eastAsia" w:ascii="宋体" w:hAnsi="宋体" w:eastAsia="宋体" w:cs="宋体"/>
          <w:b/>
          <w:color w:val="auto"/>
          <w:sz w:val="24"/>
          <w:highlight w:val="none"/>
          <w:lang w:val="en-US" w:eastAsia="zh-CN" w:bidi="ar-SA"/>
        </w:rPr>
        <w:t xml:space="preserve">注：各供应商在未进行第二次报价前，请不要离开开标系统，随时接受评标委员会提出的二次报价，因供应商未能及时二次报价而引起的废标及损失，由供应商负责。</w:t>
      </w:r>
      <w:r/>
    </w:p>
    <w:p>
      <w:pPr>
        <w:pStyle w:val="856"/>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6、未在规定时间内进行答疑澄清的，视同放弃澄清。</w:t>
      </w:r>
      <w:r/>
    </w:p>
    <w:p>
      <w:pPr>
        <w:pStyle w:val="856"/>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7、未在规定时间内进行报价的，视为响应无效。</w:t>
      </w:r>
      <w:r/>
    </w:p>
    <w:p>
      <w:pPr>
        <w:pStyle w:val="856"/>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8、被邀请参与磋商的供应商如未按上述磋商要求执行，视同放弃磋商的权利。</w:t>
      </w:r>
      <w:r/>
    </w:p>
    <w:p>
      <w:pPr>
        <w:pStyle w:val="856"/>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（二）评审程序</w:t>
      </w:r>
      <w:r/>
    </w:p>
    <w:p>
      <w:pPr>
        <w:pStyle w:val="856"/>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1、经磋商确定最终采购需求和提交最后报价的供应商后，由磋商小组采用综合评分法对提交最后报价的供应商的响应文件和最后报价进行综合评分。</w:t>
      </w:r>
      <w:r/>
    </w:p>
    <w:p>
      <w:pPr>
        <w:pStyle w:val="8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2、磋商小组应当根据综合评分情况，按照评审得分由高到低顺序推荐成交候选供应商，并编写评审报告。评审得分相同的，按照最后报价由低到高的顺序推荐。评审得分且最后报价相同的，按照</w:t>
      </w:r>
      <w:r>
        <w:rPr>
          <w:rFonts w:hint="eastAsia" w:ascii="宋体" w:hAnsi="宋体" w:eastAsia="宋体" w:cs="宋体"/>
          <w:color w:val="auto"/>
          <w:sz w:val="24"/>
          <w:highlight w:val="none"/>
          <w:lang w:val="en-US" w:eastAsia="zh-CN"/>
        </w:rPr>
        <w:t xml:space="preserve">技术部分</w:t>
      </w:r>
      <w:r>
        <w:rPr>
          <w:rFonts w:hint="eastAsia" w:ascii="宋体" w:hAnsi="宋体" w:eastAsia="宋体" w:cs="宋体"/>
          <w:color w:val="auto"/>
          <w:sz w:val="24"/>
          <w:highlight w:val="none"/>
        </w:rPr>
        <w:t xml:space="preserve">优劣顺序推荐。</w:t>
      </w:r>
      <w:r/>
    </w:p>
    <w:p>
      <w:pPr>
        <w:ind w:firstLine="482"/>
        <w:jc w:val="left"/>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实施政府采购异常低价审查的有关要求：</w:t>
      </w:r>
      <w:r/>
    </w:p>
    <w:p>
      <w:pPr>
        <w:ind w:firstLine="480"/>
        <w:jc w:val="left"/>
        <w:pageBreakBefore w:val="0"/>
        <w:spacing w:line="312" w:lineRule="auto"/>
        <w:rPr>
          <w:rFonts w:hint="eastAsia" w:ascii="宋体" w:hAnsi="宋体" w:eastAsia="宋体" w:cs="宋体"/>
          <w:color w:val="auto"/>
          <w:sz w:val="24"/>
          <w:szCs w:val="24"/>
          <w:highlight w:val="none"/>
        </w:rPr>
      </w:pPr>
      <w:r/>
      <w:bookmarkStart w:id="0" w:name="OLE_LINK6"/>
      <w:r/>
      <w:bookmarkStart w:id="1" w:name="OLE_LINK5"/>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评审中出现下列情形之一的，评审（评标）委员会应当启动异常低价投标（响应）审查程序：</w:t>
      </w:r>
      <w:r/>
    </w:p>
    <w:p>
      <w:pPr>
        <w:ind w:firstLine="482"/>
        <w:jc w:val="left"/>
        <w:pageBreakBefore w:val="0"/>
        <w:spacing w:line="312"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投标（响应）报价低于全部通过符合性审查供应商投标（响应）报价平均值50%的，即投标（响应）报价&lt;全部通过符合性审查供应商投标（响应）报价平均值×50%；</w:t>
      </w:r>
      <w:r/>
    </w:p>
    <w:p>
      <w:pPr>
        <w:ind w:firstLine="482"/>
        <w:jc w:val="left"/>
        <w:pageBreakBefore w:val="0"/>
        <w:spacing w:line="312"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投标（响应）报价低于通过符合性审查的次低报价供应商投标（响应）报价50%的，即投标（响应）报价&lt;通过符合性审查的次低报价供应商投标（响应）报价×50%；</w:t>
      </w:r>
      <w:r/>
    </w:p>
    <w:p>
      <w:pPr>
        <w:ind w:firstLine="482"/>
        <w:jc w:val="left"/>
        <w:pageBreakBefore w:val="0"/>
        <w:spacing w:line="312"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投标（响应）报价低于采购项目最高限价（未设定最高限价的采购项目，以采购项目预算金额作为最高限价）45%的，即投标（响应）报价&lt;采购项目最高限价×45%；</w:t>
      </w:r>
      <w:r/>
    </w:p>
    <w:p>
      <w:pPr>
        <w:ind w:firstLine="482"/>
        <w:jc w:val="left"/>
        <w:pageBreakBefore w:val="0"/>
        <w:spacing w:line="312"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评审（评标）委员会基于专业判断，认为供应商报价过低，有可能影响产品质量或者不能诚信履约的其他情形。</w:t>
      </w:r>
      <w:r/>
    </w:p>
    <w:p>
      <w:pPr>
        <w:jc w:val="left"/>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相关法律法规对供应商报价有规定的，从其规定。</w:t>
      </w:r>
      <w:r/>
    </w:p>
    <w:p>
      <w:pPr>
        <w:ind w:firstLine="482"/>
        <w:jc w:val="left"/>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2"/>
        <w:jc w:val="left"/>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bookmarkEnd w:id="0"/>
      <w:r/>
      <w:bookmarkEnd w:id="1"/>
      <w:r/>
      <w:r/>
    </w:p>
    <w:p>
      <w:pPr>
        <w:pStyle w:val="856"/>
        <w:ind w:firstLine="480"/>
        <w:spacing w:line="360" w:lineRule="auto"/>
        <w:rPr>
          <w:rFonts w:hint="eastAsia" w:ascii="宋体" w:hAnsi="宋体" w:eastAsia="宋体" w:cs="宋体"/>
          <w:sz w:val="24"/>
          <w:szCs w:val="24"/>
          <w:lang w:eastAsia="zh-CN"/>
        </w:rPr>
      </w:pPr>
      <w:r>
        <w:rPr>
          <w:rFonts w:hint="eastAsia" w:ascii="宋体" w:hAnsi="宋体" w:eastAsia="宋体" w:cs="宋体"/>
          <w:color w:val="auto"/>
          <w:sz w:val="24"/>
          <w:szCs w:val="24"/>
          <w:highlight w:val="none"/>
        </w:rPr>
        <w:t xml:space="preserve">相关内容和要求见：《中华人民共和国政府采购法》、《中华人民共和国政府采购法实施条例》及《政府采购竞争性磋商采购方式管理暂行办法》</w:t>
      </w:r>
      <w:r>
        <w:rPr>
          <w:rFonts w:hint="eastAsia" w:ascii="宋体" w:hAnsi="宋体" w:eastAsia="宋体" w:cs="宋体"/>
          <w:color w:val="auto"/>
          <w:sz w:val="24"/>
          <w:szCs w:val="24"/>
          <w:highlight w:val="none"/>
          <w:lang w:eastAsia="zh-CN"/>
        </w:rPr>
        <w:t xml:space="preserve">。</w:t>
      </w:r>
      <w:r/>
    </w:p>
    <w:p>
      <w:pPr>
        <w:ind w:firstLine="47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bidi="ar-SA"/>
        </w:rPr>
        <w:t xml:space="preserve">特别说明：</w:t>
      </w:r>
      <w:r/>
    </w:p>
    <w:p>
      <w:pPr>
        <w:ind w:firstLine="482"/>
        <w:jc w:val="left"/>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bidi="ar-SA"/>
        </w:rPr>
        <w:t xml:space="preserve">根据《财政部关于政府采购竞争性磋商采购方式管理暂行办法有关问题的补充通知》(财库〔2015〕124号)规定，</w:t>
      </w:r>
      <w:r>
        <w:rPr>
          <w:rFonts w:hint="eastAsia" w:ascii="宋体" w:hAnsi="宋体" w:eastAsia="宋体" w:cs="宋体"/>
          <w:color w:val="auto"/>
          <w:sz w:val="24"/>
          <w:szCs w:val="24"/>
          <w:highlight w:val="none"/>
        </w:rPr>
        <w:t xml:space="preserve">采用竞争性</w:t>
      </w:r>
      <w:r>
        <w:rPr>
          <w:rFonts w:hint="eastAsia" w:ascii="宋体" w:hAnsi="宋体" w:eastAsia="宋体" w:cs="宋体"/>
          <w:color w:val="auto"/>
          <w:sz w:val="24"/>
          <w:szCs w:val="24"/>
          <w:highlight w:val="none"/>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856"/>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 (三) 查询及使用供应商信用记录</w:t>
      </w:r>
      <w:r/>
    </w:p>
    <w:p>
      <w:pPr>
        <w:pStyle w:val="857"/>
        <w:ind w:firstLine="480"/>
        <w:jc w:val="left"/>
        <w:pageBreakBefore w:val="0"/>
        <w:spacing w:line="312" w:lineRule="auto"/>
        <w:widowControl w:val="off"/>
        <w:rPr>
          <w:rStyle w:val="1213"/>
          <w:rFonts w:hint="eastAsia" w:ascii="宋体" w:hAnsi="宋体" w:eastAsia="宋体" w:cs="宋体"/>
          <w:color w:val="auto"/>
          <w:sz w:val="24"/>
          <w:szCs w:val="24"/>
          <w:highlight w:val="none"/>
        </w:rPr>
      </w:pPr>
      <w:r>
        <w:rPr>
          <w:rStyle w:val="1213"/>
          <w:rFonts w:hint="eastAsia" w:ascii="宋体" w:hAnsi="宋体" w:eastAsia="宋体" w:cs="宋体"/>
          <w:color w:val="auto"/>
          <w:sz w:val="24"/>
          <w:szCs w:val="24"/>
          <w:highlight w:val="none"/>
        </w:rPr>
        <w:t xml:space="preserve">⑴由采购人查询信用信息。</w:t>
      </w:r>
      <w:r/>
    </w:p>
    <w:p>
      <w:pPr>
        <w:pStyle w:val="857"/>
        <w:ind w:firstLine="480"/>
        <w:jc w:val="left"/>
        <w:pageBreakBefore w:val="0"/>
        <w:spacing w:line="312" w:lineRule="auto"/>
        <w:widowControl w:val="off"/>
        <w:rPr>
          <w:rStyle w:val="1213"/>
          <w:rFonts w:hint="eastAsia" w:ascii="宋体" w:hAnsi="宋体" w:eastAsia="宋体" w:cs="宋体"/>
          <w:color w:val="auto"/>
          <w:sz w:val="24"/>
          <w:szCs w:val="24"/>
          <w:highlight w:val="none"/>
        </w:rPr>
      </w:pPr>
      <w:r>
        <w:rPr>
          <w:rStyle w:val="1213"/>
          <w:rFonts w:hint="eastAsia" w:ascii="宋体" w:hAnsi="宋体" w:eastAsia="宋体" w:cs="宋体"/>
          <w:color w:val="auto"/>
          <w:sz w:val="24"/>
          <w:szCs w:val="24"/>
          <w:highlight w:val="none"/>
        </w:rPr>
        <w:t xml:space="preserve">⑵查询渠道包括：</w:t>
      </w:r>
      <w:r/>
    </w:p>
    <w:p>
      <w:pPr>
        <w:pStyle w:val="857"/>
        <w:ind w:firstLine="480"/>
        <w:jc w:val="left"/>
        <w:pageBreakBefore w:val="0"/>
        <w:spacing w:line="312" w:lineRule="auto"/>
        <w:widowControl w:val="off"/>
        <w:rPr>
          <w:rStyle w:val="1213"/>
          <w:rFonts w:hint="eastAsia" w:ascii="宋体" w:hAnsi="宋体" w:eastAsia="宋体" w:cs="宋体"/>
          <w:color w:val="auto"/>
          <w:sz w:val="24"/>
          <w:szCs w:val="24"/>
          <w:highlight w:val="none"/>
        </w:rPr>
      </w:pPr>
      <w:r>
        <w:rPr>
          <w:rStyle w:val="1213"/>
          <w:rFonts w:hint="eastAsia" w:ascii="宋体" w:hAnsi="宋体" w:eastAsia="宋体" w:cs="宋体"/>
          <w:color w:val="auto"/>
          <w:sz w:val="24"/>
          <w:szCs w:val="24"/>
          <w:highlight w:val="none"/>
        </w:rPr>
        <w:t xml:space="preserve">①“信用中国”网（www.creditchina.gov.cn）；</w:t>
      </w:r>
      <w:r/>
    </w:p>
    <w:p>
      <w:pPr>
        <w:pStyle w:val="857"/>
        <w:ind w:firstLine="480"/>
        <w:jc w:val="left"/>
        <w:pageBreakBefore w:val="0"/>
        <w:spacing w:line="312" w:lineRule="auto"/>
        <w:widowControl w:val="off"/>
        <w:rPr>
          <w:rStyle w:val="1213"/>
          <w:rFonts w:hint="eastAsia" w:ascii="宋体" w:hAnsi="宋体" w:eastAsia="宋体" w:cs="宋体"/>
          <w:color w:val="auto"/>
          <w:sz w:val="24"/>
          <w:szCs w:val="24"/>
          <w:highlight w:val="none"/>
        </w:rPr>
      </w:pPr>
      <w:r>
        <w:rPr>
          <w:rStyle w:val="1213"/>
          <w:rFonts w:hint="eastAsia" w:ascii="宋体" w:hAnsi="宋体" w:eastAsia="宋体" w:cs="宋体"/>
          <w:color w:val="auto"/>
          <w:sz w:val="24"/>
          <w:szCs w:val="24"/>
          <w:highlight w:val="none"/>
        </w:rPr>
        <w:t xml:space="preserve">②中国政府采购网（www.ccgp.gov.cn）；</w:t>
      </w:r>
      <w:r/>
    </w:p>
    <w:p>
      <w:pPr>
        <w:pStyle w:val="857"/>
        <w:ind w:firstLine="480"/>
        <w:jc w:val="left"/>
        <w:pageBreakBefore w:val="0"/>
        <w:spacing w:line="312" w:lineRule="auto"/>
        <w:widowControl w:val="off"/>
        <w:rPr>
          <w:rStyle w:val="1213"/>
          <w:rFonts w:hint="eastAsia" w:ascii="宋体" w:hAnsi="宋体" w:eastAsia="宋体" w:cs="宋体"/>
          <w:color w:val="auto"/>
          <w:sz w:val="24"/>
          <w:szCs w:val="24"/>
          <w:highlight w:val="none"/>
        </w:rPr>
      </w:pPr>
      <w:r>
        <w:rPr>
          <w:rStyle w:val="1213"/>
          <w:rFonts w:hint="eastAsia" w:ascii="宋体" w:hAnsi="宋体" w:eastAsia="宋体" w:cs="宋体"/>
          <w:color w:val="auto"/>
          <w:sz w:val="24"/>
          <w:szCs w:val="24"/>
          <w:highlight w:val="none"/>
        </w:rPr>
        <w:t xml:space="preserve">③“</w:t>
      </w:r>
      <w:r>
        <w:rPr>
          <w:rStyle w:val="1213"/>
          <w:rFonts w:hint="eastAsia" w:ascii="宋体" w:hAnsi="宋体" w:eastAsia="宋体" w:cs="宋体"/>
          <w:color w:val="auto"/>
          <w:sz w:val="24"/>
          <w:szCs w:val="24"/>
          <w:highlight w:val="none"/>
          <w:lang w:val="en-US" w:eastAsia="zh-CN"/>
        </w:rPr>
        <w:t xml:space="preserve">信用</w:t>
      </w:r>
      <w:r>
        <w:rPr>
          <w:rStyle w:val="1213"/>
          <w:rFonts w:hint="eastAsia" w:ascii="宋体" w:hAnsi="宋体" w:eastAsia="宋体" w:cs="宋体"/>
          <w:color w:val="auto"/>
          <w:sz w:val="24"/>
          <w:szCs w:val="24"/>
          <w:highlight w:val="none"/>
        </w:rPr>
        <w:t xml:space="preserve">江苏”网（http://www.jscredit.gov.cn/）；</w:t>
      </w:r>
      <w:r/>
    </w:p>
    <w:p>
      <w:pPr>
        <w:pStyle w:val="857"/>
        <w:ind w:firstLine="480"/>
        <w:jc w:val="left"/>
        <w:pageBreakBefore w:val="0"/>
        <w:spacing w:line="312" w:lineRule="auto"/>
        <w:widowControl w:val="off"/>
        <w:rPr>
          <w:rStyle w:val="1213"/>
          <w:rFonts w:hint="eastAsia" w:ascii="宋体" w:hAnsi="宋体" w:eastAsia="宋体" w:cs="宋体"/>
          <w:color w:val="auto"/>
          <w:sz w:val="24"/>
          <w:szCs w:val="24"/>
          <w:highlight w:val="none"/>
        </w:rPr>
      </w:pPr>
      <w:r>
        <w:rPr>
          <w:rStyle w:val="1213"/>
          <w:rFonts w:hint="eastAsia" w:ascii="宋体" w:hAnsi="宋体" w:eastAsia="宋体" w:cs="宋体"/>
          <w:color w:val="auto"/>
          <w:sz w:val="24"/>
          <w:szCs w:val="24"/>
          <w:highlight w:val="none"/>
          <w:lang w:val="en-US" w:eastAsia="zh-CN"/>
        </w:rPr>
        <w:t xml:space="preserve">④“信用中国（江苏徐州）”网（ http://</w:t>
      </w:r>
      <w:r>
        <w:rPr>
          <w:rStyle w:val="1213"/>
          <w:rFonts w:hint="eastAsia" w:ascii="宋体" w:hAnsi="宋体" w:eastAsia="宋体" w:cs="宋体"/>
          <w:color w:val="auto"/>
          <w:sz w:val="24"/>
          <w:szCs w:val="24"/>
          <w:highlight w:val="none"/>
          <w:lang w:val="en-US" w:eastAsia="zh-CN"/>
        </w:rPr>
        <w:fldChar w:fldCharType="begin"/>
      </w:r>
      <w:r>
        <w:rPr>
          <w:rStyle w:val="1213"/>
          <w:rFonts w:hint="eastAsia" w:ascii="宋体" w:hAnsi="宋体" w:eastAsia="宋体" w:cs="宋体"/>
          <w:color w:val="auto"/>
          <w:sz w:val="24"/>
          <w:szCs w:val="24"/>
          <w:highlight w:val="none"/>
          <w:lang w:val="en-US" w:eastAsia="zh-CN"/>
        </w:rPr>
        <w:instrText xml:space="preserve"> HYPERLINK "http://www.xuzhoucredit.gov.cn）。" </w:instrText>
      </w:r>
      <w:r>
        <w:rPr>
          <w:rStyle w:val="1213"/>
          <w:rFonts w:hint="eastAsia" w:ascii="宋体" w:hAnsi="宋体" w:eastAsia="宋体" w:cs="宋体"/>
          <w:color w:val="auto"/>
          <w:sz w:val="24"/>
          <w:szCs w:val="24"/>
          <w:highlight w:val="none"/>
          <w:lang w:val="en-US" w:eastAsia="zh-CN"/>
        </w:rPr>
        <w:fldChar w:fldCharType="separate"/>
      </w:r>
      <w:r>
        <w:rPr>
          <w:rStyle w:val="1213"/>
          <w:rFonts w:hint="eastAsia" w:ascii="宋体" w:hAnsi="宋体" w:eastAsia="宋体" w:cs="宋体"/>
          <w:color w:val="auto"/>
          <w:sz w:val="24"/>
          <w:szCs w:val="24"/>
          <w:highlight w:val="none"/>
          <w:lang w:val="en-US" w:eastAsia="zh-CN"/>
        </w:rPr>
        <w:t xml:space="preserve">www.xuzhoucredit.gov.cn）。</w:t>
      </w:r>
      <w:r>
        <w:rPr>
          <w:rStyle w:val="1213"/>
          <w:rFonts w:hint="eastAsia" w:ascii="宋体" w:hAnsi="宋体" w:eastAsia="宋体" w:cs="宋体"/>
          <w:color w:val="auto"/>
          <w:sz w:val="24"/>
          <w:szCs w:val="24"/>
          <w:highlight w:val="none"/>
          <w:lang w:val="en-US" w:eastAsia="zh-CN"/>
        </w:rPr>
        <w:fldChar w:fldCharType="end"/>
      </w:r>
      <w:r/>
    </w:p>
    <w:p>
      <w:pPr>
        <w:pStyle w:val="857"/>
        <w:ind w:firstLine="480"/>
        <w:jc w:val="left"/>
        <w:pageBreakBefore w:val="0"/>
        <w:spacing w:line="312" w:lineRule="auto"/>
        <w:widowControl w:val="off"/>
        <w:rPr>
          <w:rStyle w:val="1213"/>
          <w:rFonts w:hint="eastAsia" w:ascii="宋体" w:hAnsi="宋体" w:eastAsia="宋体" w:cs="宋体"/>
          <w:color w:val="auto"/>
          <w:sz w:val="24"/>
          <w:szCs w:val="24"/>
          <w:highlight w:val="none"/>
        </w:rPr>
      </w:pPr>
      <w:r>
        <w:rPr>
          <w:rStyle w:val="1213"/>
          <w:rFonts w:hint="eastAsia" w:ascii="宋体" w:hAnsi="宋体" w:eastAsia="宋体" w:cs="宋体"/>
          <w:color w:val="auto"/>
          <w:sz w:val="24"/>
          <w:szCs w:val="24"/>
          <w:highlight w:val="none"/>
        </w:rPr>
        <w:t xml:space="preserve">⑶截止时点（查询环节）：首次响应文件开启后资格审查结束前。</w:t>
      </w:r>
      <w:r/>
    </w:p>
    <w:p>
      <w:pPr>
        <w:pStyle w:val="857"/>
        <w:ind w:firstLine="480"/>
        <w:jc w:val="left"/>
        <w:pageBreakBefore w:val="0"/>
        <w:spacing w:line="312" w:lineRule="auto"/>
        <w:widowControl w:val="off"/>
        <w:rPr>
          <w:rStyle w:val="1213"/>
          <w:rFonts w:hint="eastAsia" w:ascii="宋体" w:hAnsi="宋体" w:eastAsia="宋体" w:cs="宋体"/>
          <w:color w:val="auto"/>
          <w:sz w:val="24"/>
          <w:szCs w:val="24"/>
          <w:highlight w:val="none"/>
        </w:rPr>
      </w:pPr>
      <w:r>
        <w:rPr>
          <w:rStyle w:val="1213"/>
          <w:rFonts w:hint="eastAsia" w:ascii="宋体" w:hAnsi="宋体" w:eastAsia="宋体" w:cs="宋体"/>
          <w:color w:val="auto"/>
          <w:sz w:val="24"/>
          <w:szCs w:val="24"/>
          <w:highlight w:val="none"/>
        </w:rPr>
        <w:t xml:space="preserve">⑷信用信息查询记录和证据留存的具体方式：网页截屏打印，与其他采购文件一并保存。</w:t>
      </w:r>
      <w:r/>
    </w:p>
    <w:p>
      <w:pPr>
        <w:pStyle w:val="857"/>
        <w:ind w:firstLine="480"/>
        <w:jc w:val="left"/>
        <w:pageBreakBefore w:val="0"/>
        <w:spacing w:line="312" w:lineRule="auto"/>
        <w:widowControl w:val="off"/>
        <w:rPr>
          <w:rStyle w:val="1213"/>
          <w:rFonts w:hint="eastAsia" w:ascii="宋体" w:hAnsi="宋体" w:eastAsia="宋体" w:cs="宋体"/>
          <w:color w:val="auto"/>
          <w:sz w:val="24"/>
          <w:szCs w:val="24"/>
          <w:highlight w:val="none"/>
        </w:rPr>
      </w:pPr>
      <w:r>
        <w:rPr>
          <w:rStyle w:val="1213"/>
          <w:rFonts w:hint="eastAsia" w:ascii="宋体" w:hAnsi="宋体" w:eastAsia="宋体" w:cs="宋体"/>
          <w:color w:val="auto"/>
          <w:sz w:val="24"/>
          <w:szCs w:val="24"/>
          <w:highlight w:val="none"/>
        </w:rPr>
        <w:t xml:space="preserve">⑸信用信息的使用规则：</w:t>
      </w:r>
      <w:r/>
    </w:p>
    <w:p>
      <w:pPr>
        <w:pStyle w:val="857"/>
        <w:ind w:firstLine="480"/>
        <w:jc w:val="left"/>
        <w:pageBreakBefore w:val="0"/>
        <w:spacing w:line="312" w:lineRule="auto"/>
        <w:widowControl w:val="off"/>
        <w:rPr>
          <w:rStyle w:val="1213"/>
          <w:rFonts w:hint="eastAsia" w:ascii="宋体" w:hAnsi="宋体" w:eastAsia="宋体" w:cs="宋体"/>
          <w:color w:val="auto"/>
          <w:sz w:val="24"/>
          <w:szCs w:val="24"/>
          <w:highlight w:val="none"/>
        </w:rPr>
      </w:pPr>
      <w:r>
        <w:rPr>
          <w:rStyle w:val="1213"/>
          <w:rFonts w:hint="eastAsia" w:ascii="宋体" w:hAnsi="宋体" w:eastAsia="宋体" w:cs="宋体"/>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56"/>
        <w:ind w:firstLine="478"/>
        <w:spacing w:line="264"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十五、评审方法和评审标准</w:t>
      </w:r>
      <w:r/>
    </w:p>
    <w:p>
      <w:pPr>
        <w:pStyle w:val="856"/>
        <w:ind w:firstLine="478"/>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1.评审方法：综合评分法</w:t>
      </w:r>
      <w:r/>
    </w:p>
    <w:p>
      <w:pPr>
        <w:pStyle w:val="856"/>
        <w:ind w:left="2" w:right="29" w:firstLine="480"/>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2.评审标准：详见《磋商文件》附件1.《评分细则》</w:t>
      </w:r>
      <w:r/>
    </w:p>
    <w:p>
      <w:pPr>
        <w:pStyle w:val="856"/>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856"/>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多家供应商提供的核心产品品牌相同的作为一个供应商计算，以质量和服务均能满足采购文件实质性响应要求且报价最低的供应商作为该品牌的供应商。</w:t>
      </w:r>
      <w:r/>
    </w:p>
    <w:p>
      <w:pPr>
        <w:pStyle w:val="856"/>
        <w:ind w:right="29"/>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十六、</w:t>
      </w:r>
      <w:r>
        <w:rPr>
          <w:rFonts w:hint="eastAsia" w:ascii="宋体" w:hAnsi="宋体" w:eastAsia="宋体" w:cs="宋体"/>
          <w:color w:val="auto"/>
          <w:sz w:val="24"/>
          <w:highlight w:val="none"/>
        </w:rPr>
        <w:t xml:space="preserve">磋商过程中可能实质性变动的内容：在磋商过程中，磋商小组可以根据《磋商文件》和磋商情况实质性变动采购需求中的技术、服务要求以及拟签订的合同文本。</w:t>
      </w:r>
      <w:r/>
    </w:p>
    <w:p>
      <w:pPr>
        <w:pStyle w:val="856"/>
        <w:ind w:right="29"/>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十七、</w:t>
      </w:r>
      <w:r>
        <w:rPr>
          <w:rFonts w:hint="eastAsia" w:ascii="宋体" w:hAnsi="宋体" w:eastAsia="宋体" w:cs="宋体"/>
          <w:color w:val="auto"/>
          <w:sz w:val="24"/>
          <w:highlight w:val="none"/>
        </w:rPr>
        <w:t xml:space="preserve">采购人有权对供应商的响应文件的真实性进行核实，如供应商不能在采购人规定的时间内向采购人提供有效的证明文件，将被采购人视为放弃中标（成交）资格。</w:t>
      </w:r>
      <w:r/>
    </w:p>
    <w:p>
      <w:pPr>
        <w:pStyle w:val="8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6"/>
        <w:numPr>
          <w:ilvl w:val="0"/>
          <w:numId w:val="1"/>
        </w:numPr>
        <w:ind w:left="2" w:right="29" w:firstLine="2493"/>
        <w:jc w:val="both"/>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确定成交供应商及合同签订等</w:t>
      </w:r>
      <w:r/>
    </w:p>
    <w:p>
      <w:pPr>
        <w:pStyle w:val="858"/>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6"/>
        <w:ind w:right="29" w:firstLine="480"/>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十八、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856"/>
        <w:ind w:firstLine="480"/>
        <w:jc w:val="left"/>
        <w:spacing w:line="360" w:lineRule="auto"/>
        <w:widowControl/>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十九、采购人与成交供应商应当在成交通知书发出之日起30日内，按照《磋商文件》确定的合同文本以及采购标的、规格型号、采购金额、采购数量、技术和服务要求等事项签订政府采购合同。</w:t>
      </w:r>
      <w:r/>
    </w:p>
    <w:p>
      <w:pPr>
        <w:pStyle w:val="856"/>
        <w:ind w:firstLine="482"/>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pStyle w:val="856"/>
        <w:ind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二十、签订合同前，成交供应商必须向采购人提交其响应文件中所有扫描件的原件，采购人核查无误后，签订合同。如成交供应商人不能在采购人规定的时间内向采购人提供原件，将被采购人视为放弃中标（成交）资格。</w:t>
      </w:r>
      <w:r/>
    </w:p>
    <w:p>
      <w:pPr>
        <w:pStyle w:val="856"/>
        <w:ind w:firstLine="480"/>
        <w:jc w:val="left"/>
        <w:spacing w:line="264"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56"/>
        <w:ind w:firstLine="480"/>
        <w:jc w:val="center"/>
        <w:spacing w:line="264"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第六章 磋商文件的澄清或者修改</w:t>
      </w:r>
      <w:r/>
    </w:p>
    <w:p>
      <w:pPr>
        <w:pStyle w:val="856"/>
        <w:ind w:firstLine="480"/>
        <w:jc w:val="left"/>
        <w:spacing w:line="264"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56"/>
        <w:ind w:firstLine="480"/>
        <w:jc w:val="left"/>
        <w:spacing w:line="264"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二十一、《磋商文件》的澄清或者修改</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p>
    <w:p>
      <w:pPr>
        <w:pStyle w:val="856"/>
        <w:ind w:firstLine="480"/>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56"/>
        <w:ind w:firstLine="480"/>
        <w:jc w:val="center"/>
        <w:spacing w:line="264"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第七章 询问和质疑</w:t>
      </w:r>
      <w:r/>
    </w:p>
    <w:p>
      <w:pPr>
        <w:pStyle w:val="856"/>
        <w:ind w:firstLine="480"/>
        <w:jc w:val="center"/>
        <w:spacing w:line="264"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56"/>
        <w:ind w:firstLine="480"/>
        <w:jc w:val="left"/>
        <w:spacing w:line="264"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二十二、询问和质疑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2、供应商针对同一采购程序环节的质疑应当在法定质疑期内一次性提出。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3、质疑和投诉按《政府采购质疑和投诉办法》执行。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4、接收质疑函的方式：供应商直接送交或供应商通过EMS邮寄。</w:t>
      </w:r>
      <w:r/>
    </w:p>
    <w:p>
      <w:pPr>
        <w:pStyle w:val="856"/>
        <w:ind w:firstLine="480"/>
        <w:spacing w:line="264"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质疑接收人：</w:t>
      </w:r>
      <w:r>
        <w:rPr>
          <w:rFonts w:hint="eastAsia" w:ascii="宋体" w:hAnsi="宋体" w:eastAsia="宋体" w:cs="宋体"/>
          <w:color w:val="auto"/>
          <w:sz w:val="24"/>
          <w:highlight w:val="none"/>
          <w:lang w:val="en-US" w:eastAsia="zh-CN"/>
        </w:rPr>
        <w:t xml:space="preserve">陈盼</w:t>
      </w:r>
      <w:r>
        <w:rPr>
          <w:rFonts w:hint="eastAsia" w:ascii="宋体" w:hAnsi="宋体" w:eastAsia="宋体" w:cs="宋体"/>
          <w:color w:val="auto"/>
          <w:sz w:val="24"/>
          <w:highlight w:val="none"/>
        </w:rPr>
        <w:t xml:space="preserve">   联系电话：</w:t>
      </w:r>
      <w:r>
        <w:rPr>
          <w:rFonts w:hint="eastAsia" w:ascii="宋体" w:hAnsi="宋体" w:eastAsia="宋体" w:cs="宋体"/>
          <w:color w:val="auto"/>
          <w:sz w:val="24"/>
          <w:highlight w:val="none"/>
          <w:lang w:val="en-US" w:eastAsia="zh-CN"/>
        </w:rPr>
        <w:t xml:space="preserve">13013933301</w:t>
      </w:r>
      <w:r/>
    </w:p>
    <w:p>
      <w:pPr>
        <w:pStyle w:val="856"/>
        <w:ind w:firstLine="480"/>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地址：徐州市新城区绿地商务城loftB406室</w:t>
      </w:r>
      <w:r>
        <w:rPr>
          <w:rFonts w:hint="eastAsia" w:ascii="宋体" w:hAnsi="宋体" w:eastAsia="宋体" w:cs="宋体"/>
          <w:color w:val="auto"/>
          <w:sz w:val="24"/>
          <w:highlight w:val="none"/>
        </w:rPr>
        <w:t xml:space="preserve">。 </w:t>
      </w:r>
      <w:r/>
    </w:p>
    <w:p>
      <w:pPr>
        <w:pStyle w:val="856"/>
        <w:ind w:firstLine="480"/>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56"/>
        <w:numPr>
          <w:ilvl w:val="0"/>
          <w:numId w:val="2"/>
        </w:numPr>
        <w:ind w:firstLine="480"/>
        <w:jc w:val="center"/>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联系方式</w:t>
      </w:r>
      <w:r/>
    </w:p>
    <w:p>
      <w:pPr>
        <w:pStyle w:val="856"/>
        <w:ind w:firstLine="480"/>
        <w:jc w:val="left"/>
        <w:spacing w:line="264"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1.采购人信息</w:t>
      </w:r>
      <w:r/>
    </w:p>
    <w:p>
      <w:pPr>
        <w:pStyle w:val="856"/>
        <w:ind w:firstLine="480"/>
        <w:jc w:val="left"/>
        <w:spacing w:line="264"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名    称：</w:t>
      </w:r>
      <w:r>
        <w:rPr>
          <w:rFonts w:hint="eastAsia" w:ascii="宋体" w:hAnsi="宋体" w:eastAsia="宋体" w:cs="宋体"/>
          <w:color w:val="auto"/>
          <w:sz w:val="24"/>
          <w:highlight w:val="none"/>
        </w:rPr>
        <w:t xml:space="preserve">徐州市水务局</w:t>
      </w:r>
      <w:r/>
    </w:p>
    <w:p>
      <w:pPr>
        <w:pStyle w:val="856"/>
        <w:ind w:firstLine="480"/>
        <w:jc w:val="left"/>
        <w:spacing w:line="264"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地    址：徐州市云龙区新安路9号</w:t>
      </w:r>
      <w:r/>
    </w:p>
    <w:p>
      <w:pPr>
        <w:pStyle w:val="856"/>
        <w:ind w:firstLine="480"/>
        <w:jc w:val="left"/>
        <w:spacing w:line="264"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联系方式：0516-8080</w:t>
      </w:r>
      <w:r>
        <w:rPr>
          <w:rFonts w:hint="eastAsia" w:ascii="宋体" w:hAnsi="宋体" w:eastAsia="宋体" w:cs="宋体"/>
          <w:bCs/>
          <w:color w:val="auto"/>
          <w:sz w:val="24"/>
          <w:highlight w:val="none"/>
          <w:lang w:val="en-US" w:eastAsia="zh-CN"/>
        </w:rPr>
        <w:t xml:space="preserve">2038</w:t>
      </w:r>
      <w:r/>
    </w:p>
    <w:p>
      <w:pPr>
        <w:pStyle w:val="856"/>
        <w:ind w:firstLine="480"/>
        <w:jc w:val="left"/>
        <w:spacing w:line="264"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2.采购代理机构信息</w:t>
      </w:r>
      <w:r/>
    </w:p>
    <w:p>
      <w:pPr>
        <w:pStyle w:val="856"/>
        <w:ind w:firstLine="480"/>
        <w:jc w:val="left"/>
        <w:spacing w:line="264"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名    称：</w:t>
      </w:r>
      <w:r>
        <w:rPr>
          <w:rFonts w:hint="eastAsia" w:ascii="宋体" w:hAnsi="宋体" w:eastAsia="宋体" w:cs="宋体"/>
          <w:bCs/>
          <w:color w:val="auto"/>
          <w:sz w:val="24"/>
          <w:highlight w:val="none"/>
          <w:lang w:eastAsia="zh-CN"/>
        </w:rPr>
        <w:t xml:space="preserve">江苏建联工程管理有限公司</w:t>
      </w:r>
      <w:r/>
    </w:p>
    <w:p>
      <w:pPr>
        <w:pStyle w:val="856"/>
        <w:ind w:firstLine="480"/>
        <w:jc w:val="left"/>
        <w:spacing w:line="264"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地    址：</w:t>
      </w:r>
      <w:r>
        <w:rPr>
          <w:rFonts w:hint="eastAsia" w:ascii="宋体" w:hAnsi="宋体" w:eastAsia="宋体" w:cs="宋体"/>
          <w:color w:val="auto"/>
          <w:sz w:val="24"/>
          <w:highlight w:val="none"/>
          <w:lang w:val="en-US" w:eastAsia="zh-CN"/>
        </w:rPr>
        <w:t xml:space="preserve">徐州市新城区绿地商务城loftB406室</w:t>
      </w:r>
      <w:r>
        <w:rPr>
          <w:rFonts w:hint="eastAsia" w:ascii="宋体" w:hAnsi="宋体" w:eastAsia="宋体" w:cs="宋体"/>
          <w:color w:val="auto"/>
          <w:sz w:val="24"/>
          <w:highlight w:val="none"/>
        </w:rPr>
        <w:t xml:space="preserve">。 </w:t>
      </w:r>
      <w:r/>
    </w:p>
    <w:p>
      <w:pPr>
        <w:pStyle w:val="856"/>
        <w:ind w:firstLine="480"/>
        <w:spacing w:line="264" w:lineRule="auto"/>
        <w:rPr>
          <w:rFonts w:hint="eastAsia" w:ascii="宋体" w:hAnsi="宋体" w:eastAsia="宋体" w:cs="宋体"/>
          <w:color w:val="auto"/>
          <w:sz w:val="24"/>
          <w:highlight w:val="none"/>
          <w:lang w:val="en-US" w:eastAsia="zh-CN"/>
        </w:rPr>
      </w:pPr>
      <w:r>
        <w:rPr>
          <w:rFonts w:hint="eastAsia" w:ascii="宋体" w:hAnsi="宋体" w:eastAsia="宋体" w:cs="宋体"/>
          <w:bCs/>
          <w:color w:val="auto"/>
          <w:sz w:val="24"/>
          <w:highlight w:val="none"/>
        </w:rPr>
        <w:t xml:space="preserve">联系方式：</w:t>
      </w:r>
      <w:r>
        <w:rPr>
          <w:rFonts w:hint="eastAsia" w:ascii="宋体" w:hAnsi="宋体" w:eastAsia="宋体" w:cs="宋体"/>
          <w:color w:val="auto"/>
          <w:sz w:val="24"/>
          <w:highlight w:val="none"/>
          <w:lang w:val="en-US" w:eastAsia="zh-CN"/>
        </w:rPr>
        <w:t xml:space="preserve">13013933301</w:t>
      </w:r>
      <w:r/>
    </w:p>
    <w:p>
      <w:pPr>
        <w:pStyle w:val="8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6"/>
        <w:jc w:val="both"/>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56"/>
        <w:numPr>
          <w:ilvl w:val="0"/>
          <w:numId w:val="2"/>
        </w:numPr>
        <w:ind w:left="0" w:firstLine="480"/>
        <w:jc w:val="center"/>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附件</w:t>
      </w:r>
      <w:r/>
    </w:p>
    <w:p>
      <w:pPr>
        <w:pStyle w:val="859"/>
        <w:numPr>
          <w:ilvl w:val="0"/>
          <w:numId w:val="0"/>
        </w:numPr>
        <w:jc w:val="both"/>
        <w:spacing w:after="120" w:line="274"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二十三、成交供应商在领取成交通知书前，向采购代理机构缴纳代理服务费，收取标准见附件。</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 xml:space="preserve">二十四、本项目不属于专门面对中小微企业项目。</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二十五、采购人确定的采购项目属性：</w:t>
      </w:r>
      <w:r>
        <w:rPr>
          <w:rFonts w:hint="eastAsia" w:ascii="宋体" w:hAnsi="宋体" w:eastAsia="宋体" w:cs="宋体"/>
          <w:b/>
          <w:bCs/>
          <w:color w:val="auto"/>
          <w:sz w:val="24"/>
          <w:highlight w:val="none"/>
          <w:lang w:val="en-US" w:eastAsia="zh-CN"/>
        </w:rPr>
        <w:t xml:space="preserve">服务</w:t>
      </w:r>
      <w:r>
        <w:rPr>
          <w:rFonts w:hint="eastAsia" w:ascii="宋体" w:hAnsi="宋体" w:eastAsia="宋体" w:cs="宋体"/>
          <w:b/>
          <w:bCs/>
          <w:color w:val="auto"/>
          <w:sz w:val="24"/>
          <w:highlight w:val="none"/>
        </w:rPr>
        <w:t xml:space="preserve">。</w:t>
      </w:r>
      <w:r/>
    </w:p>
    <w:p>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二十</w:t>
      </w:r>
      <w:r>
        <w:rPr>
          <w:rFonts w:hint="eastAsia" w:ascii="宋体" w:hAnsi="宋体" w:eastAsia="宋体" w:cs="宋体"/>
          <w:b/>
          <w:bCs/>
          <w:color w:val="auto"/>
          <w:sz w:val="24"/>
          <w:highlight w:val="none"/>
          <w:lang w:val="en-US" w:eastAsia="zh-CN"/>
        </w:rPr>
        <w:t xml:space="preserve">六</w:t>
      </w:r>
      <w:r>
        <w:rPr>
          <w:rFonts w:hint="eastAsia" w:ascii="宋体" w:hAnsi="宋体" w:eastAsia="宋体" w:cs="宋体"/>
          <w:b/>
          <w:bCs/>
          <w:color w:val="auto"/>
          <w:sz w:val="24"/>
          <w:highlight w:val="none"/>
        </w:rPr>
        <w:t xml:space="preserve">、附件：附后。</w:t>
      </w:r>
      <w:r/>
    </w:p>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附件：</w:t>
      </w:r>
      <w:r/>
    </w:p>
    <w:p>
      <w:pPr>
        <w:pStyle w:val="856"/>
        <w:ind w:firstLine="972"/>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1.《评分细则》</w:t>
      </w:r>
      <w:r/>
    </w:p>
    <w:p>
      <w:pPr>
        <w:pStyle w:val="856"/>
        <w:ind w:firstLine="972"/>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2.《项目要求（采购需求）》</w:t>
      </w:r>
      <w:r/>
    </w:p>
    <w:p>
      <w:pPr>
        <w:pStyle w:val="856"/>
        <w:ind w:firstLine="972"/>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3.《磋商报价表》</w:t>
      </w:r>
      <w:r/>
    </w:p>
    <w:p>
      <w:pPr>
        <w:pStyle w:val="856"/>
        <w:ind w:firstLine="972"/>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4.《分项价格表》</w:t>
      </w:r>
      <w:r/>
    </w:p>
    <w:p>
      <w:pPr>
        <w:pStyle w:val="856"/>
        <w:ind w:firstLine="972"/>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5.《偏离表》</w:t>
      </w:r>
      <w:r/>
    </w:p>
    <w:p>
      <w:pPr>
        <w:pStyle w:val="856"/>
        <w:ind w:firstLine="972"/>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6.《合同草案条款》</w:t>
      </w:r>
      <w:r/>
    </w:p>
    <w:p>
      <w:pPr>
        <w:pStyle w:val="856"/>
        <w:ind w:firstLine="972"/>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7.《承诺书》</w:t>
      </w:r>
      <w:r/>
    </w:p>
    <w:p>
      <w:pPr>
        <w:pStyle w:val="856"/>
        <w:ind w:firstLine="972"/>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8.《授权委托书》</w:t>
      </w:r>
      <w:r/>
    </w:p>
    <w:p>
      <w:pPr>
        <w:pStyle w:val="856"/>
        <w:ind w:firstLine="972"/>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9.《中小企业声明函》</w:t>
      </w:r>
      <w:r/>
    </w:p>
    <w:p>
      <w:pPr>
        <w:pStyle w:val="856"/>
        <w:ind w:firstLine="972"/>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10.《供应商参加政府采购活动前3年内在经营活动中没有重大违法记录的书面声明》</w:t>
      </w:r>
      <w:r/>
    </w:p>
    <w:p>
      <w:pPr>
        <w:pStyle w:val="856"/>
        <w:ind w:firstLine="972"/>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11.《残疾人福利性单位声明函》</w:t>
      </w:r>
      <w:r/>
    </w:p>
    <w:p>
      <w:pPr>
        <w:pStyle w:val="856"/>
        <w:ind w:firstLine="972"/>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w:t>
      </w:r>
      <w:r>
        <w:rPr>
          <w:rFonts w:hint="eastAsia" w:ascii="宋体" w:hAnsi="宋体" w:eastAsia="宋体" w:cs="宋体"/>
          <w:bCs/>
          <w:color w:val="auto"/>
          <w:sz w:val="28"/>
          <w:szCs w:val="28"/>
          <w:highlight w:val="none"/>
        </w:rPr>
        <w:t xml:space="preserve">《</w:t>
      </w:r>
      <w:r>
        <w:rPr>
          <w:rFonts w:hint="eastAsia" w:ascii="宋体" w:hAnsi="宋体" w:eastAsia="宋体" w:cs="宋体"/>
          <w:bCs/>
          <w:color w:val="auto"/>
          <w:sz w:val="24"/>
          <w:highlight w:val="none"/>
        </w:rPr>
        <w:t xml:space="preserve">具备履行合同所必需的设备和专业技术能力的书面声明（附证明材料复印件）</w:t>
      </w:r>
      <w:r>
        <w:rPr>
          <w:rFonts w:hint="eastAsia" w:ascii="宋体" w:hAnsi="宋体" w:eastAsia="宋体" w:cs="宋体"/>
          <w:bCs/>
          <w:color w:val="auto"/>
          <w:sz w:val="28"/>
          <w:szCs w:val="28"/>
          <w:highlight w:val="none"/>
        </w:rPr>
        <w:t xml:space="preserve">》</w:t>
      </w:r>
      <w:r/>
    </w:p>
    <w:p>
      <w:pPr>
        <w:pStyle w:val="856"/>
        <w:ind w:firstLine="972"/>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13.《代理服务收费标准》</w:t>
      </w:r>
      <w:r/>
    </w:p>
    <w:p>
      <w:pPr>
        <w:pStyle w:val="856"/>
        <w:ind w:firstLine="972"/>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14.《预付款保函支付条款模板》</w:t>
      </w:r>
      <w:r/>
    </w:p>
    <w:p>
      <w:pPr>
        <w:pStyle w:val="856"/>
        <w:ind w:left="660"/>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56"/>
        <w:ind w:firstLine="6480"/>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rPr>
      </w:r>
      <w:r/>
    </w:p>
    <w:p>
      <w:pPr>
        <w:pStyle w:val="859"/>
        <w:ind w:left="0" w:firstLine="0"/>
        <w:rPr>
          <w:rFonts w:hint="eastAsia"/>
          <w:lang w:val="en-US" w:eastAsia="zh-CN"/>
        </w:rPr>
      </w:pPr>
      <w:r>
        <w:rPr>
          <w:rFonts w:hint="eastAsia"/>
          <w:lang w:val="en-US" w:eastAsia="zh-CN"/>
        </w:rPr>
      </w:r>
      <w:r>
        <w:rPr>
          <w:rFonts w:hint="eastAsia"/>
          <w:lang w:val="en-US" w:eastAsia="zh-CN"/>
        </w:rPr>
      </w:r>
      <w:r/>
    </w:p>
    <w:p>
      <w:pPr>
        <w:pStyle w:val="859"/>
        <w:ind w:left="0" w:firstLine="0"/>
        <w:rPr>
          <w:rFonts w:hint="eastAsia"/>
          <w:lang w:val="en-US" w:eastAsia="zh-CN"/>
        </w:rPr>
      </w:pPr>
      <w:r>
        <w:rPr>
          <w:rFonts w:hint="eastAsia"/>
          <w:lang w:val="en-US" w:eastAsia="zh-CN"/>
        </w:rPr>
      </w:r>
      <w:r>
        <w:rPr>
          <w:rFonts w:hint="eastAsia"/>
          <w:lang w:val="en-US" w:eastAsia="zh-CN"/>
        </w:rPr>
      </w:r>
      <w:r/>
    </w:p>
    <w:p>
      <w:pPr>
        <w:pStyle w:val="859"/>
        <w:ind w:left="0" w:firstLine="0"/>
        <w:rPr>
          <w:rFonts w:hint="eastAsia"/>
          <w:lang w:val="en-US" w:eastAsia="zh-CN"/>
        </w:rPr>
      </w:pPr>
      <w:r>
        <w:rPr>
          <w:rFonts w:hint="eastAsia"/>
          <w:lang w:val="en-US" w:eastAsia="zh-CN"/>
        </w:rPr>
      </w:r>
      <w:r/>
    </w:p>
    <w:p>
      <w:pPr>
        <w:pStyle w:val="856"/>
        <w:numPr>
          <w:ilvl w:val="0"/>
          <w:numId w:val="0"/>
        </w:numPr>
        <w:ind w:firstLine="3614"/>
        <w:spacing w:line="264" w:lineRule="auto"/>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t xml:space="preserve">1、评分细则</w:t>
      </w:r>
      <w:r/>
    </w:p>
    <w:p>
      <w:pPr>
        <w:pStyle w:val="856"/>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采购包1、采购包2</w:t>
      </w:r>
      <w:r/>
    </w:p>
    <w:tbl>
      <w:tblPr>
        <w:tblStyle w:val="807"/>
        <w:tblpPr w:horzAnchor="page" w:tblpXSpec="center" w:vertAnchor="page" w:tblpY="2724" w:leftFromText="180" w:topFromText="0" w:rightFromText="180" w:bottomFromText="0"/>
        <w:tblW w:w="503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8"/>
        <w:gridCol w:w="987"/>
        <w:gridCol w:w="874"/>
        <w:gridCol w:w="7023"/>
      </w:tblGrid>
      <w:tr>
        <w:trPr>
          <w:trHeight w:val="607"/>
        </w:trPr>
        <w:tc>
          <w:tcPr>
            <w:gridSpan w:val="2"/>
            <w:tcW w:w="92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评审项目</w:t>
            </w:r>
            <w:r/>
          </w:p>
        </w:tc>
        <w:tc>
          <w:tcPr>
            <w:tcW w:w="45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W w:w="3622"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评分标准</w:t>
            </w:r>
            <w:r/>
          </w:p>
        </w:tc>
      </w:tr>
      <w:tr>
        <w:trPr>
          <w:trHeight w:val="1628"/>
        </w:trPr>
        <w:tc>
          <w:tcPr>
            <w:gridSpan w:val="2"/>
            <w:tcW w:w="926" w:type="pct"/>
            <w:vAlign w:val="center"/>
            <w:textDirection w:val="lrTb"/>
            <w:noWrap w:val="false"/>
          </w:tcPr>
          <w:p>
            <w:pPr>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价格部分</w:t>
            </w:r>
            <w:r/>
          </w:p>
          <w:p>
            <w:pPr>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（10分）</w:t>
            </w:r>
            <w:r/>
          </w:p>
        </w:tc>
        <w:tc>
          <w:tcPr>
            <w:tcW w:w="45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10分</w:t>
            </w:r>
            <w:r/>
          </w:p>
        </w:tc>
        <w:tc>
          <w:tcPr>
            <w:tcW w:w="3622"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各供应商价格评分=最低报价（供应商的最低评审价格）</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÷各供应商评审价格×10</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各供应商评审价格=《开标一览表》中的“总价”-《分项价格表》中的““小型和微型和监狱企业和残疾人福利性单位”总价合计”*10%</w:t>
            </w:r>
            <w:r/>
          </w:p>
        </w:tc>
      </w:tr>
      <w:tr>
        <w:trPr>
          <w:trHeight w:val="1398"/>
        </w:trPr>
        <w:tc>
          <w:tcPr>
            <w:tcW w:w="417" w:type="pct"/>
            <w:vAlign w:val="center"/>
            <w:vMerge w:val="restart"/>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技术部分（6</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c>
          <w:tcPr>
            <w:tcW w:w="509"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w:t>
            </w:r>
            <w:r/>
          </w:p>
        </w:tc>
        <w:tc>
          <w:tcPr>
            <w:tcW w:w="45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分</w:t>
            </w:r>
            <w:r/>
          </w:p>
        </w:tc>
        <w:tc>
          <w:tcPr>
            <w:tcW w:w="3622"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供应商提供水质监测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污泥检测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河道</w:t>
            </w:r>
            <w:r>
              <w:rPr>
                <w:rFonts w:hint="eastAsia" w:ascii="宋体" w:hAnsi="宋体" w:eastAsia="宋体" w:cs="宋体"/>
                <w:color w:val="auto"/>
                <w:sz w:val="24"/>
                <w:szCs w:val="24"/>
                <w:highlight w:val="none"/>
              </w:rPr>
              <w:t xml:space="preserve">健康评价服务方案，根据服务方案中工作安排、关键过程等内容的完整性、科学性、针对性和可行性进行评审打分：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服务方案完整性、科学性、针对性和可行性强得</w:t>
            </w: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分，较强得</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分，不强得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分，不提供得0分。</w:t>
            </w:r>
            <w:r/>
          </w:p>
        </w:tc>
      </w:tr>
      <w:tr>
        <w:trPr>
          <w:trHeight w:val="2645"/>
        </w:trPr>
        <w:tc>
          <w:tcPr>
            <w:tcW w:w="417" w:type="pct"/>
            <w:vAlign w:val="center"/>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9"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工作程序内容</w:t>
            </w:r>
            <w:r/>
          </w:p>
        </w:tc>
        <w:tc>
          <w:tcPr>
            <w:tcW w:w="45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tc>
        <w:tc>
          <w:tcPr>
            <w:tcW w:w="3622"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对供应商的全过程的工作程序和方法可行性、规范、周密程度、措施得力程度进行评审：</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1、可行性强得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分，可行性较强得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分，可行性不强得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分，不提供得0分；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2、规范、周密程度高得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分，程度较高得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分，程度不高得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分，不提供得0分；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3、措施得力得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分，措施比较得力得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分，措施不得力得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分，不提供得0分。</w:t>
            </w:r>
            <w:r/>
          </w:p>
        </w:tc>
      </w:tr>
      <w:tr>
        <w:trPr>
          <w:trHeight w:val="778"/>
        </w:trPr>
        <w:tc>
          <w:tcPr>
            <w:tcW w:w="417" w:type="pct"/>
            <w:vAlign w:val="center"/>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9"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服务承诺</w:t>
            </w:r>
            <w:r/>
          </w:p>
        </w:tc>
        <w:tc>
          <w:tcPr>
            <w:tcW w:w="45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W w:w="3622"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1、服从委托方的工作安排和管理，接受监督考核，得3分。本项需提供相应承诺书；</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2、应急监测</w:t>
            </w:r>
            <w:r>
              <w:rPr>
                <w:rFonts w:hint="eastAsia" w:ascii="宋体" w:hAnsi="宋体" w:eastAsia="宋体" w:cs="宋体"/>
                <w:color w:val="auto"/>
                <w:sz w:val="24"/>
                <w:szCs w:val="24"/>
                <w:highlight w:val="none"/>
                <w:lang w:val="en-US" w:eastAsia="zh-CN"/>
              </w:rPr>
              <w:t xml:space="preserve">到达现场时间</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小时得3分，每超1小时扣1分，扣完为止。本项最高得3分。</w:t>
            </w:r>
            <w:r>
              <w:rPr>
                <w:rFonts w:hint="eastAsia" w:ascii="宋体" w:hAnsi="宋体" w:eastAsia="宋体" w:cs="宋体"/>
                <w:color w:val="auto"/>
                <w:sz w:val="24"/>
                <w:szCs w:val="24"/>
                <w:highlight w:val="none"/>
                <w:lang w:val="en-US" w:eastAsia="zh-CN"/>
              </w:rPr>
              <w:t xml:space="preserve">本项</w:t>
            </w:r>
            <w:r>
              <w:rPr>
                <w:rFonts w:hint="eastAsia" w:ascii="宋体" w:hAnsi="宋体" w:eastAsia="宋体" w:cs="宋体"/>
                <w:color w:val="auto"/>
                <w:sz w:val="24"/>
                <w:szCs w:val="24"/>
                <w:highlight w:val="none"/>
              </w:rPr>
              <w:t xml:space="preserve">需提供相应承诺书。</w:t>
            </w:r>
            <w:r/>
          </w:p>
        </w:tc>
      </w:tr>
      <w:tr>
        <w:trPr>
          <w:trHeight w:val="1675"/>
        </w:trPr>
        <w:tc>
          <w:tcPr>
            <w:tcW w:w="417" w:type="pct"/>
            <w:vAlign w:val="center"/>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9"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保障措施</w:t>
            </w:r>
            <w:r/>
          </w:p>
        </w:tc>
        <w:tc>
          <w:tcPr>
            <w:tcW w:w="45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c>
          <w:tcPr>
            <w:tcW w:w="3622" w:type="pct"/>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对水质监测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污泥检测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河道</w:t>
            </w:r>
            <w:r>
              <w:rPr>
                <w:rFonts w:hint="eastAsia" w:ascii="宋体" w:hAnsi="宋体" w:eastAsia="宋体" w:cs="宋体"/>
                <w:color w:val="auto"/>
                <w:sz w:val="24"/>
                <w:szCs w:val="24"/>
                <w:highlight w:val="none"/>
              </w:rPr>
              <w:t xml:space="preserve">健康评价等服务成果交付的质量保障措施及进度保障措施完善程度进行评审：</w:t>
            </w:r>
            <w:r>
              <w:rPr>
                <w:rFonts w:hint="eastAsia" w:ascii="宋体" w:hAnsi="宋体" w:eastAsia="宋体" w:cs="宋体"/>
                <w:color w:val="auto"/>
                <w:sz w:val="24"/>
                <w:szCs w:val="24"/>
                <w:highlight w:val="none"/>
                <w:lang w:val="en-US" w:eastAsia="zh-CN"/>
              </w:rPr>
              <w:t xml:space="preserve">     </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1、质量保障措施完善高得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分，保障措施比较完善得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分，方案质量不高得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分，不提供得0分；</w:t>
            </w:r>
            <w:r>
              <w:rPr>
                <w:rFonts w:hint="eastAsia" w:ascii="宋体" w:hAnsi="宋体" w:eastAsia="宋体" w:cs="宋体"/>
                <w:color w:val="auto"/>
                <w:sz w:val="24"/>
                <w:szCs w:val="24"/>
                <w:highlight w:val="none"/>
                <w:lang w:val="en-US" w:eastAsia="zh-CN"/>
              </w:rPr>
              <w:t xml:space="preserve"> </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2、进度保障措施完善得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分，比较完善得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分，不完善得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分，不提供得0分。</w:t>
            </w:r>
            <w:r>
              <w:rPr>
                <w:rFonts w:hint="eastAsia" w:ascii="宋体" w:hAnsi="宋体" w:eastAsia="宋体" w:cs="宋体"/>
                <w:color w:val="auto"/>
                <w:sz w:val="24"/>
                <w:szCs w:val="24"/>
                <w:highlight w:val="none"/>
                <w:lang w:val="en-US" w:eastAsia="zh-CN"/>
              </w:rPr>
              <w:t xml:space="preserve">  </w:t>
            </w:r>
            <w:r/>
          </w:p>
        </w:tc>
      </w:tr>
      <w:tr>
        <w:trPr>
          <w:trHeight w:val="1675"/>
        </w:trPr>
        <w:tc>
          <w:tcPr>
            <w:tcW w:w="417" w:type="pct"/>
            <w:vAlign w:val="center"/>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9"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针对本项目自身优劣的论述</w:t>
            </w:r>
            <w:r/>
          </w:p>
        </w:tc>
        <w:tc>
          <w:tcPr>
            <w:tcW w:w="45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tcW w:w="3622"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供应商在响应文件中,针对该项目特点,对现场采样、工作协调优势,实验室建设情况、能力验证情况等方面进行自身优势的阐述。根据阐述情况进行打分：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1、现场采样、工作协调优势情况优秀得6分，良好得4分，差得2分，未说明得0分；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2、实验室建设情况、能力验证情况优秀得6分，良好得4分，差得2分，未说明得0分。</w:t>
            </w:r>
            <w:r/>
          </w:p>
        </w:tc>
      </w:tr>
      <w:tr>
        <w:trPr>
          <w:trHeight w:val="435"/>
        </w:trPr>
        <w:tc>
          <w:tcPr>
            <w:tcW w:w="417" w:type="pct"/>
            <w:vAlign w:val="center"/>
            <w:vMerge w:val="restart"/>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商务部分（2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tcW w:w="509"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企业业绩</w:t>
            </w:r>
            <w:r/>
          </w:p>
        </w:tc>
        <w:tc>
          <w:tcPr>
            <w:tcW w:w="45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4分</w:t>
            </w:r>
            <w:r/>
          </w:p>
        </w:tc>
        <w:tc>
          <w:tcPr>
            <w:tcW w:w="3622"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响应文件中提供签订日期在202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年1月1日之后的，与本项目相类似的合同，每个得2分，满分4分。</w:t>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注：响应文件中须提供合同协议书原件扫描件并加盖电子签章，否则不得分。</w:t>
            </w:r>
            <w:r>
              <w:rPr>
                <w:rFonts w:hint="eastAsia" w:ascii="宋体" w:hAnsi="宋体" w:eastAsia="宋体" w:cs="宋体"/>
                <w:b/>
                <w:bCs/>
                <w:color w:val="auto"/>
                <w:sz w:val="24"/>
                <w:szCs w:val="24"/>
                <w:highlight w:val="none"/>
                <w:lang w:val="en-US" w:eastAsia="zh-CN"/>
              </w:rPr>
              <w:t xml:space="preserve">    </w:t>
            </w:r>
            <w:r/>
          </w:p>
        </w:tc>
      </w:tr>
      <w:tr>
        <w:trPr>
          <w:trHeight w:val="1013"/>
        </w:trPr>
        <w:tc>
          <w:tcPr>
            <w:tcW w:w="417" w:type="pct"/>
            <w:vAlign w:val="center"/>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9"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企业实力</w:t>
            </w:r>
            <w:r/>
          </w:p>
        </w:tc>
        <w:tc>
          <w:tcPr>
            <w:tcW w:w="45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W w:w="3622"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1、供应商具有资质认定部门颁发的检验检测机构资质认定证书的得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分；提供资质证书原件扫描件</w:t>
            </w:r>
            <w:r>
              <w:rPr>
                <w:rFonts w:hint="eastAsia" w:ascii="宋体" w:hAnsi="宋体" w:eastAsia="宋体" w:cs="宋体"/>
                <w:color w:val="auto"/>
                <w:sz w:val="24"/>
                <w:szCs w:val="24"/>
                <w:highlight w:val="none"/>
                <w:lang w:val="en-US" w:eastAsia="zh-CN"/>
              </w:rPr>
              <w:t xml:space="preserve">并</w:t>
            </w:r>
            <w:r>
              <w:rPr>
                <w:rFonts w:hint="eastAsia" w:ascii="宋体" w:hAnsi="宋体" w:eastAsia="宋体" w:cs="宋体"/>
                <w:b w:val="0"/>
                <w:bCs w:val="0"/>
                <w:color w:val="auto"/>
                <w:sz w:val="24"/>
                <w:szCs w:val="24"/>
                <w:highlight w:val="none"/>
                <w:lang w:val="en-US" w:eastAsia="zh-CN"/>
              </w:rPr>
              <w:t xml:space="preserve">加</w:t>
            </w:r>
            <w:r>
              <w:rPr>
                <w:rFonts w:hint="eastAsia" w:ascii="宋体" w:hAnsi="宋体" w:eastAsia="宋体" w:cs="宋体"/>
                <w:b w:val="0"/>
                <w:bCs w:val="0"/>
                <w:color w:val="auto"/>
                <w:sz w:val="24"/>
                <w:szCs w:val="24"/>
                <w:highlight w:val="none"/>
              </w:rPr>
              <w:t xml:space="preserve">盖</w:t>
            </w:r>
            <w:r>
              <w:rPr>
                <w:rFonts w:hint="eastAsia" w:ascii="宋体" w:hAnsi="宋体" w:eastAsia="宋体" w:cs="宋体"/>
                <w:b w:val="0"/>
                <w:bCs w:val="0"/>
                <w:color w:val="auto"/>
                <w:sz w:val="24"/>
                <w:szCs w:val="24"/>
                <w:highlight w:val="none"/>
                <w:lang w:val="en-US" w:eastAsia="zh-CN"/>
              </w:rPr>
              <w:t xml:space="preserve">电子签章</w:t>
            </w:r>
            <w:r>
              <w:rPr>
                <w:rFonts w:hint="eastAsia" w:ascii="宋体" w:hAnsi="宋体" w:eastAsia="宋体" w:cs="宋体"/>
                <w:b w:val="0"/>
                <w:bCs w:val="0"/>
                <w:color w:val="auto"/>
                <w:sz w:val="24"/>
                <w:szCs w:val="24"/>
                <w:highlight w:val="none"/>
              </w:rPr>
              <w:t xml:space="preserve">，未提供不得分，本项最高得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2、供应商提供拟投入本项目的设备配置资料。具备水质监测相关设备，且提供有效期内仪器设备检定/校准证书原件扫描件</w:t>
            </w:r>
            <w:r>
              <w:rPr>
                <w:rFonts w:hint="eastAsia" w:ascii="宋体" w:hAnsi="宋体" w:eastAsia="宋体" w:cs="宋体"/>
                <w:b w:val="0"/>
                <w:bCs w:val="0"/>
                <w:color w:val="auto"/>
                <w:sz w:val="24"/>
                <w:szCs w:val="24"/>
                <w:highlight w:val="none"/>
                <w:lang w:val="en-US" w:eastAsia="zh-CN"/>
              </w:rPr>
              <w:t xml:space="preserve">加</w:t>
            </w:r>
            <w:r>
              <w:rPr>
                <w:rFonts w:hint="eastAsia" w:ascii="宋体" w:hAnsi="宋体" w:eastAsia="宋体" w:cs="宋体"/>
                <w:b w:val="0"/>
                <w:bCs w:val="0"/>
                <w:color w:val="auto"/>
                <w:sz w:val="24"/>
                <w:szCs w:val="24"/>
                <w:highlight w:val="none"/>
              </w:rPr>
              <w:t xml:space="preserve">盖</w:t>
            </w:r>
            <w:r>
              <w:rPr>
                <w:rFonts w:hint="eastAsia" w:ascii="宋体" w:hAnsi="宋体" w:eastAsia="宋体" w:cs="宋体"/>
                <w:b w:val="0"/>
                <w:bCs w:val="0"/>
                <w:color w:val="auto"/>
                <w:sz w:val="24"/>
                <w:szCs w:val="24"/>
                <w:highlight w:val="none"/>
                <w:lang w:val="en-US" w:eastAsia="zh-CN"/>
              </w:rPr>
              <w:t xml:space="preserve">电子签章</w:t>
            </w:r>
            <w:r>
              <w:rPr>
                <w:rFonts w:hint="eastAsia" w:ascii="宋体" w:hAnsi="宋体" w:eastAsia="宋体" w:cs="宋体"/>
                <w:color w:val="auto"/>
                <w:sz w:val="24"/>
                <w:szCs w:val="24"/>
                <w:highlight w:val="none"/>
              </w:rPr>
              <w:t xml:space="preserve">。设备</w:t>
            </w:r>
            <w:r>
              <w:rPr>
                <w:rFonts w:hint="eastAsia" w:ascii="宋体" w:hAnsi="宋体" w:eastAsia="宋体" w:cs="宋体"/>
                <w:color w:val="auto"/>
                <w:sz w:val="24"/>
                <w:szCs w:val="24"/>
                <w:highlight w:val="none"/>
                <w:lang w:val="en-US" w:eastAsia="zh-CN"/>
              </w:rPr>
              <w:t xml:space="preserve">5台得2分，每增加1台加0.4分，少于5台不得分</w:t>
            </w:r>
            <w:r>
              <w:rPr>
                <w:rFonts w:hint="eastAsia" w:ascii="宋体" w:hAnsi="宋体" w:eastAsia="宋体" w:cs="宋体"/>
                <w:color w:val="auto"/>
                <w:sz w:val="24"/>
                <w:szCs w:val="24"/>
                <w:highlight w:val="none"/>
              </w:rPr>
              <w:t xml:space="preserve">，本项最高得4分。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、供应商提供拟投入本项目的设备配置资料。具备水域健康评估调查的无人机等相关设备，且提供设备采购合同或采购发票扫描件的，提供一台得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分，最高分</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tc>
      </w:tr>
      <w:tr>
        <w:trPr>
          <w:trHeight w:val="90"/>
        </w:trPr>
        <w:tc>
          <w:tcPr>
            <w:tcW w:w="417" w:type="pct"/>
            <w:vAlign w:val="center"/>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9"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项目负责人</w:t>
            </w:r>
            <w:r/>
          </w:p>
        </w:tc>
        <w:tc>
          <w:tcPr>
            <w:tcW w:w="45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W w:w="3622" w:type="pct"/>
            <w:vAlign w:val="center"/>
            <w:textDirection w:val="lrTb"/>
            <w:noWrap w:val="false"/>
          </w:tcPr>
          <w:p>
            <w:pPr>
              <w:rPr>
                <w:rFonts w:hint="eastAsia" w:ascii="宋体" w:hAnsi="宋体" w:eastAsia="宋体" w:cs="宋体"/>
                <w:color w:val="auto"/>
                <w:sz w:val="24"/>
                <w:szCs w:val="24"/>
                <w:highlight w:val="none"/>
              </w:rPr>
            </w:pPr>
            <w:r/>
            <w:bookmarkStart w:id="2" w:name="_Hlk185348895"/>
            <w:r>
              <w:rPr>
                <w:rFonts w:hint="eastAsia" w:ascii="宋体" w:hAnsi="宋体" w:eastAsia="宋体" w:cs="宋体"/>
                <w:color w:val="auto"/>
                <w:sz w:val="24"/>
                <w:szCs w:val="24"/>
                <w:highlight w:val="none"/>
              </w:rPr>
              <w:t xml:space="preserve">拟派项目负责人具有水利或环保类高级及以上技术职称</w:t>
            </w:r>
            <w:bookmarkEnd w:id="2"/>
            <w:r>
              <w:rPr>
                <w:rFonts w:hint="eastAsia" w:ascii="宋体" w:hAnsi="宋体" w:eastAsia="宋体" w:cs="宋体"/>
                <w:color w:val="auto"/>
                <w:sz w:val="24"/>
                <w:szCs w:val="24"/>
                <w:highlight w:val="none"/>
              </w:rPr>
              <w:t xml:space="preserve">，可得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注：提供职称证书原件扫描件</w:t>
            </w:r>
            <w:r>
              <w:rPr>
                <w:rFonts w:hint="eastAsia" w:ascii="宋体" w:hAnsi="宋体" w:eastAsia="宋体" w:cs="宋体"/>
                <w:b/>
                <w:bCs/>
                <w:color w:val="auto"/>
                <w:sz w:val="24"/>
                <w:szCs w:val="24"/>
                <w:highlight w:val="none"/>
                <w:lang w:val="en-US" w:eastAsia="zh-CN"/>
              </w:rPr>
              <w:t xml:space="preserve">并</w:t>
            </w:r>
            <w:r>
              <w:rPr>
                <w:rFonts w:hint="eastAsia" w:ascii="宋体" w:hAnsi="宋体" w:eastAsia="宋体" w:cs="宋体"/>
                <w:b/>
                <w:bCs/>
                <w:color w:val="auto"/>
                <w:sz w:val="24"/>
                <w:szCs w:val="24"/>
                <w:highlight w:val="none"/>
              </w:rPr>
              <w:t xml:space="preserve">加盖</w:t>
            </w:r>
            <w:r>
              <w:rPr>
                <w:rFonts w:hint="eastAsia" w:ascii="宋体" w:hAnsi="宋体" w:eastAsia="宋体" w:cs="宋体"/>
                <w:b/>
                <w:bCs/>
                <w:color w:val="auto"/>
                <w:sz w:val="24"/>
                <w:szCs w:val="24"/>
                <w:highlight w:val="none"/>
                <w:lang w:val="en-US" w:eastAsia="zh-CN"/>
              </w:rPr>
              <w:t xml:space="preserve">电子签章</w:t>
            </w:r>
            <w:r>
              <w:rPr>
                <w:rFonts w:hint="eastAsia" w:ascii="宋体" w:hAnsi="宋体" w:eastAsia="宋体" w:cs="宋体"/>
                <w:b/>
                <w:bCs/>
                <w:color w:val="auto"/>
                <w:sz w:val="24"/>
                <w:szCs w:val="24"/>
                <w:highlight w:val="none"/>
              </w:rPr>
              <w:t xml:space="preserve">和开标截止时间前六个月内任意一个月的社保证明（不含开标当月），否则不得分；</w:t>
            </w:r>
            <w:r/>
          </w:p>
        </w:tc>
      </w:tr>
      <w:tr>
        <w:trPr>
          <w:trHeight w:val="1684"/>
        </w:trPr>
        <w:tc>
          <w:tcPr>
            <w:tcW w:w="417" w:type="pct"/>
            <w:vAlign w:val="center"/>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9"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项目组成员</w:t>
            </w:r>
            <w:r/>
          </w:p>
        </w:tc>
        <w:tc>
          <w:tcPr>
            <w:tcW w:w="45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10分</w:t>
            </w:r>
            <w:r/>
          </w:p>
        </w:tc>
        <w:tc>
          <w:tcPr>
            <w:tcW w:w="3622"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、项目组成员（除项目负责人外）每具备一个水利</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环保或</w:t>
            </w:r>
            <w:r>
              <w:rPr>
                <w:rFonts w:hint="eastAsia" w:ascii="宋体" w:hAnsi="宋体" w:cs="宋体"/>
                <w:color w:val="auto"/>
                <w:sz w:val="24"/>
                <w:szCs w:val="24"/>
                <w:highlight w:val="none"/>
                <w:lang w:val="en-US" w:eastAsia="zh-CN"/>
              </w:rPr>
              <w:t xml:space="preserve">化工</w:t>
            </w:r>
            <w:r>
              <w:rPr>
                <w:rFonts w:hint="eastAsia" w:ascii="宋体" w:hAnsi="宋体" w:eastAsia="宋体" w:cs="宋体"/>
                <w:color w:val="auto"/>
                <w:sz w:val="24"/>
                <w:szCs w:val="24"/>
                <w:highlight w:val="none"/>
              </w:rPr>
              <w:t xml:space="preserve">类技术职称的，</w:t>
            </w:r>
            <w:r>
              <w:rPr>
                <w:rFonts w:hint="eastAsia" w:ascii="宋体" w:hAnsi="宋体" w:eastAsia="宋体" w:cs="宋体"/>
                <w:color w:val="auto"/>
                <w:sz w:val="24"/>
                <w:szCs w:val="24"/>
                <w:highlight w:val="none"/>
                <w:lang w:val="en-US" w:eastAsia="zh-CN"/>
              </w:rPr>
              <w:t xml:space="preserve">每有一个中级</w:t>
            </w:r>
            <w:r>
              <w:rPr>
                <w:rFonts w:hint="eastAsia" w:ascii="宋体" w:hAnsi="宋体" w:eastAsia="宋体" w:cs="宋体"/>
                <w:color w:val="auto"/>
                <w:sz w:val="24"/>
                <w:szCs w:val="24"/>
                <w:highlight w:val="none"/>
              </w:rPr>
              <w:t xml:space="preserve">得1分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高级得2分，</w:t>
            </w:r>
            <w:r>
              <w:rPr>
                <w:rFonts w:hint="eastAsia" w:ascii="宋体" w:hAnsi="宋体" w:eastAsia="宋体" w:cs="宋体"/>
                <w:color w:val="auto"/>
                <w:sz w:val="24"/>
                <w:szCs w:val="24"/>
                <w:highlight w:val="none"/>
              </w:rPr>
              <w:t xml:space="preserve">本</w:t>
            </w:r>
            <w:r>
              <w:rPr>
                <w:rFonts w:hint="eastAsia" w:ascii="宋体" w:hAnsi="宋体" w:eastAsia="宋体" w:cs="宋体"/>
                <w:color w:val="auto"/>
                <w:sz w:val="24"/>
                <w:szCs w:val="24"/>
                <w:highlight w:val="none"/>
                <w:lang w:val="en-US" w:eastAsia="zh-CN"/>
              </w:rPr>
              <w:t xml:space="preserve">项</w:t>
            </w:r>
            <w:r>
              <w:rPr>
                <w:rFonts w:hint="eastAsia" w:ascii="宋体" w:hAnsi="宋体" w:eastAsia="宋体" w:cs="宋体"/>
                <w:color w:val="auto"/>
                <w:sz w:val="24"/>
                <w:szCs w:val="24"/>
                <w:highlight w:val="none"/>
              </w:rPr>
              <w:t xml:space="preserve">最高得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eastAsia="宋体" w:cs="宋体"/>
                <w:b/>
                <w:bCs/>
                <w:color w:val="auto"/>
                <w:sz w:val="24"/>
                <w:szCs w:val="24"/>
                <w:highlight w:val="none"/>
              </w:rPr>
              <w:t xml:space="preserve">注：提供职称证书原件扫描件</w:t>
            </w:r>
            <w:r>
              <w:rPr>
                <w:rFonts w:hint="eastAsia" w:ascii="宋体" w:hAnsi="宋体" w:eastAsia="宋体" w:cs="宋体"/>
                <w:b/>
                <w:bCs/>
                <w:color w:val="auto"/>
                <w:sz w:val="24"/>
                <w:szCs w:val="24"/>
                <w:highlight w:val="none"/>
                <w:lang w:val="en-US" w:eastAsia="zh-CN"/>
              </w:rPr>
              <w:t xml:space="preserve">并</w:t>
            </w:r>
            <w:r>
              <w:rPr>
                <w:rFonts w:hint="eastAsia" w:ascii="宋体" w:hAnsi="宋体" w:eastAsia="宋体" w:cs="宋体"/>
                <w:b/>
                <w:bCs/>
                <w:color w:val="auto"/>
                <w:sz w:val="24"/>
                <w:szCs w:val="24"/>
                <w:highlight w:val="none"/>
              </w:rPr>
              <w:t xml:space="preserve">加盖</w:t>
            </w:r>
            <w:r>
              <w:rPr>
                <w:rFonts w:hint="eastAsia" w:ascii="宋体" w:hAnsi="宋体" w:eastAsia="宋体" w:cs="宋体"/>
                <w:b/>
                <w:bCs/>
                <w:color w:val="auto"/>
                <w:sz w:val="24"/>
                <w:szCs w:val="24"/>
                <w:highlight w:val="none"/>
                <w:lang w:val="en-US" w:eastAsia="zh-CN"/>
              </w:rPr>
              <w:t xml:space="preserve">电子签章</w:t>
            </w:r>
            <w:r>
              <w:rPr>
                <w:rFonts w:hint="eastAsia" w:ascii="宋体" w:hAnsi="宋体" w:eastAsia="宋体" w:cs="宋体"/>
                <w:b/>
                <w:bCs/>
                <w:color w:val="auto"/>
                <w:sz w:val="24"/>
                <w:szCs w:val="24"/>
                <w:highlight w:val="none"/>
              </w:rPr>
              <w:t xml:space="preserve">和开标截止时间前六个月内任意一个月的社保证明（不含开标当月），否则不得分；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、项目组成员（除项目负责人外）每</w:t>
            </w:r>
            <w:r>
              <w:rPr>
                <w:rFonts w:hint="eastAsia" w:ascii="宋体" w:hAnsi="宋体" w:eastAsia="宋体" w:cs="宋体"/>
                <w:b w:val="0"/>
                <w:bCs/>
                <w:color w:val="auto"/>
                <w:sz w:val="24"/>
                <w:szCs w:val="24"/>
                <w:highlight w:val="none"/>
                <w:lang w:val="en-US" w:eastAsia="zh-CN"/>
              </w:rPr>
              <w:t xml:space="preserve">具有一个</w:t>
            </w:r>
            <w:r>
              <w:rPr>
                <w:rFonts w:hint="eastAsia" w:ascii="宋体" w:hAnsi="宋体" w:cs="宋体"/>
                <w:b w:val="0"/>
                <w:bCs/>
                <w:color w:val="auto"/>
                <w:sz w:val="24"/>
                <w:szCs w:val="24"/>
                <w:highlight w:val="none"/>
                <w:lang w:val="en-US" w:eastAsia="zh-CN"/>
              </w:rPr>
              <w:t xml:space="preserve">从业人员</w:t>
            </w:r>
            <w:r>
              <w:rPr>
                <w:rFonts w:hint="eastAsia" w:ascii="宋体" w:hAnsi="宋体" w:eastAsia="宋体" w:cs="宋体"/>
                <w:b w:val="0"/>
                <w:bCs/>
                <w:color w:val="auto"/>
                <w:sz w:val="24"/>
                <w:szCs w:val="24"/>
                <w:highlight w:val="none"/>
              </w:rPr>
              <w:t xml:space="preserve">上岗证</w:t>
            </w:r>
            <w:r>
              <w:rPr>
                <w:rFonts w:hint="eastAsia" w:ascii="宋体" w:hAnsi="宋体" w:eastAsia="宋体" w:cs="宋体"/>
                <w:b w:val="0"/>
                <w:bCs/>
                <w:color w:val="auto"/>
                <w:sz w:val="24"/>
                <w:szCs w:val="24"/>
                <w:highlight w:val="none"/>
                <w:lang w:val="en-US" w:eastAsia="zh-CN"/>
              </w:rPr>
              <w:t xml:space="preserve">的</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可得</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分</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本条最高得</w:t>
            </w: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分。</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注：提供</w:t>
            </w:r>
            <w:r>
              <w:rPr>
                <w:rFonts w:hint="eastAsia" w:ascii="宋体" w:hAnsi="宋体" w:eastAsia="宋体" w:cs="宋体"/>
                <w:b/>
                <w:bCs/>
                <w:color w:val="auto"/>
                <w:sz w:val="24"/>
                <w:szCs w:val="24"/>
                <w:highlight w:val="none"/>
                <w:lang w:val="en-US" w:eastAsia="zh-CN"/>
              </w:rPr>
              <w:t xml:space="preserve">相关</w:t>
            </w:r>
            <w:r>
              <w:rPr>
                <w:rFonts w:hint="eastAsia" w:ascii="宋体" w:hAnsi="宋体" w:eastAsia="宋体" w:cs="宋体"/>
                <w:b/>
                <w:bCs/>
                <w:color w:val="auto"/>
                <w:sz w:val="24"/>
                <w:szCs w:val="24"/>
                <w:highlight w:val="none"/>
              </w:rPr>
              <w:t xml:space="preserve">证书原件扫描件</w:t>
            </w:r>
            <w:r>
              <w:rPr>
                <w:rFonts w:hint="eastAsia" w:ascii="宋体" w:hAnsi="宋体" w:eastAsia="宋体" w:cs="宋体"/>
                <w:b/>
                <w:bCs/>
                <w:color w:val="auto"/>
                <w:sz w:val="24"/>
                <w:szCs w:val="24"/>
                <w:highlight w:val="none"/>
                <w:lang w:val="en-US" w:eastAsia="zh-CN"/>
              </w:rPr>
              <w:t xml:space="preserve">并</w:t>
            </w:r>
            <w:r>
              <w:rPr>
                <w:rFonts w:hint="eastAsia" w:ascii="宋体" w:hAnsi="宋体" w:eastAsia="宋体" w:cs="宋体"/>
                <w:b/>
                <w:bCs/>
                <w:color w:val="auto"/>
                <w:sz w:val="24"/>
                <w:szCs w:val="24"/>
                <w:highlight w:val="none"/>
              </w:rPr>
              <w:t xml:space="preserve">加盖</w:t>
            </w:r>
            <w:r>
              <w:rPr>
                <w:rFonts w:hint="eastAsia" w:ascii="宋体" w:hAnsi="宋体" w:eastAsia="宋体" w:cs="宋体"/>
                <w:b/>
                <w:bCs/>
                <w:color w:val="auto"/>
                <w:sz w:val="24"/>
                <w:szCs w:val="24"/>
                <w:highlight w:val="none"/>
                <w:lang w:val="en-US" w:eastAsia="zh-CN"/>
              </w:rPr>
              <w:t xml:space="preserve">电子签章</w:t>
            </w:r>
            <w:r>
              <w:rPr>
                <w:rFonts w:hint="eastAsia" w:ascii="宋体" w:hAnsi="宋体" w:eastAsia="宋体" w:cs="宋体"/>
                <w:b/>
                <w:bCs/>
                <w:color w:val="auto"/>
                <w:sz w:val="24"/>
                <w:szCs w:val="24"/>
                <w:highlight w:val="none"/>
              </w:rPr>
              <w:t xml:space="preserve">和开标截止时间前六个月内任意一个月的社保证明（不含开标当月），否则不得分；</w:t>
            </w:r>
            <w:r/>
          </w:p>
        </w:tc>
      </w:tr>
    </w:tbl>
    <w:p>
      <w:pPr>
        <w:ind w:firstLine="480"/>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本章说明：1、本项目采用综合评分法。</w:t>
      </w:r>
      <w:r/>
    </w:p>
    <w:p>
      <w:pPr>
        <w:ind w:firstLine="1680"/>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2、评分结果精确到小数点后两位。</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52"/>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52"/>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52"/>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52"/>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52"/>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52"/>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52"/>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52"/>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52"/>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52"/>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52"/>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72"/>
        <w:ind w:firstLine="0"/>
        <w:jc w:val="center"/>
        <w:spacing w:line="264" w:lineRule="auto"/>
        <w:rPr>
          <w:rFonts w:hint="eastAsia" w:ascii="宋体" w:hAnsi="宋体" w:eastAsia="宋体" w:cs="宋体"/>
          <w:b/>
          <w:color w:val="auto"/>
          <w:sz w:val="36"/>
          <w:szCs w:val="36"/>
          <w:highlight w:val="none"/>
        </w:rPr>
      </w:pPr>
      <w:r>
        <w:rPr>
          <w:rFonts w:hint="eastAsia" w:ascii="宋体" w:hAnsi="宋体" w:eastAsia="宋体" w:cs="宋体"/>
          <w:b/>
          <w:bCs/>
          <w:color w:val="auto"/>
          <w:sz w:val="36"/>
          <w:szCs w:val="36"/>
          <w:highlight w:val="none"/>
        </w:rPr>
        <w:t xml:space="preserve">2、项目要求（采购需求）</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一、</w:t>
      </w:r>
      <w:r>
        <w:rPr>
          <w:rFonts w:hint="eastAsia" w:ascii="宋体" w:hAnsi="宋体" w:eastAsia="宋体" w:cs="宋体"/>
          <w:color w:val="auto"/>
          <w:sz w:val="24"/>
          <w:szCs w:val="24"/>
          <w:highlight w:val="none"/>
        </w:rPr>
        <w:t xml:space="preserve">本项目不接受超过以下预算金额的报价：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本项目采购包1不接受超过</w:t>
      </w:r>
      <w:r>
        <w:rPr>
          <w:rFonts w:hint="eastAsia" w:ascii="宋体" w:hAnsi="宋体" w:eastAsia="宋体" w:cs="宋体"/>
          <w:color w:val="auto"/>
          <w:sz w:val="24"/>
          <w:szCs w:val="24"/>
          <w:highlight w:val="none"/>
          <w:lang w:val="en-US" w:eastAsia="zh-CN"/>
        </w:rPr>
        <w:t xml:space="preserve">125.00</w:t>
      </w:r>
      <w:r>
        <w:rPr>
          <w:rFonts w:hint="eastAsia" w:ascii="宋体" w:hAnsi="宋体" w:eastAsia="宋体" w:cs="宋体"/>
          <w:color w:val="auto"/>
          <w:sz w:val="24"/>
          <w:szCs w:val="24"/>
          <w:highlight w:val="none"/>
        </w:rPr>
        <w:t xml:space="preserve">万人民币的报价；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本项目采购包2不接受超过</w:t>
      </w:r>
      <w:r>
        <w:rPr>
          <w:rFonts w:hint="eastAsia" w:ascii="宋体" w:hAnsi="宋体" w:eastAsia="宋体" w:cs="宋体"/>
          <w:color w:val="auto"/>
          <w:sz w:val="24"/>
          <w:szCs w:val="24"/>
          <w:highlight w:val="none"/>
          <w:lang w:val="en-US" w:eastAsia="zh-CN"/>
        </w:rPr>
        <w:t xml:space="preserve">110.00</w:t>
      </w:r>
      <w:r>
        <w:rPr>
          <w:rFonts w:hint="eastAsia" w:ascii="宋体" w:hAnsi="宋体" w:eastAsia="宋体" w:cs="宋体"/>
          <w:color w:val="auto"/>
          <w:sz w:val="24"/>
          <w:szCs w:val="24"/>
          <w:highlight w:val="none"/>
        </w:rPr>
        <w:t xml:space="preserve">万人民币的报价；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报价包含项目完成所需全部费用，采购人不再支付报价以外的任何费用。</w:t>
      </w:r>
      <w:r/>
    </w:p>
    <w:p>
      <w:pPr>
        <w:pStyle w:val="857"/>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此项目不属于专门面向中小微企业采购的项目。</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rPr>
        <w:t xml:space="preserve">说明：每个供应商可以对本项目2个采购包提交响应文件及参与评审，但每个供应商只能获得一个采购包的中标（成交）资格。如果投标人采购包1中排名第一，则确定其为采购包1中标（成交）人，在采购包2中不再推荐其为中标（成交）人。评审顺序为采购包1至采购包2依次评审。</w:t>
      </w:r>
      <w:r/>
    </w:p>
    <w:p>
      <w:pPr>
        <w:pStyle w:val="857"/>
        <w:ind w:firstLine="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二、项目介绍</w:t>
      </w:r>
      <w:r>
        <w:rPr>
          <w:rFonts w:hint="eastAsia" w:ascii="宋体" w:hAnsi="宋体" w:eastAsia="宋体" w:cs="宋体"/>
          <w:bCs/>
          <w:color w:val="auto"/>
          <w:sz w:val="24"/>
          <w:szCs w:val="24"/>
          <w:highlight w:val="none"/>
          <w:lang w:val="en-US" w:eastAsia="zh-CN"/>
        </w:rPr>
        <w:t xml:space="preserve"> </w:t>
      </w:r>
      <w:r/>
    </w:p>
    <w:p>
      <w:pPr>
        <w:numPr>
          <w:ilvl w:val="0"/>
          <w:numId w:val="3"/>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p>
      <w:pPr>
        <w:pStyle w:val="1108"/>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开展徐州市河湖水域状况健康评价</w:t>
      </w:r>
      <w:r>
        <w:rPr>
          <w:rFonts w:hint="eastAsia" w:ascii="宋体" w:hAnsi="宋体" w:eastAsia="宋体" w:cs="宋体"/>
          <w:color w:val="auto"/>
          <w:highlight w:val="none"/>
          <w:lang w:val="en-US" w:eastAsia="zh-CN"/>
        </w:rPr>
        <w:t xml:space="preserve">及</w:t>
      </w:r>
      <w:r>
        <w:rPr>
          <w:rFonts w:hint="eastAsia" w:ascii="宋体" w:hAnsi="宋体" w:eastAsia="宋体" w:cs="宋体"/>
          <w:color w:val="auto"/>
          <w:highlight w:val="none"/>
        </w:rPr>
        <w:t xml:space="preserve">徐州市重点河湖开展常态化水质监测，对市区两座净水厂的进出水质进行检测，对市区局管</w:t>
      </w:r>
      <w:bookmarkStart w:id="3" w:name="OLE_LINK8"/>
      <w:r>
        <w:rPr>
          <w:rFonts w:hint="eastAsia" w:ascii="宋体" w:hAnsi="宋体" w:eastAsia="宋体" w:cs="宋体"/>
          <w:color w:val="auto"/>
          <w:highlight w:val="none"/>
          <w:lang w:val="en-US" w:eastAsia="zh-CN"/>
        </w:rPr>
        <w:t xml:space="preserve">7座</w:t>
      </w:r>
      <w:r>
        <w:rPr>
          <w:rFonts w:hint="eastAsia" w:ascii="宋体" w:hAnsi="宋体" w:eastAsia="宋体" w:cs="宋体"/>
          <w:color w:val="auto"/>
          <w:highlight w:val="none"/>
        </w:rPr>
        <w:t xml:space="preserve">污水处理厂所产污泥</w:t>
      </w:r>
      <w:bookmarkEnd w:id="3"/>
      <w:r>
        <w:rPr>
          <w:rFonts w:hint="eastAsia" w:ascii="宋体" w:hAnsi="宋体" w:eastAsia="宋体" w:cs="宋体"/>
          <w:color w:val="auto"/>
          <w:highlight w:val="none"/>
        </w:rPr>
        <w:t xml:space="preserve">进行检测。</w:t>
      </w:r>
      <w:r/>
    </w:p>
    <w:p>
      <w:pPr>
        <w:pStyle w:val="1108"/>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2、项目背景：</w:t>
      </w:r>
      <w:r/>
    </w:p>
    <w:p>
      <w:pPr>
        <w:pStyle w:val="1108"/>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健康评价</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根据《省水利厅关于进一步强化水域监测评估建立健康档案工作的通知》（苏水河湖[2023]1号）</w:t>
      </w:r>
      <w:r>
        <w:rPr>
          <w:rFonts w:hint="eastAsia" w:ascii="宋体" w:hAnsi="宋体" w:eastAsia="宋体" w:cs="宋体"/>
          <w:color w:val="auto"/>
          <w:highlight w:val="none"/>
          <w:lang w:eastAsia="zh-CN"/>
        </w:rPr>
        <w:t xml:space="preserve">和</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关于印发〈省水利厅党组2026年工作要点及任务分解方案》的通知（</w:t>
      </w:r>
      <w:r>
        <w:rPr>
          <w:rFonts w:hint="eastAsia" w:ascii="宋体" w:hAnsi="宋体" w:eastAsia="宋体" w:cs="宋体"/>
          <w:color w:val="auto"/>
          <w:highlight w:val="none"/>
        </w:rPr>
        <w:t xml:space="preserve">苏水</w:t>
      </w:r>
      <w:r>
        <w:rPr>
          <w:rFonts w:hint="eastAsia" w:ascii="宋体" w:hAnsi="宋体" w:eastAsia="宋体" w:cs="宋体"/>
          <w:color w:val="auto"/>
          <w:highlight w:val="none"/>
          <w:lang w:eastAsia="zh-CN"/>
        </w:rPr>
        <w:t xml:space="preserve">党</w:t>
      </w:r>
      <w:r>
        <w:rPr>
          <w:rFonts w:hint="eastAsia" w:ascii="宋体" w:hAnsi="宋体" w:eastAsia="宋体" w:cs="宋体"/>
          <w:color w:val="auto"/>
          <w:highlight w:val="none"/>
        </w:rPr>
        <w:t xml:space="preserve">[202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号</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要求，开展</w:t>
      </w:r>
      <w:r>
        <w:rPr>
          <w:rFonts w:hint="eastAsia" w:ascii="宋体" w:hAnsi="宋体" w:eastAsia="宋体" w:cs="宋体"/>
          <w:color w:val="auto"/>
          <w:highlight w:val="none"/>
          <w:lang w:eastAsia="zh-CN"/>
        </w:rPr>
        <w:t xml:space="preserve">河湖</w:t>
      </w:r>
      <w:r>
        <w:rPr>
          <w:rFonts w:hint="eastAsia" w:ascii="宋体" w:hAnsi="宋体" w:eastAsia="宋体" w:cs="宋体"/>
          <w:color w:val="auto"/>
          <w:highlight w:val="none"/>
        </w:rPr>
        <w:t xml:space="preserve">健康监测评价工作。</w:t>
      </w:r>
      <w:r/>
    </w:p>
    <w:p>
      <w:pPr>
        <w:pStyle w:val="1108"/>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水质监测</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为进一步扎实推进城市黑臭水体治理工作，不断巩固治理成果，坚决打好城市黑臭水体治理攻坚战，根据《关于印发深入打好城市黑臭水体治理攻坚战实施方案的通知》（建成〔2022〕29号）、《关于加快推进城市建成区水体消劣提质工作的通知》（苏污防攻坚指办〔2021〕73号）</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《城市黑臭水体整治工作指南》</w:t>
      </w:r>
      <w:r>
        <w:rPr>
          <w:rFonts w:hint="eastAsia" w:ascii="宋体" w:hAnsi="宋体" w:eastAsia="宋体" w:cs="宋体"/>
          <w:color w:val="auto"/>
          <w:highlight w:val="none"/>
          <w:lang w:eastAsia="zh-CN"/>
        </w:rPr>
        <w:t xml:space="preserve">和</w:t>
      </w:r>
      <w:r>
        <w:rPr>
          <w:rFonts w:hint="eastAsia" w:ascii="宋体" w:hAnsi="宋体" w:eastAsia="宋体" w:cs="宋体"/>
          <w:color w:val="auto"/>
          <w:highlight w:val="none"/>
        </w:rPr>
        <w:t xml:space="preserve">市水务局与市区各污水处理厂、净水厂签订的服务协议，对净水厂的进出水水质，各污水处理厂运营中产生污泥情况进行监测</w:t>
      </w:r>
      <w:r>
        <w:rPr>
          <w:rFonts w:hint="eastAsia" w:ascii="宋体" w:hAnsi="宋体" w:eastAsia="宋体" w:cs="宋体"/>
          <w:color w:val="auto"/>
          <w:highlight w:val="none"/>
          <w:lang w:val="en-US" w:eastAsia="zh-CN"/>
        </w:rPr>
        <w:t xml:space="preserve">的监管要求</w:t>
      </w:r>
      <w:r>
        <w:rPr>
          <w:rFonts w:hint="eastAsia" w:ascii="宋体" w:hAnsi="宋体" w:eastAsia="宋体" w:cs="宋体"/>
          <w:color w:val="auto"/>
          <w:highlight w:val="none"/>
        </w:rPr>
        <w:t xml:space="preserve">，开展徐州市</w:t>
      </w:r>
      <w:bookmarkStart w:id="4" w:name="OLE_LINK9"/>
      <w:r>
        <w:rPr>
          <w:rFonts w:hint="eastAsia" w:ascii="宋体" w:hAnsi="宋体" w:eastAsia="宋体" w:cs="宋体"/>
          <w:color w:val="auto"/>
          <w:highlight w:val="none"/>
          <w:lang w:val="en-US" w:eastAsia="zh-CN"/>
        </w:rPr>
        <w:t xml:space="preserve">73</w:t>
      </w:r>
      <w:r>
        <w:rPr>
          <w:rFonts w:hint="eastAsia" w:ascii="宋体" w:hAnsi="宋体" w:eastAsia="宋体" w:cs="宋体"/>
          <w:color w:val="auto"/>
          <w:highlight w:val="none"/>
        </w:rPr>
        <w:t xml:space="preserve">条重点河道及净水厂</w:t>
      </w:r>
      <w:r>
        <w:rPr>
          <w:rFonts w:hint="eastAsia" w:ascii="宋体" w:hAnsi="宋体" w:eastAsia="宋体" w:cs="宋体"/>
          <w:color w:val="auto"/>
          <w:highlight w:val="none"/>
          <w:lang w:eastAsia="zh-CN"/>
        </w:rPr>
        <w:t xml:space="preserve">进出水</w:t>
      </w:r>
      <w:r>
        <w:rPr>
          <w:rFonts w:hint="eastAsia" w:ascii="宋体" w:hAnsi="宋体" w:eastAsia="宋体" w:cs="宋体"/>
          <w:color w:val="auto"/>
          <w:highlight w:val="none"/>
        </w:rPr>
        <w:t xml:space="preserve">水质、污水处理厂所产污泥</w:t>
      </w:r>
      <w:bookmarkEnd w:id="4"/>
      <w:r>
        <w:rPr>
          <w:rFonts w:hint="eastAsia" w:ascii="宋体" w:hAnsi="宋体" w:eastAsia="宋体" w:cs="宋体"/>
          <w:color w:val="auto"/>
          <w:highlight w:val="none"/>
        </w:rPr>
        <w:t xml:space="preserve">的监测工作。</w:t>
      </w:r>
      <w:r/>
    </w:p>
    <w:p>
      <w:pPr>
        <w:pStyle w:val="1108"/>
        <w:numPr>
          <w:ilvl w:val="0"/>
          <w:numId w:val="0"/>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基本情况：</w:t>
      </w:r>
      <w:r/>
    </w:p>
    <w:p>
      <w:pPr>
        <w:pStyle w:val="1108"/>
        <w:ind w:firstLine="48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徐州市河湖水域状况健康评价</w:t>
      </w:r>
      <w:r>
        <w:rPr>
          <w:rFonts w:hint="eastAsia" w:ascii="宋体" w:hAnsi="宋体" w:eastAsia="宋体" w:cs="宋体"/>
          <w:color w:val="auto"/>
          <w:highlight w:val="none"/>
          <w:lang w:eastAsia="zh-CN"/>
        </w:rPr>
        <w:t xml:space="preserve">：</w:t>
      </w:r>
      <w:r/>
    </w:p>
    <w:p>
      <w:pPr>
        <w:pStyle w:val="1108"/>
        <w:ind w:firstLine="48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主要内容</w:t>
      </w:r>
      <w:r/>
    </w:p>
    <w:p>
      <w:pPr>
        <w:pStyle w:val="1108"/>
        <w:ind w:left="0" w:firstLine="60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按照</w:t>
      </w:r>
      <w:r>
        <w:rPr>
          <w:rFonts w:hint="eastAsia" w:ascii="宋体" w:hAnsi="宋体" w:eastAsia="宋体" w:cs="宋体"/>
          <w:color w:val="auto"/>
          <w:highlight w:val="none"/>
          <w:lang w:eastAsia="zh-CN"/>
        </w:rPr>
        <w:t xml:space="preserve">《河湖健康评价规范》（</w:t>
      </w:r>
      <w:r>
        <w:rPr>
          <w:rFonts w:hint="eastAsia" w:ascii="宋体" w:hAnsi="宋体" w:eastAsia="宋体" w:cs="宋体"/>
          <w:color w:val="auto"/>
          <w:highlight w:val="none"/>
          <w:lang w:val="en-US" w:eastAsia="zh-CN"/>
        </w:rPr>
        <w:t xml:space="preserve">SL/T793-2025</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，对</w:t>
      </w:r>
      <w:r>
        <w:rPr>
          <w:rFonts w:hint="eastAsia" w:ascii="宋体" w:hAnsi="宋体" w:eastAsia="宋体" w:cs="宋体"/>
          <w:color w:val="auto"/>
          <w:highlight w:val="none"/>
          <w:lang w:val="en-US" w:eastAsia="zh-CN"/>
        </w:rPr>
        <w:t xml:space="preserve">标段范围内的</w:t>
      </w:r>
      <w:r>
        <w:rPr>
          <w:rFonts w:hint="eastAsia" w:ascii="宋体" w:hAnsi="宋体" w:eastAsia="宋体" w:cs="宋体"/>
          <w:color w:val="auto"/>
          <w:highlight w:val="none"/>
        </w:rPr>
        <w:t xml:space="preserve">河湖</w:t>
      </w:r>
      <w:r>
        <w:rPr>
          <w:rFonts w:hint="eastAsia" w:ascii="宋体" w:hAnsi="宋体" w:eastAsia="宋体" w:cs="宋体"/>
          <w:color w:val="auto"/>
          <w:highlight w:val="none"/>
          <w:lang w:eastAsia="zh-CN"/>
        </w:rPr>
        <w:t xml:space="preserve">开展</w:t>
      </w:r>
      <w:r>
        <w:rPr>
          <w:rFonts w:hint="eastAsia" w:ascii="宋体" w:hAnsi="宋体" w:eastAsia="宋体" w:cs="宋体"/>
          <w:color w:val="auto"/>
          <w:highlight w:val="none"/>
        </w:rPr>
        <w:t xml:space="preserve">健康评价，并提供健康评价成果。</w:t>
      </w:r>
      <w:r/>
    </w:p>
    <w:p>
      <w:pPr>
        <w:pStyle w:val="1108"/>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（2）服务要求</w:t>
      </w:r>
      <w:r/>
    </w:p>
    <w:p>
      <w:pPr>
        <w:ind w:firstLine="720"/>
        <w:spacing w:line="360" w:lineRule="auto"/>
        <w:rPr>
          <w:rStyle w:val="1212"/>
          <w:rFonts w:hint="eastAsia" w:ascii="宋体" w:hAnsi="宋体" w:eastAsia="宋体" w:cs="宋体"/>
          <w:color w:val="auto"/>
          <w:sz w:val="24"/>
          <w:szCs w:val="24"/>
          <w:highlight w:val="none"/>
          <w:lang w:val="en-US" w:eastAsia="zh-CN"/>
        </w:rPr>
        <w:outlineLvl w:val="0"/>
      </w:pPr>
      <w:r>
        <w:rPr>
          <w:rStyle w:val="1212"/>
          <w:rFonts w:hint="eastAsia" w:ascii="宋体" w:hAnsi="宋体" w:eastAsia="宋体" w:cs="宋体"/>
          <w:color w:val="auto"/>
          <w:sz w:val="24"/>
          <w:szCs w:val="24"/>
          <w:highlight w:val="none"/>
          <w:lang w:val="en-US" w:eastAsia="zh-CN"/>
        </w:rPr>
        <w:t xml:space="preserve">数据真实可信，成果符合《河湖健康评价规范》（SL/T793-2025）要求。</w:t>
      </w:r>
      <w:r/>
    </w:p>
    <w:p>
      <w:pPr>
        <w:ind w:firstLine="480"/>
        <w:spacing w:line="360" w:lineRule="auto"/>
        <w:rPr>
          <w:rFonts w:hint="eastAsia" w:ascii="宋体" w:hAnsi="宋体" w:eastAsia="宋体" w:cs="宋体"/>
          <w:color w:val="auto"/>
          <w:sz w:val="24"/>
          <w:szCs w:val="24"/>
          <w:highlight w:val="none"/>
        </w:rPr>
        <w:outlineLvl w:val="0"/>
      </w:pPr>
      <w:r>
        <w:rPr>
          <w:rStyle w:val="1212"/>
          <w:rFonts w:hint="eastAsia" w:ascii="宋体" w:hAnsi="宋体" w:eastAsia="宋体" w:cs="宋体"/>
          <w:color w:val="auto"/>
          <w:sz w:val="24"/>
          <w:szCs w:val="24"/>
          <w:highlight w:val="none"/>
          <w:lang w:eastAsia="zh-CN"/>
        </w:rPr>
        <w:t xml:space="preserve">（</w:t>
      </w:r>
      <w:r>
        <w:rPr>
          <w:rStyle w:val="1212"/>
          <w:rFonts w:hint="eastAsia" w:ascii="宋体" w:hAnsi="宋体" w:eastAsia="宋体" w:cs="宋体"/>
          <w:color w:val="auto"/>
          <w:sz w:val="24"/>
          <w:szCs w:val="24"/>
          <w:highlight w:val="none"/>
          <w:lang w:val="en-US" w:eastAsia="zh-CN"/>
        </w:rPr>
        <w:t xml:space="preserve">3</w:t>
      </w:r>
      <w:r>
        <w:rPr>
          <w:rStyle w:val="1212"/>
          <w:rFonts w:hint="eastAsia" w:ascii="宋体" w:hAnsi="宋体" w:eastAsia="宋体" w:cs="宋体"/>
          <w:color w:val="auto"/>
          <w:sz w:val="24"/>
          <w:szCs w:val="24"/>
          <w:highlight w:val="none"/>
          <w:lang w:eastAsia="zh-CN"/>
        </w:rPr>
        <w:t xml:space="preserve">）</w:t>
      </w:r>
      <w:r>
        <w:rPr>
          <w:rStyle w:val="1212"/>
          <w:rFonts w:hint="eastAsia" w:ascii="宋体" w:hAnsi="宋体" w:eastAsia="宋体" w:cs="宋体"/>
          <w:color w:val="auto"/>
          <w:sz w:val="24"/>
          <w:szCs w:val="24"/>
          <w:highlight w:val="none"/>
          <w:lang w:val="zh-TW" w:eastAsia="zh-TW"/>
        </w:rPr>
        <w:t xml:space="preserve">成果提交要求</w:t>
      </w:r>
      <w:r/>
    </w:p>
    <w:p>
      <w:pPr>
        <w:pStyle w:val="856"/>
        <w:ind w:firstLine="720"/>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底</w:t>
      </w:r>
      <w:r>
        <w:rPr>
          <w:rFonts w:hint="eastAsia" w:ascii="宋体" w:hAnsi="宋体" w:eastAsia="宋体" w:cs="宋体"/>
          <w:color w:val="auto"/>
          <w:sz w:val="24"/>
          <w:highlight w:val="none"/>
        </w:rPr>
        <w:t xml:space="preserve">前完成</w:t>
      </w:r>
      <w:r>
        <w:rPr>
          <w:rFonts w:hint="eastAsia" w:ascii="宋体" w:hAnsi="宋体" w:eastAsia="宋体" w:cs="宋体"/>
          <w:color w:val="auto"/>
          <w:sz w:val="24"/>
          <w:highlight w:val="none"/>
          <w:lang w:val="en-US" w:eastAsia="zh-CN"/>
        </w:rPr>
        <w:t xml:space="preserve">标段范围内的</w:t>
      </w:r>
      <w:r>
        <w:rPr>
          <w:rFonts w:hint="eastAsia" w:ascii="宋体" w:hAnsi="宋体" w:eastAsia="宋体" w:cs="宋体"/>
          <w:color w:val="auto"/>
          <w:sz w:val="24"/>
          <w:highlight w:val="none"/>
        </w:rPr>
        <w:t xml:space="preserve">河湖水域健康评价</w:t>
      </w:r>
      <w:r>
        <w:rPr>
          <w:rFonts w:hint="eastAsia" w:ascii="宋体" w:hAnsi="宋体" w:eastAsia="宋体" w:cs="宋体"/>
          <w:color w:val="auto"/>
          <w:sz w:val="24"/>
          <w:highlight w:val="none"/>
        </w:rPr>
        <w:t xml:space="preserve">并提交评价报告或评价表，审核并修改完善，202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底</w:t>
      </w:r>
      <w:r>
        <w:rPr>
          <w:rFonts w:hint="eastAsia" w:ascii="宋体" w:hAnsi="宋体" w:eastAsia="宋体" w:cs="宋体"/>
          <w:color w:val="auto"/>
          <w:sz w:val="24"/>
          <w:highlight w:val="none"/>
        </w:rPr>
        <w:t xml:space="preserve">前向采购人提供最终成果。</w:t>
      </w:r>
      <w:r/>
    </w:p>
    <w:p>
      <w:pPr>
        <w:pStyle w:val="856"/>
        <w:ind w:firstLine="2880"/>
        <w:spacing w:line="264"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56"/>
        <w:ind w:firstLine="2880"/>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表1 </w:t>
      </w:r>
      <w:r>
        <w:rPr>
          <w:rFonts w:hint="eastAsia" w:ascii="宋体" w:hAnsi="宋体" w:eastAsia="宋体" w:cs="宋体"/>
          <w:color w:val="auto"/>
          <w:sz w:val="24"/>
          <w:szCs w:val="24"/>
          <w:highlight w:val="none"/>
        </w:rPr>
        <w:t xml:space="preserve">河流健康评价指标体系</w:t>
      </w:r>
      <w:r/>
    </w:p>
    <w:tbl>
      <w:tblPr>
        <w:tblStyle w:val="807"/>
        <w:tblW w:w="954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05"/>
        <w:gridCol w:w="1200"/>
        <w:gridCol w:w="858"/>
        <w:gridCol w:w="2927"/>
        <w:gridCol w:w="1117"/>
        <w:gridCol w:w="1167"/>
        <w:gridCol w:w="1067"/>
      </w:tblGrid>
      <w:tr>
        <w:trPr>
          <w:trHeight w:val="475"/>
        </w:trPr>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目标层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5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准则层</w:t>
            </w:r>
            <w:r/>
          </w:p>
        </w:tc>
        <w:tc>
          <w:tcPr>
            <w:shd w:val="clear" w:color="auto" w:fill="auto"/>
            <w:tcBorders>
              <w:top w:val="single" w:color="000000" w:sz="4" w:space="0"/>
              <w:left w:val="single" w:color="000000" w:sz="4" w:space="0"/>
              <w:bottom w:val="single" w:color="000000" w:sz="4" w:space="0"/>
              <w:right w:val="single" w:color="000000" w:sz="4" w:space="0"/>
            </w:tcBorders>
            <w:tcW w:w="292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指标层</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3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指标类型</w:t>
            </w:r>
            <w:r/>
          </w:p>
        </w:tc>
      </w:tr>
      <w:tr>
        <w:trPr>
          <w:trHeight w:val="490"/>
        </w:trPr>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5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2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基本指标</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补充指标</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特色指标</w:t>
            </w:r>
            <w:r/>
          </w:p>
        </w:tc>
      </w:tr>
      <w:tr>
        <w:trPr>
          <w:trHeight w:val="470"/>
        </w:trPr>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河流健康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5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空间</w:t>
            </w:r>
            <w:r/>
          </w:p>
        </w:tc>
        <w:tc>
          <w:tcPr>
            <w:shd w:val="clear" w:color="auto" w:fill="auto"/>
            <w:tcBorders>
              <w:top w:val="single" w:color="000000" w:sz="4" w:space="0"/>
              <w:left w:val="single" w:color="000000" w:sz="4" w:space="0"/>
              <w:bottom w:val="single" w:color="000000" w:sz="4" w:space="0"/>
              <w:right w:val="single" w:color="000000" w:sz="4" w:space="0"/>
            </w:tcBorders>
            <w:tcW w:w="29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水域岸线完整性</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90"/>
        </w:trPr>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5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河道行洪能力保证程度</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70"/>
        </w:trPr>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5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河流连通性</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90"/>
        </w:trPr>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水体</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水量</w:t>
            </w:r>
            <w:r/>
          </w:p>
        </w:tc>
        <w:tc>
          <w:tcPr>
            <w:shd w:val="clear" w:color="auto" w:fill="auto"/>
            <w:tcBorders>
              <w:top w:val="single" w:color="000000" w:sz="4" w:space="0"/>
              <w:left w:val="single" w:color="000000" w:sz="4" w:space="0"/>
              <w:bottom w:val="single" w:color="000000" w:sz="4" w:space="0"/>
              <w:right w:val="single" w:color="000000" w:sz="4" w:space="0"/>
            </w:tcBorders>
            <w:tcW w:w="29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生态流量满足程度</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70"/>
        </w:trPr>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地表水资源开发利用率</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水质</w:t>
            </w:r>
            <w:r/>
          </w:p>
        </w:tc>
        <w:tc>
          <w:tcPr>
            <w:shd w:val="clear" w:color="auto" w:fill="auto"/>
            <w:tcBorders>
              <w:top w:val="single" w:color="000000" w:sz="4" w:space="0"/>
              <w:left w:val="single" w:color="000000" w:sz="4" w:space="0"/>
              <w:bottom w:val="single" w:color="000000" w:sz="4" w:space="0"/>
              <w:right w:val="single" w:color="000000" w:sz="4" w:space="0"/>
            </w:tcBorders>
            <w:tcW w:w="29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水质优劣程度</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水体自净能力</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底泥污染状况</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70"/>
        </w:trPr>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5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w:t>
            </w:r>
            <w:r/>
          </w:p>
        </w:tc>
        <w:tc>
          <w:tcPr>
            <w:shd w:val="clear" w:color="auto" w:fill="auto"/>
            <w:tcBorders>
              <w:top w:val="single" w:color="000000" w:sz="4" w:space="0"/>
              <w:left w:val="single" w:color="000000" w:sz="4" w:space="0"/>
              <w:bottom w:val="single" w:color="000000" w:sz="4" w:space="0"/>
              <w:right w:val="single" w:color="000000" w:sz="4" w:space="0"/>
            </w:tcBorders>
            <w:tcW w:w="29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鱼类状况</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90"/>
        </w:trPr>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5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大型底栖无脊椎动物状况</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70"/>
        </w:trPr>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5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着生藻类群落状况</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90"/>
        </w:trPr>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5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浮游植物密度</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5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水鸟多样性指数</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5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外来物种入侵状况</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r>
      <w:tr>
        <w:trPr>
          <w:trHeight w:val="470"/>
        </w:trPr>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5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社会服务功能</w:t>
            </w:r>
            <w:r/>
          </w:p>
        </w:tc>
        <w:tc>
          <w:tcPr>
            <w:shd w:val="clear" w:color="auto" w:fill="auto"/>
            <w:tcBorders>
              <w:top w:val="single" w:color="000000" w:sz="4" w:space="0"/>
              <w:left w:val="single" w:color="000000" w:sz="4" w:space="0"/>
              <w:bottom w:val="single" w:color="000000" w:sz="4" w:space="0"/>
              <w:right w:val="single" w:color="000000" w:sz="4" w:space="0"/>
            </w:tcBorders>
            <w:tcW w:w="29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公众满意度</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5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防洪工程体系完整性</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70"/>
        </w:trPr>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5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通航保证率</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90"/>
        </w:trPr>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5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供水保证程度</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r>
      <w:tr>
        <w:trPr>
          <w:trHeight w:val="475"/>
        </w:trPr>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5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排涝工程达标率</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r>
    </w:tbl>
    <w:p>
      <w:pPr>
        <w:pStyle w:val="858"/>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56"/>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56"/>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56"/>
        <w:jc w:val="center"/>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lang w:val="en-US" w:eastAsia="zh-CN"/>
        </w:rPr>
        <w:t xml:space="preserve">表2  湖泊</w:t>
      </w:r>
      <w:r>
        <w:rPr>
          <w:rFonts w:hint="eastAsia" w:ascii="宋体" w:hAnsi="宋体" w:eastAsia="宋体" w:cs="宋体"/>
          <w:color w:val="auto"/>
          <w:sz w:val="24"/>
          <w:szCs w:val="24"/>
          <w:highlight w:val="none"/>
        </w:rPr>
        <w:t xml:space="preserve">健康评价指标体系</w:t>
      </w:r>
      <w:r/>
    </w:p>
    <w:tbl>
      <w:tblPr>
        <w:tblStyle w:val="807"/>
        <w:tblW w:w="862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80"/>
        <w:gridCol w:w="855"/>
        <w:gridCol w:w="825"/>
        <w:gridCol w:w="2621"/>
        <w:gridCol w:w="1080"/>
        <w:gridCol w:w="1080"/>
        <w:gridCol w:w="1080"/>
      </w:tblGrid>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目标层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准则层</w:t>
            </w:r>
            <w:r/>
          </w:p>
        </w:tc>
        <w:tc>
          <w:tcPr>
            <w:shd w:val="clear" w:color="auto" w:fill="auto"/>
            <w:tcBorders>
              <w:top w:val="single" w:color="000000" w:sz="4" w:space="0"/>
              <w:left w:val="single" w:color="000000" w:sz="4" w:space="0"/>
              <w:bottom w:val="single" w:color="000000" w:sz="4" w:space="0"/>
              <w:right w:val="single" w:color="000000" w:sz="4" w:space="0"/>
            </w:tcBorders>
            <w:tcW w:w="262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指标层</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指标类型</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2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基本指标</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补充指标</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特色指标</w:t>
            </w:r>
            <w:r/>
          </w:p>
        </w:tc>
      </w:tr>
      <w:tr>
        <w:trPr>
          <w:jc w:val="center"/>
          <w:trHeight w:val="49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湖泊健康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空间</w:t>
            </w:r>
            <w:r/>
          </w:p>
        </w:tc>
        <w:tc>
          <w:tcPr>
            <w:shd w:val="clear" w:color="auto" w:fill="auto"/>
            <w:tcBorders>
              <w:top w:val="single" w:color="000000" w:sz="4" w:space="0"/>
              <w:left w:val="single" w:color="000000" w:sz="4" w:space="0"/>
              <w:bottom w:val="single" w:color="000000" w:sz="4" w:space="0"/>
              <w:right w:val="single" w:color="000000" w:sz="4" w:space="0"/>
            </w:tcBorders>
            <w:tcW w:w="26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水域岸线完整性</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428"/>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湖泊水面面积保有率</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河湖连通性</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水体</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水量</w:t>
            </w:r>
            <w:r/>
          </w:p>
        </w:tc>
        <w:tc>
          <w:tcPr>
            <w:shd w:val="clear" w:color="auto" w:fill="auto"/>
            <w:tcBorders>
              <w:top w:val="single" w:color="000000" w:sz="4" w:space="0"/>
              <w:left w:val="single" w:color="000000" w:sz="4" w:space="0"/>
              <w:bottom w:val="single" w:color="000000" w:sz="4" w:space="0"/>
              <w:right w:val="single" w:color="000000" w:sz="4" w:space="0"/>
            </w:tcBorders>
            <w:tcW w:w="26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生态流量满足程度</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4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地表水资源开发利用率</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水质</w:t>
            </w:r>
            <w:r/>
          </w:p>
        </w:tc>
        <w:tc>
          <w:tcPr>
            <w:shd w:val="clear" w:color="auto" w:fill="auto"/>
            <w:tcBorders>
              <w:top w:val="single" w:color="000000" w:sz="4" w:space="0"/>
              <w:left w:val="single" w:color="000000" w:sz="4" w:space="0"/>
              <w:bottom w:val="single" w:color="000000" w:sz="4" w:space="0"/>
              <w:right w:val="single" w:color="000000" w:sz="4" w:space="0"/>
            </w:tcBorders>
            <w:tcW w:w="26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水质优劣程度</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492"/>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营养状态</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427"/>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水体自净能力</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底泥污染状况</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r>
      <w:tr>
        <w:trPr>
          <w:jc w:val="center"/>
          <w:trHeight w:val="4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right w:val="single" w:color="000000" w:sz="4" w:space="0"/>
            </w:tcBorders>
            <w:tcW w:w="168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w:t>
            </w:r>
            <w:r/>
          </w:p>
        </w:tc>
        <w:tc>
          <w:tcPr>
            <w:shd w:val="clear" w:color="auto" w:fill="auto"/>
            <w:tcBorders>
              <w:top w:val="single" w:color="000000" w:sz="4" w:space="0"/>
              <w:left w:val="single" w:color="000000" w:sz="4" w:space="0"/>
              <w:bottom w:val="single" w:color="000000" w:sz="4" w:space="0"/>
              <w:right w:val="single" w:color="000000" w:sz="4" w:space="0"/>
            </w:tcBorders>
            <w:tcW w:w="26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鱼类状况</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left w:val="single" w:color="000000" w:sz="4" w:space="0"/>
              <w:right w:val="single" w:color="000000" w:sz="4" w:space="0"/>
            </w:tcBorders>
            <w:tcW w:w="168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浮游植物密度</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left w:val="single" w:color="000000" w:sz="4" w:space="0"/>
              <w:right w:val="single" w:color="000000" w:sz="4" w:space="0"/>
            </w:tcBorders>
            <w:tcW w:w="1680" w:type="dxa"/>
            <w:vAlign w:val="center"/>
            <w:vMerge w:val="continue"/>
            <w:textDirection w:val="lrTb"/>
            <w:noWrap w:val="false"/>
          </w:tcPr>
          <w:p>
            <w:pPr>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大型底栖无脊椎动物状况</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湖泊健康</w:t>
            </w:r>
            <w:r/>
          </w:p>
        </w:tc>
        <w:tc>
          <w:tcPr>
            <w:gridSpan w:val="2"/>
            <w:shd w:val="clear" w:color="auto" w:fill="auto"/>
            <w:tcBorders>
              <w:left w:val="single" w:color="000000" w:sz="4" w:space="0"/>
              <w:right w:val="single" w:color="000000" w:sz="4" w:space="0"/>
            </w:tcBorders>
            <w:tcW w:w="1680" w:type="dxa"/>
            <w:vAlign w:val="center"/>
            <w:vMerge w:val="continue"/>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水生维管植物覆盖度</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412"/>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left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水鸟多样性指数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外来物种入侵状况</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社会服务功能</w:t>
            </w:r>
            <w:r/>
          </w:p>
        </w:tc>
        <w:tc>
          <w:tcPr>
            <w:shd w:val="clear" w:color="auto" w:fill="auto"/>
            <w:tcBorders>
              <w:top w:val="single" w:color="000000" w:sz="4" w:space="0"/>
              <w:left w:val="single" w:color="000000" w:sz="4" w:space="0"/>
              <w:bottom w:val="single" w:color="000000" w:sz="4" w:space="0"/>
              <w:right w:val="single" w:color="000000" w:sz="4" w:space="0"/>
            </w:tcBorders>
            <w:tcW w:w="26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公众满意度</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防洪工程体系完整性</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4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通航保证率</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r>
      <w:tr>
        <w:trPr>
          <w:jc w:val="center"/>
          <w:trHeight w:val="442"/>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供水保证程度</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r>
      <w:tr>
        <w:trPr>
          <w:jc w:val="center"/>
          <w:trHeight w:val="53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2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排涝工程达标率</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r>
    </w:tbl>
    <w:p>
      <w:pPr>
        <w:pStyle w:val="858"/>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ind w:firstLine="720"/>
        <w:spacing w:line="360" w:lineRule="auto"/>
        <w:rPr>
          <w:rStyle w:val="1212"/>
          <w:rFonts w:hint="eastAsia" w:ascii="宋体" w:hAnsi="宋体" w:eastAsia="宋体" w:cs="宋体"/>
          <w:color w:val="auto"/>
          <w:sz w:val="24"/>
          <w:szCs w:val="24"/>
          <w:highlight w:val="none"/>
          <w:lang w:val="en-US" w:eastAsia="zh-CN"/>
        </w:rPr>
        <w:outlineLvl w:val="0"/>
      </w:pPr>
      <w:r>
        <w:rPr>
          <w:rStyle w:val="1212"/>
          <w:rFonts w:hint="eastAsia" w:ascii="宋体" w:hAnsi="宋体" w:eastAsia="宋体" w:cs="宋体"/>
          <w:color w:val="auto"/>
          <w:sz w:val="24"/>
          <w:szCs w:val="24"/>
          <w:highlight w:val="none"/>
          <w:lang w:val="en-US" w:eastAsia="zh-CN"/>
        </w:rPr>
        <w:t xml:space="preserve"> A 类河湖应选用基本指标和补充指标，根据实际需要，可增加特色指标。</w:t>
      </w:r>
      <w:r/>
    </w:p>
    <w:p>
      <w:pPr>
        <w:ind w:firstLine="720"/>
        <w:spacing w:line="360" w:lineRule="auto"/>
        <w:rPr>
          <w:rStyle w:val="1212"/>
          <w:rFonts w:hint="eastAsia" w:ascii="宋体" w:hAnsi="宋体" w:eastAsia="宋体" w:cs="宋体"/>
          <w:color w:val="auto"/>
          <w:sz w:val="24"/>
          <w:szCs w:val="24"/>
          <w:highlight w:val="none"/>
          <w:lang w:val="en-US" w:eastAsia="zh-CN"/>
        </w:rPr>
        <w:outlineLvl w:val="0"/>
      </w:pPr>
      <w:r>
        <w:rPr>
          <w:rStyle w:val="1212"/>
          <w:rFonts w:hint="eastAsia" w:ascii="宋体" w:hAnsi="宋体" w:eastAsia="宋体" w:cs="宋体"/>
          <w:color w:val="auto"/>
          <w:sz w:val="24"/>
          <w:szCs w:val="24"/>
          <w:highlight w:val="none"/>
          <w:lang w:val="en-US" w:eastAsia="zh-CN"/>
        </w:rPr>
        <w:t xml:space="preserve"> B 类河湖 应选用基本指标，根据实际需要，可增加补充指标、特色指标。</w:t>
      </w:r>
      <w:r/>
    </w:p>
    <w:p>
      <w:pPr>
        <w:ind w:firstLine="720"/>
        <w:spacing w:line="360" w:lineRule="auto"/>
        <w:rPr>
          <w:rFonts w:hint="eastAsia" w:ascii="宋体" w:hAnsi="宋体" w:eastAsia="宋体" w:cs="宋体"/>
          <w:color w:val="auto"/>
          <w:sz w:val="24"/>
          <w:highlight w:val="none"/>
        </w:rPr>
        <w:outlineLvl w:val="0"/>
      </w:pPr>
      <w:r>
        <w:rPr>
          <w:rStyle w:val="1212"/>
          <w:rFonts w:hint="eastAsia" w:ascii="宋体" w:hAnsi="宋体" w:eastAsia="宋体" w:cs="宋体"/>
          <w:color w:val="auto"/>
          <w:sz w:val="24"/>
          <w:szCs w:val="24"/>
          <w:highlight w:val="none"/>
          <w:lang w:val="en-US" w:eastAsia="zh-CN"/>
        </w:rPr>
        <w:t xml:space="preserve"> C 类河湖应选用水域岸线完整性、水质优劣程度、鱼类状况、公众满意度 4个指标，根据实际需要，可增加基本指标、补充指标和特色指标。若鱼类状况指标数据获取存在较大困难，可采用大型底栖无脊椎动物状况指标替代。</w:t>
      </w:r>
      <w:r/>
    </w:p>
    <w:p>
      <w:pPr>
        <w:pStyle w:val="1108"/>
        <w:numPr>
          <w:ilvl w:val="0"/>
          <w:numId w:val="0"/>
        </w:numPr>
        <w:ind w:firstLine="48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徐州市重点河湖开展常态化水质监测，对市区两座净水厂的进出水质进行检测，对市区局管污水处理厂所产污泥进行检测</w:t>
      </w:r>
      <w:r>
        <w:rPr>
          <w:rFonts w:hint="eastAsia" w:ascii="宋体" w:hAnsi="宋体" w:eastAsia="宋体" w:cs="宋体"/>
          <w:color w:val="auto"/>
          <w:highlight w:val="none"/>
          <w:lang w:eastAsia="zh-CN"/>
        </w:rPr>
        <w:t xml:space="preserve">：</w:t>
      </w:r>
      <w:r/>
    </w:p>
    <w:p>
      <w:pPr>
        <w:pStyle w:val="1108"/>
        <w:numPr>
          <w:ilvl w:val="0"/>
          <w:numId w:val="0"/>
        </w:numPr>
        <w:ind w:firstLine="48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主要内容</w:t>
      </w:r>
      <w:r/>
    </w:p>
    <w:p>
      <w:pPr>
        <w:pStyle w:val="1108"/>
        <w:numPr>
          <w:ilvl w:val="0"/>
          <w:numId w:val="0"/>
        </w:num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①、</w:t>
      </w:r>
      <w:r>
        <w:rPr>
          <w:rFonts w:hint="eastAsia" w:ascii="宋体" w:hAnsi="宋体" w:eastAsia="宋体" w:cs="宋体"/>
          <w:color w:val="auto"/>
          <w:highlight w:val="none"/>
          <w:lang w:val="en-US" w:eastAsia="zh-CN"/>
        </w:rPr>
        <w:t xml:space="preserve">对标段范围内的</w:t>
      </w:r>
      <w:r>
        <w:rPr>
          <w:rFonts w:hint="eastAsia" w:ascii="宋体" w:hAnsi="宋体" w:eastAsia="宋体" w:cs="宋体"/>
          <w:color w:val="auto"/>
          <w:highlight w:val="none"/>
        </w:rPr>
        <w:t xml:space="preserve">重点河道及净水厂</w:t>
      </w:r>
      <w:r>
        <w:rPr>
          <w:rFonts w:hint="eastAsia" w:ascii="宋体" w:hAnsi="宋体" w:eastAsia="宋体" w:cs="宋体"/>
          <w:color w:val="auto"/>
          <w:highlight w:val="none"/>
          <w:lang w:eastAsia="zh-CN"/>
        </w:rPr>
        <w:t xml:space="preserve">进出水</w:t>
      </w:r>
      <w:r>
        <w:rPr>
          <w:rFonts w:hint="eastAsia" w:ascii="宋体" w:hAnsi="宋体" w:eastAsia="宋体" w:cs="宋体"/>
          <w:color w:val="auto"/>
          <w:highlight w:val="none"/>
        </w:rPr>
        <w:t xml:space="preserve">水质、污水处理厂所产污泥（详见</w:t>
      </w:r>
      <w:r>
        <w:rPr>
          <w:rFonts w:hint="eastAsia" w:ascii="宋体" w:hAnsi="宋体" w:eastAsia="宋体" w:cs="宋体"/>
          <w:color w:val="auto"/>
          <w:highlight w:val="none"/>
          <w:lang w:val="en-US" w:eastAsia="zh-CN"/>
        </w:rPr>
        <w:t xml:space="preserve">附表</w:t>
      </w:r>
      <w:r>
        <w:rPr>
          <w:rFonts w:hint="eastAsia" w:ascii="宋体" w:hAnsi="宋体" w:eastAsia="宋体" w:cs="宋体"/>
          <w:color w:val="auto"/>
          <w:highlight w:val="none"/>
        </w:rPr>
        <w:t xml:space="preserve">）进行监测并提交成果报告。</w:t>
      </w:r>
      <w:r/>
    </w:p>
    <w:p>
      <w:pPr>
        <w:pStyle w:val="1108"/>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②、对</w:t>
      </w:r>
      <w:r>
        <w:rPr>
          <w:rFonts w:hint="eastAsia" w:ascii="宋体" w:hAnsi="宋体" w:eastAsia="宋体" w:cs="宋体"/>
          <w:color w:val="auto"/>
          <w:highlight w:val="none"/>
          <w:lang w:val="en-US" w:eastAsia="zh-CN"/>
        </w:rPr>
        <w:t xml:space="preserve">标段范围内的</w:t>
      </w:r>
      <w:r>
        <w:rPr>
          <w:rFonts w:hint="eastAsia" w:ascii="宋体" w:hAnsi="宋体" w:eastAsia="宋体" w:cs="宋体"/>
          <w:color w:val="auto"/>
          <w:highlight w:val="none"/>
        </w:rPr>
        <w:t xml:space="preserve">徐州市重点河道</w:t>
      </w:r>
      <w:r>
        <w:rPr>
          <w:rFonts w:hint="eastAsia" w:ascii="宋体" w:hAnsi="宋体" w:eastAsia="宋体" w:cs="宋体"/>
          <w:color w:val="auto"/>
          <w:highlight w:val="none"/>
          <w:lang w:eastAsia="zh-CN"/>
        </w:rPr>
        <w:t xml:space="preserve">在水质监测的同时对河道水面岸坡管护</w:t>
      </w:r>
      <w:r>
        <w:rPr>
          <w:rFonts w:hint="eastAsia" w:ascii="宋体" w:hAnsi="宋体" w:eastAsia="宋体" w:cs="宋体"/>
          <w:color w:val="auto"/>
          <w:highlight w:val="none"/>
        </w:rPr>
        <w:t xml:space="preserve">工作进行现场</w:t>
      </w:r>
      <w:r>
        <w:rPr>
          <w:rFonts w:hint="eastAsia" w:ascii="宋体" w:hAnsi="宋体" w:eastAsia="宋体" w:cs="宋体"/>
          <w:color w:val="auto"/>
          <w:highlight w:val="none"/>
          <w:lang w:eastAsia="zh-CN"/>
        </w:rPr>
        <w:t xml:space="preserve">检查</w:t>
      </w: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提供检查情况报告</w:t>
      </w:r>
      <w:r>
        <w:rPr>
          <w:rFonts w:hint="eastAsia" w:ascii="宋体" w:hAnsi="宋体" w:eastAsia="宋体" w:cs="宋体"/>
          <w:color w:val="auto"/>
          <w:highlight w:val="none"/>
        </w:rPr>
        <w:t xml:space="preserve">。</w:t>
      </w:r>
      <w:r/>
    </w:p>
    <w:p>
      <w:pPr>
        <w:pStyle w:val="1108"/>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③、应急监测：监测点位、项目、频次随应急情况确定，年度内不少于6次，水质水量应急同步监测。</w:t>
      </w:r>
      <w:r/>
    </w:p>
    <w:p>
      <w:pPr>
        <w:pStyle w:val="1108"/>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（2）服务要求：</w:t>
      </w:r>
      <w:r/>
    </w:p>
    <w:p>
      <w:pPr>
        <w:pStyle w:val="1108"/>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①、徐州市重点河道水质监测，每</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月监测1次。</w:t>
      </w:r>
      <w:r/>
    </w:p>
    <w:p>
      <w:pPr>
        <w:pStyle w:val="1108"/>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②、净水厂</w:t>
      </w:r>
      <w:r>
        <w:rPr>
          <w:rFonts w:hint="eastAsia" w:ascii="宋体" w:hAnsi="宋体" w:eastAsia="宋体" w:cs="宋体"/>
          <w:color w:val="auto"/>
          <w:highlight w:val="none"/>
          <w:lang w:val="en-US" w:eastAsia="zh-CN"/>
        </w:rPr>
        <w:t xml:space="preserve">进出水</w:t>
      </w:r>
      <w:r>
        <w:rPr>
          <w:rFonts w:hint="eastAsia" w:ascii="宋体" w:hAnsi="宋体" w:eastAsia="宋体" w:cs="宋体"/>
          <w:color w:val="auto"/>
          <w:highlight w:val="none"/>
        </w:rPr>
        <w:t xml:space="preserve">水质监测，每周监测1次；污水</w:t>
      </w:r>
      <w:r>
        <w:rPr>
          <w:rFonts w:hint="eastAsia" w:ascii="宋体" w:hAnsi="宋体" w:eastAsia="宋体" w:cs="宋体"/>
          <w:color w:val="auto"/>
          <w:highlight w:val="none"/>
          <w:lang w:val="en-US" w:eastAsia="zh-CN"/>
        </w:rPr>
        <w:t xml:space="preserve">处理</w:t>
      </w:r>
      <w:r>
        <w:rPr>
          <w:rFonts w:hint="eastAsia" w:ascii="宋体" w:hAnsi="宋体" w:eastAsia="宋体" w:cs="宋体"/>
          <w:color w:val="auto"/>
          <w:highlight w:val="none"/>
        </w:rPr>
        <w:t xml:space="preserve">厂</w:t>
      </w:r>
      <w:r>
        <w:rPr>
          <w:rFonts w:hint="eastAsia" w:ascii="宋体" w:hAnsi="宋体" w:eastAsia="宋体" w:cs="宋体"/>
          <w:color w:val="auto"/>
          <w:highlight w:val="none"/>
          <w:lang w:val="en-US" w:eastAsia="zh-CN"/>
        </w:rPr>
        <w:t xml:space="preserve">污泥，</w:t>
      </w:r>
      <w:r>
        <w:rPr>
          <w:rFonts w:hint="eastAsia" w:ascii="宋体" w:hAnsi="宋体" w:eastAsia="宋体" w:cs="宋体"/>
          <w:color w:val="auto"/>
          <w:highlight w:val="none"/>
        </w:rPr>
        <w:t xml:space="preserve">每年监测</w:t>
      </w:r>
      <w:r>
        <w:rPr>
          <w:rFonts w:hint="eastAsia" w:hAnsi="宋体" w:cs="宋体"/>
          <w:color w:val="auto"/>
          <w:highlight w:val="none"/>
          <w:lang w:val="en-US" w:eastAsia="zh-CN"/>
        </w:rPr>
        <w:t xml:space="preserve">2</w:t>
      </w:r>
      <w:r>
        <w:rPr>
          <w:rFonts w:hint="eastAsia" w:ascii="宋体" w:hAnsi="宋体" w:eastAsia="宋体" w:cs="宋体"/>
          <w:color w:val="auto"/>
          <w:highlight w:val="none"/>
        </w:rPr>
        <w:t xml:space="preserve">次；</w:t>
      </w:r>
      <w:r/>
    </w:p>
    <w:p>
      <w:pPr>
        <w:pStyle w:val="1108"/>
        <w:ind w:firstLine="48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③、应急监测：监测点位、项目、频次随应急情况确定，年度内不少于6次，水质水量应急同步监测；</w:t>
      </w:r>
      <w:r>
        <w:rPr>
          <w:rFonts w:hint="eastAsia" w:ascii="宋体" w:hAnsi="宋体" w:eastAsia="宋体" w:cs="宋体"/>
          <w:color w:val="auto"/>
          <w:highlight w:val="none"/>
          <w:lang w:val="en-US" w:eastAsia="zh-CN"/>
        </w:rPr>
        <w:t xml:space="preserve"> </w:t>
      </w:r>
      <w:r/>
    </w:p>
    <w:p>
      <w:pPr>
        <w:pStyle w:val="1108"/>
        <w:ind w:firstLine="48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④、水质监测数据要确保准确、真实，能够反映河道水质实际情况；现场</w:t>
      </w:r>
      <w:r>
        <w:rPr>
          <w:rFonts w:hint="eastAsia" w:ascii="宋体" w:hAnsi="宋体" w:eastAsia="宋体" w:cs="宋体"/>
          <w:color w:val="auto"/>
          <w:highlight w:val="none"/>
          <w:lang w:eastAsia="zh-CN"/>
        </w:rPr>
        <w:t xml:space="preserve">检查</w:t>
      </w:r>
      <w:r>
        <w:rPr>
          <w:rFonts w:hint="eastAsia" w:ascii="宋体" w:hAnsi="宋体" w:eastAsia="宋体" w:cs="宋体"/>
          <w:color w:val="auto"/>
          <w:highlight w:val="none"/>
        </w:rPr>
        <w:t xml:space="preserve">要沿河道全线认真查看，发现河道现场问题需要详细记录并拍照留存，</w:t>
      </w:r>
      <w:r>
        <w:rPr>
          <w:rFonts w:hint="eastAsia" w:ascii="宋体" w:hAnsi="宋体" w:eastAsia="宋体" w:cs="宋体"/>
          <w:color w:val="auto"/>
          <w:highlight w:val="none"/>
          <w:lang w:val="en-US" w:eastAsia="zh-CN"/>
        </w:rPr>
        <w:t xml:space="preserve">河道水质</w:t>
      </w:r>
      <w:r>
        <w:rPr>
          <w:rFonts w:hint="eastAsia" w:ascii="宋体" w:hAnsi="宋体" w:eastAsia="宋体" w:cs="宋体"/>
          <w:color w:val="auto"/>
          <w:highlight w:val="none"/>
        </w:rPr>
        <w:t xml:space="preserve">监测指标包含化学需氧量、氨氮、总磷、高锰酸盐指数、透明度、溶解氧、氧化还原电位等。净水厂水质监测</w:t>
      </w:r>
      <w:r>
        <w:rPr>
          <w:rFonts w:hint="eastAsia" w:ascii="宋体" w:hAnsi="宋体" w:eastAsia="宋体" w:cs="宋体"/>
          <w:color w:val="auto"/>
          <w:highlight w:val="none"/>
          <w:lang w:val="en-US" w:eastAsia="zh-CN"/>
        </w:rPr>
        <w:t xml:space="preserve">指标包含</w:t>
      </w:r>
      <w:r>
        <w:rPr>
          <w:rFonts w:hint="eastAsia" w:ascii="宋体" w:hAnsi="宋体" w:eastAsia="宋体" w:cs="宋体"/>
          <w:color w:val="auto"/>
          <w:sz w:val="24"/>
          <w:szCs w:val="24"/>
          <w:highlight w:val="none"/>
        </w:rPr>
        <w:t xml:space="preserve">透明度、色度、浑浊度、高锰酸盐指数、粪大肠菌群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highlight w:val="none"/>
        </w:rPr>
        <w:t xml:space="preserve">污水</w:t>
      </w:r>
      <w:r>
        <w:rPr>
          <w:rFonts w:hint="eastAsia" w:ascii="宋体" w:hAnsi="宋体" w:eastAsia="宋体" w:cs="宋体"/>
          <w:color w:val="auto"/>
          <w:highlight w:val="none"/>
          <w:lang w:val="en-US" w:eastAsia="zh-CN"/>
        </w:rPr>
        <w:t xml:space="preserve">处理</w:t>
      </w:r>
      <w:r>
        <w:rPr>
          <w:rFonts w:hint="eastAsia" w:ascii="宋体" w:hAnsi="宋体" w:eastAsia="宋体" w:cs="宋体"/>
          <w:color w:val="auto"/>
          <w:highlight w:val="none"/>
        </w:rPr>
        <w:t xml:space="preserve">厂</w:t>
      </w:r>
      <w:r>
        <w:rPr>
          <w:rFonts w:hint="eastAsia" w:ascii="宋体" w:hAnsi="宋体" w:eastAsia="宋体" w:cs="宋体"/>
          <w:color w:val="auto"/>
          <w:highlight w:val="none"/>
          <w:lang w:val="en-US" w:eastAsia="zh-CN"/>
        </w:rPr>
        <w:t xml:space="preserve">污泥检测指标包含</w:t>
      </w:r>
      <w:r>
        <w:rPr>
          <w:rFonts w:hint="eastAsia" w:ascii="宋体" w:hAnsi="宋体" w:eastAsia="宋体" w:cs="宋体"/>
          <w:color w:val="auto"/>
          <w:sz w:val="24"/>
          <w:szCs w:val="24"/>
          <w:highlight w:val="none"/>
        </w:rPr>
        <w:t xml:space="preserve">含水率、有机物、 pH、粪大肠菌群、汞、砷、镉、铅、铜、锌、镍、铬。</w:t>
      </w:r>
      <w:r>
        <w:rPr>
          <w:rFonts w:hint="eastAsia" w:ascii="宋体" w:hAnsi="宋体" w:eastAsia="宋体" w:cs="宋体"/>
          <w:color w:val="auto"/>
          <w:highlight w:val="none"/>
        </w:rPr>
        <w:t xml:space="preserve">同时，成果资料要及时上报。每年汇总成果报告，对全年水质进行分析评价。</w:t>
      </w:r>
      <w:r>
        <w:rPr>
          <w:rFonts w:hint="eastAsia" w:ascii="宋体" w:hAnsi="宋体" w:eastAsia="宋体" w:cs="宋体"/>
          <w:color w:val="auto"/>
          <w:highlight w:val="none"/>
          <w:lang w:val="en-US" w:eastAsia="zh-CN"/>
        </w:rPr>
        <w:t xml:space="preserve"> </w:t>
      </w:r>
      <w:r/>
    </w:p>
    <w:p>
      <w:pPr>
        <w:pStyle w:val="1108"/>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服务期限</w:t>
      </w:r>
      <w:r/>
    </w:p>
    <w:p>
      <w:pPr>
        <w:pStyle w:val="1108"/>
        <w:ind w:firstLine="72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一年</w:t>
      </w:r>
      <w:r>
        <w:rPr>
          <w:rFonts w:hint="eastAsia" w:ascii="宋体" w:hAnsi="宋体" w:eastAsia="宋体" w:cs="宋体"/>
          <w:color w:val="auto"/>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outlineLvl w:val="0"/>
      </w:pPr>
      <w:r>
        <w:rPr>
          <w:rStyle w:val="1212"/>
          <w:rFonts w:hint="eastAsia" w:ascii="宋体" w:hAnsi="宋体" w:eastAsia="宋体" w:cs="宋体"/>
          <w:color w:val="auto"/>
          <w:sz w:val="24"/>
          <w:szCs w:val="24"/>
          <w:highlight w:val="none"/>
          <w:lang w:val="en-US" w:eastAsia="zh-CN"/>
        </w:rPr>
        <w:t xml:space="preserve">（4）</w:t>
      </w:r>
      <w:r>
        <w:rPr>
          <w:rStyle w:val="1212"/>
          <w:rFonts w:hint="eastAsia" w:ascii="宋体" w:hAnsi="宋体" w:eastAsia="宋体" w:cs="宋体"/>
          <w:color w:val="auto"/>
          <w:sz w:val="24"/>
          <w:szCs w:val="24"/>
          <w:highlight w:val="none"/>
          <w:lang w:val="zh-TW" w:eastAsia="zh-TW"/>
        </w:rPr>
        <w:t xml:space="preserve">成果提交要求</w:t>
      </w:r>
      <w:r/>
    </w:p>
    <w:p>
      <w:pPr>
        <w:pStyle w:val="818"/>
        <w:ind w:left="0" w:firstLine="480"/>
        <w:jc w:val="both"/>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①</w:t>
      </w:r>
      <w:r>
        <w:rPr>
          <w:rFonts w:hint="eastAsia" w:ascii="宋体" w:hAnsi="宋体" w:eastAsia="宋体" w:cs="宋体"/>
          <w:color w:val="auto"/>
          <w:sz w:val="24"/>
          <w:szCs w:val="24"/>
          <w:highlight w:val="none"/>
        </w:rPr>
        <w:t xml:space="preserve">重点河道水质监测成果提交</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合同生效后，乙方按照合同方案内容开展徐州市重点河道水质监测工作，重点河道监测</w:t>
      </w:r>
      <w:r>
        <w:rPr>
          <w:rFonts w:hint="eastAsia" w:ascii="宋体" w:hAnsi="宋体" w:eastAsia="宋体" w:cs="宋体"/>
          <w:color w:val="auto"/>
          <w:sz w:val="24"/>
          <w:szCs w:val="24"/>
          <w:highlight w:val="none"/>
          <w:lang w:val="en-US" w:eastAsia="zh-CN"/>
        </w:rPr>
        <w:t xml:space="preserve">每</w:t>
      </w:r>
      <w:r>
        <w:rPr>
          <w:rFonts w:hint="eastAsia" w:ascii="宋体" w:hAnsi="宋体" w:eastAsia="宋体" w:cs="宋体"/>
          <w:color w:val="auto"/>
          <w:sz w:val="24"/>
          <w:szCs w:val="24"/>
          <w:highlight w:val="none"/>
        </w:rPr>
        <w:t xml:space="preserve">月2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日左右监测一次，监测指标</w:t>
      </w:r>
      <w:r>
        <w:rPr>
          <w:rFonts w:hint="eastAsia" w:ascii="宋体" w:hAnsi="宋体" w:cs="宋体"/>
          <w:color w:val="auto"/>
          <w:sz w:val="24"/>
          <w:szCs w:val="24"/>
          <w:highlight w:val="none"/>
          <w:lang w:val="en-US" w:eastAsia="zh-CN"/>
        </w:rPr>
        <w:t xml:space="preserve">参照</w:t>
      </w:r>
      <w:r>
        <w:rPr>
          <w:rFonts w:hint="eastAsia" w:ascii="宋体" w:hAnsi="宋体" w:eastAsia="宋体" w:cs="宋体"/>
          <w:color w:val="auto"/>
          <w:sz w:val="24"/>
          <w:szCs w:val="24"/>
          <w:highlight w:val="none"/>
        </w:rPr>
        <w:t xml:space="preserve">《地表水质量标准》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列出超标项目，分析水环境质量同比变化及原因。编制成果报告，于</w:t>
      </w:r>
      <w:r>
        <w:rPr>
          <w:rFonts w:hint="eastAsia" w:ascii="宋体" w:hAnsi="宋体" w:eastAsia="宋体" w:cs="宋体"/>
          <w:color w:val="auto"/>
          <w:sz w:val="24"/>
          <w:szCs w:val="24"/>
          <w:highlight w:val="none"/>
          <w:lang w:val="en-US" w:eastAsia="zh-CN"/>
        </w:rPr>
        <w:t xml:space="preserve">当</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月底</w:t>
      </w:r>
      <w:r>
        <w:rPr>
          <w:rFonts w:hint="eastAsia" w:ascii="宋体" w:hAnsi="宋体" w:eastAsia="宋体" w:cs="宋体"/>
          <w:color w:val="auto"/>
          <w:sz w:val="24"/>
          <w:szCs w:val="24"/>
          <w:highlight w:val="none"/>
        </w:rPr>
        <w:t xml:space="preserve">前提交《202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月徐州市重点河道水质监测</w:t>
      </w:r>
      <w:r>
        <w:rPr>
          <w:rFonts w:hint="eastAsia" w:ascii="宋体" w:hAnsi="宋体" w:eastAsia="宋体" w:cs="宋体"/>
          <w:color w:val="auto"/>
          <w:sz w:val="24"/>
          <w:szCs w:val="24"/>
          <w:highlight w:val="none"/>
          <w:lang w:eastAsia="zh-CN"/>
        </w:rPr>
        <w:t xml:space="preserve">成果报告</w:t>
      </w:r>
      <w:r>
        <w:rPr>
          <w:rFonts w:hint="eastAsia" w:ascii="宋体" w:hAnsi="宋体" w:eastAsia="宋体" w:cs="宋体"/>
          <w:color w:val="auto"/>
          <w:sz w:val="24"/>
          <w:szCs w:val="24"/>
          <w:highlight w:val="none"/>
        </w:rPr>
        <w:t xml:space="preserve">》（以文字评价描述及图表形式上报）</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汛期应急监测完成后需提交应急监测快报，并分析来水对各考核断面水质影响分析。所有监测任务完成，编制年报1期，分析各月监测情况及各考核断面水质变化趋势</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对全年水质变化进行分析评价。根据</w:t>
      </w:r>
      <w:r>
        <w:rPr>
          <w:rFonts w:hint="eastAsia" w:ascii="宋体" w:hAnsi="宋体" w:eastAsia="宋体" w:cs="宋体"/>
          <w:color w:val="auto"/>
          <w:sz w:val="24"/>
          <w:szCs w:val="24"/>
          <w:highlight w:val="none"/>
          <w:lang w:val="en-US" w:eastAsia="zh-CN"/>
        </w:rPr>
        <w:t xml:space="preserve">全</w:t>
      </w:r>
      <w:r>
        <w:rPr>
          <w:rFonts w:hint="eastAsia" w:ascii="宋体" w:hAnsi="宋体" w:eastAsia="宋体" w:cs="宋体"/>
          <w:color w:val="auto"/>
          <w:sz w:val="24"/>
          <w:szCs w:val="24"/>
          <w:highlight w:val="none"/>
        </w:rPr>
        <w:t xml:space="preserve">年水质检测成果，绘制水质变化图，提供变化规律。</w:t>
      </w:r>
      <w:r>
        <w:rPr>
          <w:rFonts w:hint="eastAsia" w:ascii="宋体" w:hAnsi="宋体" w:eastAsia="宋体" w:cs="宋体"/>
          <w:color w:val="auto"/>
          <w:sz w:val="24"/>
          <w:szCs w:val="24"/>
          <w:highlight w:val="none"/>
          <w:lang w:val="en-US" w:eastAsia="zh-CN"/>
        </w:rPr>
        <w:t xml:space="preserve"> </w:t>
      </w:r>
      <w:r/>
    </w:p>
    <w:p>
      <w:pPr>
        <w:ind w:firstLine="480"/>
        <w:spacing w:line="360" w:lineRule="auto"/>
        <w:rPr>
          <w:rFonts w:hint="eastAsia" w:ascii="宋体" w:hAnsi="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②</w:t>
      </w:r>
      <w:r>
        <w:rPr>
          <w:rFonts w:hint="eastAsia" w:ascii="宋体" w:hAnsi="宋体" w:cs="宋体"/>
          <w:color w:val="auto"/>
          <w:sz w:val="24"/>
          <w:szCs w:val="24"/>
          <w:highlight w:val="none"/>
          <w:lang w:val="en-US" w:eastAsia="zh-CN" w:bidi="ar-SA"/>
        </w:rPr>
        <w:t xml:space="preserve">净水厂监测成果提交</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进出水</w:t>
      </w:r>
      <w:r>
        <w:rPr>
          <w:rFonts w:hint="eastAsia" w:ascii="宋体" w:hAnsi="宋体" w:eastAsia="宋体" w:cs="宋体"/>
          <w:color w:val="auto"/>
          <w:sz w:val="24"/>
          <w:szCs w:val="24"/>
          <w:highlight w:val="none"/>
        </w:rPr>
        <w:t xml:space="preserve">水质监测，每周监测1次</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透明度、色度、浑浊度、高锰酸盐指数、粪大肠菌群</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分析异常指标，并提供成果报告。</w:t>
      </w:r>
      <w:r/>
    </w:p>
    <w:p>
      <w:pPr>
        <w:ind w:firstLine="480"/>
        <w:spacing w:line="360" w:lineRule="auto"/>
        <w:rPr>
          <w:rFonts w:hint="default" w:ascii="宋体" w:hAnsi="宋体" w:cs="宋体"/>
          <w:color w:val="auto"/>
          <w:sz w:val="24"/>
          <w:szCs w:val="24"/>
          <w:highlight w:val="none"/>
          <w:lang w:val="en-US" w:eastAsia="zh-CN" w:bidi="ar-SA"/>
        </w:rPr>
      </w:pPr>
      <w:r>
        <w:rPr>
          <w:rFonts w:hint="default" w:ascii="宋体" w:hAnsi="宋体" w:cs="宋体"/>
          <w:color w:val="auto"/>
          <w:sz w:val="24"/>
          <w:szCs w:val="24"/>
          <w:highlight w:val="none"/>
          <w:lang w:val="en-US" w:eastAsia="zh-CN" w:bidi="ar-SA"/>
        </w:rPr>
        <w:t xml:space="preserve">③</w:t>
      </w:r>
      <w:r>
        <w:rPr>
          <w:rFonts w:hint="eastAsia" w:ascii="宋体" w:hAnsi="宋体" w:cs="宋体"/>
          <w:color w:val="auto"/>
          <w:sz w:val="24"/>
          <w:szCs w:val="24"/>
          <w:highlight w:val="none"/>
          <w:lang w:val="en-US" w:eastAsia="zh-CN" w:bidi="ar-SA"/>
        </w:rPr>
        <w:t xml:space="preserve">污泥监测成果提交</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分别于2026年12月和2027年6月监测，</w:t>
      </w:r>
      <w:r>
        <w:rPr>
          <w:rFonts w:hint="eastAsia" w:ascii="宋体" w:hAnsi="宋体" w:cs="宋体"/>
          <w:color w:val="auto"/>
          <w:sz w:val="24"/>
          <w:szCs w:val="24"/>
          <w:highlight w:val="none"/>
          <w:lang w:val="en-US" w:eastAsia="zh-CN"/>
        </w:rPr>
        <w:t xml:space="preserve">分析异常指标，</w:t>
      </w:r>
      <w:r>
        <w:rPr>
          <w:rFonts w:hint="eastAsia" w:ascii="宋体" w:hAnsi="宋体" w:eastAsia="宋体" w:cs="宋体"/>
          <w:color w:val="auto"/>
          <w:sz w:val="24"/>
          <w:szCs w:val="24"/>
          <w:highlight w:val="none"/>
          <w:lang w:val="en-US" w:eastAsia="zh-CN"/>
        </w:rPr>
        <w:t xml:space="preserve">并提交成果报告。</w:t>
      </w:r>
      <w:r/>
    </w:p>
    <w:p>
      <w:pPr>
        <w:pStyle w:val="1108"/>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三、标段划分</w:t>
      </w:r>
      <w:r/>
    </w:p>
    <w:p>
      <w:pPr>
        <w:pStyle w:val="1108"/>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本项目设两个标段：采购包1、采购包2</w:t>
      </w:r>
      <w:r/>
    </w:p>
    <w:p>
      <w:pPr>
        <w:pStyle w:val="1108"/>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采购包1实施内容：</w:t>
      </w:r>
      <w:r/>
    </w:p>
    <w:p>
      <w:pPr>
        <w:pStyle w:val="1108"/>
        <w:jc w:val="cente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采购包1   河湖健康评价任务清单</w:t>
      </w:r>
      <w:r/>
    </w:p>
    <w:tbl>
      <w:tblPr>
        <w:tblStyle w:val="8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63"/>
        <w:gridCol w:w="4795"/>
        <w:gridCol w:w="2064"/>
      </w:tblGrid>
      <w:tr>
        <w:trPr>
          <w:jc w:val="center"/>
        </w:trPr>
        <w:tc>
          <w:tcPr>
            <w:tcW w:w="1663"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479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河湖名称</w:t>
            </w:r>
            <w:r/>
          </w:p>
        </w:tc>
        <w:tc>
          <w:tcPr>
            <w:tcW w:w="2064"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Pr>
        <w:tc>
          <w:tcPr>
            <w:tcW w:w="1663"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479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剑秋河</w:t>
            </w:r>
            <w:r/>
          </w:p>
        </w:tc>
        <w:tc>
          <w:tcPr>
            <w:tcW w:w="2064" w:type="dxa"/>
            <w:vAlign w:val="center"/>
            <w:textDirection w:val="lrTb"/>
            <w:noWrap w:val="false"/>
          </w:tcPr>
          <w:p>
            <w:pPr>
              <w:jc w:val="center"/>
              <w:spacing w:line="42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 </w:t>
            </w:r>
            <w:r/>
          </w:p>
        </w:tc>
      </w:tr>
      <w:tr>
        <w:trPr>
          <w:jc w:val="center"/>
        </w:trPr>
        <w:tc>
          <w:tcPr>
            <w:tcW w:w="1663"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4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奎河</w:t>
            </w:r>
            <w:r/>
          </w:p>
        </w:tc>
        <w:tc>
          <w:tcPr>
            <w:tcW w:w="2064"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663"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4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白马河</w:t>
            </w:r>
            <w:r/>
          </w:p>
        </w:tc>
        <w:tc>
          <w:tcPr>
            <w:tcW w:w="2064"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663"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4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丰沛运河</w:t>
            </w:r>
            <w:r/>
          </w:p>
        </w:tc>
        <w:tc>
          <w:tcPr>
            <w:tcW w:w="2064"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663"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4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鹿口河</w:t>
            </w:r>
            <w:r/>
          </w:p>
        </w:tc>
        <w:tc>
          <w:tcPr>
            <w:tcW w:w="2064"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663"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4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义河</w:t>
            </w:r>
            <w:r/>
          </w:p>
        </w:tc>
        <w:tc>
          <w:tcPr>
            <w:tcW w:w="2064"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663"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4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顺堤河</w:t>
            </w:r>
            <w:r/>
          </w:p>
        </w:tc>
        <w:tc>
          <w:tcPr>
            <w:tcW w:w="2064"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663"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4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故黄河</w:t>
            </w:r>
            <w:r/>
          </w:p>
        </w:tc>
        <w:tc>
          <w:tcPr>
            <w:tcW w:w="2064"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663"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4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拾屯河</w:t>
            </w:r>
            <w:r/>
          </w:p>
        </w:tc>
        <w:tc>
          <w:tcPr>
            <w:tcW w:w="2064"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663"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4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二八河</w:t>
            </w:r>
            <w:r/>
          </w:p>
        </w:tc>
        <w:tc>
          <w:tcPr>
            <w:tcW w:w="2064"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108"/>
        <w:jc w:val="cente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采购包1  重点河道水质监测断面清单</w:t>
      </w:r>
      <w:r/>
    </w:p>
    <w:tbl>
      <w:tblPr>
        <w:tblStyle w:val="807"/>
        <w:tblW w:w="865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60"/>
        <w:gridCol w:w="1436"/>
        <w:gridCol w:w="1612"/>
        <w:gridCol w:w="1309"/>
        <w:gridCol w:w="1176"/>
        <w:gridCol w:w="1284"/>
        <w:gridCol w:w="1275"/>
      </w:tblGrid>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辖区</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河道</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长度（km）</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断面</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检测指标</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检测频次</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堰下顺堤河</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right w:val="single" w:color="000000" w:sz="4" w:space="0"/>
            </w:tcBorders>
            <w:tcW w:w="1284" w:type="dxa"/>
            <w:vAlign w:val="center"/>
            <w:vMerge w:val="restart"/>
            <w:textDirection w:val="lrTb"/>
            <w:noWrap w:val="false"/>
          </w:tcPr>
          <w:p>
            <w:pPr>
              <w:jc w:val="center"/>
              <w:keepLines w:val="0"/>
              <w:keepNext w:val="0"/>
              <w:pageBreakBefore w:val="0"/>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化学需氧量、氨氮、总磷、高锰酸盐指数、透明度、溶解氧、氧化还原电位。</w:t>
            </w:r>
            <w:r/>
          </w:p>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right w:val="single" w:color="000000" w:sz="4" w:space="0"/>
            </w:tcBorders>
            <w:tcW w:w="127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color w:val="auto"/>
                <w:sz w:val="22"/>
                <w:szCs w:val="22"/>
                <w:highlight w:val="none"/>
              </w:rPr>
              <w:t xml:space="preserve">1次/</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月</w:t>
            </w:r>
            <w:r/>
          </w:p>
        </w:tc>
      </w:tr>
      <w:tr>
        <w:trPr>
          <w:jc w:val="center"/>
          <w:trHeight w:val="332"/>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堰上顺堤河</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left w:val="single" w:color="000000" w:sz="4" w:space="0"/>
              <w:right w:val="single" w:color="000000" w:sz="4" w:space="0"/>
            </w:tcBorders>
            <w:tcW w:w="128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275"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苏山河</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left w:val="single" w:color="000000" w:sz="4" w:space="0"/>
              <w:right w:val="single" w:color="000000" w:sz="4" w:space="0"/>
            </w:tcBorders>
            <w:tcW w:w="128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275"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拾屯河</w:t>
            </w:r>
            <w:r/>
          </w:p>
        </w:tc>
        <w:tc>
          <w:tcPr>
            <w:shd w:val="clear" w:color="auto" w:fill="auto"/>
            <w:tcBorders>
              <w:top w:val="single" w:color="000000" w:sz="4" w:space="0"/>
              <w:left w:val="single" w:color="000000" w:sz="4" w:space="0"/>
              <w:right w:val="single" w:color="000000" w:sz="4" w:space="0"/>
            </w:tcBorders>
            <w:tcW w:w="130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left w:val="single" w:color="000000" w:sz="4" w:space="0"/>
              <w:right w:val="single" w:color="000000" w:sz="4" w:space="0"/>
            </w:tcBorders>
            <w:tcW w:w="128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275"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left w:val="single" w:color="000000" w:sz="4" w:space="0"/>
              <w:bottom w:val="single" w:color="000000" w:sz="4" w:space="0"/>
              <w:right w:val="single" w:color="000000" w:sz="4" w:space="0"/>
            </w:tcBorders>
            <w:tcW w:w="1309"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left w:val="single" w:color="000000" w:sz="4" w:space="0"/>
              <w:right w:val="single" w:color="000000" w:sz="4" w:space="0"/>
            </w:tcBorders>
            <w:tcW w:w="128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275"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王新庄河</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left w:val="single" w:color="000000" w:sz="4" w:space="0"/>
              <w:right w:val="single" w:color="000000" w:sz="4" w:space="0"/>
            </w:tcBorders>
            <w:tcW w:w="128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275"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62"/>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西邓庄河</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left w:val="single" w:color="000000" w:sz="4" w:space="0"/>
              <w:right w:val="single" w:color="000000" w:sz="4" w:space="0"/>
            </w:tcBorders>
            <w:tcW w:w="128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275"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苏丁路边沟</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left w:val="single" w:color="000000" w:sz="4" w:space="0"/>
              <w:right w:val="single" w:color="000000" w:sz="4" w:space="0"/>
            </w:tcBorders>
            <w:tcW w:w="128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275"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陈庄河</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left w:val="single" w:color="000000" w:sz="4" w:space="0"/>
              <w:right w:val="single" w:color="000000" w:sz="4" w:space="0"/>
            </w:tcBorders>
            <w:tcW w:w="128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275"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堰王大沟</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left w:val="single" w:color="000000" w:sz="4" w:space="0"/>
              <w:right w:val="single" w:color="000000" w:sz="4" w:space="0"/>
            </w:tcBorders>
            <w:tcW w:w="128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275"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铜山区</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楚  河</w:t>
            </w:r>
            <w:r/>
          </w:p>
        </w:tc>
        <w:tc>
          <w:tcPr>
            <w:shd w:val="clear" w:color="auto" w:fill="auto"/>
            <w:tcBorders>
              <w:top w:val="single" w:color="000000" w:sz="4" w:space="0"/>
              <w:left w:val="single" w:color="000000" w:sz="4" w:space="0"/>
              <w:right w:val="single" w:color="000000" w:sz="4" w:space="0"/>
            </w:tcBorders>
            <w:tcW w:w="130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left w:val="single" w:color="000000" w:sz="4" w:space="0"/>
              <w:right w:val="single" w:color="000000" w:sz="4" w:space="0"/>
            </w:tcBorders>
            <w:tcW w:w="128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275"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29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高新区</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left w:val="single" w:color="000000" w:sz="4" w:space="0"/>
              <w:bottom w:val="single" w:color="000000" w:sz="4" w:space="0"/>
              <w:right w:val="single" w:color="000000" w:sz="4" w:space="0"/>
            </w:tcBorders>
            <w:tcW w:w="1309"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left w:val="single" w:color="000000" w:sz="4" w:space="0"/>
              <w:right w:val="single" w:color="000000" w:sz="4" w:space="0"/>
            </w:tcBorders>
            <w:tcW w:w="128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275"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铜山区</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玉泉河</w:t>
            </w:r>
            <w:r/>
          </w:p>
        </w:tc>
        <w:tc>
          <w:tcPr>
            <w:shd w:val="clear" w:color="auto" w:fill="auto"/>
            <w:tcBorders>
              <w:top w:val="single" w:color="000000" w:sz="4" w:space="0"/>
              <w:left w:val="single" w:color="000000" w:sz="4" w:space="0"/>
              <w:right w:val="single" w:color="000000" w:sz="4" w:space="0"/>
            </w:tcBorders>
            <w:tcW w:w="130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left w:val="single" w:color="000000" w:sz="4" w:space="0"/>
              <w:right w:val="single" w:color="000000" w:sz="4" w:space="0"/>
            </w:tcBorders>
            <w:tcW w:w="128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275"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高新区</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left w:val="single" w:color="000000" w:sz="4" w:space="0"/>
              <w:bottom w:val="single" w:color="000000" w:sz="4" w:space="0"/>
              <w:right w:val="single" w:color="000000" w:sz="4" w:space="0"/>
            </w:tcBorders>
            <w:tcW w:w="1309"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left w:val="single" w:color="000000" w:sz="4" w:space="0"/>
              <w:right w:val="single" w:color="000000" w:sz="4" w:space="0"/>
            </w:tcBorders>
            <w:tcW w:w="128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275"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铜山区</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政府东沟</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left w:val="single" w:color="000000" w:sz="4" w:space="0"/>
              <w:right w:val="single" w:color="000000" w:sz="4" w:space="0"/>
            </w:tcBorders>
            <w:tcW w:w="128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275"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铜山区</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政府西沟</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left w:val="single" w:color="000000" w:sz="4" w:space="0"/>
              <w:right w:val="single" w:color="000000" w:sz="4" w:space="0"/>
            </w:tcBorders>
            <w:tcW w:w="128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275"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295"/>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铜山区</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焦山河</w:t>
            </w:r>
            <w:r/>
          </w:p>
        </w:tc>
        <w:tc>
          <w:tcPr>
            <w:shd w:val="clear" w:color="auto" w:fill="auto"/>
            <w:tcBorders>
              <w:top w:val="single" w:color="000000" w:sz="4" w:space="0"/>
              <w:left w:val="single" w:color="000000" w:sz="4" w:space="0"/>
              <w:right w:val="single" w:color="000000" w:sz="4" w:space="0"/>
            </w:tcBorders>
            <w:tcW w:w="130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left w:val="single" w:color="000000" w:sz="4" w:space="0"/>
              <w:right w:val="single" w:color="000000" w:sz="4" w:space="0"/>
            </w:tcBorders>
            <w:tcW w:w="128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275"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160"/>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高新区</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left w:val="single" w:color="000000" w:sz="4" w:space="0"/>
              <w:bottom w:val="single" w:color="000000" w:sz="4" w:space="0"/>
              <w:right w:val="single" w:color="000000" w:sz="4" w:space="0"/>
            </w:tcBorders>
            <w:tcW w:w="1309"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left w:val="single" w:color="000000" w:sz="4" w:space="0"/>
              <w:right w:val="single" w:color="000000" w:sz="4" w:space="0"/>
            </w:tcBorders>
            <w:tcW w:w="128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275"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铜山区</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龙泉河</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left w:val="single" w:color="000000" w:sz="4" w:space="0"/>
              <w:right w:val="single" w:color="000000" w:sz="4" w:space="0"/>
            </w:tcBorders>
            <w:tcW w:w="128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275"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铜山区</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玉带河</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left w:val="single" w:color="000000" w:sz="4" w:space="0"/>
              <w:right w:val="single" w:color="000000" w:sz="4" w:space="0"/>
            </w:tcBorders>
            <w:tcW w:w="128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275"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铜山区</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汉王大寨河</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left w:val="single" w:color="000000" w:sz="4" w:space="0"/>
              <w:right w:val="single" w:color="000000" w:sz="4" w:space="0"/>
            </w:tcBorders>
            <w:tcW w:w="128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275"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高新区</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东风河</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left w:val="single" w:color="000000" w:sz="4" w:space="0"/>
              <w:right w:val="single" w:color="000000" w:sz="4" w:space="0"/>
            </w:tcBorders>
            <w:tcW w:w="128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275"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经开区</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杨山大沟</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left w:val="single" w:color="000000" w:sz="4" w:space="0"/>
              <w:right w:val="single" w:color="000000" w:sz="4" w:space="0"/>
            </w:tcBorders>
            <w:tcW w:w="128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275"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经开区</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房亭河</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4.75</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left w:val="single" w:color="000000" w:sz="4" w:space="0"/>
              <w:right w:val="single" w:color="000000" w:sz="4" w:space="0"/>
            </w:tcBorders>
            <w:tcW w:w="128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275"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贾汪区</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十里花溪</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left w:val="single" w:color="000000" w:sz="4" w:space="0"/>
              <w:right w:val="single" w:color="000000" w:sz="4" w:space="0"/>
            </w:tcBorders>
            <w:tcW w:w="128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275"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贾汪区</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闫村大沟</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left w:val="single" w:color="000000" w:sz="4" w:space="0"/>
              <w:right w:val="single" w:color="000000" w:sz="4" w:space="0"/>
            </w:tcBorders>
            <w:tcW w:w="128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275"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43"/>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贾汪区</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朝阳河</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left w:val="single" w:color="000000" w:sz="4" w:space="0"/>
              <w:right w:val="single" w:color="000000" w:sz="4" w:space="0"/>
            </w:tcBorders>
            <w:tcW w:w="128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275"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贾汪区</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锦凤溪</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left w:val="single" w:color="000000" w:sz="4" w:space="0"/>
              <w:right w:val="single" w:color="000000" w:sz="4" w:space="0"/>
            </w:tcBorders>
            <w:tcW w:w="128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275"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贾汪区</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东排洪道</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left w:val="single" w:color="000000" w:sz="4" w:space="0"/>
              <w:right w:val="single" w:color="000000" w:sz="4" w:space="0"/>
            </w:tcBorders>
            <w:tcW w:w="128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275"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贾汪区</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屯石大沟</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left w:val="single" w:color="000000" w:sz="4" w:space="0"/>
              <w:right w:val="single" w:color="000000" w:sz="4" w:space="0"/>
            </w:tcBorders>
            <w:tcW w:w="128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275"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贾汪区</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中央排洪道</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left w:val="single" w:color="000000" w:sz="4" w:space="0"/>
              <w:right w:val="single" w:color="000000" w:sz="4" w:space="0"/>
            </w:tcBorders>
            <w:tcW w:w="128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275"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故黄河</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ffff00"/>
            <w:tcBorders>
              <w:left w:val="single" w:color="000000" w:sz="4" w:space="0"/>
              <w:right w:val="single" w:color="000000" w:sz="4" w:space="0"/>
            </w:tcBorders>
            <w:tcW w:w="128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ffff00"/>
            <w:tcBorders>
              <w:left w:val="single" w:color="000000" w:sz="4" w:space="0"/>
              <w:right w:val="single" w:color="000000" w:sz="4" w:space="0"/>
            </w:tcBorders>
            <w:tcW w:w="1275"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铜山区</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奎河</w:t>
            </w:r>
            <w:r/>
          </w:p>
        </w:tc>
        <w:tc>
          <w:tcPr>
            <w:shd w:val="clear" w:color="auto" w:fill="auto"/>
            <w:tcBorders>
              <w:top w:val="single" w:color="000000" w:sz="4" w:space="0"/>
              <w:left w:val="single" w:color="000000" w:sz="4" w:space="0"/>
              <w:right w:val="single" w:color="000000" w:sz="4" w:space="0"/>
            </w:tcBorders>
            <w:tcW w:w="130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00"/>
            <w:tcBorders>
              <w:left w:val="single" w:color="000000" w:sz="4" w:space="0"/>
              <w:right w:val="single" w:color="000000" w:sz="4" w:space="0"/>
            </w:tcBorders>
            <w:tcW w:w="128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ffff00"/>
            <w:tcBorders>
              <w:left w:val="single" w:color="000000" w:sz="4" w:space="0"/>
              <w:right w:val="single" w:color="000000" w:sz="4" w:space="0"/>
            </w:tcBorders>
            <w:tcW w:w="1275"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left w:val="single" w:color="000000" w:sz="4" w:space="0"/>
              <w:right w:val="single" w:color="000000" w:sz="4" w:space="0"/>
            </w:tcBorders>
            <w:tcW w:w="1309"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00"/>
            <w:tcBorders>
              <w:left w:val="single" w:color="000000" w:sz="4" w:space="0"/>
              <w:right w:val="single" w:color="000000" w:sz="4" w:space="0"/>
            </w:tcBorders>
            <w:tcW w:w="128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ffff00"/>
            <w:tcBorders>
              <w:left w:val="single" w:color="000000" w:sz="4" w:space="0"/>
              <w:right w:val="single" w:color="000000" w:sz="4" w:space="0"/>
            </w:tcBorders>
            <w:tcW w:w="1275"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高新区</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left w:val="single" w:color="000000" w:sz="4" w:space="0"/>
              <w:bottom w:val="single" w:color="000000" w:sz="4" w:space="0"/>
              <w:right w:val="single" w:color="000000" w:sz="4" w:space="0"/>
            </w:tcBorders>
            <w:tcW w:w="1309"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00"/>
            <w:tcBorders>
              <w:left w:val="single" w:color="000000" w:sz="4" w:space="0"/>
              <w:right w:val="single" w:color="000000" w:sz="4" w:space="0"/>
            </w:tcBorders>
            <w:tcW w:w="128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ffff00"/>
            <w:tcBorders>
              <w:left w:val="single" w:color="000000" w:sz="4" w:space="0"/>
              <w:right w:val="single" w:color="000000" w:sz="4" w:space="0"/>
            </w:tcBorders>
            <w:tcW w:w="1275"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军民河</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0.45</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left w:val="single" w:color="000000" w:sz="4" w:space="0"/>
              <w:right w:val="single" w:color="000000" w:sz="4" w:space="0"/>
            </w:tcBorders>
            <w:tcW w:w="128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275"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八一大沟</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left w:val="single" w:color="000000" w:sz="4" w:space="0"/>
              <w:right w:val="single" w:color="000000" w:sz="4" w:space="0"/>
            </w:tcBorders>
            <w:tcW w:w="1284"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275"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经开区</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东龙湖</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left w:val="single" w:color="000000" w:sz="4" w:space="0"/>
              <w:right w:val="single" w:color="000000" w:sz="4" w:space="0"/>
            </w:tcBorders>
            <w:tcW w:w="128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275"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经开区</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金龙湖</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left w:val="single" w:color="000000" w:sz="4" w:space="0"/>
              <w:right w:val="single" w:color="000000" w:sz="4" w:space="0"/>
            </w:tcBorders>
            <w:tcW w:w="128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275"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贾汪区</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龙吟湖</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left w:val="single" w:color="000000" w:sz="4" w:space="0"/>
              <w:right w:val="single" w:color="000000" w:sz="4" w:space="0"/>
            </w:tcBorders>
            <w:tcW w:w="128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275"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贾汪区</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凤鸣海</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left w:val="single" w:color="000000" w:sz="4" w:space="0"/>
              <w:right w:val="single" w:color="000000" w:sz="4" w:space="0"/>
            </w:tcBorders>
            <w:tcW w:w="128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275"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270"/>
        </w:trPr>
        <w:tc>
          <w:tcPr>
            <w:shd w:val="clear" w:color="auto" w:fill="auto"/>
            <w:tcBorders>
              <w:top w:val="single" w:color="000000" w:sz="4" w:space="0"/>
              <w:left w:val="single" w:color="000000" w:sz="4" w:space="0"/>
              <w:bottom w:val="single" w:color="auto" w:sz="4" w:space="0"/>
              <w:right w:val="single" w:color="000000" w:sz="4" w:space="0"/>
            </w:tcBorders>
            <w:tcW w:w="56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auto" w:sz="4" w:space="0"/>
              <w:right w:val="single" w:color="000000" w:sz="4" w:space="0"/>
            </w:tcBorders>
            <w:tcW w:w="143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贾汪区</w:t>
            </w:r>
            <w:r/>
          </w:p>
        </w:tc>
        <w:tc>
          <w:tcPr>
            <w:shd w:val="clear" w:color="auto" w:fill="auto"/>
            <w:tcBorders>
              <w:top w:val="single" w:color="000000" w:sz="4" w:space="0"/>
              <w:left w:val="single" w:color="000000" w:sz="4" w:space="0"/>
              <w:bottom w:val="single" w:color="auto" w:sz="4" w:space="0"/>
              <w:right w:val="single" w:color="000000" w:sz="4" w:space="0"/>
            </w:tcBorders>
            <w:tcW w:w="161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小南湖</w:t>
            </w:r>
            <w:r/>
          </w:p>
        </w:tc>
        <w:tc>
          <w:tcPr>
            <w:shd w:val="clear" w:color="auto" w:fill="auto"/>
            <w:tcBorders>
              <w:top w:val="single" w:color="000000" w:sz="4" w:space="0"/>
              <w:left w:val="single" w:color="000000" w:sz="4" w:space="0"/>
              <w:bottom w:val="single" w:color="auto" w:sz="4" w:space="0"/>
              <w:right w:val="single" w:color="000000" w:sz="4" w:space="0"/>
            </w:tcBorders>
            <w:tcW w:w="1309"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117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left w:val="single" w:color="000000" w:sz="4" w:space="0"/>
              <w:bottom w:val="single" w:color="auto" w:sz="4" w:space="0"/>
              <w:right w:val="single" w:color="000000" w:sz="4" w:space="0"/>
            </w:tcBorders>
            <w:tcW w:w="1284"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bottom w:val="single" w:color="auto" w:sz="4" w:space="0"/>
              <w:right w:val="single" w:color="000000" w:sz="4" w:space="0"/>
            </w:tcBorders>
            <w:tcW w:w="1275"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270"/>
        </w:trPr>
        <w:tc>
          <w:tcPr>
            <w:shd w:val="clear" w:color="auto" w:fill="auto"/>
            <w:tcBorders>
              <w:top w:val="single" w:color="auto" w:sz="4" w:space="0"/>
              <w:left w:val="single" w:color="auto" w:sz="4" w:space="0"/>
              <w:bottom w:val="single" w:color="auto" w:sz="4" w:space="0"/>
              <w:right w:val="single" w:color="auto" w:sz="4" w:space="0"/>
            </w:tcBorders>
            <w:tcW w:w="560"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436" w:type="dxa"/>
            <w:vAlign w:val="center"/>
            <w:textDirection w:val="lrTb"/>
            <w:noWrap/>
          </w:tcPr>
          <w:p>
            <w:pPr>
              <w:jc w:val="center"/>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1612"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30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109</w:t>
            </w:r>
            <w:r/>
          </w:p>
        </w:tc>
        <w:tc>
          <w:tcPr>
            <w:shd w:val="clear" w:color="auto" w:fill="auto"/>
            <w:tcBorders>
              <w:top w:val="single" w:color="auto" w:sz="4" w:space="0"/>
              <w:left w:val="single" w:color="auto" w:sz="4" w:space="0"/>
              <w:bottom w:val="single" w:color="auto" w:sz="4" w:space="0"/>
              <w:right w:val="single" w:color="auto" w:sz="4" w:space="0"/>
            </w:tcBorders>
            <w:tcW w:w="128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bl>
    <w:p>
      <w:pPr>
        <w:pStyle w:val="1108"/>
        <w:jc w:val="both"/>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1108"/>
        <w:jc w:val="cente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采购包1</w:t>
      </w:r>
      <w:r>
        <w:rPr>
          <w:rFonts w:hint="eastAsia" w:ascii="宋体" w:hAnsi="宋体" w:eastAsia="宋体" w:cs="宋体"/>
          <w:b/>
          <w:bCs/>
          <w:color w:val="auto"/>
          <w:sz w:val="24"/>
          <w:szCs w:val="24"/>
          <w:highlight w:val="none"/>
        </w:rPr>
        <w:t xml:space="preserve"> 净水厂和污水厂水质检测断面清单</w:t>
      </w:r>
      <w:r/>
    </w:p>
    <w:tbl>
      <w:tblPr>
        <w:tblStyle w:val="807"/>
        <w:tblW w:w="9105" w:type="dxa"/>
        <w:tblInd w:w="93" w:type="dxa"/>
        <w:tblLayout w:type="autofit"/>
        <w:tblCellMar>
          <w:left w:w="108" w:type="dxa"/>
          <w:top w:w="0" w:type="dxa"/>
          <w:right w:w="108" w:type="dxa"/>
          <w:bottom w:w="0" w:type="dxa"/>
        </w:tblCellMar>
        <w:tblLook w:val="04A0" w:firstRow="1" w:lastRow="0" w:firstColumn="1" w:lastColumn="0" w:noHBand="0" w:noVBand="1"/>
      </w:tblPr>
      <w:tblGrid>
        <w:gridCol w:w="525"/>
        <w:gridCol w:w="1620"/>
        <w:gridCol w:w="1815"/>
        <w:gridCol w:w="3315"/>
        <w:gridCol w:w="1830"/>
      </w:tblGrid>
      <w:tr>
        <w:trPr>
          <w:trHeight w:val="377"/>
        </w:trPr>
        <w:tc>
          <w:tcPr>
            <w:gridSpan w:val="5"/>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一 净水厂</w:t>
            </w:r>
            <w:r/>
          </w:p>
        </w:tc>
      </w:tr>
      <w:tr>
        <w:trPr>
          <w:trHeight w:val="78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净水厂名称</w:t>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断面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检测指标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检测频次</w:t>
            </w:r>
            <w:r/>
          </w:p>
        </w:tc>
      </w:tr>
      <w:tr>
        <w:trPr>
          <w:trHeight w:val="519"/>
        </w:trPr>
        <w:tc>
          <w:tcPr>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620"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丁楼净水厂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进出口</w:t>
            </w:r>
            <w:r/>
          </w:p>
        </w:tc>
        <w:tc>
          <w:tcPr>
            <w:tcBorders>
              <w:top w:val="single" w:color="000000" w:sz="4" w:space="0"/>
              <w:left w:val="single" w:color="000000" w:sz="4" w:space="0"/>
              <w:bottom w:val="single" w:color="000000" w:sz="4" w:space="0"/>
              <w:right w:val="single" w:color="000000" w:sz="4" w:space="0"/>
            </w:tcBorders>
            <w:tcW w:w="3315"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透明度、色度、浑浊度、高锰酸盐指数、粪大肠菌群。</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1次/周</w:t>
            </w:r>
            <w:r/>
          </w:p>
        </w:tc>
      </w:tr>
      <w:tr>
        <w:trPr>
          <w:trHeight w:val="504"/>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出水口</w:t>
            </w:r>
            <w:r/>
          </w:p>
        </w:tc>
        <w:tc>
          <w:tcPr>
            <w:tcBorders>
              <w:top w:val="single" w:color="000000" w:sz="4" w:space="0"/>
              <w:left w:val="single" w:color="000000" w:sz="4" w:space="0"/>
              <w:bottom w:val="single" w:color="000000" w:sz="4" w:space="0"/>
              <w:right w:val="single" w:color="000000" w:sz="4" w:space="0"/>
            </w:tcBorders>
            <w:tcW w:w="3315"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620"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南望净水厂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进出口</w:t>
            </w:r>
            <w:r/>
          </w:p>
        </w:tc>
        <w:tc>
          <w:tcPr>
            <w:tcBorders>
              <w:top w:val="single" w:color="000000" w:sz="4" w:space="0"/>
              <w:left w:val="single" w:color="000000" w:sz="4" w:space="0"/>
              <w:bottom w:val="single" w:color="000000" w:sz="4" w:space="0"/>
              <w:right w:val="single" w:color="000000" w:sz="4" w:space="0"/>
            </w:tcBorders>
            <w:tcW w:w="3315"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透明度、色度、浑浊度、高锰酸盐指数、粪大肠菌群。</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1次/周</w:t>
            </w:r>
            <w:r/>
          </w:p>
        </w:tc>
      </w:tr>
      <w:tr>
        <w:trPr>
          <w:trHeight w:val="56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出水口</w:t>
            </w:r>
            <w:r/>
          </w:p>
        </w:tc>
        <w:tc>
          <w:tcPr>
            <w:tcBorders>
              <w:top w:val="single" w:color="000000" w:sz="4" w:space="0"/>
              <w:left w:val="single" w:color="000000" w:sz="4" w:space="0"/>
              <w:bottom w:val="single" w:color="000000" w:sz="4" w:space="0"/>
              <w:right w:val="single" w:color="000000" w:sz="4" w:space="0"/>
            </w:tcBorders>
            <w:tcW w:w="3315"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53"/>
        </w:trPr>
        <w:tc>
          <w:tcPr>
            <w:gridSpan w:val="5"/>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二 污水厂</w:t>
            </w:r>
            <w:r/>
          </w:p>
        </w:tc>
      </w:tr>
      <w:tr>
        <w:trPr>
          <w:trHeight w:val="138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4"/>
                <w:szCs w:val="24"/>
                <w:highlight w:val="none"/>
              </w:rPr>
              <w:t xml:space="preserve">污泥监测</w:t>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4"/>
                <w:szCs w:val="24"/>
                <w:highlight w:val="none"/>
              </w:rPr>
              <w:t xml:space="preserve">奎河、三八河、荆马河、龙亭、新城区、西区、丁万河等城区7座污水处理厂</w:t>
            </w:r>
            <w:r/>
          </w:p>
        </w:tc>
        <w:tc>
          <w:tcPr>
            <w:tcBorders>
              <w:top w:val="single" w:color="000000" w:sz="4" w:space="0"/>
              <w:left w:val="single" w:color="000000" w:sz="4" w:space="0"/>
              <w:bottom w:val="single" w:color="000000" w:sz="4" w:space="0"/>
              <w:right w:val="single" w:color="000000" w:sz="4" w:space="0"/>
            </w:tcBorders>
            <w:tcW w:w="33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含水率、有机物、 pH、粪大肠菌群、汞、砷、镉、铅、铜、锌、镍、铬。</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次/年</w:t>
            </w:r>
            <w:r/>
          </w:p>
        </w:tc>
      </w:tr>
      <w:tr>
        <w:trPr>
          <w:trHeight w:val="407"/>
        </w:trPr>
        <w:tc>
          <w:tcPr>
            <w:gridSpan w:val="5"/>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三 应急监测</w:t>
            </w:r>
            <w:r/>
          </w:p>
        </w:tc>
      </w:tr>
      <w:tr>
        <w:trPr>
          <w:trHeight w:val="732"/>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w:t>
            </w:r>
            <w:r/>
          </w:p>
        </w:tc>
        <w:tc>
          <w:tcPr>
            <w:gridSpan w:val="4"/>
            <w:tcBorders>
              <w:top w:val="single" w:color="000000" w:sz="4" w:space="0"/>
              <w:left w:val="single" w:color="000000" w:sz="4" w:space="0"/>
              <w:bottom w:val="single" w:color="000000" w:sz="4" w:space="0"/>
              <w:right w:val="single" w:color="000000" w:sz="4" w:space="0"/>
            </w:tcBorders>
            <w:tcW w:w="858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本年度发生的应急监测(监测点位、项目、频次随应急情况确定，年度内不少于6次，水质水量应急同步监测）</w:t>
            </w:r>
            <w:r/>
          </w:p>
        </w:tc>
      </w:tr>
    </w:tbl>
    <w:p>
      <w:pPr>
        <w:pStyle w:val="1108"/>
        <w:jc w:val="both"/>
        <w:spacing w:line="360" w:lineRule="auto"/>
        <w:rPr>
          <w:rFonts w:hint="eastAsia" w:ascii="宋体" w:hAnsi="宋体" w:eastAsia="宋体" w:cs="宋体"/>
          <w:b/>
          <w:bCs/>
          <w:color w:val="auto"/>
          <w:sz w:val="24"/>
          <w:szCs w:val="24"/>
          <w:highlight w:val="none"/>
          <w:lang w:val="en-US" w:eastAsia="zh-CN"/>
        </w:rPr>
      </w:pPr>
      <w:r/>
      <w:bookmarkStart w:id="5" w:name="OLE_LINK2"/>
      <w:r/>
      <w:r/>
    </w:p>
    <w:p>
      <w:pPr>
        <w:pStyle w:val="1108"/>
        <w:jc w:val="center"/>
        <w:spacing w:line="360" w:lineRule="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4"/>
          <w:szCs w:val="24"/>
          <w:highlight w:val="none"/>
          <w:lang w:val="en-US" w:eastAsia="zh-CN"/>
        </w:rPr>
        <w:t xml:space="preserve">采购包2   河湖健康评价任务清单</w:t>
      </w:r>
      <w:bookmarkEnd w:id="5"/>
      <w:r/>
      <w:r/>
    </w:p>
    <w:tbl>
      <w:tblPr>
        <w:tblStyle w:val="845"/>
        <w:tblW w:w="88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88"/>
        <w:gridCol w:w="3820"/>
        <w:gridCol w:w="3403"/>
      </w:tblGrid>
      <w:tr>
        <w:trPr>
          <w:jc w:val="center"/>
        </w:trPr>
        <w:tc>
          <w:tcPr>
            <w:tcW w:w="1588"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820"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河湖名称</w:t>
            </w:r>
            <w:r/>
          </w:p>
        </w:tc>
        <w:tc>
          <w:tcPr>
            <w:tcW w:w="3403"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Pr>
        <w:tc>
          <w:tcPr>
            <w:tcW w:w="1588"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8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荆马河</w:t>
            </w:r>
            <w:r/>
          </w:p>
        </w:tc>
        <w:tc>
          <w:tcPr>
            <w:tcW w:w="3403"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88"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8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大沙河</w:t>
            </w:r>
            <w:r/>
          </w:p>
        </w:tc>
        <w:tc>
          <w:tcPr>
            <w:tcW w:w="3403"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88"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38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郑集分洪道-郑集河</w:t>
            </w:r>
            <w:r/>
          </w:p>
        </w:tc>
        <w:tc>
          <w:tcPr>
            <w:tcW w:w="3403"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88"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38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郑集南支河</w:t>
            </w:r>
            <w:r/>
          </w:p>
        </w:tc>
        <w:tc>
          <w:tcPr>
            <w:tcW w:w="3403"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88"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38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郑集北支河</w:t>
            </w:r>
            <w:r/>
          </w:p>
        </w:tc>
        <w:tc>
          <w:tcPr>
            <w:tcW w:w="3403"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88"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38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苏北堤河北</w:t>
            </w:r>
            <w:r/>
          </w:p>
        </w:tc>
        <w:tc>
          <w:tcPr>
            <w:tcW w:w="3403"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88"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38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苏北堤河东</w:t>
            </w:r>
            <w:r/>
          </w:p>
        </w:tc>
        <w:tc>
          <w:tcPr>
            <w:tcW w:w="3403"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88"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38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三八河</w:t>
            </w:r>
            <w:r/>
          </w:p>
        </w:tc>
        <w:tc>
          <w:tcPr>
            <w:tcW w:w="3403"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88"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38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丁万河</w:t>
            </w:r>
            <w:r/>
          </w:p>
        </w:tc>
        <w:tc>
          <w:tcPr>
            <w:tcW w:w="3403"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88"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38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房改河</w:t>
            </w:r>
            <w:r/>
          </w:p>
        </w:tc>
        <w:tc>
          <w:tcPr>
            <w:tcW w:w="3403"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108"/>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08"/>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采购包2</w:t>
      </w:r>
      <w:r>
        <w:rPr>
          <w:rFonts w:hint="eastAsia" w:ascii="宋体" w:hAnsi="宋体" w:eastAsia="宋体" w:cs="宋体"/>
          <w:b/>
          <w:bCs/>
          <w:color w:val="auto"/>
          <w:sz w:val="24"/>
          <w:szCs w:val="24"/>
          <w:highlight w:val="none"/>
        </w:rPr>
        <w:t xml:space="preserve">  重点河道水质监测断面清单</w:t>
      </w:r>
      <w:r/>
    </w:p>
    <w:tbl>
      <w:tblPr>
        <w:tblStyle w:val="807"/>
        <w:tblW w:w="875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1"/>
        <w:gridCol w:w="1313"/>
        <w:gridCol w:w="1572"/>
        <w:gridCol w:w="1207"/>
        <w:gridCol w:w="1328"/>
        <w:gridCol w:w="1328"/>
        <w:gridCol w:w="1328"/>
      </w:tblGrid>
      <w:tr>
        <w:trPr>
          <w:jc w:val="center"/>
          <w:trHeight w:val="780"/>
        </w:trPr>
        <w:tc>
          <w:tcPr>
            <w:shd w:val="clear" w:color="auto" w:fill="auto"/>
            <w:tcBorders>
              <w:top w:val="single" w:color="000000" w:sz="4" w:space="0"/>
              <w:left w:val="single" w:color="000000" w:sz="4" w:space="0"/>
              <w:bottom w:val="non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none" w:color="000000" w:sz="4" w:space="0"/>
              <w:right w:val="single" w:color="000000" w:sz="4" w:space="0"/>
            </w:tcBorders>
            <w:tcW w:w="13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辖区</w:t>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河道</w:t>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长度（km）</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断面</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检测指标</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检测频次</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琅河</w:t>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right w:val="single" w:color="000000" w:sz="4" w:space="0"/>
            </w:tcBorders>
            <w:tcW w:w="1328" w:type="dxa"/>
            <w:vAlign w:val="center"/>
            <w:vMerge w:val="restart"/>
            <w:textDirection w:val="lrTb"/>
            <w:noWrap w:val="false"/>
          </w:tcPr>
          <w:p>
            <w:pPr>
              <w:jc w:val="center"/>
              <w:keepLines w:val="0"/>
              <w:keepNext w:val="0"/>
              <w:pageBreakBefore w:val="0"/>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化学需氧量、氨氮、总磷、高锰酸盐指数、透明度、溶解氧、氧化还原电位。</w:t>
            </w:r>
            <w:r/>
          </w:p>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right w:val="single" w:color="000000" w:sz="4" w:space="0"/>
            </w:tcBorders>
            <w:tcW w:w="132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color w:val="auto"/>
                <w:sz w:val="22"/>
                <w:szCs w:val="22"/>
                <w:highlight w:val="none"/>
              </w:rPr>
              <w:t xml:space="preserve">1次/</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月</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顺提河</w:t>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大韩河</w:t>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肖庄河</w:t>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张屯河</w:t>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春溪</w:t>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秋溪</w:t>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润溪</w:t>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闫河</w:t>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拦山河</w:t>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一道中沟</w:t>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三道中沟</w:t>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三道中河</w:t>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老房亭河</w:t>
            </w:r>
            <w:r/>
          </w:p>
        </w:tc>
        <w:tc>
          <w:tcPr>
            <w:shd w:val="clear" w:color="auto" w:fill="auto"/>
            <w:tcBorders>
              <w:top w:val="single" w:color="000000" w:sz="4" w:space="0"/>
              <w:left w:val="single" w:color="000000" w:sz="4" w:space="0"/>
              <w:right w:val="single" w:color="000000" w:sz="4" w:space="0"/>
            </w:tcBorders>
            <w:tcW w:w="120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经开区</w:t>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left w:val="single" w:color="000000" w:sz="4" w:space="0"/>
              <w:bottom w:val="single" w:color="000000" w:sz="4" w:space="0"/>
              <w:right w:val="single" w:color="000000" w:sz="4" w:space="0"/>
            </w:tcBorders>
            <w:tcW w:w="120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三八河</w:t>
            </w:r>
            <w:r/>
          </w:p>
        </w:tc>
        <w:tc>
          <w:tcPr>
            <w:shd w:val="clear" w:color="auto" w:fill="auto"/>
            <w:tcBorders>
              <w:top w:val="single" w:color="000000" w:sz="4" w:space="0"/>
              <w:left w:val="single" w:color="000000" w:sz="4" w:space="0"/>
              <w:right w:val="single" w:color="000000" w:sz="4" w:space="0"/>
            </w:tcBorders>
            <w:tcW w:w="120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经开区</w:t>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left w:val="single" w:color="000000" w:sz="4" w:space="0"/>
              <w:bottom w:val="single" w:color="000000" w:sz="4" w:space="0"/>
              <w:right w:val="single" w:color="000000" w:sz="4" w:space="0"/>
            </w:tcBorders>
            <w:tcW w:w="120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纬一河</w:t>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李屯河</w:t>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襄王河</w:t>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0.9</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月河</w:t>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刘楼河</w:t>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沈场大沟</w:t>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丁万河</w:t>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荆马河</w:t>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台子河</w:t>
            </w:r>
            <w:r/>
          </w:p>
        </w:tc>
        <w:tc>
          <w:tcPr>
            <w:shd w:val="clear" w:color="auto" w:fill="auto"/>
            <w:tcBorders>
              <w:top w:val="single" w:color="000000" w:sz="4" w:space="0"/>
              <w:left w:val="single" w:color="000000" w:sz="4" w:space="0"/>
              <w:right w:val="single" w:color="000000" w:sz="4" w:space="0"/>
            </w:tcBorders>
            <w:tcW w:w="120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铜山区</w:t>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left w:val="single" w:color="000000" w:sz="4" w:space="0"/>
              <w:bottom w:val="single" w:color="000000" w:sz="4" w:space="0"/>
              <w:right w:val="single" w:color="000000" w:sz="4" w:space="0"/>
            </w:tcBorders>
            <w:tcW w:w="1207"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子房河</w:t>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徐运新河</w:t>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王窑河</w:t>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翟山大沟</w:t>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姚庄大沟</w:t>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临黄河</w:t>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张小楼河</w:t>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刘马路河</w:t>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ffff00"/>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ffff00"/>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云龙区</w:t>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大龙湖</w:t>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left w:val="single" w:color="000000" w:sz="4" w:space="0"/>
              <w:right w:val="single" w:color="000000" w:sz="4" w:space="0"/>
            </w:tcBorders>
            <w:tcW w:w="1328"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328"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云龙湖</w:t>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泉山区</w:t>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九里湖</w:t>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鼓楼区</w:t>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九龙湖</w:t>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00"/>
        </w:trPr>
        <w:tc>
          <w:tcPr>
            <w:shd w:val="clear" w:color="auto" w:fill="auto"/>
            <w:tcBorders>
              <w:top w:val="single" w:color="000000" w:sz="4" w:space="0"/>
              <w:left w:val="single" w:color="000000" w:sz="4" w:space="0"/>
              <w:bottom w:val="single" w:color="auto"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w:t>
            </w:r>
            <w:r/>
          </w:p>
        </w:tc>
        <w:tc>
          <w:tcPr>
            <w:shd w:val="clear" w:color="auto" w:fill="auto"/>
            <w:tcBorders>
              <w:top w:val="single" w:color="000000" w:sz="4" w:space="0"/>
              <w:left w:val="single" w:color="000000" w:sz="4" w:space="0"/>
              <w:bottom w:val="single" w:color="auto" w:sz="4" w:space="0"/>
              <w:right w:val="single" w:color="000000" w:sz="4" w:space="0"/>
            </w:tcBorders>
            <w:tcW w:w="131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铜山区</w:t>
            </w:r>
            <w:r/>
          </w:p>
        </w:tc>
        <w:tc>
          <w:tcPr>
            <w:shd w:val="clear" w:color="auto" w:fill="auto"/>
            <w:tcBorders>
              <w:top w:val="single" w:color="000000" w:sz="4" w:space="0"/>
              <w:left w:val="single" w:color="000000" w:sz="4" w:space="0"/>
              <w:bottom w:val="single" w:color="auto"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娇山湖</w:t>
            </w:r>
            <w:r/>
          </w:p>
        </w:tc>
        <w:tc>
          <w:tcPr>
            <w:shd w:val="clear" w:color="auto" w:fill="auto"/>
            <w:tcBorders>
              <w:top w:val="single" w:color="000000" w:sz="4" w:space="0"/>
              <w:left w:val="single" w:color="000000" w:sz="4" w:space="0"/>
              <w:bottom w:val="single" w:color="auto" w:sz="4" w:space="0"/>
              <w:right w:val="single" w:color="000000" w:sz="4" w:space="0"/>
            </w:tcBorders>
            <w:tcW w:w="1207"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right w:val="single" w:color="000000" w:sz="4" w:space="0"/>
            </w:tcBorders>
            <w:tcW w:w="1328"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1313"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572"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207"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3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104</w:t>
            </w:r>
            <w:r/>
          </w:p>
        </w:tc>
        <w:tc>
          <w:tcPr>
            <w:shd w:val="clear" w:color="auto" w:fill="auto"/>
            <w:tcBorders>
              <w:left w:val="single" w:color="000000" w:sz="4" w:space="0"/>
              <w:bottom w:val="single" w:color="auto" w:sz="4" w:space="0"/>
              <w:right w:val="single" w:color="000000" w:sz="4" w:space="0"/>
            </w:tcBorders>
            <w:tcW w:w="1328"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left w:val="single" w:color="000000" w:sz="4" w:space="0"/>
              <w:bottom w:val="single" w:color="auto" w:sz="4" w:space="0"/>
              <w:right w:val="single" w:color="000000" w:sz="4" w:space="0"/>
            </w:tcBorders>
            <w:tcW w:w="1328"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bl>
    <w:p>
      <w:pPr>
        <w:pStyle w:val="1108"/>
        <w:ind w:firstLine="24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spacing w:line="360" w:lineRule="auto"/>
        <w:rPr>
          <w:rStyle w:val="1212"/>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pStyle w:val="852"/>
        <w:ind w:left="0" w:firstLine="0"/>
        <w:rPr>
          <w:rFonts w:hint="eastAsia" w:ascii="宋体" w:hAnsi="宋体" w:eastAsia="宋体" w:cs="宋体"/>
          <w:color w:val="auto"/>
          <w:highlight w:val="none"/>
          <w:lang w:val="en-US" w:eastAsia="zh-CN"/>
        </w:rPr>
      </w:pPr>
      <w:r>
        <w:rPr>
          <w:rFonts w:hint="eastAsia" w:ascii="宋体" w:hAnsi="宋体" w:eastAsia="宋体" w:cs="宋体"/>
          <w:b/>
          <w:bCs/>
          <w:color w:val="auto"/>
          <w:sz w:val="24"/>
          <w:highlight w:val="none"/>
          <w:lang w:val="en-US" w:eastAsia="zh-CN"/>
        </w:rPr>
        <w:t xml:space="preserve">四</w:t>
      </w:r>
      <w:r>
        <w:rPr>
          <w:rFonts w:hint="eastAsia" w:ascii="宋体" w:hAnsi="宋体" w:eastAsia="宋体" w:cs="宋体"/>
          <w:b/>
          <w:bCs/>
          <w:color w:val="auto"/>
          <w:sz w:val="24"/>
          <w:highlight w:val="none"/>
        </w:rPr>
        <w:t xml:space="preserve">、其他要求：见《磋商文件》附件：《合同文本》</w:t>
      </w:r>
      <w:r/>
    </w:p>
    <w:p>
      <w:pPr>
        <w:pStyle w:val="1027"/>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pStyle w:val="102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6"/>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6"/>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6"/>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6"/>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6"/>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6"/>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6"/>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6"/>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6"/>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6"/>
        <w:jc w:val="center"/>
        <w:spacing w:line="264" w:lineRule="auto"/>
        <w:rPr>
          <w:rFonts w:hint="eastAsia" w:ascii="宋体" w:hAnsi="宋体" w:eastAsia="宋体" w:cs="宋体"/>
          <w:b/>
          <w:bCs/>
          <w:color w:val="auto"/>
          <w:sz w:val="36"/>
          <w:highlight w:val="none"/>
        </w:rPr>
      </w:pPr>
      <w:r>
        <w:rPr>
          <w:rFonts w:hint="eastAsia" w:ascii="宋体" w:hAnsi="宋体" w:eastAsia="宋体" w:cs="宋体"/>
          <w:b/>
          <w:color w:val="auto"/>
          <w:sz w:val="36"/>
          <w:highlight w:val="none"/>
        </w:rPr>
        <w:t xml:space="preserve">3.磋商</w:t>
      </w:r>
      <w:r>
        <w:rPr>
          <w:rFonts w:hint="eastAsia" w:ascii="宋体" w:hAnsi="宋体" w:eastAsia="宋体" w:cs="宋体"/>
          <w:b/>
          <w:bCs/>
          <w:color w:val="auto"/>
          <w:sz w:val="36"/>
          <w:highlight w:val="none"/>
        </w:rPr>
        <w:t xml:space="preserve">报价表</w:t>
      </w:r>
      <w:r/>
    </w:p>
    <w:p>
      <w:pPr>
        <w:pStyle w:val="856"/>
        <w:ind w:firstLine="2692"/>
        <w:spacing w:line="264"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本次为首次报价                                   货币单位：人民币元</w:t>
      </w:r>
      <w:r/>
    </w:p>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项目编号：</w:t>
      </w:r>
      <w:r>
        <w:rPr>
          <w:rFonts w:hint="eastAsia" w:ascii="宋体" w:hAnsi="宋体" w:eastAsia="宋体" w:cs="宋体"/>
          <w:color w:val="auto"/>
          <w:sz w:val="24"/>
          <w:highlight w:val="none"/>
          <w:lang w:eastAsia="zh-CN"/>
        </w:rPr>
        <w:t xml:space="preserve">JSZC-320300-JLGC-C2026-0002</w:t>
      </w:r>
      <w:r>
        <w:rPr>
          <w:rFonts w:hint="eastAsia" w:ascii="宋体" w:hAnsi="宋体" w:eastAsia="宋体" w:cs="宋体"/>
          <w:color w:val="auto"/>
          <w:sz w:val="24"/>
          <w:highlight w:val="none"/>
        </w:rPr>
        <w:t xml:space="preserve">                       </w:t>
      </w:r>
      <w:r/>
    </w:p>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bl>
      <w:tblPr>
        <w:tblStyle w:val="807"/>
        <w:tblW w:w="8696"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150"/>
        <w:gridCol w:w="1711"/>
        <w:gridCol w:w="2835"/>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4150" w:type="dxa"/>
            <w:vAlign w:val="center"/>
            <w:textDirection w:val="lrTb"/>
            <w:noWrap w:val="false"/>
          </w:tcPr>
          <w:p>
            <w:pPr>
              <w:pStyle w:val="856"/>
              <w:jc w:val="center"/>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Borders>
              <w:top w:val="single" w:color="000000" w:sz="6" w:space="0"/>
              <w:left w:val="single" w:color="000000" w:sz="2" w:space="0"/>
              <w:bottom w:val="single" w:color="000000" w:sz="2" w:space="0"/>
              <w:right w:val="single" w:color="000000" w:sz="4" w:space="0"/>
            </w:tcBorders>
            <w:tcW w:w="1711" w:type="dxa"/>
            <w:vAlign w:val="center"/>
            <w:textDirection w:val="lrTb"/>
            <w:noWrap w:val="false"/>
          </w:tcPr>
          <w:p>
            <w:pPr>
              <w:pStyle w:val="856"/>
              <w:jc w:val="center"/>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项目内容</w:t>
            </w:r>
            <w:r/>
          </w:p>
        </w:tc>
        <w:tc>
          <w:tcPr>
            <w:tcBorders>
              <w:top w:val="single" w:color="000000" w:sz="6" w:space="0"/>
              <w:left w:val="single" w:color="000000" w:sz="4" w:space="0"/>
              <w:bottom w:val="single" w:color="000000" w:sz="2" w:space="0"/>
              <w:right w:val="single" w:color="000000" w:sz="2" w:space="0"/>
            </w:tcBorders>
            <w:tcW w:w="2835" w:type="dxa"/>
            <w:vAlign w:val="center"/>
            <w:textDirection w:val="lrTb"/>
            <w:noWrap w:val="false"/>
          </w:tcPr>
          <w:p>
            <w:pPr>
              <w:pStyle w:val="856"/>
              <w:jc w:val="center"/>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总价（小写）</w:t>
            </w:r>
            <w:r/>
          </w:p>
        </w:tc>
      </w:tr>
      <w:tr>
        <w:trPr>
          <w:cantSplit/>
          <w:jc w:val="center"/>
          <w:trHeight w:val="923"/>
        </w:trPr>
        <w:tc>
          <w:tcPr>
            <w:tcBorders>
              <w:top w:val="single" w:color="000000" w:sz="2" w:space="0"/>
              <w:left w:val="single" w:color="000000" w:sz="6" w:space="0"/>
              <w:bottom w:val="single" w:color="000000" w:sz="2" w:space="0"/>
              <w:right w:val="single" w:color="000000" w:sz="2" w:space="0"/>
            </w:tcBorders>
            <w:tcW w:w="4150" w:type="dxa"/>
            <w:vAlign w:val="center"/>
            <w:textDirection w:val="lrTb"/>
            <w:noWrap w:val="false"/>
          </w:tcPr>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2026年水环境监测</w:t>
            </w:r>
            <w:r>
              <w:rPr>
                <w:rFonts w:hint="eastAsia" w:ascii="宋体" w:hAnsi="宋体" w:eastAsia="宋体" w:cs="宋体"/>
                <w:color w:val="auto"/>
                <w:sz w:val="24"/>
                <w:highlight w:val="none"/>
              </w:rPr>
              <w:t xml:space="preserve">采购包1</w:t>
            </w:r>
            <w:r/>
          </w:p>
        </w:tc>
        <w:tc>
          <w:tcPr>
            <w:tcBorders>
              <w:top w:val="single" w:color="000000" w:sz="2" w:space="0"/>
              <w:left w:val="single" w:color="000000" w:sz="2" w:space="0"/>
              <w:bottom w:val="single" w:color="000000" w:sz="2" w:space="0"/>
              <w:right w:val="single" w:color="000000" w:sz="4" w:space="0"/>
            </w:tcBorders>
            <w:tcW w:w="1711" w:type="dxa"/>
            <w:vAlign w:val="center"/>
            <w:textDirection w:val="lrTb"/>
            <w:noWrap w:val="false"/>
          </w:tcPr>
          <w:p>
            <w:pPr>
              <w:pStyle w:val="856"/>
              <w:jc w:val="center"/>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详见响应文件</w:t>
            </w:r>
            <w:r/>
          </w:p>
        </w:tc>
        <w:tc>
          <w:tcPr>
            <w:tcBorders>
              <w:top w:val="single" w:color="000000" w:sz="2" w:space="0"/>
              <w:left w:val="single" w:color="000000" w:sz="4" w:space="0"/>
              <w:bottom w:val="single" w:color="000000" w:sz="2" w:space="0"/>
              <w:right w:val="single" w:color="000000" w:sz="2" w:space="0"/>
            </w:tcBorders>
            <w:tcW w:w="2835" w:type="dxa"/>
            <w:vAlign w:val="center"/>
            <w:textDirection w:val="lrTb"/>
            <w:noWrap w:val="false"/>
          </w:tcPr>
          <w:p>
            <w:pPr>
              <w:pStyle w:val="856"/>
              <w:jc w:val="center"/>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cantSplit/>
          <w:jc w:val="center"/>
          <w:trHeight w:val="601"/>
        </w:trPr>
        <w:tc>
          <w:tcPr>
            <w:tcBorders>
              <w:top w:val="single" w:color="000000" w:sz="2" w:space="0"/>
              <w:left w:val="single" w:color="000000" w:sz="6" w:space="0"/>
              <w:bottom w:val="single" w:color="000000" w:sz="2" w:space="0"/>
              <w:right w:val="single" w:color="000000" w:sz="2" w:space="0"/>
            </w:tcBorders>
            <w:tcW w:w="4150" w:type="dxa"/>
            <w:vAlign w:val="center"/>
            <w:textDirection w:val="lrTb"/>
            <w:noWrap w:val="false"/>
          </w:tcPr>
          <w:p>
            <w:pPr>
              <w:pStyle w:val="856"/>
              <w:jc w:val="center"/>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4546" w:type="dxa"/>
            <w:vAlign w:val="center"/>
            <w:textDirection w:val="lrTb"/>
            <w:noWrap w:val="false"/>
          </w:tcPr>
          <w:p>
            <w:pPr>
              <w:pStyle w:val="856"/>
              <w:jc w:val="center"/>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报价说明：</w:t>
      </w:r>
      <w:r/>
    </w:p>
    <w:p>
      <w:pPr>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1、报价应包括全部内容，以及为完成上述内容所需的全部费用。</w:t>
      </w:r>
      <w:r/>
    </w:p>
    <w:p>
      <w:pPr>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2、报价以总价为准，大小写不一致以大写为准。</w:t>
      </w:r>
      <w:r/>
    </w:p>
    <w:p>
      <w:pPr>
        <w:pStyle w:val="808"/>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供应商（电子签章）：</w:t>
      </w:r>
      <w:r/>
    </w:p>
    <w:p>
      <w:pPr>
        <w:ind w:right="29"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firstLine="480"/>
        <w:spacing w:line="520" w:lineRule="exact"/>
        <w:rPr>
          <w:rFonts w:hint="eastAsia" w:ascii="宋体" w:hAnsi="宋体" w:eastAsia="宋体" w:cs="宋体"/>
          <w:color w:val="auto"/>
          <w:sz w:val="24"/>
          <w:highlight w:val="none"/>
        </w:rPr>
        <w:sectPr>
          <w:footerReference w:type="default" r:id="rId9"/>
          <w:footerReference w:type="first" r:id="rId10"/>
          <w:footnotePr/>
          <w:endnotePr/>
          <w:type w:val="nextPage"/>
          <w:pgSz w:w="11906" w:h="16838" w:orient="portrait"/>
          <w:pgMar w:top="1134" w:right="1247" w:bottom="680" w:left="1247" w:header="851" w:footer="992" w:gutter="0"/>
          <w:pgNumType w:start="1"/>
          <w:cols w:num="1" w:sep="0" w:space="1701" w:equalWidth="1"/>
          <w:docGrid w:linePitch="360"/>
          <w:titlePg/>
        </w:sectPr>
      </w:pPr>
      <w:r>
        <w:rPr>
          <w:rFonts w:hint="eastAsia" w:ascii="宋体" w:hAnsi="宋体" w:eastAsia="宋体" w:cs="宋体"/>
          <w:color w:val="auto"/>
          <w:sz w:val="24"/>
          <w:highlight w:val="none"/>
        </w:rPr>
        <w:t xml:space="preserve">日期：   年  月  日</w:t>
      </w:r>
      <w:r/>
    </w:p>
    <w:p>
      <w:pPr>
        <w:pStyle w:val="1027"/>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6"/>
        <w:jc w:val="center"/>
        <w:spacing w:line="264" w:lineRule="auto"/>
        <w:rPr>
          <w:rFonts w:hint="eastAsia" w:ascii="宋体" w:hAnsi="宋体" w:eastAsia="宋体" w:cs="宋体"/>
          <w:b/>
          <w:bCs/>
          <w:color w:val="auto"/>
          <w:sz w:val="36"/>
          <w:highlight w:val="none"/>
        </w:rPr>
      </w:pPr>
      <w:r>
        <w:rPr>
          <w:rFonts w:hint="eastAsia" w:ascii="宋体" w:hAnsi="宋体" w:eastAsia="宋体" w:cs="宋体"/>
          <w:b/>
          <w:color w:val="auto"/>
          <w:sz w:val="36"/>
          <w:highlight w:val="none"/>
        </w:rPr>
        <w:t xml:space="preserve">磋商</w:t>
      </w:r>
      <w:r>
        <w:rPr>
          <w:rFonts w:hint="eastAsia" w:ascii="宋体" w:hAnsi="宋体" w:eastAsia="宋体" w:cs="宋体"/>
          <w:b/>
          <w:bCs/>
          <w:color w:val="auto"/>
          <w:sz w:val="36"/>
          <w:highlight w:val="none"/>
        </w:rPr>
        <w:t xml:space="preserve">报价表</w:t>
      </w:r>
      <w:r/>
    </w:p>
    <w:p>
      <w:pPr>
        <w:pStyle w:val="856"/>
        <w:ind w:firstLine="2692"/>
        <w:spacing w:line="264"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本次为首次报价                                   货币单位：人民币元</w:t>
      </w:r>
      <w:r/>
    </w:p>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项目编号：</w:t>
      </w:r>
      <w:r>
        <w:rPr>
          <w:rFonts w:hint="eastAsia" w:ascii="宋体" w:hAnsi="宋体" w:eastAsia="宋体" w:cs="宋体"/>
          <w:color w:val="auto"/>
          <w:sz w:val="24"/>
          <w:highlight w:val="none"/>
          <w:lang w:eastAsia="zh-CN"/>
        </w:rPr>
        <w:t xml:space="preserve">JSZC-320300-JLGC-C2026-0002</w:t>
      </w:r>
      <w:r>
        <w:rPr>
          <w:rFonts w:hint="eastAsia" w:ascii="宋体" w:hAnsi="宋体" w:eastAsia="宋体" w:cs="宋体"/>
          <w:color w:val="auto"/>
          <w:sz w:val="24"/>
          <w:highlight w:val="none"/>
        </w:rPr>
        <w:t xml:space="preserve">                       </w:t>
      </w:r>
      <w:r/>
    </w:p>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bl>
      <w:tblPr>
        <w:tblStyle w:val="807"/>
        <w:tblW w:w="8696"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150"/>
        <w:gridCol w:w="1711"/>
        <w:gridCol w:w="2835"/>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4150" w:type="dxa"/>
            <w:vAlign w:val="center"/>
            <w:textDirection w:val="lrTb"/>
            <w:noWrap w:val="false"/>
          </w:tcPr>
          <w:p>
            <w:pPr>
              <w:pStyle w:val="856"/>
              <w:jc w:val="center"/>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Borders>
              <w:top w:val="single" w:color="000000" w:sz="6" w:space="0"/>
              <w:left w:val="single" w:color="000000" w:sz="2" w:space="0"/>
              <w:bottom w:val="single" w:color="000000" w:sz="2" w:space="0"/>
              <w:right w:val="single" w:color="000000" w:sz="4" w:space="0"/>
            </w:tcBorders>
            <w:tcW w:w="1711" w:type="dxa"/>
            <w:vAlign w:val="center"/>
            <w:textDirection w:val="lrTb"/>
            <w:noWrap w:val="false"/>
          </w:tcPr>
          <w:p>
            <w:pPr>
              <w:pStyle w:val="856"/>
              <w:jc w:val="center"/>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项目内容</w:t>
            </w:r>
            <w:r/>
          </w:p>
        </w:tc>
        <w:tc>
          <w:tcPr>
            <w:tcBorders>
              <w:top w:val="single" w:color="000000" w:sz="6" w:space="0"/>
              <w:left w:val="single" w:color="000000" w:sz="4" w:space="0"/>
              <w:bottom w:val="single" w:color="000000" w:sz="2" w:space="0"/>
              <w:right w:val="single" w:color="000000" w:sz="2" w:space="0"/>
            </w:tcBorders>
            <w:tcW w:w="2835" w:type="dxa"/>
            <w:vAlign w:val="center"/>
            <w:textDirection w:val="lrTb"/>
            <w:noWrap w:val="false"/>
          </w:tcPr>
          <w:p>
            <w:pPr>
              <w:pStyle w:val="856"/>
              <w:jc w:val="center"/>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总价（小写）</w:t>
            </w:r>
            <w:r/>
          </w:p>
        </w:tc>
      </w:tr>
      <w:tr>
        <w:trPr>
          <w:cantSplit/>
          <w:jc w:val="center"/>
          <w:trHeight w:val="923"/>
        </w:trPr>
        <w:tc>
          <w:tcPr>
            <w:tcBorders>
              <w:top w:val="single" w:color="000000" w:sz="2" w:space="0"/>
              <w:left w:val="single" w:color="000000" w:sz="6" w:space="0"/>
              <w:bottom w:val="single" w:color="000000" w:sz="2" w:space="0"/>
              <w:right w:val="single" w:color="000000" w:sz="2" w:space="0"/>
            </w:tcBorders>
            <w:tcW w:w="4150" w:type="dxa"/>
            <w:vAlign w:val="center"/>
            <w:textDirection w:val="lrTb"/>
            <w:noWrap w:val="false"/>
          </w:tcPr>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2026年水环境监测</w:t>
            </w:r>
            <w:r>
              <w:rPr>
                <w:rFonts w:hint="eastAsia" w:ascii="宋体" w:hAnsi="宋体" w:eastAsia="宋体" w:cs="宋体"/>
                <w:color w:val="auto"/>
                <w:sz w:val="24"/>
                <w:highlight w:val="none"/>
              </w:rPr>
              <w:t xml:space="preserve">采购包2</w:t>
            </w:r>
            <w:r/>
          </w:p>
        </w:tc>
        <w:tc>
          <w:tcPr>
            <w:tcBorders>
              <w:top w:val="single" w:color="000000" w:sz="2" w:space="0"/>
              <w:left w:val="single" w:color="000000" w:sz="2" w:space="0"/>
              <w:bottom w:val="single" w:color="000000" w:sz="2" w:space="0"/>
              <w:right w:val="single" w:color="000000" w:sz="4" w:space="0"/>
            </w:tcBorders>
            <w:tcW w:w="1711" w:type="dxa"/>
            <w:vAlign w:val="center"/>
            <w:textDirection w:val="lrTb"/>
            <w:noWrap w:val="false"/>
          </w:tcPr>
          <w:p>
            <w:pPr>
              <w:pStyle w:val="856"/>
              <w:jc w:val="center"/>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详见响应文件</w:t>
            </w:r>
            <w:r/>
          </w:p>
        </w:tc>
        <w:tc>
          <w:tcPr>
            <w:tcBorders>
              <w:top w:val="single" w:color="000000" w:sz="2" w:space="0"/>
              <w:left w:val="single" w:color="000000" w:sz="4" w:space="0"/>
              <w:bottom w:val="single" w:color="000000" w:sz="2" w:space="0"/>
              <w:right w:val="single" w:color="000000" w:sz="2" w:space="0"/>
            </w:tcBorders>
            <w:tcW w:w="2835" w:type="dxa"/>
            <w:vAlign w:val="center"/>
            <w:textDirection w:val="lrTb"/>
            <w:noWrap w:val="false"/>
          </w:tcPr>
          <w:p>
            <w:pPr>
              <w:pStyle w:val="856"/>
              <w:jc w:val="center"/>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cantSplit/>
          <w:jc w:val="center"/>
          <w:trHeight w:val="601"/>
        </w:trPr>
        <w:tc>
          <w:tcPr>
            <w:tcBorders>
              <w:top w:val="single" w:color="000000" w:sz="2" w:space="0"/>
              <w:left w:val="single" w:color="000000" w:sz="6" w:space="0"/>
              <w:bottom w:val="single" w:color="000000" w:sz="2" w:space="0"/>
              <w:right w:val="single" w:color="000000" w:sz="2" w:space="0"/>
            </w:tcBorders>
            <w:tcW w:w="4150" w:type="dxa"/>
            <w:vAlign w:val="center"/>
            <w:textDirection w:val="lrTb"/>
            <w:noWrap w:val="false"/>
          </w:tcPr>
          <w:p>
            <w:pPr>
              <w:pStyle w:val="856"/>
              <w:jc w:val="center"/>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4546" w:type="dxa"/>
            <w:vAlign w:val="center"/>
            <w:textDirection w:val="lrTb"/>
            <w:noWrap w:val="false"/>
          </w:tcPr>
          <w:p>
            <w:pPr>
              <w:pStyle w:val="856"/>
              <w:jc w:val="center"/>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报价说明：</w:t>
      </w:r>
      <w:r/>
    </w:p>
    <w:p>
      <w:pPr>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1、报价应包括全部内容，以及为完成上述内容所需的全部费用。</w:t>
      </w:r>
      <w:r/>
    </w:p>
    <w:p>
      <w:pPr>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2、报价以总价为准，大小写不一致以大写为准。</w:t>
      </w:r>
      <w:r/>
    </w:p>
    <w:p>
      <w:pPr>
        <w:pStyle w:val="808"/>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供应商（电子签章）：</w:t>
      </w:r>
      <w:r/>
    </w:p>
    <w:p>
      <w:pPr>
        <w:ind w:right="29"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firstLine="480"/>
        <w:spacing w:line="520" w:lineRule="exact"/>
        <w:rPr>
          <w:rFonts w:hint="eastAsia" w:ascii="宋体" w:hAnsi="宋体" w:eastAsia="宋体" w:cs="宋体"/>
          <w:color w:val="auto"/>
          <w:sz w:val="24"/>
          <w:highlight w:val="none"/>
        </w:rPr>
        <w:sectPr>
          <w:footnotePr/>
          <w:endnotePr/>
          <w:type w:val="nextPage"/>
          <w:pgSz w:w="11906" w:h="16838" w:orient="portrait"/>
          <w:pgMar w:top="1134" w:right="1247" w:bottom="680" w:left="1247" w:header="851" w:footer="992" w:gutter="0"/>
          <w:cols w:num="1" w:sep="0" w:space="1701" w:equalWidth="1"/>
          <w:docGrid w:linePitch="360"/>
          <w:titlePg/>
        </w:sectPr>
      </w:pPr>
      <w:r>
        <w:rPr>
          <w:rFonts w:hint="eastAsia" w:ascii="宋体" w:hAnsi="宋体" w:eastAsia="宋体" w:cs="宋体"/>
          <w:color w:val="auto"/>
          <w:sz w:val="24"/>
          <w:highlight w:val="none"/>
        </w:rPr>
        <w:t xml:space="preserve">日期：   年  月  日</w:t>
      </w:r>
      <w:r/>
    </w:p>
    <w:p>
      <w:pPr>
        <w:pStyle w:val="856"/>
        <w:spacing w:line="264"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1028"/>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6"/>
        <w:jc w:val="center"/>
        <w:spacing w:line="264"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4．分项价格表</w:t>
      </w:r>
      <w:r/>
    </w:p>
    <w:p>
      <w:pPr>
        <w:pStyle w:val="856"/>
        <w:jc w:val="center"/>
        <w:spacing w:line="264"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本次为首次报价</w:t>
      </w:r>
      <w:r/>
    </w:p>
    <w:p>
      <w:pPr>
        <w:pStyle w:val="856"/>
        <w:ind w:firstLine="480"/>
        <w:jc w:val="center"/>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56"/>
        <w:jc w:val="left"/>
        <w:spacing w:line="264"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lang w:eastAsia="zh-CN"/>
        </w:rPr>
        <w:t xml:space="preserve">JSZC-320300-JLGC-C2026-0002</w:t>
      </w:r>
      <w:r/>
    </w:p>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pStyle w:val="856"/>
        <w:ind w:firstLine="5760"/>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货币单位：人民币元</w:t>
      </w:r>
      <w:r/>
    </w:p>
    <w:p>
      <w:pPr>
        <w:pStyle w:val="856"/>
        <w:jc w:val="center"/>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27"/>
        <w:ind w:firstLine="312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格式自拟</w:t>
      </w:r>
      <w:r/>
    </w:p>
    <w:p>
      <w:pPr>
        <w:pStyle w:val="856"/>
        <w:ind w:firstLine="1080"/>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592" w:lineRule="atLeast"/>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供应商（电子签章）</w:t>
      </w:r>
      <w:r/>
    </w:p>
    <w:p>
      <w:pPr>
        <w:jc w:val="center"/>
        <w:spacing w:line="592" w:lineRule="atLeast"/>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日期：    年    月    日</w:t>
      </w:r>
      <w:r/>
    </w:p>
    <w:p>
      <w:pPr>
        <w:pStyle w:val="856"/>
        <w:ind w:right="29"/>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56"/>
        <w:spacing w:line="264"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r/>
    </w:p>
    <w:p>
      <w:pPr>
        <w:pStyle w:val="856"/>
        <w:ind w:firstLine="480"/>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1．如果按单价计算的结果与总价不一致，以总价为准。</w:t>
      </w:r>
      <w:r/>
    </w:p>
    <w:p>
      <w:pPr>
        <w:pStyle w:val="856"/>
        <w:ind w:firstLine="480"/>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2．如果不提供详细分项报价将视为没有实质性响应。</w:t>
      </w:r>
      <w:r/>
    </w:p>
    <w:p>
      <w:pPr>
        <w:pStyle w:val="856"/>
        <w:ind w:firstLine="480"/>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供应商对以上数据的真实性负责。</w:t>
      </w:r>
      <w:r/>
    </w:p>
    <w:p>
      <w:pPr>
        <w:pStyle w:val="856"/>
        <w:ind w:firstLine="482"/>
        <w:spacing w:line="264" w:lineRule="auto"/>
        <w:rPr>
          <w:rFonts w:hint="eastAsia" w:ascii="宋体" w:hAnsi="宋体" w:eastAsia="宋体" w:cs="宋体"/>
          <w:b/>
          <w:i/>
          <w:color w:val="auto"/>
          <w:sz w:val="24"/>
          <w:highlight w:val="none"/>
          <w:u w:val="single"/>
        </w:rPr>
      </w:pPr>
      <w:r>
        <w:rPr>
          <w:rFonts w:hint="eastAsia" w:ascii="宋体" w:hAnsi="宋体" w:eastAsia="宋体" w:cs="宋体"/>
          <w:b/>
          <w:i/>
          <w:color w:val="auto"/>
          <w:sz w:val="24"/>
          <w:highlight w:val="none"/>
          <w:u w:val="single"/>
          <w:lang w:eastAsia="zh-CN"/>
        </w:rPr>
        <w:t xml:space="preserve">江苏建联工程管理有限公司</w:t>
      </w:r>
      <w:r>
        <w:rPr>
          <w:rFonts w:hint="eastAsia" w:ascii="宋体" w:hAnsi="宋体" w:eastAsia="宋体" w:cs="宋体"/>
          <w:b/>
          <w:i/>
          <w:color w:val="auto"/>
          <w:sz w:val="24"/>
          <w:highlight w:val="none"/>
          <w:u w:val="single"/>
        </w:rPr>
        <w:t xml:space="preserve">有权将以上内容进行公示。</w:t>
      </w:r>
      <w:r/>
    </w:p>
    <w:p>
      <w:pPr>
        <w:pStyle w:val="856"/>
        <w:spacing w:line="264"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856"/>
        <w:ind w:firstLine="480"/>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56"/>
        <w:jc w:val="center"/>
        <w:spacing w:line="264"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856"/>
        <w:jc w:val="center"/>
        <w:spacing w:line="264"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856"/>
        <w:jc w:val="center"/>
        <w:spacing w:line="264"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856"/>
        <w:jc w:val="center"/>
        <w:spacing w:line="264"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856"/>
        <w:jc w:val="center"/>
        <w:spacing w:line="264"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856"/>
        <w:jc w:val="center"/>
        <w:spacing w:line="264"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856"/>
        <w:jc w:val="center"/>
        <w:spacing w:line="264"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856"/>
        <w:spacing w:line="264"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856"/>
        <w:jc w:val="center"/>
        <w:spacing w:line="264"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5.偏离表</w:t>
      </w:r>
      <w:r/>
    </w:p>
    <w:p>
      <w:pPr>
        <w:pStyle w:val="856"/>
        <w:jc w:val="center"/>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（首次报价）</w:t>
      </w:r>
      <w:r/>
    </w:p>
    <w:p>
      <w:pPr>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p>
    <w:p>
      <w:pPr>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bl>
      <w:tblPr>
        <w:tblStyle w:val="807"/>
        <w:tblW w:w="8928"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856"/>
              <w:jc w:val="center"/>
              <w:spacing w:line="264" w:lineRule="auto"/>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856"/>
              <w:jc w:val="center"/>
              <w:spacing w:line="264" w:lineRule="auto"/>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Style w:val="856"/>
              <w:jc w:val="center"/>
              <w:spacing w:line="264" w:lineRule="auto"/>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Style w:val="856"/>
              <w:jc w:val="center"/>
              <w:spacing w:line="264" w:lineRule="auto"/>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856"/>
              <w:spacing w:line="264" w:lineRule="auto"/>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856"/>
              <w:jc w:val="center"/>
              <w:spacing w:line="264" w:lineRule="auto"/>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56"/>
              <w:jc w:val="center"/>
              <w:spacing w:line="264" w:lineRule="auto"/>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56"/>
              <w:jc w:val="center"/>
              <w:spacing w:line="264" w:lineRule="auto"/>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pStyle w:val="856"/>
              <w:jc w:val="center"/>
              <w:spacing w:line="264" w:lineRule="auto"/>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pStyle w:val="856"/>
              <w:jc w:val="center"/>
              <w:spacing w:line="264" w:lineRule="auto"/>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56"/>
              <w:jc w:val="center"/>
              <w:spacing w:line="264" w:lineRule="auto"/>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56"/>
              <w:jc w:val="center"/>
              <w:spacing w:line="264" w:lineRule="auto"/>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pStyle w:val="856"/>
        <w:spacing w:line="264"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供应商（电子签章）：</w:t>
      </w:r>
      <w:r/>
    </w:p>
    <w:p>
      <w:pPr>
        <w:ind w:right="29" w:firstLine="312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pStyle w:val="856"/>
        <w:ind w:right="29"/>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28"/>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6"/>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6"/>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6"/>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6"/>
        <w:contextualSpacing/>
        <w:ind w:firstLine="723"/>
        <w:jc w:val="center"/>
        <w:spacing w:line="264"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856"/>
        <w:contextualSpacing/>
        <w:jc w:val="center"/>
        <w:spacing w:line="264"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6.合同草案条款</w:t>
      </w:r>
      <w:r/>
    </w:p>
    <w:p>
      <w:pPr>
        <w:pStyle w:val="1046"/>
        <w:contextualSpacing/>
        <w:ind w:right="-624"/>
        <w:spacing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817"/>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7"/>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7"/>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7"/>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7"/>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7"/>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7"/>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7"/>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7"/>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7"/>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7"/>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7"/>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7"/>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7"/>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7"/>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7"/>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pStyle w:val="817"/>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pStyle w:val="817"/>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  购  人：</w:t>
      </w:r>
      <w:r/>
    </w:p>
    <w:p>
      <w:pPr>
        <w:pStyle w:val="817"/>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成交供应商：</w:t>
      </w:r>
      <w:r/>
    </w:p>
    <w:p>
      <w:pPr>
        <w:pStyle w:val="817"/>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合同签订日期：  年  月  日</w:t>
      </w:r>
      <w:r/>
    </w:p>
    <w:p>
      <w:pPr>
        <w:ind w:firstLine="480"/>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友情提醒：采购人与中标、成交供应商应当在中标、成交通知书发出之日起三十日内，按照采购文件确定的事项签订政府采购合同。</w:t>
      </w:r>
      <w:r/>
    </w:p>
    <w:p>
      <w:pPr>
        <w:ind w:firstLine="480"/>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依据《中华人民共和国政府采购法》、《中华人民共和国民法典》的规定，按照中标（成交）通知书及采购文件要求，签订本合同。</w:t>
      </w:r>
      <w:r/>
    </w:p>
    <w:p>
      <w:pPr>
        <w:ind w:firstLine="199"/>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w:t>
      </w:r>
      <w:r>
        <w:rPr>
          <w:rFonts w:hint="eastAsia" w:ascii="宋体" w:hAnsi="宋体" w:cs="宋体"/>
          <w:bCs/>
          <w:color w:val="auto"/>
          <w:sz w:val="24"/>
          <w:szCs w:val="24"/>
          <w:highlight w:val="none"/>
          <w:lang w:eastAsia="zh-CN"/>
        </w:rPr>
        <w:t xml:space="preserve">2026年水环境监测</w:t>
      </w:r>
      <w:r>
        <w:rPr>
          <w:rFonts w:hint="eastAsia" w:ascii="宋体" w:hAnsi="宋体" w:eastAsia="宋体" w:cs="宋体"/>
          <w:bCs/>
          <w:color w:val="auto"/>
          <w:sz w:val="24"/>
          <w:szCs w:val="24"/>
          <w:highlight w:val="none"/>
        </w:rPr>
        <w:t xml:space="preserve">概况</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1、项目名称：</w:t>
      </w:r>
      <w:r>
        <w:rPr>
          <w:rFonts w:hint="eastAsia" w:ascii="宋体" w:hAnsi="宋体" w:cs="宋体"/>
          <w:color w:val="auto"/>
          <w:sz w:val="24"/>
          <w:szCs w:val="24"/>
          <w:highlight w:val="none"/>
          <w:u w:val="single"/>
          <w:lang w:eastAsia="zh-CN"/>
        </w:rPr>
        <w:t xml:space="preserve">2026年水环境监测</w:t>
      </w:r>
      <w:r>
        <w:rPr>
          <w:rFonts w:hint="eastAsia" w:ascii="宋体" w:hAnsi="宋体" w:eastAsia="宋体" w:cs="宋体"/>
          <w:color w:val="auto"/>
          <w:sz w:val="24"/>
          <w:szCs w:val="24"/>
          <w:highlight w:val="none"/>
          <w:u w:val="single"/>
        </w:rPr>
        <w:t xml:space="preserve">  </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2、项目编号：</w:t>
      </w:r>
      <w:r>
        <w:rPr>
          <w:rFonts w:hint="eastAsia" w:ascii="宋体" w:hAnsi="宋体" w:eastAsia="宋体" w:cs="宋体"/>
          <w:color w:val="auto"/>
          <w:sz w:val="24"/>
          <w:szCs w:val="24"/>
          <w:highlight w:val="none"/>
          <w:u w:val="single"/>
        </w:rPr>
        <w:t xml:space="preserve">                 </w:t>
      </w:r>
      <w:r/>
    </w:p>
    <w:p>
      <w:pPr>
        <w:ind w:firstLine="48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3、项目地点：</w:t>
      </w:r>
      <w:r>
        <w:rPr>
          <w:rFonts w:hint="eastAsia" w:ascii="宋体" w:hAnsi="宋体" w:eastAsia="宋体" w:cs="宋体"/>
          <w:color w:val="auto"/>
          <w:sz w:val="24"/>
          <w:szCs w:val="24"/>
          <w:highlight w:val="none"/>
          <w:u w:val="single"/>
        </w:rPr>
        <w:t xml:space="preserve">                  </w:t>
      </w:r>
      <w:r/>
    </w:p>
    <w:p>
      <w:pPr>
        <w:ind w:firstLine="480"/>
        <w:spacing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4、服务期限：</w:t>
      </w:r>
      <w:r>
        <w:rPr>
          <w:rFonts w:hint="eastAsia" w:ascii="宋体" w:hAnsi="宋体" w:eastAsia="宋体" w:cs="宋体"/>
          <w:color w:val="auto"/>
          <w:sz w:val="24"/>
          <w:szCs w:val="24"/>
          <w:highlight w:val="none"/>
          <w:u w:val="single"/>
        </w:rPr>
        <w:t xml:space="preserve">    年  月</w:t>
      </w:r>
      <w:r>
        <w:rPr>
          <w:rFonts w:hint="eastAsia" w:ascii="宋体" w:hAnsi="宋体" w:eastAsia="宋体" w:cs="宋体"/>
          <w:color w:val="auto"/>
          <w:sz w:val="24"/>
          <w:szCs w:val="24"/>
          <w:highlight w:val="none"/>
          <w:u w:val="single"/>
          <w:lang w:val="en-US" w:eastAsia="zh-CN"/>
        </w:rPr>
        <w:t xml:space="preserve">  日</w:t>
      </w:r>
      <w:r>
        <w:rPr>
          <w:rFonts w:hint="eastAsia" w:ascii="宋体" w:hAnsi="宋体" w:eastAsia="宋体" w:cs="宋体"/>
          <w:color w:val="auto"/>
          <w:sz w:val="24"/>
          <w:szCs w:val="24"/>
          <w:highlight w:val="none"/>
          <w:u w:val="single"/>
        </w:rPr>
        <w:t xml:space="preserve">至   年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  日</w:t>
      </w:r>
      <w:r/>
    </w:p>
    <w:p>
      <w:pPr>
        <w:ind w:firstLine="480"/>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5、乙方项目负责人：</w:t>
      </w:r>
      <w:r>
        <w:rPr>
          <w:rFonts w:hint="eastAsia" w:ascii="宋体" w:hAnsi="宋体" w:eastAsia="宋体" w:cs="宋体"/>
          <w:color w:val="auto"/>
          <w:sz w:val="24"/>
          <w:szCs w:val="24"/>
          <w:highlight w:val="none"/>
          <w:u w:val="single"/>
        </w:rPr>
        <w:t xml:space="preserve">        </w:t>
      </w:r>
      <w:r/>
    </w:p>
    <w:p>
      <w:pPr>
        <w:ind w:firstLine="199"/>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二、项目</w:t>
      </w:r>
      <w:r>
        <w:rPr>
          <w:rFonts w:hint="eastAsia" w:ascii="宋体" w:hAnsi="宋体" w:eastAsia="宋体" w:cs="宋体"/>
          <w:color w:val="auto"/>
          <w:sz w:val="24"/>
          <w:szCs w:val="24"/>
          <w:highlight w:val="none"/>
        </w:rPr>
        <w:t xml:space="preserve">技术及成果要求</w:t>
      </w:r>
      <w:r/>
    </w:p>
    <w:p>
      <w:pPr>
        <w:pStyle w:val="818"/>
        <w:ind w:left="400"/>
        <w:jc w:val="both"/>
        <w:spacing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1、水域健康评价技术及成果要求</w:t>
      </w:r>
      <w:r/>
    </w:p>
    <w:p>
      <w:pPr>
        <w:pStyle w:val="1108"/>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（1）主要内容</w:t>
      </w:r>
      <w:r/>
    </w:p>
    <w:p>
      <w:pPr>
        <w:pStyle w:val="1108"/>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按照</w:t>
      </w:r>
      <w:r>
        <w:rPr>
          <w:rFonts w:hint="eastAsia" w:ascii="宋体" w:hAnsi="宋体" w:eastAsia="宋体" w:cs="宋体"/>
          <w:color w:val="auto"/>
          <w:highlight w:val="none"/>
          <w:lang w:eastAsia="zh-CN"/>
        </w:rPr>
        <w:t xml:space="preserve">《河湖健康评价规范》（</w:t>
      </w:r>
      <w:r>
        <w:rPr>
          <w:rFonts w:hint="eastAsia" w:ascii="宋体" w:hAnsi="宋体" w:eastAsia="宋体" w:cs="宋体"/>
          <w:color w:val="auto"/>
          <w:highlight w:val="none"/>
          <w:lang w:val="en-US" w:eastAsia="zh-CN"/>
        </w:rPr>
        <w:t xml:space="preserve">SL/T793-2025</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开展徐州市</w:t>
      </w:r>
      <w:r>
        <w:rPr>
          <w:rFonts w:hint="eastAsia" w:ascii="宋体" w:hAnsi="宋体" w:eastAsia="宋体" w:cs="宋体"/>
          <w:color w:val="auto"/>
          <w:highlight w:val="none"/>
          <w:lang w:val="en-US" w:eastAsia="zh-CN"/>
        </w:rPr>
        <w:t xml:space="preserve">20</w:t>
      </w:r>
      <w:r>
        <w:rPr>
          <w:rFonts w:hint="eastAsia" w:ascii="宋体" w:hAnsi="宋体" w:eastAsia="宋体" w:cs="宋体"/>
          <w:color w:val="auto"/>
          <w:highlight w:val="none"/>
        </w:rPr>
        <w:t xml:space="preserve">条河湖（见表1）水域健康评价，并提供健康评价成果。水域健康评价结果分为优秀、良好、中等、较差、极差。监测设施不完善、监测数据无法获取的河湖，可结合实际简化相应指标。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（2）水域健康评价成果提交</w:t>
      </w:r>
      <w:r/>
    </w:p>
    <w:p>
      <w:pPr>
        <w:pStyle w:val="856"/>
        <w:ind w:firstLine="72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底</w:t>
      </w:r>
      <w:r>
        <w:rPr>
          <w:rFonts w:hint="eastAsia" w:ascii="宋体" w:hAnsi="宋体" w:eastAsia="宋体" w:cs="宋体"/>
          <w:color w:val="auto"/>
          <w:sz w:val="24"/>
          <w:highlight w:val="none"/>
        </w:rPr>
        <w:t xml:space="preserve">前完成</w:t>
      </w:r>
      <w:r>
        <w:rPr>
          <w:rFonts w:hint="eastAsia" w:ascii="宋体" w:hAnsi="宋体" w:eastAsia="宋体" w:cs="宋体"/>
          <w:color w:val="auto"/>
          <w:sz w:val="24"/>
          <w:highlight w:val="none"/>
          <w:lang w:val="en-US" w:eastAsia="zh-CN"/>
        </w:rPr>
        <w:t xml:space="preserve">标段范围内的</w:t>
      </w:r>
      <w:r>
        <w:rPr>
          <w:rFonts w:hint="eastAsia" w:ascii="宋体" w:hAnsi="宋体" w:eastAsia="宋体" w:cs="宋体"/>
          <w:color w:val="auto"/>
          <w:sz w:val="24"/>
          <w:highlight w:val="none"/>
        </w:rPr>
        <w:t xml:space="preserve">河湖水域健康评价</w:t>
      </w:r>
      <w:r>
        <w:rPr>
          <w:rFonts w:hint="eastAsia" w:ascii="宋体" w:hAnsi="宋体" w:eastAsia="宋体" w:cs="宋体"/>
          <w:color w:val="auto"/>
          <w:sz w:val="24"/>
          <w:highlight w:val="none"/>
        </w:rPr>
        <w:t xml:space="preserve">并提交评价报告或评价表，审核并修改完善，202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底</w:t>
      </w:r>
      <w:r>
        <w:rPr>
          <w:rFonts w:hint="eastAsia" w:ascii="宋体" w:hAnsi="宋体" w:eastAsia="宋体" w:cs="宋体"/>
          <w:color w:val="auto"/>
          <w:sz w:val="24"/>
          <w:highlight w:val="none"/>
        </w:rPr>
        <w:t xml:space="preserve">前向采购人提供最终成果。</w:t>
      </w:r>
      <w:r/>
    </w:p>
    <w:p>
      <w:pPr>
        <w:ind w:firstLine="482"/>
        <w:spacing w:line="440" w:lineRule="exact"/>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2、水质监测技术及成果要求</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（1）水质监测范围</w:t>
      </w:r>
      <w:r/>
    </w:p>
    <w:p>
      <w:pPr>
        <w:pStyle w:val="1108"/>
        <w:ind w:firstLine="480"/>
        <w:spacing w:line="440" w:lineRule="exact"/>
        <w:rPr>
          <w:rFonts w:hint="eastAsia" w:ascii="宋体" w:hAnsi="宋体" w:eastAsia="宋体" w:cs="宋体"/>
          <w:b/>
          <w:bCs/>
          <w:color w:val="auto"/>
          <w:highlight w:val="none"/>
        </w:rPr>
      </w:pPr>
      <w:r>
        <w:rPr>
          <w:rFonts w:hint="eastAsia" w:ascii="宋体" w:hAnsi="宋体" w:eastAsia="宋体" w:cs="宋体"/>
          <w:color w:val="auto"/>
          <w:highlight w:val="none"/>
        </w:rPr>
        <w:t xml:space="preserve">监测范围</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标段范围内的</w:t>
      </w:r>
      <w:r>
        <w:rPr>
          <w:rFonts w:hint="eastAsia" w:ascii="宋体" w:hAnsi="宋体" w:eastAsia="宋体" w:cs="宋体"/>
          <w:color w:val="auto"/>
          <w:highlight w:val="none"/>
        </w:rPr>
        <w:t xml:space="preserve">重点河道监测范围详见</w:t>
      </w:r>
      <w:r>
        <w:rPr>
          <w:rFonts w:hint="eastAsia" w:ascii="宋体" w:hAnsi="宋体" w:eastAsia="宋体" w:cs="宋体"/>
          <w:color w:val="auto"/>
          <w:highlight w:val="none"/>
          <w:lang w:val="en-US" w:eastAsia="zh-CN"/>
        </w:rPr>
        <w:t xml:space="preserve">标段清单</w:t>
      </w:r>
      <w:r>
        <w:rPr>
          <w:rFonts w:hint="eastAsia" w:ascii="宋体" w:hAnsi="宋体" w:eastAsia="宋体" w:cs="宋体"/>
          <w:b/>
          <w:bCs/>
          <w:color w:val="auto"/>
          <w:highlight w:val="none"/>
        </w:rPr>
        <w:t xml:space="preserve">。参见采购需求。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（2）水质监测项目及频次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①徐州市重点河道水质监测，每</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月监测1次。</w:t>
      </w:r>
      <w:r/>
    </w:p>
    <w:p>
      <w:pPr>
        <w:pStyle w:val="110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w:t>
      </w:r>
      <w:r>
        <w:rPr>
          <w:rFonts w:hint="eastAsia" w:ascii="宋体" w:hAnsi="宋体" w:eastAsia="宋体" w:cs="宋体"/>
          <w:color w:val="auto"/>
          <w:highlight w:val="none"/>
        </w:rPr>
        <w:t xml:space="preserve">净水厂</w:t>
      </w:r>
      <w:r>
        <w:rPr>
          <w:rFonts w:hint="eastAsia" w:ascii="宋体" w:hAnsi="宋体" w:eastAsia="宋体" w:cs="宋体"/>
          <w:color w:val="auto"/>
          <w:highlight w:val="none"/>
          <w:lang w:val="en-US" w:eastAsia="zh-CN"/>
        </w:rPr>
        <w:t xml:space="preserve">进出水</w:t>
      </w:r>
      <w:r>
        <w:rPr>
          <w:rFonts w:hint="eastAsia" w:ascii="宋体" w:hAnsi="宋体" w:eastAsia="宋体" w:cs="宋体"/>
          <w:color w:val="auto"/>
          <w:highlight w:val="none"/>
        </w:rPr>
        <w:t xml:space="preserve">水质监测，每周监测1次；污水</w:t>
      </w:r>
      <w:r>
        <w:rPr>
          <w:rFonts w:hint="eastAsia" w:ascii="宋体" w:hAnsi="宋体" w:eastAsia="宋体" w:cs="宋体"/>
          <w:color w:val="auto"/>
          <w:highlight w:val="none"/>
          <w:lang w:val="en-US" w:eastAsia="zh-CN"/>
        </w:rPr>
        <w:t xml:space="preserve">处理</w:t>
      </w:r>
      <w:r>
        <w:rPr>
          <w:rFonts w:hint="eastAsia" w:ascii="宋体" w:hAnsi="宋体" w:eastAsia="宋体" w:cs="宋体"/>
          <w:color w:val="auto"/>
          <w:highlight w:val="none"/>
        </w:rPr>
        <w:t xml:space="preserve">厂</w:t>
      </w:r>
      <w:r>
        <w:rPr>
          <w:rFonts w:hint="eastAsia" w:ascii="宋体" w:hAnsi="宋体" w:eastAsia="宋体" w:cs="宋体"/>
          <w:color w:val="auto"/>
          <w:highlight w:val="none"/>
          <w:lang w:val="en-US" w:eastAsia="zh-CN"/>
        </w:rPr>
        <w:t xml:space="preserve">污泥，</w:t>
      </w:r>
      <w:r>
        <w:rPr>
          <w:rFonts w:hint="eastAsia" w:ascii="宋体" w:hAnsi="宋体" w:eastAsia="宋体" w:cs="宋体"/>
          <w:color w:val="auto"/>
          <w:highlight w:val="none"/>
        </w:rPr>
        <w:t xml:space="preserve">每年监测</w:t>
      </w:r>
      <w:r>
        <w:rPr>
          <w:rFonts w:hint="eastAsia" w:hAnsi="宋体" w:cs="宋体"/>
          <w:color w:val="auto"/>
          <w:highlight w:val="none"/>
          <w:lang w:val="en-US" w:eastAsia="zh-CN"/>
        </w:rPr>
        <w:t xml:space="preserve">2</w:t>
      </w:r>
      <w:r>
        <w:rPr>
          <w:rFonts w:hint="eastAsia" w:ascii="宋体" w:hAnsi="宋体" w:eastAsia="宋体" w:cs="宋体"/>
          <w:color w:val="auto"/>
          <w:highlight w:val="none"/>
        </w:rPr>
        <w:t xml:space="preserve">次</w:t>
      </w:r>
      <w:r>
        <w:rPr>
          <w:rFonts w:hint="eastAsia" w:ascii="宋体" w:hAnsi="宋体" w:eastAsia="宋体" w:cs="宋体"/>
          <w:color w:val="auto"/>
          <w:sz w:val="24"/>
          <w:szCs w:val="24"/>
          <w:highlight w:val="none"/>
        </w:rPr>
        <w:t xml:space="preserve">；</w:t>
      </w:r>
      <w:r/>
    </w:p>
    <w:p>
      <w:pPr>
        <w:pStyle w:val="1108"/>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③应急监测：监测点位、项目、频次随应急情况确定，年度内不少于6次，水质水量应急同步监测；</w:t>
      </w:r>
      <w:r/>
    </w:p>
    <w:p>
      <w:pPr>
        <w:pStyle w:val="110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w:t>
      </w:r>
      <w:r>
        <w:rPr>
          <w:rFonts w:hint="eastAsia" w:ascii="宋体" w:hAnsi="宋体" w:eastAsia="宋体" w:cs="宋体"/>
          <w:color w:val="auto"/>
          <w:highlight w:val="none"/>
        </w:rPr>
        <w:t xml:space="preserve">水质监测数据要确保准确、真实，能够反映河道水质实际情况；现场</w:t>
      </w:r>
      <w:r>
        <w:rPr>
          <w:rFonts w:hint="eastAsia" w:ascii="宋体" w:hAnsi="宋体" w:eastAsia="宋体" w:cs="宋体"/>
          <w:color w:val="auto"/>
          <w:highlight w:val="none"/>
          <w:lang w:eastAsia="zh-CN"/>
        </w:rPr>
        <w:t xml:space="preserve">检查</w:t>
      </w:r>
      <w:r>
        <w:rPr>
          <w:rFonts w:hint="eastAsia" w:ascii="宋体" w:hAnsi="宋体" w:eastAsia="宋体" w:cs="宋体"/>
          <w:color w:val="auto"/>
          <w:highlight w:val="none"/>
        </w:rPr>
        <w:t xml:space="preserve">要沿河道全线认真查看，发现河道现场问题需要详细记录并拍照留存，</w:t>
      </w:r>
      <w:r>
        <w:rPr>
          <w:rFonts w:hint="eastAsia" w:ascii="宋体" w:hAnsi="宋体" w:eastAsia="宋体" w:cs="宋体"/>
          <w:color w:val="auto"/>
          <w:highlight w:val="none"/>
          <w:lang w:val="en-US" w:eastAsia="zh-CN"/>
        </w:rPr>
        <w:t xml:space="preserve">河道水质</w:t>
      </w:r>
      <w:r>
        <w:rPr>
          <w:rFonts w:hint="eastAsia" w:ascii="宋体" w:hAnsi="宋体" w:eastAsia="宋体" w:cs="宋体"/>
          <w:color w:val="auto"/>
          <w:highlight w:val="none"/>
        </w:rPr>
        <w:t xml:space="preserve">监测指标包含化学需氧量、氨氮、总磷、高锰酸盐指数、透明度、溶解氧、氧化还原电位等。净水厂水质监测</w:t>
      </w:r>
      <w:r>
        <w:rPr>
          <w:rFonts w:hint="eastAsia" w:ascii="宋体" w:hAnsi="宋体" w:eastAsia="宋体" w:cs="宋体"/>
          <w:color w:val="auto"/>
          <w:highlight w:val="none"/>
          <w:lang w:val="en-US" w:eastAsia="zh-CN"/>
        </w:rPr>
        <w:t xml:space="preserve">指标包含</w:t>
      </w:r>
      <w:r>
        <w:rPr>
          <w:rFonts w:hint="eastAsia" w:ascii="宋体" w:hAnsi="宋体" w:eastAsia="宋体" w:cs="宋体"/>
          <w:color w:val="auto"/>
          <w:sz w:val="24"/>
          <w:szCs w:val="24"/>
          <w:highlight w:val="none"/>
        </w:rPr>
        <w:t xml:space="preserve">透明度、色度、浑浊度、高锰酸盐指数、粪大肠菌群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highlight w:val="none"/>
        </w:rPr>
        <w:t xml:space="preserve">污水</w:t>
      </w:r>
      <w:r>
        <w:rPr>
          <w:rFonts w:hint="eastAsia" w:ascii="宋体" w:hAnsi="宋体" w:eastAsia="宋体" w:cs="宋体"/>
          <w:color w:val="auto"/>
          <w:highlight w:val="none"/>
          <w:lang w:val="en-US" w:eastAsia="zh-CN"/>
        </w:rPr>
        <w:t xml:space="preserve">处理</w:t>
      </w:r>
      <w:r>
        <w:rPr>
          <w:rFonts w:hint="eastAsia" w:ascii="宋体" w:hAnsi="宋体" w:eastAsia="宋体" w:cs="宋体"/>
          <w:color w:val="auto"/>
          <w:highlight w:val="none"/>
        </w:rPr>
        <w:t xml:space="preserve">厂</w:t>
      </w:r>
      <w:r>
        <w:rPr>
          <w:rFonts w:hint="eastAsia" w:ascii="宋体" w:hAnsi="宋体" w:eastAsia="宋体" w:cs="宋体"/>
          <w:color w:val="auto"/>
          <w:highlight w:val="none"/>
          <w:lang w:val="en-US" w:eastAsia="zh-CN"/>
        </w:rPr>
        <w:t xml:space="preserve">污泥检测指标包含</w:t>
      </w:r>
      <w:r>
        <w:rPr>
          <w:rFonts w:hint="eastAsia" w:ascii="宋体" w:hAnsi="宋体" w:eastAsia="宋体" w:cs="宋体"/>
          <w:color w:val="auto"/>
          <w:sz w:val="24"/>
          <w:szCs w:val="24"/>
          <w:highlight w:val="none"/>
        </w:rPr>
        <w:t xml:space="preserve">含水率、有机物、 pH、粪大肠菌群、汞、砷、镉、铅、铜、锌、镍、铬。</w:t>
      </w:r>
      <w:r>
        <w:rPr>
          <w:rFonts w:hint="eastAsia" w:ascii="宋体" w:hAnsi="宋体" w:eastAsia="宋体" w:cs="宋体"/>
          <w:color w:val="auto"/>
          <w:highlight w:val="none"/>
        </w:rPr>
        <w:t xml:space="preserve">同时，成果资料要及时上报。每年汇总成果报告，对全年水质进行分析评价。</w:t>
      </w:r>
      <w:r>
        <w:rPr>
          <w:rFonts w:hint="eastAsia" w:ascii="宋体" w:hAnsi="宋体" w:eastAsia="宋体" w:cs="宋体"/>
          <w:color w:val="auto"/>
          <w:highlight w:val="none"/>
          <w:lang w:val="en-US" w:eastAsia="zh-CN"/>
        </w:rPr>
        <w:t xml:space="preserve"> </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（3）水质监测成果</w:t>
      </w:r>
      <w:r/>
    </w:p>
    <w:p>
      <w:pPr>
        <w:pStyle w:val="818"/>
        <w:ind w:left="0" w:firstLine="480"/>
        <w:jc w:val="both"/>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①</w:t>
      </w:r>
      <w:r>
        <w:rPr>
          <w:rFonts w:hint="eastAsia" w:ascii="宋体" w:hAnsi="宋体" w:eastAsia="宋体" w:cs="宋体"/>
          <w:color w:val="auto"/>
          <w:sz w:val="24"/>
          <w:szCs w:val="24"/>
          <w:highlight w:val="none"/>
        </w:rPr>
        <w:t xml:space="preserve">重点河道水质监测成果提交</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合同生效后，乙方按照合同方案内容开展徐州市重点河道水质监测工作，重点河道监测</w:t>
      </w:r>
      <w:r>
        <w:rPr>
          <w:rFonts w:hint="eastAsia" w:ascii="宋体" w:hAnsi="宋体" w:eastAsia="宋体" w:cs="宋体"/>
          <w:color w:val="auto"/>
          <w:sz w:val="24"/>
          <w:szCs w:val="24"/>
          <w:highlight w:val="none"/>
          <w:lang w:val="en-US" w:eastAsia="zh-CN"/>
        </w:rPr>
        <w:t xml:space="preserve">每</w:t>
      </w:r>
      <w:r>
        <w:rPr>
          <w:rFonts w:hint="eastAsia" w:ascii="宋体" w:hAnsi="宋体" w:eastAsia="宋体" w:cs="宋体"/>
          <w:color w:val="auto"/>
          <w:sz w:val="24"/>
          <w:szCs w:val="24"/>
          <w:highlight w:val="none"/>
        </w:rPr>
        <w:t xml:space="preserve">月2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日左右监测一次，监测指标</w:t>
      </w:r>
      <w:r>
        <w:rPr>
          <w:rFonts w:hint="eastAsia" w:ascii="宋体" w:hAnsi="宋体" w:cs="宋体"/>
          <w:color w:val="auto"/>
          <w:sz w:val="24"/>
          <w:szCs w:val="24"/>
          <w:highlight w:val="none"/>
          <w:lang w:val="en-US" w:eastAsia="zh-CN"/>
        </w:rPr>
        <w:t xml:space="preserve">参照</w:t>
      </w:r>
      <w:r>
        <w:rPr>
          <w:rFonts w:hint="eastAsia" w:ascii="宋体" w:hAnsi="宋体" w:eastAsia="宋体" w:cs="宋体"/>
          <w:color w:val="auto"/>
          <w:sz w:val="24"/>
          <w:szCs w:val="24"/>
          <w:highlight w:val="none"/>
        </w:rPr>
        <w:t xml:space="preserve">《地表水质量标准》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列出超标项目，分析水环境质量同比变化及原因。编制成果报告，于</w:t>
      </w:r>
      <w:r>
        <w:rPr>
          <w:rFonts w:hint="eastAsia" w:ascii="宋体" w:hAnsi="宋体" w:eastAsia="宋体" w:cs="宋体"/>
          <w:color w:val="auto"/>
          <w:sz w:val="24"/>
          <w:szCs w:val="24"/>
          <w:highlight w:val="none"/>
          <w:lang w:val="en-US" w:eastAsia="zh-CN"/>
        </w:rPr>
        <w:t xml:space="preserve">当</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月底</w:t>
      </w:r>
      <w:r>
        <w:rPr>
          <w:rFonts w:hint="eastAsia" w:ascii="宋体" w:hAnsi="宋体" w:eastAsia="宋体" w:cs="宋体"/>
          <w:color w:val="auto"/>
          <w:sz w:val="24"/>
          <w:szCs w:val="24"/>
          <w:highlight w:val="none"/>
        </w:rPr>
        <w:t xml:space="preserve">前提交《202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月徐州市重点河道水质监测</w:t>
      </w:r>
      <w:r>
        <w:rPr>
          <w:rFonts w:hint="eastAsia" w:ascii="宋体" w:hAnsi="宋体" w:eastAsia="宋体" w:cs="宋体"/>
          <w:color w:val="auto"/>
          <w:sz w:val="24"/>
          <w:szCs w:val="24"/>
          <w:highlight w:val="none"/>
          <w:lang w:eastAsia="zh-CN"/>
        </w:rPr>
        <w:t xml:space="preserve">成果报告</w:t>
      </w:r>
      <w:r>
        <w:rPr>
          <w:rFonts w:hint="eastAsia" w:ascii="宋体" w:hAnsi="宋体" w:eastAsia="宋体" w:cs="宋体"/>
          <w:color w:val="auto"/>
          <w:sz w:val="24"/>
          <w:szCs w:val="24"/>
          <w:highlight w:val="none"/>
        </w:rPr>
        <w:t xml:space="preserve">》（以文字评价描述及图表形式上报）</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汛期应急监测完成后需提交应急监测快报，并分析来水对各考核断面水质影响分析。所有监测任务完成，编制年报1期，分析各月监测情况及各考核断面水质变化趋势</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对全年水质变化进行分析评价。根据</w:t>
      </w:r>
      <w:r>
        <w:rPr>
          <w:rFonts w:hint="eastAsia" w:ascii="宋体" w:hAnsi="宋体" w:eastAsia="宋体" w:cs="宋体"/>
          <w:color w:val="auto"/>
          <w:sz w:val="24"/>
          <w:szCs w:val="24"/>
          <w:highlight w:val="none"/>
          <w:lang w:val="en-US" w:eastAsia="zh-CN"/>
        </w:rPr>
        <w:t xml:space="preserve">全</w:t>
      </w:r>
      <w:r>
        <w:rPr>
          <w:rFonts w:hint="eastAsia" w:ascii="宋体" w:hAnsi="宋体" w:eastAsia="宋体" w:cs="宋体"/>
          <w:color w:val="auto"/>
          <w:sz w:val="24"/>
          <w:szCs w:val="24"/>
          <w:highlight w:val="none"/>
        </w:rPr>
        <w:t xml:space="preserve">年水质检测成果，绘制水质变化图，提供变化规律。</w:t>
      </w:r>
      <w:r>
        <w:rPr>
          <w:rFonts w:hint="eastAsia" w:ascii="宋体" w:hAnsi="宋体" w:eastAsia="宋体" w:cs="宋体"/>
          <w:color w:val="auto"/>
          <w:sz w:val="24"/>
          <w:szCs w:val="24"/>
          <w:highlight w:val="none"/>
          <w:lang w:val="en-US" w:eastAsia="zh-CN"/>
        </w:rPr>
        <w:t xml:space="preserve"> </w:t>
      </w:r>
      <w:r/>
    </w:p>
    <w:p>
      <w:pPr>
        <w:ind w:firstLine="480"/>
        <w:spacing w:line="360" w:lineRule="auto"/>
        <w:rPr>
          <w:rFonts w:hint="eastAsia" w:ascii="宋体" w:hAnsi="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②</w:t>
      </w:r>
      <w:r>
        <w:rPr>
          <w:rFonts w:hint="eastAsia" w:ascii="宋体" w:hAnsi="宋体" w:cs="宋体"/>
          <w:color w:val="auto"/>
          <w:sz w:val="24"/>
          <w:szCs w:val="24"/>
          <w:highlight w:val="none"/>
          <w:lang w:val="en-US" w:eastAsia="zh-CN" w:bidi="ar-SA"/>
        </w:rPr>
        <w:t xml:space="preserve">净水厂监测成果提交</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进出水</w:t>
      </w:r>
      <w:r>
        <w:rPr>
          <w:rFonts w:hint="eastAsia" w:ascii="宋体" w:hAnsi="宋体" w:eastAsia="宋体" w:cs="宋体"/>
          <w:color w:val="auto"/>
          <w:sz w:val="24"/>
          <w:szCs w:val="24"/>
          <w:highlight w:val="none"/>
        </w:rPr>
        <w:t xml:space="preserve">水质监测，每周监测1次</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透明度、色度、浑浊度、高锰酸盐指数、粪大肠菌群</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分析异常指标，并提供成果报告。</w:t>
      </w:r>
      <w:r/>
    </w:p>
    <w:p>
      <w:pPr>
        <w:ind w:firstLine="480"/>
        <w:spacing w:line="360" w:lineRule="auto"/>
        <w:rPr>
          <w:rFonts w:hint="default" w:ascii="宋体" w:hAnsi="宋体" w:cs="宋体"/>
          <w:color w:val="auto"/>
          <w:sz w:val="24"/>
          <w:szCs w:val="24"/>
          <w:highlight w:val="none"/>
          <w:lang w:val="en-US" w:eastAsia="zh-CN" w:bidi="ar-SA"/>
        </w:rPr>
      </w:pPr>
      <w:r>
        <w:rPr>
          <w:rFonts w:hint="default" w:ascii="宋体" w:hAnsi="宋体" w:cs="宋体"/>
          <w:color w:val="auto"/>
          <w:sz w:val="24"/>
          <w:szCs w:val="24"/>
          <w:highlight w:val="none"/>
          <w:lang w:val="en-US" w:eastAsia="zh-CN" w:bidi="ar-SA"/>
        </w:rPr>
        <w:t xml:space="preserve">③</w:t>
      </w:r>
      <w:r>
        <w:rPr>
          <w:rFonts w:hint="eastAsia" w:ascii="宋体" w:hAnsi="宋体" w:cs="宋体"/>
          <w:color w:val="auto"/>
          <w:sz w:val="24"/>
          <w:szCs w:val="24"/>
          <w:highlight w:val="none"/>
          <w:lang w:val="en-US" w:eastAsia="zh-CN" w:bidi="ar-SA"/>
        </w:rPr>
        <w:t xml:space="preserve">污泥监测成果提交</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分别于2026年12月和2027年6月监测，</w:t>
      </w:r>
      <w:r>
        <w:rPr>
          <w:rFonts w:hint="eastAsia" w:ascii="宋体" w:hAnsi="宋体" w:cs="宋体"/>
          <w:color w:val="auto"/>
          <w:sz w:val="24"/>
          <w:szCs w:val="24"/>
          <w:highlight w:val="none"/>
          <w:lang w:val="en-US" w:eastAsia="zh-CN"/>
        </w:rPr>
        <w:t xml:space="preserve">分析异常指标，</w:t>
      </w:r>
      <w:r>
        <w:rPr>
          <w:rFonts w:hint="eastAsia" w:ascii="宋体" w:hAnsi="宋体" w:eastAsia="宋体" w:cs="宋体"/>
          <w:color w:val="auto"/>
          <w:sz w:val="24"/>
          <w:szCs w:val="24"/>
          <w:highlight w:val="none"/>
          <w:lang w:val="en-US" w:eastAsia="zh-CN"/>
        </w:rPr>
        <w:t xml:space="preserve">并提交成果报告。</w:t>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三、合同价款及结算方式</w:t>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1、合同总价：人民币（大写）        （小写：      元）。可附分项报价表。</w:t>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价格包含了为完成本项目所发生的一切预见和不可预见费用及项目涉及的一切税、费、投标人利润等全部费用，包含但不限于本项目实施过程中涉及的车旅费、踏勘费、耗材费、人工费及不可预见费和设备投入费、检测费等所有费用、合理利润、税收等。采购人不再支付报价以外的任何费用。甲方不再支付合同总价以外的任何费用。</w:t>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2、结算方式</w:t>
      </w:r>
      <w:r/>
    </w:p>
    <w:p>
      <w:pPr>
        <w:ind w:firstLine="24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经双方协商一致，选择以下第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种付款方式；</w:t>
      </w:r>
      <w:r/>
    </w:p>
    <w:p>
      <w:pPr>
        <w:ind w:firstLine="24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（一）付款方式（提交预付款保函的）</w:t>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1.合同签订且乙方向甲方出具预付款保函后 10个工作日内，甲方应支付第一批合同价款的百分之五十（50%），小写￥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大写：人民币</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合同期满，服务内容全部完成，</w:t>
      </w:r>
      <w:r>
        <w:rPr>
          <w:rFonts w:hint="eastAsia" w:ascii="宋体" w:hAnsi="宋体" w:eastAsia="宋体" w:cs="宋体"/>
          <w:bCs/>
          <w:color w:val="auto"/>
          <w:sz w:val="24"/>
          <w:szCs w:val="24"/>
          <w:highlight w:val="none"/>
        </w:rPr>
        <w:t xml:space="preserve">乙方提供对应金额的增值税发票后10个工作日内，甲方应支付剩余合同价款。</w:t>
      </w:r>
      <w:r/>
    </w:p>
    <w:p>
      <w:pPr>
        <w:ind w:firstLine="24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（二）付款方式（不提交预付款保函的）</w:t>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1.合同签订且乙方提供对应金额的增值税发票后 10 个工作日内，甲方应支付合同价款的百分之三十（30%），小写￥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大写：人民币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合同期满，服务内容全部完成，</w:t>
      </w:r>
      <w:r>
        <w:rPr>
          <w:rFonts w:hint="eastAsia" w:ascii="宋体" w:hAnsi="宋体" w:eastAsia="宋体" w:cs="宋体"/>
          <w:bCs/>
          <w:color w:val="auto"/>
          <w:sz w:val="24"/>
          <w:szCs w:val="24"/>
          <w:highlight w:val="none"/>
        </w:rPr>
        <w:t xml:space="preserve">乙方提供对应金额的增值税发票后10个工作日内，甲方应支付剩余合同价款。</w:t>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乙方开户银行名称、地址和帐号为：</w:t>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开户银行：                                                 ；</w:t>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    址：                                                 ；</w:t>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帐    号：                                                 。</w:t>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四、履行的期限、地点和方式</w:t>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本合同自签订之日起生效。</w:t>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五、技术资料的保密</w:t>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计算成果、有关数据及文字报告属内部资料，不得向第三方提供。</w:t>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六、风险责任的承担</w:t>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乙方只对提交的成果负责，成果报告质量符合有关规定。</w:t>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服务期内所有安全责任由乙方负责。</w:t>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七、技术成果的归属和分享</w:t>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技术成果归双方共用和分享，未经双方同意不得向第三方提供。</w:t>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八、验收的标准和方法</w:t>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经双方商定的内容，根据国家有关规定的技术标准。甲方组织有关人员对监测成果进行验收。</w:t>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九、违约金或者损失赔偿额的计算方法 </w:t>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甲方超过合同规定的时间付款时，每逾期一天，按总经费的千分之一偿付逾期的滞纳金。乙方按合同规定时间提交成果报告，每拖延一天在总经费中扣除千分之一作为违约金。</w:t>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乙方在监测督查过程中，未尽职守，省以上督查、暗访中发现一次（个）问题，从总经费中扣除10%作为违约金，依次（个）累加。</w:t>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十、技术协作和技术服务的内容</w:t>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甲方向乙方提供水质监测及水域健康评价所需河道基础信息等。</w:t>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十一、争议的解决办法</w:t>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由双方协商解决，协商不成的，可提交徐州市仲裁委员会仲裁，也可向徐州市中级人民法院提起诉讼。</w:t>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十二、其它</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1、本合同在双方加盖签章后生效。</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份，甲方执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份，乙方执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份，采购代理机构</w:t>
      </w:r>
      <w:r>
        <w:rPr>
          <w:rFonts w:hint="eastAsia" w:ascii="宋体" w:hAnsi="宋体" w:eastAsia="宋体" w:cs="宋体"/>
          <w:color w:val="auto"/>
          <w:sz w:val="24"/>
          <w:szCs w:val="24"/>
          <w:highlight w:val="none"/>
          <w:u w:val="single"/>
        </w:rPr>
        <w:t xml:space="preserve">一</w:t>
      </w:r>
      <w:r>
        <w:rPr>
          <w:rFonts w:hint="eastAsia" w:ascii="宋体" w:hAnsi="宋体" w:eastAsia="宋体" w:cs="宋体"/>
          <w:color w:val="auto"/>
          <w:sz w:val="24"/>
          <w:szCs w:val="24"/>
          <w:highlight w:val="none"/>
        </w:rPr>
        <w:t xml:space="preserve">份存档，具有同等法律效力。</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3、政府采购合同的双方当事人不得擅自变更、中止或者终止本合同。</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4、本合同未尽事宜详见磋商文件，如本合同与磋商文件中的内容有矛盾的，以磋商文件规定为准。</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7"/>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                     乙方：（盖章）</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           法定代表人或委托代理人：</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w:t>
      </w:r>
      <w:r/>
    </w:p>
    <w:p>
      <w:pPr>
        <w:pStyle w:val="856"/>
        <w:contextualSpacing/>
        <w:ind w:firstLine="480"/>
        <w:spacing w:line="440" w:lineRule="exact"/>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签字日期：                         签字日期</w:t>
      </w:r>
      <w:r/>
    </w:p>
    <w:p>
      <w:pPr>
        <w:pStyle w:val="856"/>
        <w:contextualSpacing/>
        <w:ind w:firstLine="723"/>
        <w:jc w:val="center"/>
        <w:spacing w:line="264"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856"/>
        <w:contextualSpacing/>
        <w:ind w:firstLine="723"/>
        <w:spacing w:line="264"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1027"/>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1028"/>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856"/>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1027"/>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6"/>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pStyle w:val="856"/>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pStyle w:val="856"/>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pStyle w:val="856"/>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pStyle w:val="856"/>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pStyle w:val="856"/>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pStyle w:val="856"/>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pStyle w:val="858"/>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pStyle w:val="857"/>
        <w:ind w:firstLine="0"/>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pStyle w:val="1027"/>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6"/>
        <w:contextualSpacing/>
        <w:ind w:firstLine="723"/>
        <w:jc w:val="center"/>
        <w:spacing w:line="264"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7.承诺书</w:t>
      </w:r>
      <w:r/>
    </w:p>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lang w:eastAsia="zh-CN"/>
        </w:rPr>
        <w:t xml:space="preserve">江苏建联工程管理有限公司</w:t>
      </w:r>
      <w:r>
        <w:rPr>
          <w:rFonts w:hint="eastAsia" w:ascii="宋体" w:hAnsi="宋体" w:eastAsia="宋体" w:cs="宋体"/>
          <w:color w:val="auto"/>
          <w:sz w:val="24"/>
          <w:highlight w:val="none"/>
        </w:rPr>
        <w:t xml:space="preserve">：</w:t>
      </w:r>
      <w:r/>
    </w:p>
    <w:p>
      <w:pPr>
        <w:pStyle w:val="1054"/>
        <w:ind w:firstLine="480"/>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根据贵方《</w:t>
      </w:r>
      <w:r>
        <w:rPr>
          <w:rFonts w:hint="eastAsia" w:ascii="宋体" w:hAnsi="宋体" w:eastAsia="宋体" w:cs="宋体"/>
          <w:bCs/>
          <w:color w:val="auto"/>
          <w:sz w:val="24"/>
          <w:highlight w:val="none"/>
        </w:rPr>
        <w:t xml:space="preserve">磋商文件</w:t>
      </w:r>
      <w:r>
        <w:rPr>
          <w:rFonts w:hint="eastAsia" w:ascii="宋体" w:hAnsi="宋体" w:eastAsia="宋体" w:cs="宋体"/>
          <w:color w:val="auto"/>
          <w:sz w:val="24"/>
          <w:highlight w:val="none"/>
        </w:rPr>
        <w:t xml:space="preserve">》（项目编号：            ）要求，本供应商正式提交以下首次响应文件。</w:t>
      </w:r>
      <w:r/>
    </w:p>
    <w:p>
      <w:pPr>
        <w:pStyle w:val="1054"/>
        <w:ind w:firstLine="480"/>
        <w:spacing w:line="264" w:lineRule="auto"/>
        <w:rPr>
          <w:rFonts w:hint="eastAsia" w:ascii="宋体" w:hAnsi="宋体" w:eastAsia="宋体" w:cs="宋体"/>
          <w:color w:val="auto"/>
          <w:sz w:val="24"/>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4" name="直接连接符 5"/>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flip:y;visibility:visible;" from="147.0pt,1.3pt" to="147.1pt,2.6pt" filled="f" strokecolor="#000000"/>
            </w:pict>
          </mc:Fallback>
        </mc:AlternateContent>
      </w:r>
      <w:r>
        <w:rPr>
          <w:rFonts w:hint="eastAsia" w:ascii="宋体" w:hAnsi="宋体" w:eastAsia="宋体" w:cs="宋体"/>
          <w:color w:val="auto"/>
          <w:sz w:val="24"/>
          <w:highlight w:val="none"/>
        </w:rPr>
        <w:t xml:space="preserve">（1）承诺书； </w:t>
      </w:r>
      <w:r/>
    </w:p>
    <w:p>
      <w:pPr>
        <w:pStyle w:val="1054"/>
        <w:ind w:firstLine="480"/>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（2）磋商报价表； </w:t>
      </w:r>
      <w:r/>
    </w:p>
    <w:p>
      <w:pPr>
        <w:pStyle w:val="1054"/>
        <w:ind w:firstLine="480"/>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（3）分项价格表；</w:t>
      </w:r>
      <w:r/>
    </w:p>
    <w:p>
      <w:pPr>
        <w:pStyle w:val="1054"/>
        <w:ind w:firstLine="480"/>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（4）磋商</w:t>
      </w:r>
      <w:r>
        <w:rPr>
          <w:rFonts w:hint="eastAsia" w:ascii="宋体" w:hAnsi="宋体" w:eastAsia="宋体" w:cs="宋体"/>
          <w:bCs/>
          <w:color w:val="auto"/>
          <w:sz w:val="24"/>
          <w:highlight w:val="none"/>
        </w:rPr>
        <w:t xml:space="preserve">文件</w:t>
      </w:r>
      <w:r>
        <w:rPr>
          <w:rFonts w:hint="eastAsia" w:ascii="宋体" w:hAnsi="宋体" w:eastAsia="宋体" w:cs="宋体"/>
          <w:color w:val="auto"/>
          <w:sz w:val="24"/>
          <w:highlight w:val="none"/>
        </w:rPr>
        <w:t xml:space="preserve">要求提供的其他响应文件。</w:t>
      </w:r>
      <w:r/>
    </w:p>
    <w:p>
      <w:pPr>
        <w:pStyle w:val="1054"/>
        <w:ind w:firstLine="480"/>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我单位符合《中华人民共和国政府采购法》第二十二条的规定，符合本项目供应商资格要求。</w:t>
      </w:r>
      <w:r/>
    </w:p>
    <w:p>
      <w:pPr>
        <w:pStyle w:val="1054"/>
        <w:ind w:firstLine="480"/>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我单位按照磋商文件的要求编制响应文件，并对其提交的响应文件的真实性、合法性承担法律责任。</w:t>
      </w:r>
      <w:r/>
    </w:p>
    <w:p>
      <w:pPr>
        <w:pStyle w:val="856"/>
        <w:ind w:right="29" w:firstLine="480"/>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供应商兹宣布同意如下: </w:t>
      </w:r>
      <w:r/>
    </w:p>
    <w:p>
      <w:pPr>
        <w:pStyle w:val="1054"/>
        <w:ind w:firstLine="480"/>
        <w:spacing w:line="264" w:lineRule="auto"/>
        <w:rPr>
          <w:rFonts w:hint="eastAsia" w:ascii="宋体" w:hAnsi="宋体" w:eastAsia="宋体" w:cs="宋体"/>
          <w:color w:val="auto"/>
          <w:sz w:val="24"/>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5"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6"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color w:val="auto"/>
          <w:sz w:val="24"/>
          <w:highlight w:val="none"/>
        </w:rPr>
        <w:t xml:space="preserve">一、完全承担根据《磋商文件》规定完成合同的责任和义务（如有偏离，将全部填写在偏离表中）。</w:t>
      </w:r>
      <w:r/>
    </w:p>
    <w:p>
      <w:pPr>
        <w:pStyle w:val="1054"/>
        <w:ind w:firstLine="480"/>
        <w:spacing w:line="264" w:lineRule="auto"/>
        <w:rPr>
          <w:rFonts w:hint="eastAsia" w:ascii="宋体" w:hAnsi="宋体" w:eastAsia="宋体" w:cs="宋体"/>
          <w:color w:val="auto"/>
          <w:sz w:val="24"/>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7"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8"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miter/>
                        </a:ln>
                        <a:effectLst/>
                      </wps:spPr>
                      <wps:bodyPr rot="0">
                        <a:prstTxWarp prst="textNoShape">
                          <a:avLst/>
                        </a:prstTxWarp>
                        <a:noAutofit/>
                      </wps:bodyPr>
                    </wps:wsp>
                  </a:graphicData>
                </a:graphic>
              </wp:anchor>
            </w:drawing>
          </mc:Choice>
          <mc:Fallback>
            <w:pict>
              <v:line id="shape 7" o:spid="_x0000_s7" style="position:absolute;left:0;text-align:left;z-index:251664384;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sz w:val="24"/>
          <w:highlight w:val="none"/>
        </w:rPr>
        <w:t xml:space="preserve">二、保证所提供的响应文件及所有材料的真实、合法、有效，并对其负责。</w:t>
      </w:r>
      <w:r/>
    </w:p>
    <w:p>
      <w:pPr>
        <w:pStyle w:val="856"/>
        <w:ind w:firstLine="480"/>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三、已详细审核竞争性磋商文件（含竞争性磋商文件的澄清或者修改），本供应商完全理解并同意放弃对这方面不明及误解的权利。</w:t>
      </w:r>
      <w:r/>
    </w:p>
    <w:p>
      <w:pPr>
        <w:pStyle w:val="856"/>
        <w:ind w:right="29" w:firstLine="480"/>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四、所供货物保证符合国家有关产品质量、性能和安全标准，无权利瑕疵。</w:t>
      </w:r>
      <w:r/>
    </w:p>
    <w:p>
      <w:pPr>
        <w:pStyle w:val="856"/>
        <w:ind w:right="29" w:firstLine="480"/>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五、报价有效期为30个工作日。</w:t>
      </w:r>
      <w:r/>
    </w:p>
    <w:p>
      <w:pPr>
        <w:pStyle w:val="856"/>
        <w:ind w:right="29" w:firstLine="480"/>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六、同意向贵方提供贵方可能要求的与本次磋商采购有关的任何证据或资料。</w:t>
      </w:r>
      <w:r/>
    </w:p>
    <w:p>
      <w:pPr>
        <w:pStyle w:val="856"/>
        <w:ind w:right="29" w:firstLine="480"/>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七、完全理解贵方不一定要接受最低的报价或收到的任何报价。</w:t>
      </w:r>
      <w:r/>
    </w:p>
    <w:p>
      <w:pPr>
        <w:pStyle w:val="856"/>
        <w:ind w:right="29" w:firstLine="480"/>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八、采购人或采购代理机构有权将我单位本项目的《磋商报价表》和《分项价格表》予以公示，公示的方式由采购人或采购代理机构确定。</w:t>
      </w:r>
      <w:r/>
    </w:p>
    <w:p>
      <w:pPr>
        <w:pStyle w:val="856"/>
        <w:ind w:right="29" w:firstLine="480"/>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859"/>
        <w:rPr>
          <w:rFonts w:hint="eastAsia" w:ascii="宋体" w:hAnsi="宋体" w:eastAsia="宋体" w:cs="宋体"/>
          <w:color w:val="auto"/>
          <w:highlight w:val="none"/>
        </w:rPr>
      </w:pPr>
      <w:r>
        <w:rPr>
          <w:rFonts w:hint="eastAsia" w:ascii="宋体" w:hAnsi="宋体" w:eastAsia="宋体" w:cs="宋体"/>
          <w:color w:val="auto"/>
          <w:highlight w:val="none"/>
        </w:rPr>
      </w:r>
      <w:r/>
    </w:p>
    <w:p>
      <w:pPr>
        <w:ind w:right="29"/>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right="29" w:firstLine="5060"/>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供应商（电子签章）：</w:t>
      </w:r>
      <w:r/>
    </w:p>
    <w:p>
      <w:pPr>
        <w:ind w:right="29"/>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right="29" w:firstLine="4819"/>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日期：  年  月  日</w:t>
      </w:r>
      <w:r/>
    </w:p>
    <w:p>
      <w:pPr>
        <w:pStyle w:val="856"/>
        <w:ind w:right="29"/>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5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56"/>
        <w:rPr>
          <w:rFonts w:hint="eastAsia"/>
        </w:rPr>
      </w:pPr>
      <w:r>
        <w:rPr>
          <w:rFonts w:hint="eastAsia"/>
        </w:rPr>
      </w:r>
      <w:r/>
    </w:p>
    <w:p>
      <w:pPr>
        <w:pStyle w:val="856"/>
        <w:ind w:firstLine="0"/>
        <w:jc w:val="left"/>
        <w:spacing w:line="264"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pStyle w:val="856"/>
        <w:jc w:val="center"/>
        <w:spacing w:line="264"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8.授权委托书</w:t>
      </w:r>
      <w:r/>
    </w:p>
    <w:p>
      <w:pPr>
        <w:pStyle w:val="856"/>
        <w:spacing w:line="264"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委托人（全称）：</w:t>
      </w:r>
      <w:r/>
    </w:p>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  址：</w:t>
      </w:r>
      <w:r/>
    </w:p>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法定代表人（负责人）：               </w:t>
      </w:r>
      <w:r/>
    </w:p>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统一社会信用代码：</w:t>
      </w:r>
      <w:r/>
    </w:p>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受托人：                  先生（女士）</w:t>
      </w:r>
      <w:r/>
    </w:p>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w:t>
      </w:r>
      <w:r/>
    </w:p>
    <w:p>
      <w:pPr>
        <w:pStyle w:val="856"/>
        <w:jc w:val="center"/>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56"/>
        <w:ind w:firstLine="630"/>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兹委托（            ）全权代表我企业（公司）参与</w:t>
      </w:r>
      <w:r>
        <w:rPr>
          <w:rFonts w:hint="eastAsia" w:ascii="宋体" w:hAnsi="宋体" w:eastAsia="宋体" w:cs="宋体"/>
          <w:color w:val="auto"/>
          <w:sz w:val="24"/>
          <w:highlight w:val="none"/>
          <w:lang w:eastAsia="zh-CN"/>
        </w:rPr>
        <w:t xml:space="preserve">2026年水环境监测</w:t>
      </w:r>
      <w:r>
        <w:rPr>
          <w:rFonts w:hint="eastAsia" w:ascii="宋体" w:hAnsi="宋体" w:eastAsia="宋体" w:cs="宋体"/>
          <w:color w:val="auto"/>
          <w:sz w:val="24"/>
          <w:highlight w:val="none"/>
        </w:rPr>
        <w:t xml:space="preserve">[项目编号：         ]的磋商活动及签订合同。（</w:t>
      </w:r>
      <w:r>
        <w:rPr>
          <w:rFonts w:hint="eastAsia" w:ascii="宋体" w:hAnsi="宋体" w:eastAsia="宋体" w:cs="宋体"/>
          <w:b/>
          <w:color w:val="auto"/>
          <w:sz w:val="24"/>
          <w:highlight w:val="none"/>
        </w:rPr>
        <w:t xml:space="preserve">      </w:t>
      </w:r>
      <w:r>
        <w:rPr>
          <w:rFonts w:hint="eastAsia" w:ascii="宋体" w:hAnsi="宋体" w:eastAsia="宋体" w:cs="宋体"/>
          <w:color w:val="auto"/>
          <w:sz w:val="24"/>
          <w:highlight w:val="none"/>
        </w:rPr>
        <w:t xml:space="preserve">   ）以我企业（公司）名义所为的行为及签署的文件，我企业（公司）均予以认可。有关法律责任均由我企业（公司）承担。（         ）无转委托权。委托期限自202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  月   日起至202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  月    日止。</w:t>
      </w:r>
      <w:r/>
    </w:p>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委托人（电子签章）：</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法定代表人（签字或盖章）：</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联系方式：</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受托人（签字或盖章）：</w:t>
      </w:r>
      <w:r/>
    </w:p>
    <w:p>
      <w:pPr>
        <w:ind w:firstLine="570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   日</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(受托人身份证扫描件附后)</w:t>
      </w:r>
      <w:r/>
    </w:p>
    <w:p>
      <w:pPr>
        <w:pStyle w:val="856"/>
        <w:jc w:val="center"/>
        <w:spacing w:before="100" w:beforeAutospacing="1" w:after="100" w:afterAutospacing="1" w:line="264" w:lineRule="auto"/>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spacing w:line="264"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pStyle w:val="856"/>
        <w:jc w:val="center"/>
        <w:spacing w:line="264"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9.中小企业声明函</w:t>
      </w:r>
      <w:r/>
    </w:p>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56"/>
        <w:spacing w:line="264"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u w:val="single"/>
        </w:rPr>
        <w:t xml:space="preserve"> </w:t>
      </w:r>
      <w:r/>
    </w:p>
    <w:p>
      <w:pPr>
        <w:pStyle w:val="856"/>
        <w:spacing w:line="264"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项目编号：</w:t>
      </w:r>
      <w:r/>
    </w:p>
    <w:p>
      <w:pPr>
        <w:pStyle w:val="856"/>
        <w:jc w:val="center"/>
        <w:spacing w:line="264"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560"/>
        <w:spacing w:line="360" w:lineRule="auto"/>
        <w:rPr>
          <w:rStyle w:val="1213"/>
          <w:rFonts w:hint="eastAsia" w:ascii="宋体" w:hAnsi="宋体" w:eastAsia="宋体" w:cs="宋体"/>
          <w:color w:val="auto"/>
          <w:sz w:val="24"/>
          <w:highlight w:val="none"/>
        </w:rPr>
      </w:pPr>
      <w:r>
        <w:rPr>
          <w:rStyle w:val="1213"/>
          <w:rFonts w:hint="eastAsia" w:ascii="宋体" w:hAnsi="宋体" w:eastAsia="宋体" w:cs="宋体"/>
          <w:color w:val="auto"/>
          <w:sz w:val="24"/>
          <w:highlight w:val="none"/>
        </w:rPr>
        <w:t xml:space="preserve">本公司郑重声明，根据《政府采购促进中小企业发展管理办法》（财库﹝2020﹞46 号）的规定，本公司参加</w:t>
      </w:r>
      <w:r>
        <w:rPr>
          <w:rStyle w:val="1213"/>
          <w:rFonts w:hint="eastAsia" w:ascii="宋体" w:hAnsi="宋体" w:eastAsia="宋体" w:cs="宋体"/>
          <w:color w:val="auto"/>
          <w:sz w:val="24"/>
          <w:highlight w:val="none"/>
          <w:u w:val="single"/>
        </w:rPr>
        <w:t xml:space="preserve">（      ）</w:t>
      </w:r>
      <w:r>
        <w:rPr>
          <w:rStyle w:val="1213"/>
          <w:rFonts w:hint="eastAsia" w:ascii="宋体" w:hAnsi="宋体" w:eastAsia="宋体" w:cs="宋体"/>
          <w:color w:val="auto"/>
          <w:sz w:val="24"/>
          <w:highlight w:val="none"/>
        </w:rPr>
        <w:t xml:space="preserve">的</w:t>
      </w:r>
      <w:r>
        <w:rPr>
          <w:rStyle w:val="1213"/>
          <w:rFonts w:hint="eastAsia" w:ascii="宋体" w:hAnsi="宋体" w:eastAsia="宋体" w:cs="宋体"/>
          <w:color w:val="auto"/>
          <w:sz w:val="24"/>
          <w:highlight w:val="none"/>
          <w:u w:val="single"/>
        </w:rPr>
        <w:t xml:space="preserve">（         ）</w:t>
      </w:r>
      <w:r>
        <w:rPr>
          <w:rStyle w:val="1213"/>
          <w:rFonts w:hint="eastAsia" w:ascii="宋体" w:hAnsi="宋体" w:eastAsia="宋体" w:cs="宋体"/>
          <w:color w:val="auto"/>
          <w:sz w:val="24"/>
          <w:highlight w:val="none"/>
        </w:rPr>
        <w:t xml:space="preserve">采购活动，服务全部由符合政策要求的中小企业承接。相关企业的具体情况如下：</w:t>
      </w:r>
      <w:r/>
    </w:p>
    <w:p>
      <w:pPr>
        <w:ind w:firstLine="560"/>
        <w:spacing w:line="360" w:lineRule="auto"/>
        <w:rPr>
          <w:rStyle w:val="1213"/>
          <w:rFonts w:hint="eastAsia" w:ascii="宋体" w:hAnsi="宋体" w:eastAsia="宋体" w:cs="宋体"/>
          <w:b/>
          <w:color w:val="auto"/>
          <w:spacing w:val="6"/>
          <w:sz w:val="24"/>
          <w:highlight w:val="none"/>
        </w:rPr>
      </w:pPr>
      <w:r>
        <w:rPr>
          <w:rStyle w:val="1213"/>
          <w:rFonts w:hint="eastAsia" w:ascii="宋体" w:hAnsi="宋体" w:eastAsia="宋体" w:cs="宋体"/>
          <w:color w:val="auto"/>
          <w:sz w:val="24"/>
          <w:highlight w:val="none"/>
          <w:u w:val="single"/>
        </w:rPr>
        <w:t xml:space="preserve">（</w:t>
      </w:r>
      <w:r>
        <w:rPr>
          <w:rStyle w:val="1213"/>
          <w:rFonts w:hint="eastAsia" w:ascii="宋体" w:hAnsi="宋体" w:cs="宋体"/>
          <w:color w:val="auto"/>
          <w:sz w:val="24"/>
          <w:highlight w:val="none"/>
          <w:u w:val="single"/>
          <w:lang w:eastAsia="zh-CN"/>
        </w:rPr>
        <w:t xml:space="preserve">2026年水环境监测</w:t>
      </w:r>
      <w:r>
        <w:rPr>
          <w:rStyle w:val="1213"/>
          <w:rFonts w:hint="eastAsia" w:ascii="宋体" w:hAnsi="宋体" w:eastAsia="宋体" w:cs="宋体"/>
          <w:color w:val="auto"/>
          <w:sz w:val="24"/>
          <w:highlight w:val="none"/>
          <w:u w:val="single"/>
        </w:rPr>
        <w:t xml:space="preserve">）</w:t>
      </w:r>
      <w:r>
        <w:rPr>
          <w:rStyle w:val="1213"/>
          <w:rFonts w:hint="eastAsia" w:ascii="宋体" w:hAnsi="宋体" w:eastAsia="宋体" w:cs="宋体"/>
          <w:color w:val="auto"/>
          <w:sz w:val="24"/>
          <w:highlight w:val="none"/>
        </w:rPr>
        <w:t xml:space="preserve">，属于</w:t>
      </w:r>
      <w:r>
        <w:rPr>
          <w:rStyle w:val="1213"/>
          <w:rFonts w:hint="eastAsia" w:ascii="宋体" w:hAnsi="宋体" w:eastAsia="宋体" w:cs="宋体"/>
          <w:color w:val="auto"/>
          <w:sz w:val="24"/>
          <w:highlight w:val="none"/>
          <w:u w:val="single"/>
        </w:rPr>
        <w:t xml:space="preserve">（其它未列明行业）</w:t>
      </w:r>
      <w:r>
        <w:rPr>
          <w:rStyle w:val="1213"/>
          <w:rFonts w:hint="eastAsia" w:ascii="宋体" w:hAnsi="宋体" w:eastAsia="宋体" w:cs="宋体"/>
          <w:color w:val="auto"/>
          <w:sz w:val="24"/>
          <w:highlight w:val="none"/>
        </w:rPr>
        <w:t xml:space="preserve">； 承建（承接）企业为</w:t>
      </w:r>
      <w:r>
        <w:rPr>
          <w:rStyle w:val="1213"/>
          <w:rFonts w:hint="eastAsia" w:ascii="宋体" w:hAnsi="宋体" w:eastAsia="宋体" w:cs="宋体"/>
          <w:color w:val="auto"/>
          <w:sz w:val="24"/>
          <w:highlight w:val="none"/>
          <w:u w:val="single"/>
        </w:rPr>
        <w:t xml:space="preserve">（企业名称）</w:t>
      </w:r>
      <w:r>
        <w:rPr>
          <w:rStyle w:val="1213"/>
          <w:rFonts w:hint="eastAsia" w:ascii="宋体" w:hAnsi="宋体" w:eastAsia="宋体" w:cs="宋体"/>
          <w:color w:val="auto"/>
          <w:sz w:val="24"/>
          <w:highlight w:val="none"/>
        </w:rPr>
        <w:t xml:space="preserve">，从业人员</w:t>
      </w:r>
      <w:r>
        <w:rPr>
          <w:rStyle w:val="1213"/>
          <w:rFonts w:hint="eastAsia" w:ascii="宋体" w:hAnsi="宋体" w:eastAsia="宋体" w:cs="宋体"/>
          <w:color w:val="auto"/>
          <w:sz w:val="24"/>
          <w:highlight w:val="none"/>
          <w:u w:val="single"/>
        </w:rPr>
        <w:t xml:space="preserve">   </w:t>
      </w:r>
      <w:r>
        <w:rPr>
          <w:rStyle w:val="1213"/>
          <w:rFonts w:hint="eastAsia" w:ascii="宋体" w:hAnsi="宋体" w:eastAsia="宋体" w:cs="宋体"/>
          <w:color w:val="auto"/>
          <w:sz w:val="24"/>
          <w:highlight w:val="none"/>
        </w:rPr>
        <w:t xml:space="preserve">人，营业收入为</w:t>
      </w:r>
      <w:r>
        <w:rPr>
          <w:rStyle w:val="1213"/>
          <w:rFonts w:hint="eastAsia" w:ascii="宋体" w:hAnsi="宋体" w:eastAsia="宋体" w:cs="宋体"/>
          <w:color w:val="auto"/>
          <w:sz w:val="24"/>
          <w:highlight w:val="none"/>
          <w:u w:val="single"/>
        </w:rPr>
        <w:t xml:space="preserve">    </w:t>
      </w:r>
      <w:r>
        <w:rPr>
          <w:rStyle w:val="1213"/>
          <w:rFonts w:hint="eastAsia" w:ascii="宋体" w:hAnsi="宋体" w:eastAsia="宋体" w:cs="宋体"/>
          <w:color w:val="auto"/>
          <w:sz w:val="24"/>
          <w:highlight w:val="none"/>
        </w:rPr>
        <w:t xml:space="preserve">万元，资产总额为</w:t>
      </w:r>
      <w:r>
        <w:rPr>
          <w:rStyle w:val="1213"/>
          <w:rFonts w:hint="eastAsia" w:ascii="宋体" w:hAnsi="宋体" w:eastAsia="宋体" w:cs="宋体"/>
          <w:color w:val="auto"/>
          <w:sz w:val="24"/>
          <w:highlight w:val="none"/>
          <w:u w:val="single"/>
        </w:rPr>
        <w:t xml:space="preserve">    </w:t>
      </w:r>
      <w:r>
        <w:rPr>
          <w:rStyle w:val="1213"/>
          <w:rFonts w:hint="eastAsia" w:ascii="宋体" w:hAnsi="宋体" w:eastAsia="宋体" w:cs="宋体"/>
          <w:color w:val="auto"/>
          <w:sz w:val="24"/>
          <w:highlight w:val="none"/>
        </w:rPr>
        <w:t xml:space="preserve">万元，</w:t>
      </w:r>
      <w:r>
        <w:rPr>
          <w:rStyle w:val="1213"/>
          <w:rFonts w:hint="eastAsia" w:ascii="宋体" w:hAnsi="宋体" w:eastAsia="宋体" w:cs="宋体"/>
          <w:b/>
          <w:color w:val="auto"/>
          <w:sz w:val="24"/>
          <w:highlight w:val="none"/>
        </w:rPr>
        <w:t xml:space="preserve">属于（□中型企业、□小型企业、□微型企业，请勾选！）；</w:t>
      </w:r>
      <w:r/>
    </w:p>
    <w:p>
      <w:pPr>
        <w:ind w:firstLine="560"/>
        <w:spacing w:line="360" w:lineRule="auto"/>
        <w:rPr>
          <w:rStyle w:val="1213"/>
          <w:rFonts w:hint="eastAsia" w:ascii="宋体" w:hAnsi="宋体" w:eastAsia="宋体" w:cs="宋体"/>
          <w:color w:val="auto"/>
          <w:spacing w:val="6"/>
          <w:sz w:val="24"/>
          <w:highlight w:val="none"/>
        </w:rPr>
      </w:pPr>
      <w:r>
        <w:rPr>
          <w:rStyle w:val="1213"/>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ind w:firstLine="560"/>
        <w:spacing w:line="360" w:lineRule="auto"/>
        <w:rPr>
          <w:rStyle w:val="1213"/>
          <w:rFonts w:hint="eastAsia" w:ascii="宋体" w:hAnsi="宋体" w:eastAsia="宋体" w:cs="宋体"/>
          <w:color w:val="auto"/>
          <w:sz w:val="24"/>
          <w:highlight w:val="none"/>
        </w:rPr>
      </w:pPr>
      <w:r>
        <w:rPr>
          <w:rStyle w:val="1213"/>
          <w:rFonts w:hint="eastAsia" w:ascii="宋体" w:hAnsi="宋体" w:eastAsia="宋体" w:cs="宋体"/>
          <w:color w:val="auto"/>
          <w:sz w:val="24"/>
          <w:highlight w:val="none"/>
        </w:rPr>
        <w:t xml:space="preserve">本企业对上述声明内容的真实性负责。如有虚假，将依法承担相应责任。</w:t>
      </w:r>
      <w:r/>
    </w:p>
    <w:p>
      <w:pPr>
        <w:spacing w:line="360" w:lineRule="auto"/>
        <w:rPr>
          <w:rStyle w:val="1213"/>
          <w:rFonts w:hint="eastAsia" w:ascii="宋体" w:hAnsi="宋体" w:eastAsia="宋体" w:cs="宋体"/>
          <w:b/>
          <w:bCs/>
          <w:color w:val="auto"/>
          <w:sz w:val="24"/>
          <w:highlight w:val="none"/>
        </w:rPr>
      </w:pPr>
      <w:r>
        <w:rPr>
          <w:rStyle w:val="1213"/>
          <w:rFonts w:hint="eastAsia" w:ascii="宋体" w:hAnsi="宋体" w:eastAsia="宋体" w:cs="宋体"/>
          <w:b/>
          <w:bCs/>
          <w:color w:val="auto"/>
          <w:sz w:val="24"/>
          <w:highlight w:val="none"/>
        </w:rPr>
        <w:t xml:space="preserve">注：本项目采购的服务属于</w:t>
      </w:r>
      <w:r>
        <w:rPr>
          <w:rStyle w:val="1213"/>
          <w:rFonts w:hint="eastAsia" w:ascii="宋体" w:hAnsi="宋体" w:eastAsia="宋体" w:cs="宋体"/>
          <w:b/>
          <w:bCs/>
          <w:color w:val="auto"/>
          <w:sz w:val="24"/>
          <w:highlight w:val="none"/>
          <w:u w:val="single"/>
        </w:rPr>
        <w:t xml:space="preserve">其它未列明行业</w:t>
      </w:r>
      <w:r>
        <w:rPr>
          <w:rStyle w:val="1213"/>
          <w:rFonts w:hint="eastAsia" w:ascii="宋体" w:hAnsi="宋体" w:eastAsia="宋体" w:cs="宋体"/>
          <w:b/>
          <w:bCs/>
          <w:color w:val="auto"/>
          <w:sz w:val="24"/>
          <w:highlight w:val="none"/>
        </w:rPr>
        <w:t xml:space="preserve">。</w:t>
      </w:r>
      <w:r/>
    </w:p>
    <w:p>
      <w:pPr>
        <w:spacing w:line="360" w:lineRule="auto"/>
        <w:rPr>
          <w:rStyle w:val="1213"/>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Style w:val="1213"/>
          <w:rFonts w:hint="eastAsia" w:ascii="宋体" w:hAnsi="宋体" w:eastAsia="宋体" w:cs="宋体"/>
          <w:color w:val="auto"/>
          <w:sz w:val="24"/>
          <w:highlight w:val="none"/>
        </w:rPr>
      </w:pPr>
      <w:r>
        <w:rPr>
          <w:rStyle w:val="1213"/>
          <w:rFonts w:hint="eastAsia" w:ascii="宋体" w:hAnsi="宋体" w:eastAsia="宋体" w:cs="宋体"/>
          <w:color w:val="auto"/>
          <w:sz w:val="24"/>
          <w:highlight w:val="none"/>
        </w:rPr>
        <w:t xml:space="preserve">企业名称（电子签章）：</w:t>
      </w:r>
      <w:r/>
    </w:p>
    <w:p>
      <w:pPr>
        <w:ind w:firstLine="480"/>
        <w:spacing w:line="360" w:lineRule="auto"/>
        <w:rPr>
          <w:rStyle w:val="1213"/>
          <w:rFonts w:hint="eastAsia" w:ascii="宋体" w:hAnsi="宋体" w:eastAsia="宋体" w:cs="宋体"/>
          <w:color w:val="auto"/>
          <w:sz w:val="24"/>
          <w:highlight w:val="none"/>
        </w:rPr>
      </w:pPr>
      <w:r>
        <w:rPr>
          <w:rStyle w:val="1213"/>
          <w:rFonts w:hint="eastAsia" w:ascii="宋体" w:hAnsi="宋体" w:eastAsia="宋体" w:cs="宋体"/>
          <w:color w:val="auto"/>
          <w:sz w:val="24"/>
          <w:highlight w:val="none"/>
        </w:rPr>
        <w:t xml:space="preserve">                         </w:t>
      </w:r>
      <w:r/>
    </w:p>
    <w:p>
      <w:pPr>
        <w:spacing w:line="360" w:lineRule="auto"/>
        <w:rPr>
          <w:rStyle w:val="1213"/>
          <w:rFonts w:hint="eastAsia" w:ascii="宋体" w:hAnsi="宋体" w:eastAsia="宋体" w:cs="宋体"/>
          <w:color w:val="auto"/>
          <w:sz w:val="24"/>
          <w:highlight w:val="none"/>
        </w:rPr>
      </w:pPr>
      <w:r>
        <w:rPr>
          <w:rStyle w:val="1213"/>
          <w:rFonts w:hint="eastAsia" w:ascii="宋体" w:hAnsi="宋体" w:eastAsia="宋体" w:cs="宋体"/>
          <w:color w:val="auto"/>
          <w:sz w:val="24"/>
          <w:highlight w:val="none"/>
        </w:rPr>
        <w:t xml:space="preserve">日期： 年  月  日</w:t>
      </w:r>
      <w:r/>
    </w:p>
    <w:p>
      <w:pPr>
        <w:spacing w:line="360" w:lineRule="auto"/>
        <w:rPr>
          <w:rStyle w:val="1213"/>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spacing w:line="360" w:lineRule="auto"/>
        <w:rPr>
          <w:rStyle w:val="1213"/>
          <w:rFonts w:hint="eastAsia" w:ascii="宋体" w:hAnsi="宋体" w:eastAsia="宋体" w:cs="宋体"/>
          <w:b/>
          <w:color w:val="auto"/>
          <w:sz w:val="24"/>
          <w:highlight w:val="none"/>
        </w:rPr>
      </w:pPr>
      <w:r>
        <w:rPr>
          <w:rStyle w:val="1213"/>
          <w:rFonts w:hint="eastAsia" w:ascii="宋体" w:hAnsi="宋体" w:eastAsia="宋体" w:cs="宋体"/>
          <w:b/>
          <w:color w:val="auto"/>
          <w:sz w:val="24"/>
          <w:highlight w:val="none"/>
        </w:rPr>
        <w:t xml:space="preserve">备注：</w:t>
      </w:r>
      <w:r/>
    </w:p>
    <w:p>
      <w:pPr>
        <w:spacing w:line="360" w:lineRule="auto"/>
        <w:rPr>
          <w:rFonts w:hint="eastAsia" w:ascii="宋体" w:hAnsi="宋体" w:eastAsia="宋体" w:cs="宋体"/>
          <w:color w:val="auto"/>
          <w:sz w:val="36"/>
          <w:szCs w:val="36"/>
          <w:highlight w:val="none"/>
        </w:rPr>
      </w:pPr>
      <w:r>
        <w:rPr>
          <w:rStyle w:val="1213"/>
          <w:rFonts w:hint="eastAsia" w:ascii="宋体" w:hAnsi="宋体" w:eastAsia="宋体" w:cs="宋体"/>
          <w:b/>
          <w:color w:val="auto"/>
          <w:sz w:val="24"/>
          <w:highlight w:val="none"/>
        </w:rPr>
        <w:t xml:space="preserve">1.从业人员、营业收入、资产总额填报上一年度数据，无上一年度数据的新成立企业可不填报。</w:t>
      </w:r>
      <w:r/>
    </w:p>
    <w:p>
      <w:pPr>
        <w:spacing w:line="360" w:lineRule="auto"/>
        <w:rPr>
          <w:rFonts w:hint="eastAsia" w:ascii="宋体" w:hAnsi="宋体" w:eastAsia="宋体" w:cs="宋体"/>
          <w:color w:val="auto"/>
          <w:sz w:val="28"/>
          <w:szCs w:val="28"/>
          <w:highlight w:val="none"/>
        </w:rPr>
      </w:pPr>
      <w:r>
        <w:rPr>
          <w:rStyle w:val="1213"/>
          <w:rFonts w:hint="eastAsia" w:ascii="宋体" w:hAnsi="宋体" w:eastAsia="宋体" w:cs="宋体"/>
          <w:b/>
          <w:color w:val="auto"/>
          <w:sz w:val="24"/>
          <w:highlight w:val="none"/>
        </w:rPr>
        <w:t xml:space="preserve">2.《中小企业声明函》查询渠道参考工业和信息化部发布的中小企业规模自测小程序。</w:t>
      </w:r>
      <w:r>
        <w:rPr>
          <w:rStyle w:val="1213"/>
          <w:rFonts w:hint="eastAsia" w:ascii="宋体" w:hAnsi="宋体" w:eastAsia="宋体" w:cs="宋体"/>
          <w:b/>
          <w:color w:val="auto"/>
          <w:sz w:val="24"/>
          <w:highlight w:val="none"/>
        </w:rPr>
        <w:br/>
      </w:r>
      <w:r/>
    </w:p>
    <w:p>
      <w:pPr>
        <w:pStyle w:val="856"/>
        <w:spacing w:line="264"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856"/>
        <w:ind w:left="0" w:firstLine="0"/>
        <w:spacing w:line="264" w:lineRule="auto"/>
        <w:rPr>
          <w:rFonts w:hint="eastAsia" w:ascii="宋体" w:hAnsi="宋体" w:eastAsia="宋体" w:cs="宋体"/>
          <w:color w:val="auto"/>
          <w:sz w:val="36"/>
          <w:szCs w:val="36"/>
          <w:highlight w:val="none"/>
        </w:rPr>
      </w:pP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1413510</wp:posOffset>
                </wp:positionH>
                <wp:positionV relativeFrom="paragraph">
                  <wp:posOffset>1362710</wp:posOffset>
                </wp:positionV>
                <wp:extent cx="1860550" cy="3744595"/>
                <wp:effectExtent l="0" t="0" r="6350" b="8255"/>
                <wp:wrapTopAndBottom/>
                <wp:docPr id="9" name="图片 16"/>
                <wp:cNvGraphicFramePr/>
                <a:graphic xmlns:a="http://schemas.openxmlformats.org/drawingml/2006/main">
                  <a:graphicData uri="http://schemas.openxmlformats.org/drawingml/2006/picture">
                    <pic:pic xmlns:pic="http://schemas.openxmlformats.org/drawingml/2006/picture">
                      <pic:nvPicPr>
                        <pic:cNvPr id="16" name="图片 16"/>
                        <pic:cNvPicPr/>
                        <pic:nvPr/>
                      </pic:nvPicPr>
                      <pic:blipFill>
                        <a:blip r:embed="rId17"/>
                        <a:stretch/>
                      </pic:blipFill>
                      <pic:spPr bwMode="auto">
                        <a:xfrm>
                          <a:off x="0" y="0"/>
                          <a:ext cx="1860550" cy="3744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5408;o:allowoverlap:true;o:allowincell:true;mso-position-horizontal-relative:text;margin-left:111.3pt;mso-position-horizontal:absolute;mso-position-vertical-relative:text;margin-top:107.3pt;mso-position-vertical:absolute;width:146.5pt;height:294.8pt;mso-wrap-distance-left:9.0pt;mso-wrap-distance-top:0.0pt;mso-wrap-distance-right:9.0pt;mso-wrap-distance-bottom:0.0pt;" stroked="f">
                <v:path textboxrect="0,0,0,0"/>
                <w10:wrap type="topAndBottom"/>
                <v:imagedata r:id="rId17" o:title=""/>
              </v:shape>
            </w:pict>
          </mc:Fallback>
        </mc:AlternateContent>
      </w:r>
      <w:r/>
    </w:p>
    <w:p>
      <w:pPr>
        <w:pStyle w:val="856"/>
        <w:spacing w:line="264"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856"/>
        <w:spacing w:line="264"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856"/>
        <w:spacing w:line="264"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856"/>
        <w:spacing w:line="264"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856"/>
        <w:spacing w:line="264"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856"/>
        <w:spacing w:line="264"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856"/>
        <w:spacing w:line="264"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856"/>
        <w:spacing w:line="264"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856"/>
        <w:spacing w:line="264"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856"/>
        <w:spacing w:line="264"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856"/>
        <w:spacing w:line="264"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859"/>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856"/>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85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6"/>
        <w:spacing w:line="264"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856"/>
        <w:ind w:left="1800" w:hanging="1800"/>
        <w:spacing w:line="264" w:lineRule="auto"/>
        <w:rPr>
          <w:rFonts w:hint="eastAsia" w:ascii="宋体" w:hAnsi="宋体" w:eastAsia="宋体" w:cs="宋体"/>
          <w:b/>
          <w:color w:val="auto"/>
          <w:sz w:val="36"/>
          <w:szCs w:val="36"/>
          <w:highlight w:val="none"/>
        </w:rPr>
      </w:pPr>
      <w:r>
        <w:rPr>
          <w:rFonts w:hint="eastAsia" w:ascii="宋体" w:hAnsi="宋体" w:eastAsia="宋体" w:cs="宋体"/>
          <w:color w:val="auto"/>
          <w:sz w:val="36"/>
          <w:szCs w:val="36"/>
          <w:highlight w:val="none"/>
        </w:rPr>
        <w:t xml:space="preserve">10.</w:t>
      </w:r>
      <w:r>
        <w:rPr>
          <w:rFonts w:hint="eastAsia" w:ascii="宋体" w:hAnsi="宋体" w:eastAsia="宋体" w:cs="宋体"/>
          <w:b/>
          <w:color w:val="auto"/>
          <w:sz w:val="36"/>
          <w:szCs w:val="36"/>
          <w:highlight w:val="none"/>
        </w:rPr>
        <w:t xml:space="preserve">供应商参加政府采购活动前3年内在经营活动中没有重大违法记录的书面声明</w:t>
      </w:r>
      <w:r/>
    </w:p>
    <w:p>
      <w:pPr>
        <w:pStyle w:val="856"/>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56"/>
        <w:ind w:firstLine="720"/>
        <w:jc w:val="left"/>
        <w:spacing w:before="100" w:beforeAutospacing="1" w:after="100" w:afterAutospacing="1" w:line="264"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我单位在参加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pacing w:val="6"/>
          <w:sz w:val="24"/>
          <w:highlight w:val="none"/>
          <w:u w:val="single"/>
        </w:rPr>
        <w:t xml:space="preserve">项目</w:t>
      </w:r>
      <w:r>
        <w:rPr>
          <w:rFonts w:hint="eastAsia" w:ascii="宋体" w:hAnsi="宋体" w:eastAsia="宋体" w:cs="宋体"/>
          <w:color w:val="auto"/>
          <w:sz w:val="24"/>
          <w:highlight w:val="none"/>
        </w:rPr>
        <w:t xml:space="preserve">（项目编号：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）政府采购活动前3年内在经营活动中没有重大违法记录。重大违法记录是指因违法经营受到刑事处罚或者责令停产停业、吊销许可证或者执照、较大数额罚款等行政处罚。</w:t>
      </w:r>
      <w:r/>
    </w:p>
    <w:p>
      <w:pPr>
        <w:pStyle w:val="856"/>
        <w:ind w:firstLine="720"/>
        <w:jc w:val="left"/>
        <w:spacing w:before="100" w:beforeAutospacing="1" w:after="100" w:afterAutospacing="1" w:line="264"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我单位对上述声明的真实性负责。如有虚假，将依法承担相应责任。</w:t>
      </w:r>
      <w:r/>
    </w:p>
    <w:p>
      <w:pPr>
        <w:pStyle w:val="856"/>
        <w:ind w:right="29"/>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pStyle w:val="856"/>
        <w:ind w:right="29"/>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供应商（电子签章）：</w:t>
      </w:r>
      <w:r/>
    </w:p>
    <w:p>
      <w:pPr>
        <w:ind w:right="29" w:firstLine="38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pStyle w:val="856"/>
        <w:ind w:right="29"/>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56"/>
        <w:jc w:val="center"/>
        <w:spacing w:line="264"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856"/>
        <w:jc w:val="center"/>
        <w:spacing w:line="264"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856"/>
        <w:jc w:val="center"/>
        <w:spacing w:line="264"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856"/>
        <w:jc w:val="center"/>
        <w:spacing w:line="264"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856"/>
        <w:jc w:val="center"/>
        <w:spacing w:line="264"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856"/>
        <w:jc w:val="center"/>
        <w:spacing w:line="264"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856"/>
        <w:jc w:val="center"/>
        <w:spacing w:line="264"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856"/>
        <w:jc w:val="center"/>
        <w:spacing w:line="264"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856"/>
        <w:jc w:val="center"/>
        <w:spacing w:line="264"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856"/>
        <w:jc w:val="center"/>
        <w:spacing w:line="264"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856"/>
        <w:jc w:val="center"/>
        <w:spacing w:line="264"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856"/>
        <w:jc w:val="center"/>
        <w:spacing w:line="264"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856"/>
        <w:jc w:val="center"/>
        <w:spacing w:line="264"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856"/>
        <w:jc w:val="center"/>
        <w:spacing w:line="264"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1027"/>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102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6"/>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6"/>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6"/>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6"/>
        <w:spacing w:line="264"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856"/>
        <w:jc w:val="center"/>
        <w:spacing w:line="264" w:lineRule="auto"/>
        <w:rPr>
          <w:rFonts w:hint="eastAsia" w:ascii="宋体" w:hAnsi="宋体" w:eastAsia="宋体" w:cs="宋体"/>
          <w:b/>
          <w:color w:val="auto"/>
          <w:spacing w:val="6"/>
          <w:sz w:val="36"/>
          <w:szCs w:val="36"/>
          <w:highlight w:val="none"/>
        </w:rPr>
      </w:pPr>
      <w:r>
        <w:rPr>
          <w:rFonts w:hint="eastAsia" w:ascii="宋体" w:hAnsi="宋体" w:eastAsia="宋体" w:cs="宋体"/>
          <w:b/>
          <w:color w:val="auto"/>
          <w:sz w:val="36"/>
          <w:szCs w:val="36"/>
          <w:highlight w:val="none"/>
        </w:rPr>
        <w:t xml:space="preserve">11.</w:t>
      </w:r>
      <w:bookmarkStart w:id="6" w:name="OLE_LINK14"/>
      <w:r/>
      <w:bookmarkStart w:id="7" w:name="OLE_LINK13"/>
      <w:r>
        <w:rPr>
          <w:rFonts w:hint="eastAsia" w:ascii="宋体" w:hAnsi="宋体" w:eastAsia="宋体" w:cs="宋体"/>
          <w:b/>
          <w:color w:val="auto"/>
          <w:spacing w:val="6"/>
          <w:sz w:val="36"/>
          <w:szCs w:val="36"/>
          <w:highlight w:val="none"/>
        </w:rPr>
        <w:t xml:space="preserve"> 残疾人福利性单位声明函</w:t>
      </w:r>
      <w:bookmarkEnd w:id="6"/>
      <w:r/>
      <w:bookmarkEnd w:id="7"/>
      <w:r/>
      <w:r/>
    </w:p>
    <w:p>
      <w:pPr>
        <w:pStyle w:val="856"/>
        <w:jc w:val="center"/>
        <w:spacing w:line="264"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spacing w:line="0" w:lineRule="atLeas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（注：如供应商不属于残疾人福利性单位，不需提供此声明函）</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p>
    <w:p>
      <w:pPr>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项目名称：</w:t>
      </w:r>
      <w:r/>
    </w:p>
    <w:p>
      <w:pPr>
        <w:ind w:firstLine="58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highlight w:val="none"/>
        </w:rPr>
        <w:t xml:space="preserve">〔2017〕 141</w:t>
      </w:r>
      <w:r>
        <w:rPr>
          <w:rFonts w:hint="eastAsia" w:ascii="宋体" w:hAnsi="宋体" w:eastAsia="宋体" w:cs="宋体"/>
          <w:color w:val="auto"/>
          <w:spacing w:val="6"/>
          <w:sz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本单位对上述声明的真实性负责。如有虚假，将依法承担相应责任。</w:t>
      </w:r>
      <w:r/>
    </w:p>
    <w:p>
      <w:pPr>
        <w:ind w:right="1560" w:firstLine="584"/>
        <w:spacing w:line="588" w:lineRule="exact"/>
        <w:tabs>
          <w:tab w:val="left" w:pos="4860" w:leader="none"/>
        </w:tabs>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单位名称（电子签章）：</w:t>
      </w:r>
      <w:r/>
    </w:p>
    <w:p>
      <w:pPr>
        <w:ind w:right="1560" w:firstLine="584"/>
        <w:spacing w:line="588" w:lineRule="exact"/>
        <w:tabs>
          <w:tab w:val="left" w:pos="4860" w:leader="none"/>
        </w:tabs>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日  期：  年  月  日</w:t>
      </w:r>
      <w:r/>
    </w:p>
    <w:p>
      <w:pPr>
        <w:pStyle w:val="861"/>
        <w:ind w:left="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60"/>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享受政府采购支持政策的残疾人福利性单位应当同时满足以下条件：</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（一）安置的残疾人占本单位在职职工人数的比例不低于25%（含25%），并且安置的残疾人人数不少于10人（含10人）；</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（二）依法与安置的每位残疾人签订了一年以上（含一年）的劳动合同或服务协议；</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（三）为安置的每位残疾人按月足额缴纳了基本养老保险、基本医疗保险、失业保险、工伤保险和生育保险等社会保险费；</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（四）通过银行等金融机构向安置的每位残疾人，按月支付了不低于单位所在区县适用的经省级人民政府批准的月最低工资标准的工资；</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具体以《财政部 民政部 中国残疾人联合会关于促进残疾人就业政府采购政策的通知》（财库〔2017〕141号）规定为准。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4"/>
          <w:highlight w:val="none"/>
        </w:rPr>
        <w:t xml:space="preserve">供应商提供的《残疾人福利性单位声明函》与事实不符的，依照《政府采购法》第七十七条第一款的规定追究法律责任。</w:t>
      </w:r>
      <w:r/>
    </w:p>
    <w:p>
      <w:pPr>
        <w:pStyle w:val="856"/>
        <w:ind w:firstLine="480"/>
        <w:jc w:val="left"/>
        <w:spacing w:line="264"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264"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p>
    <w:p>
      <w:pPr>
        <w:jc w:val="center"/>
        <w:spacing w:line="520" w:lineRule="exact"/>
        <w:rPr>
          <w:rFonts w:hint="eastAsia" w:ascii="宋体" w:hAnsi="宋体" w:eastAsia="宋体" w:cs="宋体"/>
          <w:b/>
          <w:color w:val="auto"/>
          <w:sz w:val="36"/>
          <w:szCs w:val="36"/>
          <w:highlight w:val="none"/>
        </w:rPr>
      </w:pPr>
      <w:r>
        <w:rPr>
          <w:rFonts w:hint="eastAsia" w:ascii="宋体" w:hAnsi="宋体" w:eastAsia="宋体" w:cs="宋体"/>
          <w:b/>
          <w:bCs/>
          <w:color w:val="auto"/>
          <w:sz w:val="36"/>
          <w:szCs w:val="36"/>
          <w:highlight w:val="none"/>
        </w:rPr>
        <w:t xml:space="preserve">12、具备履行合同所必需的设备和专业技术能力的书面声明（附证明材料复印件）格式</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项目名称：</w:t>
      </w:r>
      <w:r/>
    </w:p>
    <w:p>
      <w:pPr>
        <w:ind w:firstLine="480"/>
        <w:spacing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项目编号：</w:t>
      </w:r>
      <w:r/>
    </w:p>
    <w:p>
      <w:pPr>
        <w:ind w:firstLine="484"/>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响应供应商郑重声明：供应商具备履行合同（项目名称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）所必需的设备和专业技术能力，具体为：</w:t>
      </w:r>
      <w:r/>
    </w:p>
    <w:p>
      <w:pPr>
        <w:ind w:left="-420" w:firstLine="484"/>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（证明材料复印件附后）</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（证明材料复印件附后）</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（证明材料复印件附后）</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专业技术能力：</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（证明材料复印件附后）</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（证明材料复印件附后）</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（证明材料复印件附后）</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特此声明。</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响应供应商对上述声明的真实性负责。如有虚假，将依法承担相应责任。</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80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（电子签章） </w:t>
      </w:r>
      <w:r/>
    </w:p>
    <w:p>
      <w:pPr>
        <w:ind w:firstLine="3804"/>
        <w:spacing w:line="360" w:lineRule="auto"/>
        <w:rPr>
          <w:rFonts w:hint="eastAsia" w:ascii="宋体" w:hAnsi="宋体" w:eastAsia="宋体" w:cs="宋体"/>
          <w:b/>
          <w:color w:val="auto"/>
          <w:sz w:val="24"/>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color w:val="auto"/>
          <w:sz w:val="24"/>
          <w:highlight w:val="none"/>
        </w:rPr>
        <w:t xml:space="preserve">日期：   年  月  日</w:t>
      </w:r>
      <w:r/>
    </w:p>
    <w:p>
      <w:pPr>
        <w:jc w:val="center"/>
        <w:spacing w:line="588"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13、代理服务收费标准</w:t>
      </w:r>
      <w:r/>
    </w:p>
    <w:p>
      <w:pPr>
        <w:pStyle w:val="856"/>
        <w:jc w:val="left"/>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bl>
      <w:tblPr>
        <w:tblStyle w:val="807"/>
        <w:tblW w:w="8039" w:type="dxa"/>
        <w:jc w:val="center"/>
        <w:tblCellSpacing w:w="0" w:type="dxa"/>
        <w:tblBorders>
          <w:top w:val="none" w:color="auto" w:sz="0"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85"/>
        <w:gridCol w:w="2854"/>
      </w:tblGrid>
      <w:tr>
        <w:trPr>
          <w:jc w:val="center"/>
          <w:tblCellSpacing w:w="0" w:type="dxa"/>
          <w:trHeight w:val="441"/>
        </w:trPr>
        <w:tc>
          <w:tcPr>
            <w:shd w:val="clear" w:color="auto" w:fill="auto"/>
            <w:tcBorders>
              <w:top w:val="single" w:color="000000" w:sz="4" w:space="0"/>
              <w:left w:val="single" w:color="000000" w:sz="4" w:space="0"/>
              <w:bottom w:val="single" w:color="000000" w:sz="4" w:space="0"/>
              <w:right w:val="single" w:color="000000" w:sz="4" w:space="0"/>
            </w:tcBorders>
            <w:tcW w:w="5185" w:type="dxa"/>
            <w:vAlign w:val="center"/>
            <w:textDirection w:val="lrTb"/>
            <w:noWrap w:val="false"/>
          </w:tcPr>
          <w:p>
            <w:pPr>
              <w:pStyle w:val="842"/>
              <w:spacing w:before="0" w:beforeAutospacing="0" w:after="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中标或者成交金额</w:t>
            </w:r>
            <w:r/>
          </w:p>
        </w:tc>
        <w:tc>
          <w:tcPr>
            <w:shd w:val="clear" w:color="auto" w:fill="auto"/>
            <w:tcBorders>
              <w:top w:val="single" w:color="000000" w:sz="4" w:space="0"/>
              <w:left w:val="single" w:color="000000" w:sz="4" w:space="0"/>
              <w:bottom w:val="single" w:color="000000" w:sz="4" w:space="0"/>
              <w:right w:val="single" w:color="000000" w:sz="4" w:space="0"/>
            </w:tcBorders>
            <w:tcW w:w="2854" w:type="dxa"/>
            <w:vAlign w:val="center"/>
            <w:textDirection w:val="lrTb"/>
            <w:noWrap w:val="false"/>
          </w:tcPr>
          <w:p>
            <w:pPr>
              <w:pStyle w:val="842"/>
              <w:spacing w:before="0" w:beforeAutospacing="0" w:after="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费率</w:t>
            </w:r>
            <w:r/>
          </w:p>
        </w:tc>
      </w:tr>
      <w:tr>
        <w:trPr>
          <w:jc w:val="center"/>
          <w:tblCellSpacing w:w="0" w:type="dxa"/>
          <w:trHeight w:val="652"/>
        </w:trPr>
        <w:tc>
          <w:tcPr>
            <w:shd w:val="clear" w:color="auto" w:fill="auto"/>
            <w:tcBorders>
              <w:top w:val="single" w:color="000000" w:sz="4" w:space="0"/>
              <w:left w:val="single" w:color="000000" w:sz="4" w:space="0"/>
              <w:bottom w:val="single" w:color="000000" w:sz="4" w:space="0"/>
              <w:right w:val="single" w:color="000000" w:sz="4" w:space="0"/>
            </w:tcBorders>
            <w:tcW w:w="5185" w:type="dxa"/>
            <w:vAlign w:val="center"/>
            <w:textDirection w:val="lrTb"/>
            <w:noWrap w:val="false"/>
          </w:tcPr>
          <w:p>
            <w:pPr>
              <w:pStyle w:val="842"/>
              <w:spacing w:before="0" w:beforeAutospacing="0" w:after="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最低收费金额（每个委托项目）</w:t>
            </w:r>
            <w:r/>
          </w:p>
        </w:tc>
        <w:tc>
          <w:tcPr>
            <w:shd w:val="clear" w:color="auto" w:fill="auto"/>
            <w:tcBorders>
              <w:top w:val="single" w:color="000000" w:sz="4" w:space="0"/>
              <w:left w:val="single" w:color="000000" w:sz="4" w:space="0"/>
              <w:bottom w:val="single" w:color="000000" w:sz="4" w:space="0"/>
              <w:right w:val="single" w:color="000000" w:sz="4" w:space="0"/>
            </w:tcBorders>
            <w:tcW w:w="2854" w:type="dxa"/>
            <w:vAlign w:val="center"/>
            <w:textDirection w:val="lrTb"/>
            <w:noWrap w:val="false"/>
          </w:tcPr>
          <w:p>
            <w:pPr>
              <w:pStyle w:val="842"/>
              <w:spacing w:before="0" w:beforeAutospacing="0" w:after="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5000元</w:t>
            </w:r>
            <w:r/>
          </w:p>
        </w:tc>
      </w:tr>
      <w:tr>
        <w:trPr>
          <w:jc w:val="center"/>
          <w:tblCellSpacing w:w="0" w:type="dxa"/>
          <w:trHeight w:val="441"/>
        </w:trPr>
        <w:tc>
          <w:tcPr>
            <w:shd w:val="clear" w:color="auto" w:fill="auto"/>
            <w:tcBorders>
              <w:top w:val="single" w:color="000000" w:sz="4" w:space="0"/>
              <w:left w:val="single" w:color="000000" w:sz="4" w:space="0"/>
              <w:bottom w:val="single" w:color="000000" w:sz="4" w:space="0"/>
              <w:right w:val="single" w:color="000000" w:sz="4" w:space="0"/>
            </w:tcBorders>
            <w:tcW w:w="5185" w:type="dxa"/>
            <w:vAlign w:val="center"/>
            <w:textDirection w:val="lrTb"/>
            <w:noWrap w:val="false"/>
          </w:tcPr>
          <w:p>
            <w:pPr>
              <w:pStyle w:val="842"/>
              <w:spacing w:before="0" w:beforeAutospacing="0" w:after="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50万元以下（含50万元）</w:t>
            </w:r>
            <w:r/>
          </w:p>
        </w:tc>
        <w:tc>
          <w:tcPr>
            <w:shd w:val="clear" w:color="auto" w:fill="auto"/>
            <w:tcBorders>
              <w:top w:val="single" w:color="000000" w:sz="4" w:space="0"/>
              <w:left w:val="single" w:color="000000" w:sz="4" w:space="0"/>
              <w:bottom w:val="single" w:color="000000" w:sz="4" w:space="0"/>
              <w:right w:val="single" w:color="000000" w:sz="4" w:space="0"/>
            </w:tcBorders>
            <w:tcW w:w="2854" w:type="dxa"/>
            <w:vAlign w:val="center"/>
            <w:textDirection w:val="lrTb"/>
            <w:noWrap w:val="false"/>
          </w:tcPr>
          <w:p>
            <w:pPr>
              <w:pStyle w:val="842"/>
              <w:spacing w:before="0" w:beforeAutospacing="0" w:after="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1.60%</w:t>
            </w:r>
            <w:r/>
          </w:p>
        </w:tc>
      </w:tr>
      <w:tr>
        <w:trPr>
          <w:jc w:val="center"/>
          <w:tblCellSpacing w:w="0" w:type="dxa"/>
          <w:trHeight w:val="441"/>
        </w:trPr>
        <w:tc>
          <w:tcPr>
            <w:shd w:val="clear" w:color="auto" w:fill="auto"/>
            <w:tcBorders>
              <w:top w:val="single" w:color="000000" w:sz="4" w:space="0"/>
              <w:left w:val="single" w:color="000000" w:sz="4" w:space="0"/>
              <w:bottom w:val="single" w:color="000000" w:sz="4" w:space="0"/>
              <w:right w:val="single" w:color="000000" w:sz="4" w:space="0"/>
            </w:tcBorders>
            <w:tcW w:w="5185" w:type="dxa"/>
            <w:vAlign w:val="center"/>
            <w:textDirection w:val="lrTb"/>
            <w:noWrap w:val="false"/>
          </w:tcPr>
          <w:p>
            <w:pPr>
              <w:pStyle w:val="842"/>
              <w:spacing w:before="0" w:beforeAutospacing="0" w:after="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50~400万元（含400万元）</w:t>
            </w:r>
            <w:r/>
          </w:p>
        </w:tc>
        <w:tc>
          <w:tcPr>
            <w:shd w:val="clear" w:color="auto" w:fill="auto"/>
            <w:tcBorders>
              <w:top w:val="single" w:color="000000" w:sz="4" w:space="0"/>
              <w:left w:val="single" w:color="000000" w:sz="4" w:space="0"/>
              <w:bottom w:val="single" w:color="000000" w:sz="4" w:space="0"/>
              <w:right w:val="single" w:color="000000" w:sz="4" w:space="0"/>
            </w:tcBorders>
            <w:tcW w:w="2854" w:type="dxa"/>
            <w:vAlign w:val="center"/>
            <w:textDirection w:val="lrTb"/>
            <w:noWrap w:val="false"/>
          </w:tcPr>
          <w:p>
            <w:pPr>
              <w:pStyle w:val="842"/>
              <w:spacing w:before="0" w:beforeAutospacing="0" w:after="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1.50%</w:t>
            </w:r>
            <w:r/>
          </w:p>
        </w:tc>
      </w:tr>
      <w:tr>
        <w:trPr>
          <w:jc w:val="center"/>
          <w:tblCellSpacing w:w="0" w:type="dxa"/>
          <w:trHeight w:val="441"/>
        </w:trPr>
        <w:tc>
          <w:tcPr>
            <w:shd w:val="clear" w:color="auto" w:fill="auto"/>
            <w:tcBorders>
              <w:top w:val="single" w:color="000000" w:sz="4" w:space="0"/>
              <w:left w:val="single" w:color="000000" w:sz="4" w:space="0"/>
              <w:bottom w:val="single" w:color="000000" w:sz="4" w:space="0"/>
              <w:right w:val="single" w:color="000000" w:sz="4" w:space="0"/>
            </w:tcBorders>
            <w:tcW w:w="5185" w:type="dxa"/>
            <w:vAlign w:val="center"/>
            <w:textDirection w:val="lrTb"/>
            <w:noWrap w:val="false"/>
          </w:tcPr>
          <w:p>
            <w:pPr>
              <w:pStyle w:val="842"/>
              <w:spacing w:before="0" w:beforeAutospacing="0" w:after="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400~1000万元（含1000万元）</w:t>
            </w:r>
            <w:r/>
          </w:p>
        </w:tc>
        <w:tc>
          <w:tcPr>
            <w:shd w:val="clear" w:color="auto" w:fill="auto"/>
            <w:tcBorders>
              <w:top w:val="single" w:color="000000" w:sz="4" w:space="0"/>
              <w:left w:val="single" w:color="000000" w:sz="4" w:space="0"/>
              <w:bottom w:val="single" w:color="000000" w:sz="4" w:space="0"/>
              <w:right w:val="single" w:color="000000" w:sz="4" w:space="0"/>
            </w:tcBorders>
            <w:tcW w:w="2854" w:type="dxa"/>
            <w:vAlign w:val="center"/>
            <w:textDirection w:val="lrTb"/>
            <w:noWrap w:val="false"/>
          </w:tcPr>
          <w:p>
            <w:pPr>
              <w:pStyle w:val="842"/>
              <w:spacing w:before="0" w:beforeAutospacing="0" w:after="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w:t>
            </w:r>
            <w:r/>
          </w:p>
        </w:tc>
      </w:tr>
      <w:tr>
        <w:trPr>
          <w:jc w:val="center"/>
          <w:tblCellSpacing w:w="0" w:type="dxa"/>
          <w:trHeight w:val="441"/>
        </w:trPr>
        <w:tc>
          <w:tcPr>
            <w:shd w:val="clear" w:color="auto" w:fill="auto"/>
            <w:tcBorders>
              <w:top w:val="single" w:color="000000" w:sz="4" w:space="0"/>
              <w:left w:val="single" w:color="000000" w:sz="4" w:space="0"/>
              <w:bottom w:val="single" w:color="000000" w:sz="4" w:space="0"/>
              <w:right w:val="single" w:color="000000" w:sz="4" w:space="0"/>
            </w:tcBorders>
            <w:tcW w:w="5185" w:type="dxa"/>
            <w:vAlign w:val="center"/>
            <w:textDirection w:val="lrTb"/>
            <w:noWrap w:val="false"/>
          </w:tcPr>
          <w:p>
            <w:pPr>
              <w:pStyle w:val="842"/>
              <w:spacing w:before="0" w:beforeAutospacing="0" w:after="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1000~5000万元（含5000万元）</w:t>
            </w:r>
            <w:r/>
          </w:p>
        </w:tc>
        <w:tc>
          <w:tcPr>
            <w:shd w:val="clear" w:color="auto" w:fill="auto"/>
            <w:tcBorders>
              <w:top w:val="single" w:color="000000" w:sz="4" w:space="0"/>
              <w:left w:val="single" w:color="000000" w:sz="4" w:space="0"/>
              <w:bottom w:val="single" w:color="000000" w:sz="4" w:space="0"/>
              <w:right w:val="single" w:color="000000" w:sz="4" w:space="0"/>
            </w:tcBorders>
            <w:tcW w:w="2854" w:type="dxa"/>
            <w:vAlign w:val="center"/>
            <w:textDirection w:val="lrTb"/>
            <w:noWrap w:val="false"/>
          </w:tcPr>
          <w:p>
            <w:pPr>
              <w:pStyle w:val="842"/>
              <w:spacing w:before="0" w:beforeAutospacing="0" w:after="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0.80%</w:t>
            </w:r>
            <w:r/>
          </w:p>
        </w:tc>
      </w:tr>
      <w:tr>
        <w:trPr>
          <w:jc w:val="center"/>
          <w:tblCellSpacing w:w="0" w:type="dxa"/>
          <w:trHeight w:val="452"/>
        </w:trPr>
        <w:tc>
          <w:tcPr>
            <w:shd w:val="clear" w:color="auto" w:fill="auto"/>
            <w:tcBorders>
              <w:top w:val="single" w:color="000000" w:sz="4" w:space="0"/>
              <w:left w:val="single" w:color="000000" w:sz="4" w:space="0"/>
              <w:bottom w:val="single" w:color="000000" w:sz="4" w:space="0"/>
              <w:right w:val="single" w:color="000000" w:sz="4" w:space="0"/>
            </w:tcBorders>
            <w:tcW w:w="5185" w:type="dxa"/>
            <w:vAlign w:val="center"/>
            <w:textDirection w:val="lrTb"/>
            <w:noWrap w:val="false"/>
          </w:tcPr>
          <w:p>
            <w:pPr>
              <w:pStyle w:val="842"/>
              <w:spacing w:before="0" w:beforeAutospacing="0" w:after="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5000~1亿元（含1亿元）</w:t>
            </w:r>
            <w:r/>
          </w:p>
        </w:tc>
        <w:tc>
          <w:tcPr>
            <w:shd w:val="clear" w:color="auto" w:fill="auto"/>
            <w:tcBorders>
              <w:top w:val="single" w:color="000000" w:sz="4" w:space="0"/>
              <w:left w:val="single" w:color="000000" w:sz="4" w:space="0"/>
              <w:bottom w:val="single" w:color="000000" w:sz="4" w:space="0"/>
              <w:right w:val="single" w:color="000000" w:sz="4" w:space="0"/>
            </w:tcBorders>
            <w:tcW w:w="2854" w:type="dxa"/>
            <w:vAlign w:val="center"/>
            <w:textDirection w:val="lrTb"/>
            <w:noWrap w:val="false"/>
          </w:tcPr>
          <w:p>
            <w:pPr>
              <w:pStyle w:val="842"/>
              <w:spacing w:before="0" w:beforeAutospacing="0" w:after="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0.25%</w:t>
            </w:r>
            <w:r/>
          </w:p>
        </w:tc>
      </w:tr>
      <w:tr>
        <w:trPr>
          <w:jc w:val="center"/>
          <w:tblCellSpacing w:w="0" w:type="dxa"/>
          <w:trHeight w:val="441"/>
        </w:trPr>
        <w:tc>
          <w:tcPr>
            <w:shd w:val="clear" w:color="auto" w:fill="auto"/>
            <w:tcBorders>
              <w:top w:val="single" w:color="000000" w:sz="4" w:space="0"/>
              <w:left w:val="single" w:color="000000" w:sz="4" w:space="0"/>
              <w:bottom w:val="single" w:color="000000" w:sz="4" w:space="0"/>
              <w:right w:val="single" w:color="000000" w:sz="4" w:space="0"/>
            </w:tcBorders>
            <w:tcW w:w="5185" w:type="dxa"/>
            <w:vAlign w:val="center"/>
            <w:textDirection w:val="lrTb"/>
            <w:noWrap w:val="false"/>
          </w:tcPr>
          <w:p>
            <w:pPr>
              <w:pStyle w:val="842"/>
              <w:spacing w:before="0" w:beforeAutospacing="0" w:after="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1~10亿元（含10亿元）</w:t>
            </w:r>
            <w:r/>
          </w:p>
        </w:tc>
        <w:tc>
          <w:tcPr>
            <w:shd w:val="clear" w:color="auto" w:fill="auto"/>
            <w:tcBorders>
              <w:top w:val="single" w:color="000000" w:sz="4" w:space="0"/>
              <w:left w:val="single" w:color="000000" w:sz="4" w:space="0"/>
              <w:bottom w:val="single" w:color="000000" w:sz="4" w:space="0"/>
              <w:right w:val="single" w:color="000000" w:sz="4" w:space="0"/>
            </w:tcBorders>
            <w:tcW w:w="2854" w:type="dxa"/>
            <w:vAlign w:val="center"/>
            <w:textDirection w:val="lrTb"/>
            <w:noWrap w:val="false"/>
          </w:tcPr>
          <w:p>
            <w:pPr>
              <w:pStyle w:val="842"/>
              <w:spacing w:before="0" w:beforeAutospacing="0" w:after="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0.05%</w:t>
            </w:r>
            <w:r/>
          </w:p>
        </w:tc>
      </w:tr>
      <w:tr>
        <w:trPr>
          <w:jc w:val="center"/>
          <w:tblCellSpacing w:w="0" w:type="dxa"/>
          <w:trHeight w:val="441"/>
        </w:trPr>
        <w:tc>
          <w:tcPr>
            <w:shd w:val="clear" w:color="auto" w:fill="auto"/>
            <w:tcBorders>
              <w:top w:val="single" w:color="000000" w:sz="4" w:space="0"/>
              <w:left w:val="single" w:color="000000" w:sz="4" w:space="0"/>
              <w:bottom w:val="single" w:color="000000" w:sz="4" w:space="0"/>
              <w:right w:val="single" w:color="000000" w:sz="4" w:space="0"/>
            </w:tcBorders>
            <w:tcW w:w="5185" w:type="dxa"/>
            <w:vAlign w:val="center"/>
            <w:textDirection w:val="lrTb"/>
            <w:noWrap w:val="false"/>
          </w:tcPr>
          <w:p>
            <w:pPr>
              <w:pStyle w:val="842"/>
              <w:spacing w:before="0" w:beforeAutospacing="0" w:after="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10~50亿元（含50亿元）</w:t>
            </w:r>
            <w:r/>
          </w:p>
        </w:tc>
        <w:tc>
          <w:tcPr>
            <w:shd w:val="clear" w:color="auto" w:fill="auto"/>
            <w:tcBorders>
              <w:top w:val="single" w:color="000000" w:sz="4" w:space="0"/>
              <w:left w:val="single" w:color="000000" w:sz="4" w:space="0"/>
              <w:bottom w:val="single" w:color="000000" w:sz="4" w:space="0"/>
              <w:right w:val="single" w:color="000000" w:sz="4" w:space="0"/>
            </w:tcBorders>
            <w:tcW w:w="2854" w:type="dxa"/>
            <w:vAlign w:val="center"/>
            <w:textDirection w:val="lrTb"/>
            <w:noWrap w:val="false"/>
          </w:tcPr>
          <w:p>
            <w:pPr>
              <w:pStyle w:val="842"/>
              <w:spacing w:before="0" w:beforeAutospacing="0" w:after="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0.01%</w:t>
            </w:r>
            <w:r/>
          </w:p>
        </w:tc>
      </w:tr>
      <w:tr>
        <w:trPr>
          <w:jc w:val="center"/>
          <w:tblCellSpacing w:w="0" w:type="dxa"/>
          <w:trHeight w:val="492"/>
        </w:trPr>
        <w:tc>
          <w:tcPr>
            <w:shd w:val="clear" w:color="auto" w:fill="auto"/>
            <w:tcBorders>
              <w:top w:val="single" w:color="000000" w:sz="4" w:space="0"/>
              <w:left w:val="single" w:color="000000" w:sz="4" w:space="0"/>
              <w:bottom w:val="single" w:color="000000" w:sz="4" w:space="0"/>
              <w:right w:val="single" w:color="000000" w:sz="4" w:space="0"/>
            </w:tcBorders>
            <w:tcW w:w="5185" w:type="dxa"/>
            <w:vAlign w:val="center"/>
            <w:textDirection w:val="lrTb"/>
            <w:noWrap w:val="false"/>
          </w:tcPr>
          <w:p>
            <w:pPr>
              <w:pStyle w:val="842"/>
              <w:spacing w:before="0" w:beforeAutospacing="0" w:after="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50亿元以上</w:t>
            </w:r>
            <w:r/>
          </w:p>
        </w:tc>
        <w:tc>
          <w:tcPr>
            <w:shd w:val="clear" w:color="auto" w:fill="auto"/>
            <w:tcBorders>
              <w:top w:val="single" w:color="000000" w:sz="4" w:space="0"/>
              <w:left w:val="single" w:color="000000" w:sz="4" w:space="0"/>
              <w:bottom w:val="single" w:color="000000" w:sz="4" w:space="0"/>
              <w:right w:val="single" w:color="000000" w:sz="4" w:space="0"/>
            </w:tcBorders>
            <w:tcW w:w="2854" w:type="dxa"/>
            <w:vAlign w:val="center"/>
            <w:textDirection w:val="lrTb"/>
            <w:noWrap w:val="false"/>
          </w:tcPr>
          <w:p>
            <w:pPr>
              <w:pStyle w:val="842"/>
              <w:spacing w:before="0" w:beforeAutospacing="0" w:after="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0.005%</w:t>
            </w:r>
            <w:r/>
          </w:p>
        </w:tc>
      </w:tr>
    </w:tbl>
    <w:p>
      <w:pPr>
        <w:pStyle w:val="856"/>
        <w:jc w:val="left"/>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6"/>
        <w:ind w:firstLine="600"/>
        <w:jc w:val="left"/>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pStyle w:val="842"/>
        <w:spacing w:before="0" w:beforeAutospacing="0" w:after="0" w:afterAutospacing="0"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1.按上表计算的收费为代理服务全过程的收费金额。各社会代理机构不再收取采购文件制作售卖费用。</w:t>
      </w:r>
      <w:r/>
    </w:p>
    <w:p>
      <w:pPr>
        <w:pStyle w:val="842"/>
        <w:spacing w:before="0" w:beforeAutospacing="0" w:after="0" w:afterAutospacing="0"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2.代理服务费按差额定率累进法计算。</w:t>
      </w:r>
      <w:r/>
    </w:p>
    <w:p>
      <w:pPr>
        <w:pStyle w:val="842"/>
        <w:spacing w:before="0" w:beforeAutospacing="0" w:after="0" w:afterAutospacing="0"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3.代理服务费基准金额（按差额定率累进法计算的）=中标金额（按差额定率累进法计算的） * 费率（%）。</w:t>
      </w:r>
      <w:r/>
    </w:p>
    <w:p>
      <w:pPr>
        <w:pStyle w:val="842"/>
        <w:spacing w:before="0" w:beforeAutospacing="0" w:after="0" w:afterAutospacing="0"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4.代理服务费应收取金额=代理服务费基准金额（按差额定率累进法计算的）的合计数。</w:t>
      </w:r>
      <w:r/>
    </w:p>
    <w:p>
      <w:pPr>
        <w:pStyle w:val="842"/>
        <w:spacing w:before="0" w:beforeAutospacing="0" w:after="0" w:afterAutospacing="0"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5.定点类等无金额或事先不能计算出价格总额的项目，按中标（成交）金额100万元计算服务费。</w:t>
      </w:r>
      <w:r/>
    </w:p>
    <w:p>
      <w:pPr>
        <w:pStyle w:val="842"/>
        <w:spacing w:before="0" w:beforeAutospacing="0" w:after="0" w:afterAutospacing="0"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6.有分包（分标段）的按一个项目计算。</w:t>
      </w:r>
      <w:r/>
    </w:p>
    <w:p>
      <w:pPr>
        <w:pStyle w:val="842"/>
        <w:spacing w:before="0" w:beforeAutospacing="0" w:after="0" w:afterAutospacing="0"/>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7.以上价格为协会指导价，双方可根据项目难易程度和优质优价原则协商确定。</w:t>
      </w:r>
      <w:r/>
    </w:p>
    <w:p>
      <w:pPr>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858"/>
        <w:rPr>
          <w:rFonts w:hint="eastAsia" w:ascii="宋体" w:hAnsi="宋体" w:eastAsia="宋体" w:cs="宋体"/>
          <w:color w:val="auto"/>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color w:val="auto"/>
          <w:highlight w:val="none"/>
        </w:rPr>
      </w:r>
      <w:r/>
    </w:p>
    <w:p>
      <w:pPr>
        <w:jc w:val="center"/>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14、预付款保函支付条款模板</w:t>
      </w:r>
      <w:r/>
    </w:p>
    <w:p>
      <w:pPr>
        <w:ind w:firstLine="565"/>
        <w:spacing w:line="48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484"/>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符合条件一：提交预付款保函的</w:t>
      </w:r>
      <w:r/>
    </w:p>
    <w:p>
      <w:pPr>
        <w:ind w:firstLine="482"/>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（1）合同签订且乙方向甲方出具预付款保函后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        XX（    XX%），</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left="140"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乙方需提交的支付文件：乙方出具的全额正式发票。</w:t>
      </w:r>
      <w:r/>
    </w:p>
    <w:p>
      <w:pPr>
        <w:ind w:left="140"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XX（    XX%），</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4"/>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w:t>
      </w:r>
      <w:r/>
    </w:p>
    <w:p>
      <w:pPr>
        <w:ind w:firstLine="484"/>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符合条件二：不提交预付款保函的</w:t>
      </w:r>
      <w:r/>
    </w:p>
    <w:p>
      <w:pPr>
        <w:ind w:firstLine="482"/>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（1）合同签订后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XX（    XX%），</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left="140"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乙方需提交的支付文件：乙方出具的全额正式发票。</w:t>
      </w:r>
      <w:r/>
    </w:p>
    <w:p>
      <w:pPr>
        <w:ind w:left="140"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XX（    XX%），</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4"/>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w:t>
      </w:r>
      <w:r/>
    </w:p>
    <w:p>
      <w:pPr>
        <w:ind w:left="140" w:firstLine="484"/>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w:t>
      </w:r>
      <w:r/>
    </w:p>
    <w:p>
      <w:pPr>
        <w:ind w:left="140"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1、付款条件一中，出具预付款保函后支付的合同款应当与保函金额一致。</w:t>
      </w:r>
      <w:r/>
    </w:p>
    <w:p>
      <w:pPr>
        <w:ind w:left="140"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2、付款条件二中，预付款比例设定应符合《关于做好政府采购支持企业发展有关事项的通知》(苏财购〔2020〕52号)要求。</w:t>
      </w:r>
      <w:r/>
    </w:p>
    <w:p>
      <w:pPr>
        <w:pStyle w:val="818"/>
        <w:spacing w:line="26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6"/>
        <w:ind w:right="29" w:firstLine="3960"/>
        <w:spacing w:line="264"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sectPr>
      <w:footerReference w:type="default" r:id="rId11"/>
      <w:footerReference w:type="even" r:id="rId12"/>
      <w:footnotePr/>
      <w:endnotePr/>
      <w:type w:val="nextPage"/>
      <w:pgSz w:w="11906" w:h="16838" w:orient="portrait"/>
      <w:pgMar w:top="1440" w:right="1800" w:bottom="1440" w:left="18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ahoma">
    <w:panose1 w:val="020B0604030504040204"/>
  </w:font>
  <w:font w:name="Symbol">
    <w:panose1 w:val="05050102010706020507"/>
  </w:font>
  <w:font w:name="新宋体">
    <w:panose1 w:val="02010609030101010101"/>
  </w:font>
  <w:font w:name="Cambria">
    <w:panose1 w:val="02040503050406030204"/>
  </w:font>
  <w:font w:name="Courier New">
    <w:panose1 w:val="02070309020205020404"/>
  </w:font>
  <w:font w:name="黑体">
    <w:panose1 w:val="02010609060101010101"/>
  </w:font>
  <w:font w:name="仿宋_GB2312">
    <w:panose1 w:val="02010609060101010101"/>
  </w:font>
  <w:font w:name="Verdana">
    <w:panose1 w:val="020B0604030504040204"/>
  </w:font>
  <w:font w:name="仿宋">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0"/>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4"/>
                            <w:rPr>
                              <w:rStyle w:val="1062"/>
                            </w:rPr>
                          </w:pPr>
                          <w:r>
                            <w:fldChar w:fldCharType="begin"/>
                          </w:r>
                          <w:r>
                            <w:rPr>
                              <w:rStyle w:val="1062"/>
                            </w:rPr>
                            <w:instrText xml:space="preserve">PAGE  </w:instrText>
                          </w:r>
                          <w:r>
                            <w:fldChar w:fldCharType="separate"/>
                          </w:r>
                          <w:r>
                            <w:rPr>
                              <w:rStyle w:val="1062"/>
                            </w:rPr>
                            <w:t xml:space="preserve">14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4"/>
                      <w:rPr>
                        <w:rStyle w:val="1062"/>
                      </w:rPr>
                    </w:pPr>
                    <w:r>
                      <w:fldChar w:fldCharType="begin"/>
                    </w:r>
                    <w:r>
                      <w:rPr>
                        <w:rStyle w:val="1062"/>
                      </w:rPr>
                      <w:instrText xml:space="preserve">PAGE  </w:instrText>
                    </w:r>
                    <w:r>
                      <w:fldChar w:fldCharType="separate"/>
                    </w:r>
                    <w:r>
                      <w:rPr>
                        <w:rStyle w:val="1062"/>
                      </w:rPr>
                      <w:t xml:space="preserve">14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rPr>
        <w:rStyle w:val="1062"/>
      </w:rPr>
      <w:framePr w:wrap="around" w:vAnchor="text" w:hAnchor="margin" w:xAlign="center" w:y="1"/>
    </w:pPr>
    <w:r>
      <w:fldChar w:fldCharType="begin"/>
    </w:r>
    <w:r>
      <w:rPr>
        <w:rStyle w:val="1062"/>
      </w:rPr>
      <w:instrText xml:space="preserve">PAGE  </w:instrText>
    </w:r>
    <w:r>
      <w:fldChar w:fldCharType="end"/>
    </w:r>
    <w:r/>
  </w:p>
  <w:p>
    <w:pPr>
      <w:pStyle w:val="10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1">
    <w:name w:val="Heading 2 Char"/>
    <w:basedOn w:val="806"/>
    <w:link w:val="798"/>
    <w:uiPriority w:val="9"/>
    <w:rPr>
      <w:rFonts w:ascii="Arial" w:hAnsi="Arial" w:eastAsia="Arial" w:cs="Arial"/>
      <w:sz w:val="34"/>
    </w:rPr>
  </w:style>
  <w:style w:type="character" w:styleId="762">
    <w:name w:val="Heading 3 Char"/>
    <w:basedOn w:val="806"/>
    <w:link w:val="799"/>
    <w:uiPriority w:val="9"/>
    <w:rPr>
      <w:rFonts w:ascii="Arial" w:hAnsi="Arial" w:eastAsia="Arial" w:cs="Arial"/>
      <w:sz w:val="30"/>
      <w:szCs w:val="30"/>
    </w:rPr>
  </w:style>
  <w:style w:type="character" w:styleId="763">
    <w:name w:val="Heading 4 Char"/>
    <w:basedOn w:val="806"/>
    <w:link w:val="800"/>
    <w:uiPriority w:val="9"/>
    <w:rPr>
      <w:rFonts w:ascii="Arial" w:hAnsi="Arial" w:eastAsia="Arial" w:cs="Arial"/>
      <w:b/>
      <w:bCs/>
      <w:sz w:val="26"/>
      <w:szCs w:val="26"/>
    </w:rPr>
  </w:style>
  <w:style w:type="character" w:styleId="764">
    <w:name w:val="Heading 5 Char"/>
    <w:basedOn w:val="806"/>
    <w:link w:val="801"/>
    <w:uiPriority w:val="9"/>
    <w:rPr>
      <w:rFonts w:ascii="Arial" w:hAnsi="Arial" w:eastAsia="Arial" w:cs="Arial"/>
      <w:b/>
      <w:bCs/>
      <w:sz w:val="24"/>
      <w:szCs w:val="24"/>
    </w:rPr>
  </w:style>
  <w:style w:type="character" w:styleId="765">
    <w:name w:val="Heading 6 Char"/>
    <w:basedOn w:val="806"/>
    <w:link w:val="802"/>
    <w:uiPriority w:val="9"/>
    <w:rPr>
      <w:rFonts w:ascii="Arial" w:hAnsi="Arial" w:eastAsia="Arial" w:cs="Arial"/>
      <w:b/>
      <w:bCs/>
      <w:sz w:val="22"/>
      <w:szCs w:val="22"/>
    </w:rPr>
  </w:style>
  <w:style w:type="character" w:styleId="766">
    <w:name w:val="Heading 7 Char"/>
    <w:basedOn w:val="806"/>
    <w:link w:val="803"/>
    <w:uiPriority w:val="9"/>
    <w:rPr>
      <w:rFonts w:ascii="Arial" w:hAnsi="Arial" w:eastAsia="Arial" w:cs="Arial"/>
      <w:b/>
      <w:bCs/>
      <w:i/>
      <w:iCs/>
      <w:sz w:val="22"/>
      <w:szCs w:val="22"/>
    </w:rPr>
  </w:style>
  <w:style w:type="character" w:styleId="767">
    <w:name w:val="Heading 8 Char"/>
    <w:basedOn w:val="806"/>
    <w:link w:val="804"/>
    <w:uiPriority w:val="9"/>
    <w:rPr>
      <w:rFonts w:ascii="Arial" w:hAnsi="Arial" w:eastAsia="Arial" w:cs="Arial"/>
      <w:i/>
      <w:iCs/>
      <w:sz w:val="22"/>
      <w:szCs w:val="22"/>
    </w:rPr>
  </w:style>
  <w:style w:type="character" w:styleId="768">
    <w:name w:val="Heading 9 Char"/>
    <w:basedOn w:val="806"/>
    <w:link w:val="805"/>
    <w:uiPriority w:val="9"/>
    <w:rPr>
      <w:rFonts w:ascii="Arial" w:hAnsi="Arial" w:eastAsia="Arial" w:cs="Arial"/>
      <w:i/>
      <w:iCs/>
      <w:sz w:val="21"/>
      <w:szCs w:val="21"/>
    </w:rPr>
  </w:style>
  <w:style w:type="character" w:styleId="769">
    <w:name w:val="Title Char"/>
    <w:basedOn w:val="806"/>
    <w:link w:val="843"/>
    <w:uiPriority w:val="10"/>
    <w:rPr>
      <w:sz w:val="48"/>
      <w:szCs w:val="48"/>
    </w:rPr>
  </w:style>
  <w:style w:type="character" w:styleId="770">
    <w:name w:val="Subtitle Char"/>
    <w:basedOn w:val="806"/>
    <w:link w:val="834"/>
    <w:uiPriority w:val="11"/>
    <w:rPr>
      <w:sz w:val="24"/>
      <w:szCs w:val="24"/>
    </w:rPr>
  </w:style>
  <w:style w:type="character" w:styleId="771">
    <w:name w:val="Quote Char"/>
    <w:link w:val="896"/>
    <w:uiPriority w:val="29"/>
    <w:rPr>
      <w:i/>
    </w:rPr>
  </w:style>
  <w:style w:type="character" w:styleId="772">
    <w:name w:val="Intense Quote Char"/>
    <w:link w:val="898"/>
    <w:uiPriority w:val="30"/>
    <w:rPr>
      <w:i/>
    </w:rPr>
  </w:style>
  <w:style w:type="character" w:styleId="773">
    <w:name w:val="Caption Char"/>
    <w:basedOn w:val="813"/>
    <w:link w:val="830"/>
    <w:uiPriority w:val="99"/>
  </w:style>
  <w:style w:type="table" w:styleId="774">
    <w:name w:val="Plain Table 1"/>
    <w:basedOn w:val="8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2"/>
    <w:basedOn w:val="8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3"/>
    <w:basedOn w:val="8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name w:val="Plain Table 4"/>
    <w:basedOn w:val="8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name w:val="Plain Table 5"/>
    <w:basedOn w:val="8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9">
    <w:name w:val="Grid Table 1 Light"/>
    <w:basedOn w:val="8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0">
    <w:name w:val="Grid Table 2"/>
    <w:basedOn w:val="8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1">
    <w:name w:val="Grid Table 3"/>
    <w:basedOn w:val="8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4"/>
    <w:basedOn w:val="8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name w:val="Grid Table 5 Dark"/>
    <w:basedOn w:val="8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4">
    <w:name w:val="Grid Table 6 Colorful"/>
    <w:basedOn w:val="8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5">
    <w:name w:val="Grid Table 7 Colorful"/>
    <w:basedOn w:val="8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List Table 1 Light"/>
    <w:basedOn w:val="8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name w:val="List Table 2"/>
    <w:basedOn w:val="8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3"/>
    <w:basedOn w:val="8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4"/>
    <w:basedOn w:val="8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5 Dark"/>
    <w:basedOn w:val="8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6 Colorful"/>
    <w:basedOn w:val="8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2">
    <w:name w:val="List Table 7 Colorful"/>
    <w:basedOn w:val="8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93">
    <w:name w:val="Footnote Text Char"/>
    <w:link w:val="835"/>
    <w:uiPriority w:val="99"/>
    <w:rPr>
      <w:sz w:val="18"/>
    </w:rPr>
  </w:style>
  <w:style w:type="character" w:styleId="794">
    <w:name w:val="Endnote Text Char"/>
    <w:link w:val="828"/>
    <w:uiPriority w:val="99"/>
    <w:rPr>
      <w:sz w:val="20"/>
    </w:rPr>
  </w:style>
  <w:style w:type="paragraph" w:styleId="795">
    <w:name w:val="TOC Heading"/>
    <w:uiPriority w:val="39"/>
    <w:unhideWhenUsed/>
  </w:style>
  <w:style w:type="paragraph" w:styleId="796" w:default="1">
    <w:name w:val="Normal"/>
    <w:next w:val="808"/>
    <w:uiPriority w:val="0"/>
    <w:qFormat/>
    <w:rPr>
      <w:rFonts w:ascii="Times New Roman" w:hAnsi="Times New Roman" w:eastAsia="宋体" w:cs="Times New Roman"/>
      <w:lang w:val="en-US" w:eastAsia="zh-CN" w:bidi="ar-SA"/>
    </w:rPr>
  </w:style>
  <w:style w:type="paragraph" w:styleId="797">
    <w:name w:val="Heading 1"/>
    <w:basedOn w:val="796"/>
    <w:next w:val="796"/>
    <w:link w:val="874"/>
    <w:uiPriority w:val="99"/>
    <w:qFormat/>
    <w:pPr>
      <w:keepLines/>
      <w:keepNext/>
      <w:spacing w:before="480" w:after="200"/>
      <w:outlineLvl w:val="0"/>
    </w:pPr>
    <w:rPr>
      <w:rFonts w:ascii="Arial" w:hAnsi="Arial" w:eastAsia="Arial" w:cs="Arial"/>
      <w:sz w:val="40"/>
      <w:szCs w:val="40"/>
    </w:rPr>
  </w:style>
  <w:style w:type="paragraph" w:styleId="798">
    <w:name w:val="Heading 2"/>
    <w:basedOn w:val="796"/>
    <w:next w:val="796"/>
    <w:link w:val="875"/>
    <w:uiPriority w:val="99"/>
    <w:unhideWhenUsed/>
    <w:qFormat/>
    <w:pPr>
      <w:keepLines/>
      <w:keepNext/>
      <w:spacing w:before="360" w:after="200"/>
      <w:outlineLvl w:val="1"/>
    </w:pPr>
    <w:rPr>
      <w:rFonts w:ascii="Arial" w:hAnsi="Arial" w:eastAsia="Arial" w:cs="Arial"/>
      <w:sz w:val="34"/>
    </w:rPr>
  </w:style>
  <w:style w:type="paragraph" w:styleId="799">
    <w:name w:val="Heading 3"/>
    <w:next w:val="796"/>
    <w:link w:val="876"/>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800">
    <w:name w:val="Heading 4"/>
    <w:basedOn w:val="796"/>
    <w:next w:val="796"/>
    <w:link w:val="877"/>
    <w:uiPriority w:val="9"/>
    <w:unhideWhenUsed/>
    <w:qFormat/>
    <w:pPr>
      <w:keepLines/>
      <w:keepNext/>
      <w:spacing w:before="320" w:after="200"/>
      <w:outlineLvl w:val="3"/>
    </w:pPr>
    <w:rPr>
      <w:rFonts w:ascii="Arial" w:hAnsi="Arial" w:eastAsia="Arial" w:cs="Arial"/>
      <w:b/>
      <w:bCs/>
      <w:sz w:val="26"/>
      <w:szCs w:val="26"/>
    </w:rPr>
  </w:style>
  <w:style w:type="paragraph" w:styleId="801">
    <w:name w:val="Heading 5"/>
    <w:next w:val="796"/>
    <w:link w:val="878"/>
    <w:uiPriority w:val="9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802">
    <w:name w:val="Heading 6"/>
    <w:next w:val="796"/>
    <w:link w:val="879"/>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803">
    <w:name w:val="Heading 7"/>
    <w:next w:val="796"/>
    <w:link w:val="880"/>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804">
    <w:name w:val="Heading 8"/>
    <w:next w:val="796"/>
    <w:link w:val="881"/>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805">
    <w:name w:val="Heading 9"/>
    <w:next w:val="796"/>
    <w:link w:val="882"/>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806" w:default="1">
    <w:name w:val="Default Paragraph Font"/>
    <w:uiPriority w:val="1"/>
    <w:semiHidden/>
    <w:unhideWhenUsed/>
    <w:qFormat/>
  </w:style>
  <w:style w:type="table" w:styleId="807" w:default="1">
    <w:name w:val="Normal Table"/>
    <w:uiPriority w:val="99"/>
    <w:semiHidden/>
    <w:unhideWhenUsed/>
    <w:qFormat/>
    <w:tblPr>
      <w:tblCellMar>
        <w:left w:w="108" w:type="dxa"/>
        <w:top w:w="0" w:type="dxa"/>
        <w:right w:w="108" w:type="dxa"/>
        <w:bottom w:w="0" w:type="dxa"/>
      </w:tblCellMar>
    </w:tblPr>
  </w:style>
  <w:style w:type="paragraph" w:styleId="808" w:customStyle="1">
    <w:name w:val="正文文本11"/>
    <w:basedOn w:val="809"/>
    <w:next w:val="796"/>
    <w:uiPriority w:val="0"/>
    <w:qFormat/>
    <w:pPr>
      <w:spacing w:after="120"/>
    </w:pPr>
  </w:style>
  <w:style w:type="paragraph" w:styleId="809" w:customStyle="1">
    <w:name w:val="正文112"/>
    <w:next w:val="808"/>
    <w:uiPriority w:val="0"/>
    <w:qFormat/>
    <w:pPr>
      <w:jc w:val="both"/>
      <w:widowControl w:val="off"/>
    </w:pPr>
    <w:rPr>
      <w:rFonts w:ascii="Times New Roman" w:hAnsi="Times New Roman" w:eastAsia="宋体" w:cs="Times New Roman"/>
      <w:sz w:val="21"/>
      <w:szCs w:val="24"/>
      <w:lang w:val="en-US" w:eastAsia="zh-CN" w:bidi="ar-SA"/>
    </w:rPr>
  </w:style>
  <w:style w:type="paragraph" w:styleId="810">
    <w:name w:val="toc 7"/>
    <w:next w:val="796"/>
    <w:uiPriority w:val="39"/>
    <w:unhideWhenUsed/>
    <w:qFormat/>
    <w:pPr>
      <w:ind w:left="1701"/>
      <w:spacing w:after="57"/>
    </w:pPr>
    <w:rPr>
      <w:rFonts w:ascii="Times New Roman" w:hAnsi="Times New Roman" w:eastAsia="宋体" w:cs="Times New Roman"/>
      <w:lang w:val="en-US" w:eastAsia="zh-CN" w:bidi="ar-SA"/>
    </w:rPr>
  </w:style>
  <w:style w:type="paragraph" w:styleId="811">
    <w:name w:val="table of authorities"/>
    <w:basedOn w:val="796"/>
    <w:next w:val="796"/>
    <w:uiPriority w:val="1"/>
    <w:qFormat/>
    <w:pPr>
      <w:ind w:left="200"/>
    </w:pPr>
  </w:style>
  <w:style w:type="paragraph" w:styleId="812">
    <w:name w:val="Normal Indent"/>
    <w:basedOn w:val="796"/>
    <w:uiPriority w:val="99"/>
    <w:qFormat/>
    <w:pPr>
      <w:ind w:firstLine="420"/>
      <w:jc w:val="both"/>
      <w:spacing w:line="274" w:lineRule="auto"/>
      <w:widowControl w:val="off"/>
    </w:pPr>
    <w:rPr>
      <w:rFonts w:ascii="Calibri" w:hAnsi="Calibri"/>
      <w:sz w:val="24"/>
    </w:rPr>
  </w:style>
  <w:style w:type="paragraph" w:styleId="813">
    <w:name w:val="Caption"/>
    <w:next w:val="796"/>
    <w:uiPriority w:val="35"/>
    <w:unhideWhenUsed/>
    <w:qFormat/>
    <w:pPr>
      <w:spacing w:line="276" w:lineRule="auto"/>
    </w:pPr>
    <w:rPr>
      <w:rFonts w:ascii="Times New Roman" w:hAnsi="Times New Roman" w:eastAsia="宋体" w:cs="Times New Roman"/>
      <w:b/>
      <w:bCs/>
      <w:color w:val="4f81bd"/>
      <w:sz w:val="18"/>
      <w:szCs w:val="18"/>
      <w:lang w:val="en-US" w:eastAsia="zh-CN" w:bidi="ar-SA"/>
    </w:rPr>
  </w:style>
  <w:style w:type="paragraph" w:styleId="814">
    <w:name w:val="index 5"/>
    <w:basedOn w:val="796"/>
    <w:next w:val="796"/>
    <w:uiPriority w:val="0"/>
    <w:qFormat/>
    <w:pPr>
      <w:ind w:left="798"/>
    </w:pPr>
    <w:rPr>
      <w:rFonts w:ascii="Calibri" w:hAnsi="Calibri"/>
    </w:rPr>
  </w:style>
  <w:style w:type="paragraph" w:styleId="815">
    <w:name w:val="Document Map"/>
    <w:basedOn w:val="796"/>
    <w:link w:val="1087"/>
    <w:uiPriority w:val="99"/>
    <w:unhideWhenUsed/>
    <w:qFormat/>
    <w:pPr>
      <w:ind w:firstLine="200"/>
      <w:jc w:val="both"/>
      <w:spacing w:line="274" w:lineRule="auto"/>
      <w:widowControl w:val="off"/>
    </w:pPr>
    <w:rPr>
      <w:rFonts w:ascii="宋体" w:hAnsi="Calibri"/>
      <w:sz w:val="18"/>
      <w:szCs w:val="18"/>
    </w:rPr>
  </w:style>
  <w:style w:type="paragraph" w:styleId="816">
    <w:name w:val="annotation text"/>
    <w:basedOn w:val="796"/>
    <w:link w:val="883"/>
    <w:uiPriority w:val="99"/>
    <w:qFormat/>
    <w:pPr>
      <w:jc w:val="both"/>
      <w:widowControl w:val="off"/>
    </w:pPr>
    <w:rPr>
      <w:sz w:val="21"/>
      <w:szCs w:val="24"/>
    </w:rPr>
  </w:style>
  <w:style w:type="paragraph" w:styleId="817">
    <w:name w:val="Body Text"/>
    <w:basedOn w:val="796"/>
    <w:link w:val="884"/>
    <w:uiPriority w:val="99"/>
    <w:qFormat/>
    <w:pPr>
      <w:spacing w:after="120"/>
    </w:pPr>
  </w:style>
  <w:style w:type="paragraph" w:styleId="818">
    <w:name w:val="Body Text Indent"/>
    <w:basedOn w:val="796"/>
    <w:next w:val="819"/>
    <w:link w:val="873"/>
    <w:uiPriority w:val="99"/>
    <w:qFormat/>
    <w:pPr>
      <w:ind w:left="420"/>
      <w:spacing w:after="120"/>
    </w:pPr>
  </w:style>
  <w:style w:type="paragraph" w:styleId="819">
    <w:name w:val="envelope return"/>
    <w:basedOn w:val="796"/>
    <w:uiPriority w:val="0"/>
    <w:qFormat/>
    <w:rPr>
      <w:rFonts w:ascii="Arial" w:hAnsi="Arial"/>
    </w:rPr>
  </w:style>
  <w:style w:type="paragraph" w:styleId="820">
    <w:name w:val="Block Text"/>
    <w:basedOn w:val="796"/>
    <w:next w:val="796"/>
    <w:uiPriority w:val="0"/>
    <w:qFormat/>
    <w:pPr>
      <w:ind w:left="256" w:right="6" w:firstLine="624"/>
      <w:jc w:val="both"/>
      <w:spacing w:line="274" w:lineRule="auto"/>
      <w:widowControl w:val="off"/>
    </w:pPr>
    <w:rPr>
      <w:rFonts w:eastAsia="仿宋"/>
      <w:sz w:val="28"/>
    </w:rPr>
  </w:style>
  <w:style w:type="paragraph" w:styleId="821">
    <w:name w:val="index 4"/>
    <w:basedOn w:val="796"/>
    <w:next w:val="796"/>
    <w:uiPriority w:val="99"/>
    <w:unhideWhenUsed/>
    <w:qFormat/>
    <w:pPr>
      <w:ind w:left="600"/>
      <w:jc w:val="both"/>
      <w:widowControl w:val="off"/>
    </w:pPr>
    <w:rPr>
      <w:rFonts w:ascii="Verdana" w:hAnsi="Verdana"/>
      <w:sz w:val="21"/>
    </w:rPr>
  </w:style>
  <w:style w:type="paragraph" w:styleId="822">
    <w:name w:val="toc 5"/>
    <w:next w:val="796"/>
    <w:uiPriority w:val="39"/>
    <w:unhideWhenUsed/>
    <w:qFormat/>
    <w:pPr>
      <w:ind w:left="1134"/>
      <w:spacing w:after="57"/>
    </w:pPr>
    <w:rPr>
      <w:rFonts w:ascii="Times New Roman" w:hAnsi="Times New Roman" w:eastAsia="宋体" w:cs="Times New Roman"/>
      <w:lang w:val="en-US" w:eastAsia="zh-CN" w:bidi="ar-SA"/>
    </w:rPr>
  </w:style>
  <w:style w:type="paragraph" w:styleId="823">
    <w:name w:val="toc 3"/>
    <w:next w:val="796"/>
    <w:uiPriority w:val="39"/>
    <w:unhideWhenUsed/>
    <w:qFormat/>
    <w:pPr>
      <w:ind w:left="567"/>
      <w:spacing w:after="57"/>
    </w:pPr>
    <w:rPr>
      <w:rFonts w:ascii="Times New Roman" w:hAnsi="Times New Roman" w:eastAsia="宋体" w:cs="Times New Roman"/>
      <w:lang w:val="en-US" w:eastAsia="zh-CN" w:bidi="ar-SA"/>
    </w:rPr>
  </w:style>
  <w:style w:type="paragraph" w:styleId="824">
    <w:name w:val="Plain Text"/>
    <w:basedOn w:val="796"/>
    <w:uiPriority w:val="0"/>
    <w:qFormat/>
    <w:rPr>
      <w:rFonts w:ascii="宋体" w:hAnsi="Courier New"/>
      <w:sz w:val="21"/>
      <w:szCs w:val="21"/>
    </w:rPr>
  </w:style>
  <w:style w:type="paragraph" w:styleId="825">
    <w:name w:val="toc 8"/>
    <w:next w:val="796"/>
    <w:uiPriority w:val="39"/>
    <w:unhideWhenUsed/>
    <w:qFormat/>
    <w:pPr>
      <w:ind w:left="1984"/>
      <w:spacing w:after="57"/>
    </w:pPr>
    <w:rPr>
      <w:rFonts w:ascii="Times New Roman" w:hAnsi="Times New Roman" w:eastAsia="宋体" w:cs="Times New Roman"/>
      <w:lang w:val="en-US" w:eastAsia="zh-CN" w:bidi="ar-SA"/>
    </w:rPr>
  </w:style>
  <w:style w:type="paragraph" w:styleId="826">
    <w:name w:val="Date"/>
    <w:basedOn w:val="796"/>
    <w:next w:val="796"/>
    <w:link w:val="885"/>
    <w:uiPriority w:val="99"/>
    <w:unhideWhenUsed/>
    <w:qFormat/>
    <w:pPr>
      <w:ind w:left="100"/>
    </w:pPr>
  </w:style>
  <w:style w:type="paragraph" w:styleId="827">
    <w:name w:val="Body Text Indent 2"/>
    <w:basedOn w:val="796"/>
    <w:uiPriority w:val="99"/>
    <w:qFormat/>
    <w:pPr>
      <w:ind w:firstLine="475"/>
      <w:jc w:val="both"/>
      <w:spacing w:line="10" w:lineRule="atLeast"/>
      <w:widowControl w:val="off"/>
    </w:pPr>
    <w:rPr>
      <w:rFonts w:ascii="Calibri" w:hAnsi="Calibri"/>
      <w:sz w:val="24"/>
      <w:szCs w:val="24"/>
    </w:rPr>
  </w:style>
  <w:style w:type="paragraph" w:styleId="828">
    <w:name w:val="endnote text"/>
    <w:link w:val="886"/>
    <w:uiPriority w:val="99"/>
    <w:semiHidden/>
    <w:unhideWhenUsed/>
    <w:qFormat/>
    <w:rPr>
      <w:rFonts w:ascii="Times New Roman" w:hAnsi="Times New Roman" w:eastAsia="宋体" w:cs="Times New Roman"/>
      <w:lang w:val="en-US" w:eastAsia="zh-CN" w:bidi="ar-SA"/>
    </w:rPr>
  </w:style>
  <w:style w:type="paragraph" w:styleId="829">
    <w:name w:val="Balloon Text"/>
    <w:basedOn w:val="796"/>
    <w:link w:val="887"/>
    <w:uiPriority w:val="99"/>
    <w:unhideWhenUsed/>
    <w:qFormat/>
    <w:rPr>
      <w:sz w:val="18"/>
      <w:szCs w:val="18"/>
    </w:rPr>
  </w:style>
  <w:style w:type="paragraph" w:styleId="830">
    <w:name w:val="Footer"/>
    <w:basedOn w:val="796"/>
    <w:link w:val="888"/>
    <w:uiPriority w:val="0"/>
    <w:unhideWhenUsed/>
    <w:qFormat/>
    <w:pPr>
      <w:tabs>
        <w:tab w:val="center" w:pos="7143" w:leader="none"/>
        <w:tab w:val="right" w:pos="14287" w:leader="none"/>
      </w:tabs>
    </w:pPr>
  </w:style>
  <w:style w:type="paragraph" w:styleId="831">
    <w:name w:val="Header"/>
    <w:basedOn w:val="796"/>
    <w:link w:val="889"/>
    <w:uiPriority w:val="0"/>
    <w:unhideWhenUsed/>
    <w:qFormat/>
    <w:pPr>
      <w:tabs>
        <w:tab w:val="center" w:pos="7143" w:leader="none"/>
        <w:tab w:val="right" w:pos="14287" w:leader="none"/>
      </w:tabs>
    </w:pPr>
  </w:style>
  <w:style w:type="paragraph" w:styleId="832">
    <w:name w:val="toc 1"/>
    <w:basedOn w:val="796"/>
    <w:next w:val="796"/>
    <w:uiPriority w:val="39"/>
    <w:unhideWhenUsed/>
    <w:qFormat/>
    <w:pPr>
      <w:spacing w:after="57"/>
    </w:pPr>
  </w:style>
  <w:style w:type="paragraph" w:styleId="833">
    <w:name w:val="toc 4"/>
    <w:next w:val="796"/>
    <w:uiPriority w:val="39"/>
    <w:unhideWhenUsed/>
    <w:qFormat/>
    <w:pPr>
      <w:ind w:left="850"/>
      <w:spacing w:after="57"/>
    </w:pPr>
    <w:rPr>
      <w:rFonts w:ascii="Times New Roman" w:hAnsi="Times New Roman" w:eastAsia="宋体" w:cs="Times New Roman"/>
      <w:lang w:val="en-US" w:eastAsia="zh-CN" w:bidi="ar-SA"/>
    </w:rPr>
  </w:style>
  <w:style w:type="paragraph" w:styleId="834">
    <w:name w:val="Subtitle"/>
    <w:link w:val="890"/>
    <w:uiPriority w:val="11"/>
    <w:qFormat/>
    <w:pPr>
      <w:spacing w:before="200" w:after="200"/>
    </w:pPr>
    <w:rPr>
      <w:rFonts w:ascii="Times New Roman" w:hAnsi="Times New Roman" w:eastAsia="宋体" w:cs="Times New Roman"/>
      <w:sz w:val="24"/>
      <w:szCs w:val="24"/>
      <w:lang w:val="en-US" w:eastAsia="zh-CN" w:bidi="ar-SA"/>
    </w:rPr>
  </w:style>
  <w:style w:type="paragraph" w:styleId="835">
    <w:name w:val="footnote text"/>
    <w:basedOn w:val="796"/>
    <w:next w:val="814"/>
    <w:link w:val="891"/>
    <w:uiPriority w:val="99"/>
    <w:semiHidden/>
    <w:unhideWhenUsed/>
    <w:qFormat/>
    <w:pPr>
      <w:spacing w:after="40"/>
    </w:pPr>
    <w:rPr>
      <w:sz w:val="18"/>
    </w:rPr>
  </w:style>
  <w:style w:type="paragraph" w:styleId="836">
    <w:name w:val="toc 6"/>
    <w:next w:val="796"/>
    <w:uiPriority w:val="39"/>
    <w:unhideWhenUsed/>
    <w:qFormat/>
    <w:pPr>
      <w:ind w:left="1417"/>
      <w:spacing w:after="57"/>
    </w:pPr>
    <w:rPr>
      <w:rFonts w:ascii="Times New Roman" w:hAnsi="Times New Roman" w:eastAsia="宋体" w:cs="Times New Roman"/>
      <w:lang w:val="en-US" w:eastAsia="zh-CN" w:bidi="ar-SA"/>
    </w:rPr>
  </w:style>
  <w:style w:type="paragraph" w:styleId="837">
    <w:name w:val="Body Text Indent 3"/>
    <w:basedOn w:val="796"/>
    <w:link w:val="1089"/>
    <w:uiPriority w:val="99"/>
    <w:unhideWhenUsed/>
    <w:qFormat/>
    <w:pPr>
      <w:ind w:left="420" w:firstLine="200"/>
      <w:jc w:val="both"/>
      <w:spacing w:after="120" w:line="274" w:lineRule="auto"/>
      <w:widowControl w:val="off"/>
    </w:pPr>
    <w:rPr>
      <w:rFonts w:ascii="仿宋_GB2312" w:hAnsi="Calibri" w:eastAsia="仿宋_GB2312"/>
      <w:sz w:val="16"/>
      <w:szCs w:val="16"/>
    </w:rPr>
  </w:style>
  <w:style w:type="paragraph" w:styleId="838">
    <w:name w:val="table of figures"/>
    <w:next w:val="796"/>
    <w:uiPriority w:val="99"/>
    <w:unhideWhenUsed/>
    <w:qFormat/>
    <w:rPr>
      <w:rFonts w:ascii="Times New Roman" w:hAnsi="Times New Roman" w:eastAsia="宋体" w:cs="Times New Roman"/>
      <w:lang w:val="en-US" w:eastAsia="zh-CN" w:bidi="ar-SA"/>
    </w:rPr>
  </w:style>
  <w:style w:type="paragraph" w:styleId="839">
    <w:name w:val="toc 2"/>
    <w:next w:val="796"/>
    <w:uiPriority w:val="39"/>
    <w:unhideWhenUsed/>
    <w:qFormat/>
    <w:pPr>
      <w:ind w:left="283"/>
      <w:spacing w:after="57"/>
    </w:pPr>
    <w:rPr>
      <w:rFonts w:ascii="Times New Roman" w:hAnsi="Times New Roman" w:eastAsia="宋体" w:cs="Times New Roman"/>
      <w:lang w:val="en-US" w:eastAsia="zh-CN" w:bidi="ar-SA"/>
    </w:rPr>
  </w:style>
  <w:style w:type="paragraph" w:styleId="840">
    <w:name w:val="toc 9"/>
    <w:next w:val="796"/>
    <w:uiPriority w:val="39"/>
    <w:unhideWhenUsed/>
    <w:qFormat/>
    <w:pPr>
      <w:ind w:left="2268"/>
      <w:spacing w:after="57"/>
    </w:pPr>
    <w:rPr>
      <w:rFonts w:ascii="Times New Roman" w:hAnsi="Times New Roman" w:eastAsia="宋体" w:cs="Times New Roman"/>
      <w:lang w:val="en-US" w:eastAsia="zh-CN" w:bidi="ar-SA"/>
    </w:rPr>
  </w:style>
  <w:style w:type="paragraph" w:styleId="841">
    <w:name w:val="HTML Preformatted"/>
    <w:basedOn w:val="796"/>
    <w:link w:val="1090"/>
    <w:uiPriority w:val="99"/>
    <w:unhideWhenUsed/>
    <w:qFormat/>
    <w:pPr>
      <w:ind w:firstLine="200"/>
      <w:spacing w:line="274"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仿宋_GB2312"/>
      <w:sz w:val="24"/>
      <w:szCs w:val="24"/>
    </w:rPr>
  </w:style>
  <w:style w:type="paragraph" w:styleId="842">
    <w:name w:val="Normal (Web)"/>
    <w:basedOn w:val="796"/>
    <w:uiPriority w:val="0"/>
    <w:qFormat/>
    <w:pPr>
      <w:ind w:firstLine="200"/>
      <w:spacing w:before="100" w:beforeAutospacing="1" w:after="100" w:afterAutospacing="1" w:line="274" w:lineRule="auto"/>
    </w:pPr>
    <w:rPr>
      <w:rFonts w:ascii="宋体" w:hAnsi="宋体" w:eastAsia="仿宋_GB2312" w:cs="宋体"/>
      <w:sz w:val="24"/>
      <w:szCs w:val="24"/>
    </w:rPr>
  </w:style>
  <w:style w:type="paragraph" w:styleId="843">
    <w:name w:val="Title"/>
    <w:link w:val="892"/>
    <w:uiPriority w:val="10"/>
    <w:qFormat/>
    <w:pPr>
      <w:contextualSpacing/>
      <w:spacing w:before="300" w:after="200"/>
    </w:pPr>
    <w:rPr>
      <w:rFonts w:ascii="Times New Roman" w:hAnsi="Times New Roman" w:eastAsia="宋体" w:cs="Times New Roman"/>
      <w:sz w:val="48"/>
      <w:szCs w:val="48"/>
      <w:lang w:val="en-US" w:eastAsia="zh-CN" w:bidi="ar-SA"/>
    </w:rPr>
  </w:style>
  <w:style w:type="paragraph" w:styleId="844">
    <w:name w:val="annotation subject"/>
    <w:basedOn w:val="816"/>
    <w:next w:val="816"/>
    <w:uiPriority w:val="99"/>
    <w:qFormat/>
    <w:pPr>
      <w:ind w:firstLine="200"/>
      <w:jc w:val="left"/>
      <w:spacing w:line="274" w:lineRule="auto"/>
    </w:pPr>
    <w:rPr>
      <w:rFonts w:ascii="Calibri" w:hAnsi="Calibri"/>
      <w:b/>
      <w:bCs/>
      <w:sz w:val="24"/>
    </w:rPr>
  </w:style>
  <w:style w:type="table" w:styleId="845">
    <w:name w:val="Table Grid"/>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6">
    <w:name w:val="endnote reference"/>
    <w:uiPriority w:val="99"/>
    <w:semiHidden/>
    <w:unhideWhenUsed/>
    <w:qFormat/>
    <w:rPr>
      <w:vertAlign w:val="superscript"/>
    </w:rPr>
  </w:style>
  <w:style w:type="character" w:styleId="847">
    <w:name w:val="page number"/>
    <w:uiPriority w:val="99"/>
    <w:qFormat/>
    <w:rPr>
      <w:rFonts w:cs="Times New Roman"/>
    </w:rPr>
  </w:style>
  <w:style w:type="character" w:styleId="848">
    <w:name w:val="FollowedHyperlink"/>
    <w:uiPriority w:val="99"/>
    <w:semiHidden/>
    <w:unhideWhenUsed/>
    <w:qFormat/>
    <w:rPr>
      <w:color w:val="333333"/>
      <w:u w:val="none"/>
    </w:rPr>
  </w:style>
  <w:style w:type="character" w:styleId="849">
    <w:name w:val="Hyperlink"/>
    <w:basedOn w:val="806"/>
    <w:uiPriority w:val="99"/>
    <w:unhideWhenUsed/>
    <w:qFormat/>
    <w:rPr>
      <w:color w:val="333333"/>
      <w:u w:val="none"/>
    </w:rPr>
  </w:style>
  <w:style w:type="character" w:styleId="850">
    <w:name w:val="annotation reference"/>
    <w:uiPriority w:val="99"/>
    <w:qFormat/>
    <w:rPr>
      <w:rFonts w:cs="Times New Roman"/>
      <w:sz w:val="21"/>
      <w:szCs w:val="21"/>
    </w:rPr>
  </w:style>
  <w:style w:type="character" w:styleId="851">
    <w:name w:val="footnote reference"/>
    <w:uiPriority w:val="99"/>
    <w:unhideWhenUsed/>
    <w:qFormat/>
    <w:rPr>
      <w:vertAlign w:val="superscript"/>
    </w:rPr>
  </w:style>
  <w:style w:type="paragraph" w:styleId="852" w:customStyle="1">
    <w:name w:val="文本块11"/>
    <w:basedOn w:val="853"/>
    <w:uiPriority w:val="0"/>
    <w:unhideWhenUsed/>
    <w:qFormat/>
    <w:pPr>
      <w:ind w:left="1440" w:right="1440" w:firstLine="200"/>
      <w:jc w:val="both"/>
      <w:spacing w:after="120" w:line="274" w:lineRule="auto"/>
      <w:widowControl w:val="off"/>
    </w:pPr>
    <w:rPr>
      <w:rFonts w:ascii="Calibri" w:hAnsi="Calibri" w:eastAsia="仿宋_GB2312"/>
      <w:sz w:val="24"/>
      <w:szCs w:val="24"/>
    </w:rPr>
  </w:style>
  <w:style w:type="paragraph" w:styleId="853" w:customStyle="1">
    <w:name w:val="正文121"/>
    <w:next w:val="85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4" w:customStyle="1">
    <w:name w:val="正文12"/>
    <w:next w:val="808"/>
    <w:uiPriority w:val="0"/>
    <w:qFormat/>
    <w:pPr>
      <w:jc w:val="both"/>
      <w:widowControl w:val="off"/>
    </w:pPr>
    <w:rPr>
      <w:rFonts w:ascii="Times New Roman" w:hAnsi="Times New Roman" w:eastAsia="宋体" w:cs="Times New Roman"/>
      <w:sz w:val="21"/>
      <w:szCs w:val="24"/>
      <w:lang w:val="en-US" w:eastAsia="zh-CN" w:bidi="ar-SA"/>
    </w:rPr>
  </w:style>
  <w:style w:type="paragraph" w:styleId="855" w:customStyle="1">
    <w:name w:val="标题 21"/>
    <w:basedOn w:val="856"/>
    <w:next w:val="854"/>
    <w:link w:val="1033"/>
    <w:uiPriority w:val="0"/>
    <w:qFormat/>
    <w:pPr>
      <w:jc w:val="left"/>
      <w:keepLines/>
      <w:keepNext/>
      <w:spacing w:line="360" w:lineRule="auto"/>
      <w:outlineLvl w:val="1"/>
    </w:pPr>
    <w:rPr>
      <w:rFonts w:eastAsia="仿宋"/>
      <w:b/>
      <w:bCs/>
      <w:sz w:val="24"/>
      <w:szCs w:val="32"/>
    </w:rPr>
  </w:style>
  <w:style w:type="paragraph" w:styleId="856" w:customStyle="1">
    <w:name w:val="正文1"/>
    <w:basedOn w:val="857"/>
    <w:next w:val="859"/>
    <w:link w:val="1213"/>
    <w:uiPriority w:val="0"/>
    <w:qFormat/>
  </w:style>
  <w:style w:type="paragraph" w:styleId="857" w:customStyle="1">
    <w:name w:val="正文11"/>
    <w:next w:val="858"/>
    <w:link w:val="1078"/>
    <w:uiPriority w:val="0"/>
    <w:qFormat/>
    <w:pPr>
      <w:ind w:firstLine="200"/>
      <w:jc w:val="both"/>
      <w:spacing w:line="274" w:lineRule="auto"/>
      <w:widowControl w:val="off"/>
    </w:pPr>
    <w:rPr>
      <w:rFonts w:ascii="微软雅黑" w:hAnsi="微软雅黑" w:eastAsia="微软雅黑" w:cs="Times New Roman"/>
      <w:color w:val="000000"/>
      <w:lang w:val="en-US" w:eastAsia="zh-CN" w:bidi="ar-SA"/>
    </w:rPr>
  </w:style>
  <w:style w:type="paragraph" w:styleId="858" w:customStyle="1">
    <w:name w:val="目录 11"/>
    <w:basedOn w:val="854"/>
    <w:next w:val="857"/>
    <w:uiPriority w:val="0"/>
    <w:qFormat/>
    <w:pPr>
      <w:jc w:val="left"/>
      <w:spacing w:after="100" w:line="259" w:lineRule="auto"/>
      <w:widowControl/>
    </w:pPr>
    <w:rPr>
      <w:rFonts w:ascii="Calibri" w:hAnsi="Calibri"/>
      <w:sz w:val="22"/>
      <w:szCs w:val="22"/>
    </w:rPr>
  </w:style>
  <w:style w:type="paragraph" w:styleId="859" w:customStyle="1">
    <w:name w:val="正文文本1"/>
    <w:basedOn w:val="856"/>
    <w:next w:val="856"/>
    <w:uiPriority w:val="0"/>
    <w:qFormat/>
    <w:pPr>
      <w:spacing w:after="120"/>
    </w:pPr>
  </w:style>
  <w:style w:type="paragraph" w:styleId="860" w:customStyle="1">
    <w:name w:val="正文111"/>
    <w:next w:val="861"/>
    <w:uiPriority w:val="0"/>
    <w:qFormat/>
    <w:pPr>
      <w:jc w:val="both"/>
      <w:widowControl w:val="off"/>
    </w:pPr>
    <w:rPr>
      <w:rFonts w:ascii="Times New Roman" w:hAnsi="Times New Roman" w:eastAsia="宋体" w:cs="Times New Roman"/>
      <w:sz w:val="21"/>
      <w:szCs w:val="24"/>
      <w:lang w:val="en-US" w:eastAsia="zh-CN" w:bidi="ar-SA"/>
    </w:rPr>
  </w:style>
  <w:style w:type="paragraph" w:styleId="861" w:customStyle="1">
    <w:name w:val="正文文本缩进1"/>
    <w:basedOn w:val="856"/>
    <w:next w:val="862"/>
    <w:uiPriority w:val="0"/>
    <w:qFormat/>
    <w:pPr>
      <w:ind w:left="420"/>
      <w:spacing w:after="120"/>
    </w:pPr>
  </w:style>
  <w:style w:type="paragraph" w:styleId="862" w:customStyle="1">
    <w:name w:val="寄信人地址1"/>
    <w:basedOn w:val="854"/>
    <w:uiPriority w:val="0"/>
    <w:qFormat/>
    <w:rPr>
      <w:rFonts w:ascii="Arial" w:hAnsi="Arial"/>
    </w:rPr>
  </w:style>
  <w:style w:type="paragraph" w:styleId="863" w:customStyle="1">
    <w:name w:val="正文首行缩进1"/>
    <w:basedOn w:val="808"/>
    <w:next w:val="864"/>
    <w:uiPriority w:val="0"/>
    <w:qFormat/>
    <w:pPr>
      <w:ind w:firstLine="420"/>
    </w:pPr>
    <w:rPr>
      <w:szCs w:val="22"/>
    </w:rPr>
  </w:style>
  <w:style w:type="paragraph" w:styleId="864" w:customStyle="1">
    <w:name w:val="正文首行缩进 211"/>
    <w:basedOn w:val="865"/>
    <w:next w:val="809"/>
    <w:uiPriority w:val="0"/>
    <w:qFormat/>
    <w:pPr>
      <w:ind w:firstLine="420"/>
    </w:pPr>
    <w:rPr>
      <w:rFonts w:ascii="Times New Roman" w:hAnsi="Times New Roman"/>
    </w:rPr>
  </w:style>
  <w:style w:type="paragraph" w:styleId="865" w:customStyle="1">
    <w:name w:val="正文文本缩进11"/>
    <w:basedOn w:val="857"/>
    <w:next w:val="809"/>
    <w:uiPriority w:val="0"/>
    <w:qFormat/>
    <w:pPr>
      <w:ind w:left="420"/>
      <w:spacing w:after="120"/>
    </w:pPr>
    <w:rPr>
      <w:rFonts w:ascii="Calibri" w:hAnsi="Calibri"/>
    </w:rPr>
  </w:style>
  <w:style w:type="paragraph" w:styleId="866" w:customStyle="1">
    <w:name w:val="文本块1"/>
    <w:basedOn w:val="860"/>
    <w:next w:val="867"/>
    <w:uiPriority w:val="0"/>
    <w:qFormat/>
    <w:pPr>
      <w:ind w:left="1440" w:right="1440"/>
      <w:spacing w:after="120"/>
    </w:pPr>
  </w:style>
  <w:style w:type="paragraph" w:styleId="867" w:customStyle="1">
    <w:name w:val="标题 41"/>
    <w:basedOn w:val="854"/>
    <w:next w:val="857"/>
    <w:link w:val="1036"/>
    <w:uiPriority w:val="0"/>
    <w:qFormat/>
    <w:pPr>
      <w:keepLines/>
      <w:keepNext/>
      <w:spacing w:before="280" w:after="290" w:line="376" w:lineRule="auto"/>
      <w:outlineLvl w:val="3"/>
    </w:pPr>
    <w:rPr>
      <w:rFonts w:ascii="Cambria" w:hAnsi="Cambria"/>
      <w:b/>
      <w:bCs/>
      <w:sz w:val="28"/>
      <w:szCs w:val="28"/>
    </w:rPr>
  </w:style>
  <w:style w:type="paragraph" w:styleId="868" w:customStyle="1">
    <w:name w:val="正文首行缩进 21"/>
    <w:basedOn w:val="861"/>
    <w:next w:val="860"/>
    <w:uiPriority w:val="0"/>
    <w:qFormat/>
    <w:pPr>
      <w:ind w:firstLine="420"/>
      <w:widowControl/>
    </w:pPr>
    <w:rPr>
      <w:rFonts w:ascii="仿宋_GB2312" w:eastAsia="仿宋_GB2312"/>
      <w:color w:val="ff6600"/>
    </w:rPr>
  </w:style>
  <w:style w:type="paragraph" w:styleId="869" w:customStyle="1">
    <w:name w:val="正文文本111"/>
    <w:basedOn w:val="854"/>
    <w:next w:val="854"/>
    <w:uiPriority w:val="0"/>
    <w:qFormat/>
  </w:style>
  <w:style w:type="paragraph" w:styleId="870" w:customStyle="1">
    <w:name w:val="正文首行缩进11"/>
    <w:basedOn w:val="808"/>
    <w:next w:val="864"/>
    <w:uiPriority w:val="0"/>
    <w:qFormat/>
    <w:pPr>
      <w:ind w:firstLine="420"/>
    </w:pPr>
    <w:rPr>
      <w:rFonts w:ascii="仿宋_GB2312" w:eastAsia="仿宋_GB2312"/>
      <w:sz w:val="30"/>
      <w:szCs w:val="30"/>
    </w:rPr>
  </w:style>
  <w:style w:type="paragraph" w:styleId="871" w:customStyle="1">
    <w:name w:val="寄信人地址11"/>
    <w:basedOn w:val="857"/>
    <w:uiPriority w:val="0"/>
    <w:qFormat/>
    <w:rPr>
      <w:rFonts w:ascii="Arial" w:hAnsi="Arial"/>
    </w:rPr>
  </w:style>
  <w:style w:type="paragraph" w:styleId="872" w:customStyle="1">
    <w:name w:val="无间隔1"/>
    <w:uiPriority w:val="1"/>
    <w:qFormat/>
    <w:rPr>
      <w:rFonts w:ascii="Times New Roman" w:hAnsi="Times New Roman" w:eastAsia="宋体" w:cs="Times New Roman"/>
      <w:lang w:val="en-US" w:eastAsia="zh-CN" w:bidi="ar-SA"/>
    </w:rPr>
  </w:style>
  <w:style w:type="character" w:styleId="873" w:customStyle="1">
    <w:name w:val="正文文本缩进 Char"/>
    <w:link w:val="818"/>
    <w:uiPriority w:val="99"/>
    <w:qFormat/>
  </w:style>
  <w:style w:type="character" w:styleId="874" w:customStyle="1">
    <w:name w:val="标题 1 Char1"/>
    <w:link w:val="797"/>
    <w:uiPriority w:val="9"/>
    <w:qFormat/>
    <w:rPr>
      <w:rFonts w:ascii="Arial" w:hAnsi="Arial" w:eastAsia="Arial" w:cs="Arial"/>
      <w:sz w:val="40"/>
      <w:szCs w:val="40"/>
    </w:rPr>
  </w:style>
  <w:style w:type="character" w:styleId="875" w:customStyle="1">
    <w:name w:val="标题 2 Char1"/>
    <w:link w:val="798"/>
    <w:uiPriority w:val="9"/>
    <w:qFormat/>
    <w:rPr>
      <w:rFonts w:ascii="Arial" w:hAnsi="Arial" w:eastAsia="Arial" w:cs="Arial"/>
      <w:sz w:val="34"/>
    </w:rPr>
  </w:style>
  <w:style w:type="character" w:styleId="876" w:customStyle="1">
    <w:name w:val="标题 3 Char1"/>
    <w:link w:val="799"/>
    <w:uiPriority w:val="9"/>
    <w:qFormat/>
    <w:rPr>
      <w:rFonts w:ascii="Arial" w:hAnsi="Arial" w:eastAsia="Arial" w:cs="Arial"/>
      <w:sz w:val="30"/>
      <w:szCs w:val="30"/>
    </w:rPr>
  </w:style>
  <w:style w:type="character" w:styleId="877" w:customStyle="1">
    <w:name w:val="标题 4 Char1"/>
    <w:link w:val="800"/>
    <w:uiPriority w:val="9"/>
    <w:qFormat/>
    <w:rPr>
      <w:rFonts w:ascii="Arial" w:hAnsi="Arial" w:eastAsia="Arial" w:cs="Arial"/>
      <w:b/>
      <w:bCs/>
      <w:sz w:val="26"/>
      <w:szCs w:val="26"/>
    </w:rPr>
  </w:style>
  <w:style w:type="character" w:styleId="878" w:customStyle="1">
    <w:name w:val="标题 5 Char"/>
    <w:link w:val="801"/>
    <w:uiPriority w:val="99"/>
    <w:qFormat/>
    <w:rPr>
      <w:rFonts w:ascii="Arial" w:hAnsi="Arial" w:eastAsia="Arial" w:cs="Arial"/>
      <w:b/>
      <w:bCs/>
      <w:sz w:val="24"/>
      <w:szCs w:val="24"/>
    </w:rPr>
  </w:style>
  <w:style w:type="character" w:styleId="879" w:customStyle="1">
    <w:name w:val="标题 6 Char"/>
    <w:link w:val="802"/>
    <w:uiPriority w:val="9"/>
    <w:qFormat/>
    <w:rPr>
      <w:rFonts w:ascii="Arial" w:hAnsi="Arial" w:eastAsia="Arial" w:cs="Arial"/>
      <w:b/>
      <w:bCs/>
      <w:sz w:val="22"/>
      <w:szCs w:val="22"/>
    </w:rPr>
  </w:style>
  <w:style w:type="character" w:styleId="880" w:customStyle="1">
    <w:name w:val="标题 7 Char"/>
    <w:link w:val="803"/>
    <w:uiPriority w:val="9"/>
    <w:qFormat/>
    <w:rPr>
      <w:rFonts w:ascii="Arial" w:hAnsi="Arial" w:eastAsia="Arial" w:cs="Arial"/>
      <w:b/>
      <w:bCs/>
      <w:i/>
      <w:iCs/>
      <w:sz w:val="22"/>
      <w:szCs w:val="22"/>
    </w:rPr>
  </w:style>
  <w:style w:type="character" w:styleId="881" w:customStyle="1">
    <w:name w:val="标题 8 Char"/>
    <w:link w:val="804"/>
    <w:uiPriority w:val="9"/>
    <w:qFormat/>
    <w:rPr>
      <w:rFonts w:ascii="Arial" w:hAnsi="Arial" w:eastAsia="Arial" w:cs="Arial"/>
      <w:i/>
      <w:iCs/>
      <w:sz w:val="22"/>
      <w:szCs w:val="22"/>
    </w:rPr>
  </w:style>
  <w:style w:type="character" w:styleId="882" w:customStyle="1">
    <w:name w:val="标题 9 Char"/>
    <w:link w:val="805"/>
    <w:uiPriority w:val="9"/>
    <w:qFormat/>
    <w:rPr>
      <w:rFonts w:ascii="Arial" w:hAnsi="Arial" w:eastAsia="Arial" w:cs="Arial"/>
      <w:i/>
      <w:iCs/>
      <w:sz w:val="21"/>
      <w:szCs w:val="21"/>
    </w:rPr>
  </w:style>
  <w:style w:type="character" w:styleId="883" w:customStyle="1">
    <w:name w:val="批注文字 Char1"/>
    <w:link w:val="816"/>
    <w:uiPriority w:val="99"/>
    <w:qFormat/>
    <w:rPr>
      <w:sz w:val="21"/>
      <w:szCs w:val="24"/>
    </w:rPr>
  </w:style>
  <w:style w:type="character" w:styleId="884" w:customStyle="1">
    <w:name w:val="正文文本 Char"/>
    <w:link w:val="817"/>
    <w:uiPriority w:val="99"/>
    <w:qFormat/>
  </w:style>
  <w:style w:type="character" w:styleId="885" w:customStyle="1">
    <w:name w:val="日期 Char1"/>
    <w:basedOn w:val="806"/>
    <w:link w:val="826"/>
    <w:uiPriority w:val="99"/>
    <w:semiHidden/>
    <w:qFormat/>
  </w:style>
  <w:style w:type="character" w:styleId="886" w:customStyle="1">
    <w:name w:val="尾注文本 Char"/>
    <w:link w:val="828"/>
    <w:uiPriority w:val="99"/>
    <w:qFormat/>
    <w:rPr>
      <w:sz w:val="20"/>
    </w:rPr>
  </w:style>
  <w:style w:type="character" w:styleId="887" w:customStyle="1">
    <w:name w:val="批注框文本 Char1"/>
    <w:link w:val="829"/>
    <w:uiPriority w:val="99"/>
    <w:semiHidden/>
    <w:qFormat/>
    <w:rPr>
      <w:sz w:val="18"/>
      <w:szCs w:val="18"/>
    </w:rPr>
  </w:style>
  <w:style w:type="character" w:styleId="888" w:customStyle="1">
    <w:name w:val="页脚 Char"/>
    <w:link w:val="830"/>
    <w:uiPriority w:val="0"/>
    <w:qFormat/>
  </w:style>
  <w:style w:type="character" w:styleId="889" w:customStyle="1">
    <w:name w:val="页眉 Char"/>
    <w:link w:val="831"/>
    <w:uiPriority w:val="0"/>
    <w:qFormat/>
  </w:style>
  <w:style w:type="character" w:styleId="890" w:customStyle="1">
    <w:name w:val="副标题 Char"/>
    <w:link w:val="834"/>
    <w:uiPriority w:val="0"/>
    <w:qFormat/>
    <w:rPr>
      <w:sz w:val="24"/>
      <w:szCs w:val="24"/>
    </w:rPr>
  </w:style>
  <w:style w:type="character" w:styleId="891" w:customStyle="1">
    <w:name w:val="脚注文本 Char1"/>
    <w:link w:val="835"/>
    <w:uiPriority w:val="99"/>
    <w:qFormat/>
    <w:rPr>
      <w:sz w:val="18"/>
    </w:rPr>
  </w:style>
  <w:style w:type="character" w:styleId="892" w:customStyle="1">
    <w:name w:val="标题 Char1"/>
    <w:link w:val="843"/>
    <w:uiPriority w:val="10"/>
    <w:qFormat/>
    <w:rPr>
      <w:sz w:val="48"/>
      <w:szCs w:val="48"/>
    </w:rPr>
  </w:style>
  <w:style w:type="paragraph" w:styleId="893">
    <w:name w:val="List Paragraph"/>
    <w:basedOn w:val="796"/>
    <w:link w:val="894"/>
    <w:uiPriority w:val="99"/>
    <w:qFormat/>
    <w:pPr>
      <w:contextualSpacing/>
      <w:ind w:left="720"/>
    </w:pPr>
  </w:style>
  <w:style w:type="character" w:styleId="894" w:customStyle="1">
    <w:name w:val="列出段落 Char"/>
    <w:link w:val="893"/>
    <w:uiPriority w:val="0"/>
    <w:qFormat/>
  </w:style>
  <w:style w:type="paragraph" w:styleId="895">
    <w:name w:val="No Spacing"/>
    <w:uiPriority w:val="1"/>
    <w:qFormat/>
    <w:rPr>
      <w:rFonts w:ascii="Times New Roman" w:hAnsi="Times New Roman" w:eastAsia="宋体" w:cs="Times New Roman"/>
      <w:lang w:val="en-US" w:eastAsia="zh-CN" w:bidi="ar-SA"/>
    </w:rPr>
  </w:style>
  <w:style w:type="paragraph" w:styleId="896">
    <w:name w:val="Quote"/>
    <w:link w:val="897"/>
    <w:uiPriority w:val="29"/>
    <w:qFormat/>
    <w:pPr>
      <w:ind w:left="720" w:right="720"/>
    </w:pPr>
    <w:rPr>
      <w:rFonts w:ascii="Times New Roman" w:hAnsi="Times New Roman" w:eastAsia="宋体" w:cs="Times New Roman"/>
      <w:i/>
      <w:lang w:val="en-US" w:eastAsia="zh-CN" w:bidi="ar-SA"/>
    </w:rPr>
  </w:style>
  <w:style w:type="character" w:styleId="897" w:customStyle="1">
    <w:name w:val="引用 Char"/>
    <w:link w:val="896"/>
    <w:uiPriority w:val="29"/>
    <w:qFormat/>
    <w:rPr>
      <w:i/>
    </w:rPr>
  </w:style>
  <w:style w:type="paragraph" w:styleId="898">
    <w:name w:val="Intense Quote"/>
    <w:link w:val="8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899" w:customStyle="1">
    <w:name w:val="明显引用 Char"/>
    <w:link w:val="898"/>
    <w:uiPriority w:val="30"/>
    <w:qFormat/>
    <w:rPr>
      <w:i/>
    </w:rPr>
  </w:style>
  <w:style w:type="character" w:styleId="900" w:customStyle="1">
    <w:name w:val="Footer Char"/>
    <w:uiPriority w:val="99"/>
    <w:qFormat/>
  </w:style>
  <w:style w:type="table" w:styleId="90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02"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03"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04" w:customStyle="1">
    <w:name w:val="无格式表格 31"/>
    <w:uiPriority w:val="99"/>
    <w:qFormat/>
    <w:tblPr>
      <w:tblCellMar>
        <w:left w:w="0" w:type="dxa"/>
        <w:top w:w="0" w:type="dxa"/>
        <w:right w:w="0" w:type="dxa"/>
        <w:bottom w:w="0" w:type="dxa"/>
      </w:tblCellMar>
    </w:tblPr>
  </w:style>
  <w:style w:type="table" w:styleId="905" w:customStyle="1">
    <w:name w:val="无格式表格 41"/>
    <w:uiPriority w:val="99"/>
    <w:qFormat/>
    <w:tblPr>
      <w:tblCellMar>
        <w:left w:w="0" w:type="dxa"/>
        <w:top w:w="0" w:type="dxa"/>
        <w:right w:w="0" w:type="dxa"/>
        <w:bottom w:w="0" w:type="dxa"/>
      </w:tblCellMar>
    </w:tblPr>
  </w:style>
  <w:style w:type="table" w:styleId="906" w:customStyle="1">
    <w:name w:val="无格式表格 51"/>
    <w:uiPriority w:val="99"/>
    <w:qFormat/>
    <w:tblPr>
      <w:tblCellMar>
        <w:left w:w="0" w:type="dxa"/>
        <w:top w:w="0" w:type="dxa"/>
        <w:right w:w="0" w:type="dxa"/>
        <w:bottom w:w="0" w:type="dxa"/>
      </w:tblCellMar>
    </w:tblPr>
  </w:style>
  <w:style w:type="table" w:styleId="907"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0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14"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1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1"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2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2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8"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2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3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3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3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3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3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35"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2"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4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9"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5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5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5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56" w:customStyle="1">
    <w:name w:val="清单表 1 浅色1"/>
    <w:uiPriority w:val="99"/>
    <w:qFormat/>
    <w:tblPr>
      <w:tblCellMar>
        <w:left w:w="0" w:type="dxa"/>
        <w:top w:w="0" w:type="dxa"/>
        <w:right w:w="0" w:type="dxa"/>
        <w:bottom w:w="0" w:type="dxa"/>
      </w:tblCellMar>
    </w:tblPr>
  </w:style>
  <w:style w:type="table" w:styleId="957" w:customStyle="1">
    <w:name w:val="List Table 1 Light - Accent 1"/>
    <w:uiPriority w:val="99"/>
    <w:qFormat/>
    <w:tblPr>
      <w:tblCellMar>
        <w:left w:w="0" w:type="dxa"/>
        <w:top w:w="0" w:type="dxa"/>
        <w:right w:w="0" w:type="dxa"/>
        <w:bottom w:w="0" w:type="dxa"/>
      </w:tblCellMar>
    </w:tblPr>
  </w:style>
  <w:style w:type="table" w:styleId="958" w:customStyle="1">
    <w:name w:val="List Table 1 Light - Accent 2"/>
    <w:uiPriority w:val="99"/>
    <w:qFormat/>
    <w:tblPr>
      <w:tblCellMar>
        <w:left w:w="0" w:type="dxa"/>
        <w:top w:w="0" w:type="dxa"/>
        <w:right w:w="0" w:type="dxa"/>
        <w:bottom w:w="0" w:type="dxa"/>
      </w:tblCellMar>
    </w:tblPr>
  </w:style>
  <w:style w:type="table" w:styleId="959" w:customStyle="1">
    <w:name w:val="List Table 1 Light - Accent 3"/>
    <w:uiPriority w:val="99"/>
    <w:qFormat/>
    <w:tblPr>
      <w:tblCellMar>
        <w:left w:w="0" w:type="dxa"/>
        <w:top w:w="0" w:type="dxa"/>
        <w:right w:w="0" w:type="dxa"/>
        <w:bottom w:w="0" w:type="dxa"/>
      </w:tblCellMar>
    </w:tblPr>
  </w:style>
  <w:style w:type="table" w:styleId="960" w:customStyle="1">
    <w:name w:val="List Table 1 Light - Accent 4"/>
    <w:uiPriority w:val="99"/>
    <w:qFormat/>
    <w:tblPr>
      <w:tblCellMar>
        <w:left w:w="0" w:type="dxa"/>
        <w:top w:w="0" w:type="dxa"/>
        <w:right w:w="0" w:type="dxa"/>
        <w:bottom w:w="0" w:type="dxa"/>
      </w:tblCellMar>
    </w:tblPr>
  </w:style>
  <w:style w:type="table" w:styleId="961" w:customStyle="1">
    <w:name w:val="List Table 1 Light - Accent 5"/>
    <w:uiPriority w:val="99"/>
    <w:qFormat/>
    <w:tblPr>
      <w:tblCellMar>
        <w:left w:w="0" w:type="dxa"/>
        <w:top w:w="0" w:type="dxa"/>
        <w:right w:w="0" w:type="dxa"/>
        <w:bottom w:w="0" w:type="dxa"/>
      </w:tblCellMar>
    </w:tblPr>
  </w:style>
  <w:style w:type="table" w:styleId="962" w:customStyle="1">
    <w:name w:val="List Table 1 Light - Accent 6"/>
    <w:uiPriority w:val="99"/>
    <w:qFormat/>
    <w:tblPr>
      <w:tblCellMar>
        <w:left w:w="0" w:type="dxa"/>
        <w:top w:w="0" w:type="dxa"/>
        <w:right w:w="0" w:type="dxa"/>
        <w:bottom w:w="0" w:type="dxa"/>
      </w:tblCellMar>
    </w:tblPr>
  </w:style>
  <w:style w:type="table" w:styleId="963"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6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6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6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6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6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6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70"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7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7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7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7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7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7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77"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7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7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8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8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8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8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84"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8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8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8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8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8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9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91"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9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9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9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9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9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9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98"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9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0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0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0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0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0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05" w:customStyle="1">
    <w:name w:val="Lined - Accent"/>
    <w:uiPriority w:val="99"/>
    <w:qFormat/>
    <w:rPr>
      <w:color w:val="404040"/>
    </w:rPr>
    <w:tblPr>
      <w:tblCellMar>
        <w:left w:w="0" w:type="dxa"/>
        <w:top w:w="0" w:type="dxa"/>
        <w:right w:w="0" w:type="dxa"/>
        <w:bottom w:w="0" w:type="dxa"/>
      </w:tblCellMar>
    </w:tblPr>
  </w:style>
  <w:style w:type="table" w:styleId="1006" w:customStyle="1">
    <w:name w:val="Lined - Accent 1"/>
    <w:uiPriority w:val="99"/>
    <w:qFormat/>
    <w:rPr>
      <w:color w:val="404040"/>
    </w:rPr>
    <w:tblPr>
      <w:tblCellMar>
        <w:left w:w="0" w:type="dxa"/>
        <w:top w:w="0" w:type="dxa"/>
        <w:right w:w="0" w:type="dxa"/>
        <w:bottom w:w="0" w:type="dxa"/>
      </w:tblCellMar>
    </w:tblPr>
  </w:style>
  <w:style w:type="table" w:styleId="1007" w:customStyle="1">
    <w:name w:val="Lined - Accent 2"/>
    <w:uiPriority w:val="99"/>
    <w:qFormat/>
    <w:rPr>
      <w:color w:val="404040"/>
    </w:rPr>
    <w:tblPr>
      <w:tblCellMar>
        <w:left w:w="0" w:type="dxa"/>
        <w:top w:w="0" w:type="dxa"/>
        <w:right w:w="0" w:type="dxa"/>
        <w:bottom w:w="0" w:type="dxa"/>
      </w:tblCellMar>
    </w:tblPr>
  </w:style>
  <w:style w:type="table" w:styleId="1008" w:customStyle="1">
    <w:name w:val="Lined - Accent 3"/>
    <w:uiPriority w:val="99"/>
    <w:qFormat/>
    <w:rPr>
      <w:color w:val="404040"/>
    </w:rPr>
    <w:tblPr>
      <w:tblCellMar>
        <w:left w:w="0" w:type="dxa"/>
        <w:top w:w="0" w:type="dxa"/>
        <w:right w:w="0" w:type="dxa"/>
        <w:bottom w:w="0" w:type="dxa"/>
      </w:tblCellMar>
    </w:tblPr>
  </w:style>
  <w:style w:type="table" w:styleId="1009" w:customStyle="1">
    <w:name w:val="Lined - Accent 4"/>
    <w:uiPriority w:val="99"/>
    <w:qFormat/>
    <w:rPr>
      <w:color w:val="404040"/>
    </w:rPr>
    <w:tblPr>
      <w:tblCellMar>
        <w:left w:w="0" w:type="dxa"/>
        <w:top w:w="0" w:type="dxa"/>
        <w:right w:w="0" w:type="dxa"/>
        <w:bottom w:w="0" w:type="dxa"/>
      </w:tblCellMar>
    </w:tblPr>
  </w:style>
  <w:style w:type="table" w:styleId="1010" w:customStyle="1">
    <w:name w:val="Lined - Accent 5"/>
    <w:uiPriority w:val="99"/>
    <w:qFormat/>
    <w:rPr>
      <w:color w:val="404040"/>
    </w:rPr>
    <w:tblPr>
      <w:tblCellMar>
        <w:left w:w="0" w:type="dxa"/>
        <w:top w:w="0" w:type="dxa"/>
        <w:right w:w="0" w:type="dxa"/>
        <w:bottom w:w="0" w:type="dxa"/>
      </w:tblCellMar>
    </w:tblPr>
  </w:style>
  <w:style w:type="table" w:styleId="1011" w:customStyle="1">
    <w:name w:val="Lined - Accent 6"/>
    <w:uiPriority w:val="99"/>
    <w:qFormat/>
    <w:rPr>
      <w:color w:val="404040"/>
    </w:rPr>
    <w:tblPr>
      <w:tblCellMar>
        <w:left w:w="0" w:type="dxa"/>
        <w:top w:w="0" w:type="dxa"/>
        <w:right w:w="0" w:type="dxa"/>
        <w:bottom w:w="0" w:type="dxa"/>
      </w:tblCellMar>
    </w:tblPr>
  </w:style>
  <w:style w:type="table" w:styleId="101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1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1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1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1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1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1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1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2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2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2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2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2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2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paragraph" w:styleId="1026" w:customStyle="1">
    <w:name w:val="TOC 标题1"/>
    <w:uiPriority w:val="39"/>
    <w:unhideWhenUsed/>
    <w:qFormat/>
    <w:rPr>
      <w:rFonts w:ascii="Times New Roman" w:hAnsi="Times New Roman" w:eastAsia="宋体" w:cs="Times New Roman"/>
      <w:lang w:val="en-US" w:eastAsia="zh-CN" w:bidi="ar-SA"/>
    </w:rPr>
  </w:style>
  <w:style w:type="paragraph" w:styleId="1027" w:customStyle="1">
    <w:name w:val="脚注文本1"/>
    <w:basedOn w:val="860"/>
    <w:next w:val="1028"/>
    <w:link w:val="1056"/>
    <w:uiPriority w:val="0"/>
    <w:qFormat/>
    <w:rPr>
      <w:sz w:val="18"/>
      <w:szCs w:val="18"/>
    </w:rPr>
  </w:style>
  <w:style w:type="paragraph" w:styleId="1028" w:customStyle="1">
    <w:name w:val="索引 51"/>
    <w:basedOn w:val="856"/>
    <w:next w:val="856"/>
    <w:uiPriority w:val="0"/>
    <w:qFormat/>
    <w:pPr>
      <w:ind w:left="798"/>
      <w:jc w:val="left"/>
    </w:pPr>
    <w:rPr>
      <w:rFonts w:ascii="Calibri" w:hAnsi="Calibri"/>
    </w:rPr>
  </w:style>
  <w:style w:type="character" w:styleId="1029" w:customStyle="1">
    <w:name w:val="font91"/>
    <w:link w:val="856"/>
    <w:uiPriority w:val="0"/>
    <w:qFormat/>
    <w:rPr>
      <w:rFonts w:ascii="宋体" w:hAnsi="宋体" w:eastAsia="宋体"/>
      <w:color w:val="ff0000"/>
      <w:sz w:val="20"/>
      <w:szCs w:val="20"/>
      <w:u w:val="none"/>
    </w:rPr>
  </w:style>
  <w:style w:type="paragraph" w:styleId="1030" w:customStyle="1">
    <w:name w:val="标题 11"/>
    <w:basedOn w:val="856"/>
    <w:next w:val="1031"/>
    <w:link w:val="1032"/>
    <w:uiPriority w:val="9"/>
    <w:qFormat/>
    <w:pPr>
      <w:jc w:val="center"/>
      <w:keepLines/>
      <w:keepNext/>
      <w:spacing w:line="578" w:lineRule="auto"/>
      <w:outlineLvl w:val="0"/>
    </w:pPr>
    <w:rPr>
      <w:rFonts w:eastAsia="新宋体"/>
      <w:b/>
      <w:bCs/>
      <w:sz w:val="30"/>
      <w:szCs w:val="44"/>
    </w:rPr>
  </w:style>
  <w:style w:type="paragraph" w:styleId="1031" w:customStyle="1">
    <w:name w:val="普通(网站)1"/>
    <w:basedOn w:val="856"/>
    <w:uiPriority w:val="0"/>
    <w:qFormat/>
    <w:pPr>
      <w:jc w:val="left"/>
      <w:spacing w:before="100" w:beforeAutospacing="1" w:after="100" w:afterAutospacing="1"/>
      <w:widowControl/>
    </w:pPr>
    <w:rPr>
      <w:rFonts w:ascii="宋体" w:hAnsi="宋体"/>
      <w:sz w:val="24"/>
    </w:rPr>
  </w:style>
  <w:style w:type="character" w:styleId="1032" w:customStyle="1">
    <w:name w:val="标题 1 Char"/>
    <w:link w:val="1030"/>
    <w:uiPriority w:val="99"/>
    <w:qFormat/>
    <w:rPr>
      <w:rFonts w:eastAsia="新宋体"/>
      <w:b/>
      <w:bCs/>
      <w:sz w:val="30"/>
      <w:szCs w:val="44"/>
    </w:rPr>
  </w:style>
  <w:style w:type="character" w:styleId="1033" w:customStyle="1">
    <w:name w:val="标题 2 Char"/>
    <w:link w:val="855"/>
    <w:uiPriority w:val="0"/>
    <w:qFormat/>
    <w:rPr>
      <w:rFonts w:eastAsia="仿宋"/>
      <w:b/>
      <w:bCs/>
      <w:sz w:val="24"/>
      <w:szCs w:val="32"/>
    </w:rPr>
  </w:style>
  <w:style w:type="paragraph" w:styleId="1034" w:customStyle="1">
    <w:name w:val="标题 31"/>
    <w:basedOn w:val="856"/>
    <w:next w:val="856"/>
    <w:link w:val="1035"/>
    <w:uiPriority w:val="0"/>
    <w:qFormat/>
    <w:pPr>
      <w:keepLines/>
      <w:keepNext/>
      <w:spacing w:before="260" w:after="260" w:line="413" w:lineRule="auto"/>
      <w:outlineLvl w:val="2"/>
    </w:pPr>
    <w:rPr>
      <w:b/>
      <w:sz w:val="32"/>
    </w:rPr>
  </w:style>
  <w:style w:type="character" w:styleId="1035" w:customStyle="1">
    <w:name w:val="标题 3 Char"/>
    <w:link w:val="1034"/>
    <w:uiPriority w:val="0"/>
    <w:qFormat/>
    <w:rPr>
      <w:b/>
      <w:sz w:val="32"/>
      <w:szCs w:val="24"/>
    </w:rPr>
  </w:style>
  <w:style w:type="character" w:styleId="1036" w:customStyle="1">
    <w:name w:val="标题 4 Char"/>
    <w:link w:val="867"/>
    <w:uiPriority w:val="0"/>
    <w:qFormat/>
    <w:rPr>
      <w:rFonts w:ascii="Cambria" w:hAnsi="Cambria"/>
      <w:b/>
      <w:bCs/>
      <w:sz w:val="28"/>
      <w:szCs w:val="28"/>
    </w:rPr>
  </w:style>
  <w:style w:type="character" w:styleId="1037" w:customStyle="1">
    <w:name w:val="默认段落字体1"/>
    <w:uiPriority w:val="0"/>
    <w:semiHidden/>
    <w:qFormat/>
  </w:style>
  <w:style w:type="table" w:styleId="1038" w:customStyle="1">
    <w:name w:val="普通表格1"/>
    <w:uiPriority w:val="0"/>
    <w:semiHidden/>
    <w:qFormat/>
    <w:tblPr>
      <w:tblCellMar>
        <w:left w:w="0" w:type="dxa"/>
        <w:top w:w="0" w:type="dxa"/>
        <w:right w:w="0" w:type="dxa"/>
        <w:bottom w:w="0" w:type="dxa"/>
      </w:tblCellMar>
    </w:tblPr>
  </w:style>
  <w:style w:type="paragraph" w:styleId="1039" w:customStyle="1">
    <w:name w:val="正文缩进1"/>
    <w:basedOn w:val="856"/>
    <w:link w:val="1040"/>
    <w:uiPriority w:val="0"/>
    <w:qFormat/>
    <w:pPr>
      <w:ind w:firstLine="420"/>
    </w:pPr>
    <w:rPr>
      <w:lang w:eastAsia="en-US"/>
    </w:rPr>
  </w:style>
  <w:style w:type="character" w:styleId="1040" w:customStyle="1">
    <w:name w:val="正文缩进 Char"/>
    <w:link w:val="1039"/>
    <w:uiPriority w:val="99"/>
    <w:qFormat/>
    <w:rPr>
      <w:sz w:val="21"/>
      <w:szCs w:val="24"/>
    </w:rPr>
  </w:style>
  <w:style w:type="paragraph" w:styleId="1041" w:customStyle="1">
    <w:name w:val="批注文字1"/>
    <w:basedOn w:val="856"/>
    <w:link w:val="1042"/>
    <w:uiPriority w:val="0"/>
    <w:qFormat/>
    <w:pPr>
      <w:jc w:val="left"/>
    </w:pPr>
    <w:rPr>
      <w:lang w:eastAsia="en-US"/>
    </w:rPr>
  </w:style>
  <w:style w:type="character" w:styleId="1042" w:customStyle="1">
    <w:name w:val="批注文字 Char"/>
    <w:link w:val="1041"/>
    <w:uiPriority w:val="99"/>
    <w:qFormat/>
    <w:rPr>
      <w:sz w:val="21"/>
      <w:szCs w:val="24"/>
    </w:rPr>
  </w:style>
  <w:style w:type="paragraph" w:styleId="1043" w:customStyle="1">
    <w:name w:val="一级条标题"/>
    <w:basedOn w:val="1044"/>
    <w:next w:val="79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44" w:customStyle="1">
    <w:name w:val="章标题"/>
    <w:basedOn w:val="809"/>
    <w:next w:val="856"/>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45" w:customStyle="1">
    <w:name w:val="段"/>
    <w:basedOn w:val="856"/>
    <w:next w:val="857"/>
    <w:uiPriority w:val="0"/>
    <w:qFormat/>
    <w:pPr>
      <w:ind w:firstLine="200"/>
      <w:widowControl/>
    </w:pPr>
    <w:rPr>
      <w:rFonts w:ascii="宋体"/>
      <w:sz w:val="20"/>
      <w:szCs w:val="20"/>
    </w:rPr>
  </w:style>
  <w:style w:type="paragraph" w:styleId="1046" w:customStyle="1">
    <w:name w:val="纯文本1"/>
    <w:basedOn w:val="856"/>
    <w:link w:val="1047"/>
    <w:uiPriority w:val="0"/>
    <w:qFormat/>
    <w:rPr>
      <w:rFonts w:ascii="宋体" w:hAnsi="Courier New"/>
      <w:szCs w:val="21"/>
      <w:lang w:eastAsia="en-US"/>
    </w:rPr>
  </w:style>
  <w:style w:type="character" w:styleId="1047" w:customStyle="1">
    <w:name w:val="纯文本 Char"/>
    <w:link w:val="1046"/>
    <w:uiPriority w:val="0"/>
    <w:qFormat/>
    <w:rPr>
      <w:rFonts w:ascii="宋体" w:hAnsi="Courier New" w:eastAsia="宋体"/>
      <w:sz w:val="21"/>
      <w:szCs w:val="21"/>
      <w:lang w:bidi="ar-SA"/>
    </w:rPr>
  </w:style>
  <w:style w:type="paragraph" w:styleId="1048" w:customStyle="1">
    <w:name w:val="日期1"/>
    <w:basedOn w:val="856"/>
    <w:next w:val="856"/>
    <w:link w:val="1049"/>
    <w:uiPriority w:val="0"/>
    <w:qFormat/>
    <w:rPr>
      <w:rFonts w:eastAsia="仿宋_GB2312"/>
      <w:sz w:val="28"/>
      <w:szCs w:val="20"/>
    </w:rPr>
  </w:style>
  <w:style w:type="character" w:styleId="1049" w:customStyle="1">
    <w:name w:val="日期 Char"/>
    <w:link w:val="1048"/>
    <w:uiPriority w:val="99"/>
    <w:qFormat/>
    <w:rPr>
      <w:rFonts w:eastAsia="仿宋_GB2312"/>
      <w:sz w:val="28"/>
    </w:rPr>
  </w:style>
  <w:style w:type="paragraph" w:styleId="1050" w:customStyle="1">
    <w:name w:val="正文文本缩进 21"/>
    <w:basedOn w:val="856"/>
    <w:link w:val="1051"/>
    <w:uiPriority w:val="0"/>
    <w:qFormat/>
    <w:pPr>
      <w:ind w:left="420"/>
      <w:spacing w:after="120" w:line="480" w:lineRule="auto"/>
    </w:pPr>
    <w:rPr>
      <w:lang w:eastAsia="en-US"/>
    </w:rPr>
  </w:style>
  <w:style w:type="character" w:styleId="1051" w:customStyle="1">
    <w:name w:val="正文文本缩进 2 Char"/>
    <w:link w:val="1050"/>
    <w:uiPriority w:val="99"/>
    <w:qFormat/>
    <w:rPr>
      <w:sz w:val="21"/>
      <w:szCs w:val="24"/>
    </w:rPr>
  </w:style>
  <w:style w:type="paragraph" w:styleId="1052" w:customStyle="1">
    <w:name w:val="批注框文本1"/>
    <w:basedOn w:val="856"/>
    <w:link w:val="1053"/>
    <w:uiPriority w:val="0"/>
    <w:qFormat/>
    <w:rPr>
      <w:sz w:val="18"/>
      <w:szCs w:val="18"/>
      <w:lang w:eastAsia="en-US"/>
    </w:rPr>
  </w:style>
  <w:style w:type="character" w:styleId="1053" w:customStyle="1">
    <w:name w:val="批注框文本 Char"/>
    <w:link w:val="1052"/>
    <w:uiPriority w:val="99"/>
    <w:qFormat/>
    <w:rPr>
      <w:sz w:val="18"/>
      <w:szCs w:val="18"/>
    </w:rPr>
  </w:style>
  <w:style w:type="paragraph" w:styleId="1054" w:customStyle="1">
    <w:name w:val="页脚1"/>
    <w:basedOn w:val="856"/>
    <w:uiPriority w:val="0"/>
    <w:qFormat/>
    <w:pPr>
      <w:jc w:val="left"/>
      <w:tabs>
        <w:tab w:val="center" w:pos="4153" w:leader="none"/>
        <w:tab w:val="right" w:pos="8306" w:leader="none"/>
      </w:tabs>
    </w:pPr>
    <w:rPr>
      <w:sz w:val="18"/>
      <w:szCs w:val="18"/>
    </w:rPr>
  </w:style>
  <w:style w:type="paragraph" w:styleId="1055" w:customStyle="1">
    <w:name w:val="页眉1"/>
    <w:basedOn w:val="856"/>
    <w:uiPriority w:val="0"/>
    <w:qFormat/>
    <w:pPr>
      <w:jc w:val="center"/>
      <w:tabs>
        <w:tab w:val="center" w:pos="4153" w:leader="none"/>
        <w:tab w:val="right" w:pos="8306" w:leader="none"/>
      </w:tabs>
      <w:pBdr>
        <w:bottom w:val="single" w:color="000000" w:sz="6" w:space="1"/>
      </w:pBdr>
    </w:pPr>
    <w:rPr>
      <w:sz w:val="18"/>
      <w:szCs w:val="18"/>
    </w:rPr>
  </w:style>
  <w:style w:type="character" w:styleId="1056" w:customStyle="1">
    <w:name w:val="脚注文本 Char"/>
    <w:link w:val="1027"/>
    <w:uiPriority w:val="0"/>
    <w:qFormat/>
    <w:rPr>
      <w:sz w:val="18"/>
      <w:szCs w:val="18"/>
    </w:rPr>
  </w:style>
  <w:style w:type="paragraph" w:styleId="1057" w:customStyle="1">
    <w:name w:val="标题1"/>
    <w:basedOn w:val="856"/>
    <w:next w:val="856"/>
    <w:link w:val="1058"/>
    <w:uiPriority w:val="0"/>
    <w:qFormat/>
    <w:pPr>
      <w:jc w:val="center"/>
      <w:spacing w:before="240" w:after="60"/>
      <w:outlineLvl w:val="0"/>
    </w:pPr>
    <w:rPr>
      <w:rFonts w:ascii="Cambria" w:hAnsi="Cambria"/>
      <w:b/>
      <w:bCs/>
      <w:sz w:val="32"/>
      <w:szCs w:val="32"/>
    </w:rPr>
  </w:style>
  <w:style w:type="character" w:styleId="1058" w:customStyle="1">
    <w:name w:val="标题 Char"/>
    <w:link w:val="1057"/>
    <w:uiPriority w:val="10"/>
    <w:qFormat/>
    <w:rPr>
      <w:rFonts w:ascii="Cambria" w:hAnsi="Cambria"/>
      <w:b/>
      <w:bCs/>
      <w:sz w:val="32"/>
      <w:szCs w:val="32"/>
    </w:rPr>
  </w:style>
  <w:style w:type="paragraph" w:styleId="1059" w:customStyle="1">
    <w:name w:val="批注主题1"/>
    <w:basedOn w:val="1041"/>
    <w:next w:val="1041"/>
    <w:link w:val="1060"/>
    <w:uiPriority w:val="0"/>
    <w:qFormat/>
    <w:rPr>
      <w:b/>
      <w:bCs/>
    </w:rPr>
  </w:style>
  <w:style w:type="character" w:styleId="1060" w:customStyle="1">
    <w:name w:val="批注主题 Char"/>
    <w:link w:val="1059"/>
    <w:uiPriority w:val="99"/>
    <w:qFormat/>
    <w:rPr>
      <w:b/>
      <w:bCs/>
      <w:sz w:val="21"/>
      <w:szCs w:val="24"/>
    </w:rPr>
  </w:style>
  <w:style w:type="character" w:styleId="1061" w:customStyle="1">
    <w:name w:val="要点1"/>
    <w:uiPriority w:val="0"/>
    <w:qFormat/>
    <w:rPr>
      <w:b/>
      <w:bCs/>
    </w:rPr>
  </w:style>
  <w:style w:type="character" w:styleId="1062" w:customStyle="1">
    <w:name w:val="页码1"/>
    <w:basedOn w:val="1037"/>
    <w:uiPriority w:val="0"/>
    <w:qFormat/>
  </w:style>
  <w:style w:type="character" w:styleId="1063" w:customStyle="1">
    <w:name w:val="已访问的超链接1"/>
    <w:uiPriority w:val="0"/>
    <w:qFormat/>
    <w:rPr>
      <w:color w:val="800080"/>
      <w:u w:val="single"/>
    </w:rPr>
  </w:style>
  <w:style w:type="character" w:styleId="1064" w:customStyle="1">
    <w:name w:val="超链接1"/>
    <w:uiPriority w:val="0"/>
    <w:qFormat/>
    <w:rPr>
      <w:color w:val="0000ff"/>
      <w:u w:val="single"/>
    </w:rPr>
  </w:style>
  <w:style w:type="character" w:styleId="1065" w:customStyle="1">
    <w:name w:val="批注引用1"/>
    <w:uiPriority w:val="0"/>
    <w:qFormat/>
    <w:rPr>
      <w:sz w:val="21"/>
      <w:szCs w:val="21"/>
    </w:rPr>
  </w:style>
  <w:style w:type="character" w:styleId="1066" w:customStyle="1">
    <w:name w:val="大汉方案正文 Char1"/>
    <w:link w:val="1067"/>
    <w:uiPriority w:val="0"/>
    <w:qFormat/>
    <w:rPr>
      <w:rFonts w:ascii="Arial" w:hAnsi="Arial"/>
      <w:sz w:val="24"/>
      <w:szCs w:val="24"/>
    </w:rPr>
  </w:style>
  <w:style w:type="paragraph" w:styleId="1067" w:customStyle="1">
    <w:name w:val="大汉方案正文"/>
    <w:basedOn w:val="856"/>
    <w:link w:val="1066"/>
    <w:uiPriority w:val="0"/>
    <w:qFormat/>
    <w:pPr>
      <w:ind w:firstLine="200"/>
      <w:spacing w:line="360" w:lineRule="auto"/>
    </w:pPr>
    <w:rPr>
      <w:rFonts w:ascii="Arial" w:hAnsi="Arial"/>
      <w:sz w:val="24"/>
      <w:lang w:eastAsia="en-US"/>
    </w:rPr>
  </w:style>
  <w:style w:type="paragraph" w:styleId="1068" w:customStyle="1">
    <w:name w:val="Char"/>
    <w:basedOn w:val="856"/>
    <w:uiPriority w:val="0"/>
    <w:qFormat/>
    <w:pPr>
      <w:tabs>
        <w:tab w:val="left" w:pos="360" w:leader="none"/>
      </w:tabs>
    </w:pPr>
    <w:rPr>
      <w:sz w:val="24"/>
    </w:rPr>
  </w:style>
  <w:style w:type="paragraph" w:styleId="1069" w:customStyle="1">
    <w:name w:val="p0"/>
    <w:basedOn w:val="856"/>
    <w:uiPriority w:val="0"/>
    <w:qFormat/>
    <w:pPr>
      <w:widowControl/>
    </w:pPr>
    <w:rPr>
      <w:szCs w:val="21"/>
    </w:rPr>
  </w:style>
  <w:style w:type="paragraph" w:styleId="1070" w:customStyle="1">
    <w:name w:val="表格3"/>
    <w:basedOn w:val="856"/>
    <w:uiPriority w:val="0"/>
    <w:qFormat/>
    <w:pPr>
      <w:jc w:val="center"/>
    </w:pPr>
  </w:style>
  <w:style w:type="paragraph" w:styleId="1071" w:customStyle="1">
    <w:name w:val="默认段落字体 Para Char Char Char Char Char Char Char"/>
    <w:basedOn w:val="856"/>
    <w:uiPriority w:val="0"/>
    <w:qFormat/>
    <w:rPr>
      <w:rFonts w:ascii="Tahoma" w:hAnsi="Tahoma"/>
      <w:sz w:val="24"/>
      <w:szCs w:val="20"/>
    </w:rPr>
  </w:style>
  <w:style w:type="paragraph" w:styleId="1072" w:customStyle="1">
    <w:name w:val="列出段落1"/>
    <w:basedOn w:val="856"/>
    <w:uiPriority w:val="0"/>
    <w:qFormat/>
    <w:pPr>
      <w:ind w:firstLine="420"/>
    </w:pPr>
  </w:style>
  <w:style w:type="character" w:styleId="1073" w:customStyle="1">
    <w:name w:val="font61"/>
    <w:uiPriority w:val="0"/>
    <w:qFormat/>
    <w:rPr>
      <w:rFonts w:ascii="宋体" w:hAnsi="宋体" w:eastAsia="宋体"/>
      <w:color w:val="000000"/>
      <w:sz w:val="20"/>
      <w:szCs w:val="20"/>
      <w:u w:val="none"/>
      <w:vertAlign w:val="superscript"/>
    </w:rPr>
  </w:style>
  <w:style w:type="paragraph" w:styleId="1074" w:customStyle="1">
    <w:name w:val="列出段落11"/>
    <w:basedOn w:val="856"/>
    <w:next w:val="1075"/>
    <w:uiPriority w:val="0"/>
    <w:qFormat/>
    <w:pPr>
      <w:ind w:firstLine="420"/>
    </w:pPr>
    <w:rPr>
      <w:rFonts w:ascii="Calibri" w:hAnsi="Calibri"/>
    </w:rPr>
  </w:style>
  <w:style w:type="paragraph" w:styleId="1075" w:customStyle="1">
    <w:name w:val="列表段落1"/>
    <w:basedOn w:val="856"/>
    <w:uiPriority w:val="34"/>
    <w:qFormat/>
    <w:pPr>
      <w:ind w:firstLine="420"/>
    </w:pPr>
  </w:style>
  <w:style w:type="paragraph" w:styleId="1076" w:customStyle="1">
    <w:name w:val="正文格式"/>
    <w:basedOn w:val="856"/>
    <w:uiPriority w:val="0"/>
    <w:qFormat/>
    <w:pPr>
      <w:ind w:firstLine="200"/>
      <w:tabs>
        <w:tab w:val="center" w:pos="4201" w:leader="none"/>
        <w:tab w:val="right" w:pos="9298" w:leader="dot"/>
      </w:tabs>
    </w:pPr>
    <w:rPr>
      <w:rFonts w:ascii="黑体" w:hAnsi="黑体"/>
      <w:sz w:val="20"/>
      <w:szCs w:val="20"/>
    </w:rPr>
  </w:style>
  <w:style w:type="paragraph" w:styleId="1077" w:customStyle="1">
    <w:name w:val="Item List in Table"/>
    <w:basedOn w:val="856"/>
    <w:uiPriority w:val="0"/>
    <w:qFormat/>
    <w:pPr>
      <w:ind w:left="284" w:hanging="284"/>
      <w:jc w:val="left"/>
      <w:spacing w:before="80" w:after="80" w:line="240" w:lineRule="atLeast"/>
      <w:widowControl/>
      <w:tabs>
        <w:tab w:val="left" w:pos="284" w:leader="none"/>
      </w:tabs>
    </w:pPr>
    <w:rPr>
      <w:szCs w:val="21"/>
    </w:rPr>
  </w:style>
  <w:style w:type="character" w:styleId="1078" w:customStyle="1">
    <w:name w:val="font31"/>
    <w:basedOn w:val="806"/>
    <w:link w:val="857"/>
    <w:uiPriority w:val="0"/>
    <w:qFormat/>
    <w:rPr>
      <w:rFonts w:ascii="微软雅黑" w:hAnsi="微软雅黑" w:eastAsia="微软雅黑"/>
      <w:color w:val="000000"/>
      <w:sz w:val="20"/>
      <w:szCs w:val="20"/>
      <w:u w:val="none"/>
    </w:rPr>
  </w:style>
  <w:style w:type="paragraph" w:styleId="1079" w:customStyle="1">
    <w:name w:val="列出段落51"/>
    <w:basedOn w:val="856"/>
    <w:uiPriority w:val="0"/>
    <w:qFormat/>
    <w:pPr>
      <w:ind w:firstLine="420"/>
    </w:pPr>
    <w:rPr>
      <w:rFonts w:ascii="Calibri" w:hAnsi="Calibri"/>
      <w:sz w:val="24"/>
    </w:rPr>
  </w:style>
  <w:style w:type="paragraph" w:styleId="1080" w:customStyle="1">
    <w:name w:val="列出段落5"/>
    <w:basedOn w:val="856"/>
    <w:uiPriority w:val="0"/>
    <w:qFormat/>
    <w:pPr>
      <w:ind w:firstLine="420"/>
    </w:pPr>
    <w:rPr>
      <w:rFonts w:ascii="Calibri" w:hAnsi="Calibri"/>
      <w:sz w:val="24"/>
    </w:rPr>
  </w:style>
  <w:style w:type="character" w:styleId="1081" w:customStyle="1">
    <w:name w:val="font81"/>
    <w:uiPriority w:val="99"/>
    <w:qFormat/>
    <w:rPr>
      <w:rFonts w:ascii="宋体" w:hAnsi="宋体" w:eastAsia="宋体"/>
      <w:color w:val="000000"/>
      <w:sz w:val="20"/>
      <w:szCs w:val="20"/>
      <w:u w:val="none"/>
    </w:rPr>
  </w:style>
  <w:style w:type="character" w:styleId="1082" w:customStyle="1">
    <w:name w:val="font11"/>
    <w:uiPriority w:val="0"/>
    <w:qFormat/>
    <w:rPr>
      <w:rFonts w:ascii="宋体" w:hAnsi="宋体" w:eastAsia="宋体"/>
      <w:color w:val="000000"/>
      <w:sz w:val="20"/>
      <w:szCs w:val="20"/>
      <w:u w:val="none"/>
    </w:rPr>
  </w:style>
  <w:style w:type="paragraph" w:styleId="1083" w:customStyle="1">
    <w:name w:val="_HT_正文"/>
    <w:basedOn w:val="856"/>
    <w:uiPriority w:val="0"/>
    <w:qFormat/>
    <w:pPr>
      <w:ind w:firstLine="200"/>
      <w:spacing w:line="360" w:lineRule="auto"/>
    </w:pPr>
    <w:rPr>
      <w:sz w:val="24"/>
    </w:rPr>
  </w:style>
  <w:style w:type="paragraph" w:styleId="1084" w:customStyle="1">
    <w:name w:val="样式 宋体 小四 行距: 1.5 倍行距1"/>
    <w:basedOn w:val="856"/>
    <w:uiPriority w:val="0"/>
    <w:qFormat/>
    <w:pPr>
      <w:ind w:firstLine="540"/>
      <w:spacing w:line="360" w:lineRule="auto"/>
    </w:pPr>
    <w:rPr>
      <w:rFonts w:ascii="宋体" w:hAnsi="宋体"/>
      <w:sz w:val="24"/>
      <w:szCs w:val="22"/>
    </w:rPr>
  </w:style>
  <w:style w:type="character" w:styleId="1085" w:customStyle="1">
    <w:name w:val="bsharetext"/>
    <w:basedOn w:val="806"/>
    <w:uiPriority w:val="0"/>
    <w:qFormat/>
  </w:style>
  <w:style w:type="paragraph" w:styleId="1086" w:customStyle="1">
    <w:name w:val="正文＋小四＋缩进2字符"/>
    <w:basedOn w:val="796"/>
    <w:uiPriority w:val="0"/>
    <w:qFormat/>
    <w:pPr>
      <w:ind w:firstLine="200"/>
      <w:spacing w:line="360" w:lineRule="auto"/>
    </w:pPr>
    <w:rPr>
      <w:sz w:val="24"/>
    </w:rPr>
  </w:style>
  <w:style w:type="character" w:styleId="1087" w:customStyle="1">
    <w:name w:val="文档结构图 Char"/>
    <w:basedOn w:val="806"/>
    <w:link w:val="815"/>
    <w:uiPriority w:val="99"/>
    <w:qFormat/>
    <w:rPr>
      <w:rFonts w:ascii="宋体" w:hAnsi="Calibri"/>
      <w:sz w:val="18"/>
      <w:szCs w:val="18"/>
    </w:rPr>
  </w:style>
  <w:style w:type="character" w:styleId="1088" w:customStyle="1">
    <w:name w:val="正文文本缩进 2 Char1"/>
    <w:basedOn w:val="806"/>
    <w:uiPriority w:val="99"/>
    <w:semiHidden/>
    <w:qFormat/>
  </w:style>
  <w:style w:type="character" w:styleId="1089" w:customStyle="1">
    <w:name w:val="正文文本缩进 3 Char"/>
    <w:basedOn w:val="806"/>
    <w:link w:val="837"/>
    <w:uiPriority w:val="99"/>
    <w:qFormat/>
    <w:rPr>
      <w:rFonts w:ascii="仿宋_GB2312" w:hAnsi="Calibri" w:eastAsia="仿宋_GB2312"/>
      <w:sz w:val="16"/>
      <w:szCs w:val="16"/>
    </w:rPr>
  </w:style>
  <w:style w:type="character" w:styleId="1090" w:customStyle="1">
    <w:name w:val="HTML 预设格式 Char"/>
    <w:basedOn w:val="806"/>
    <w:link w:val="841"/>
    <w:uiPriority w:val="99"/>
    <w:qFormat/>
    <w:rPr>
      <w:rFonts w:ascii="Arial" w:hAnsi="Arial" w:eastAsia="仿宋_GB2312"/>
      <w:sz w:val="24"/>
      <w:szCs w:val="24"/>
    </w:rPr>
  </w:style>
  <w:style w:type="character" w:styleId="1091" w:customStyle="1">
    <w:name w:val="批注主题 Char1"/>
    <w:basedOn w:val="883"/>
    <w:uiPriority w:val="99"/>
    <w:semiHidden/>
    <w:qFormat/>
    <w:rPr>
      <w:b/>
      <w:bCs/>
      <w:sz w:val="21"/>
      <w:szCs w:val="24"/>
    </w:rPr>
  </w:style>
  <w:style w:type="character" w:styleId="1092" w:customStyle="1">
    <w:name w:val="font111"/>
    <w:uiPriority w:val="99"/>
    <w:qFormat/>
    <w:rPr>
      <w:rFonts w:ascii="Verdana" w:hAnsi="Verdana" w:cs="Verdana"/>
      <w:color w:val="333333"/>
      <w:sz w:val="20"/>
      <w:szCs w:val="20"/>
      <w:u w:val="none"/>
    </w:rPr>
  </w:style>
  <w:style w:type="character" w:styleId="1093" w:customStyle="1">
    <w:name w:val="apple-converted-space"/>
    <w:uiPriority w:val="99"/>
    <w:qFormat/>
    <w:rPr>
      <w:rFonts w:cs="Times New Roman"/>
    </w:rPr>
  </w:style>
  <w:style w:type="character" w:styleId="1094" w:customStyle="1">
    <w:name w:val="font71"/>
    <w:uiPriority w:val="99"/>
    <w:qFormat/>
    <w:rPr>
      <w:rFonts w:ascii="仿宋_GB2312" w:eastAsia="仿宋_GB2312" w:cs="仿宋_GB2312"/>
      <w:color w:val="000000"/>
      <w:sz w:val="24"/>
      <w:szCs w:val="24"/>
      <w:u w:val="none"/>
    </w:rPr>
  </w:style>
  <w:style w:type="character" w:styleId="1095" w:customStyle="1">
    <w:name w:val="font01"/>
    <w:uiPriority w:val="99"/>
    <w:qFormat/>
    <w:rPr>
      <w:rFonts w:ascii="仿宋_GB2312" w:eastAsia="仿宋_GB2312" w:cs="仿宋_GB2312"/>
      <w:color w:val="000000"/>
      <w:sz w:val="24"/>
      <w:szCs w:val="24"/>
      <w:u w:val="none"/>
    </w:rPr>
  </w:style>
  <w:style w:type="character" w:styleId="1096" w:customStyle="1">
    <w:name w:val="Char Char"/>
    <w:uiPriority w:val="0"/>
    <w:qFormat/>
    <w:rPr>
      <w:rFonts w:ascii="宋体" w:hAnsi="Courier New" w:eastAsia="仿宋_GB2312"/>
      <w:sz w:val="21"/>
    </w:rPr>
  </w:style>
  <w:style w:type="character" w:styleId="1097" w:customStyle="1">
    <w:name w:val="Header Char"/>
    <w:uiPriority w:val="99"/>
    <w:qFormat/>
    <w:rPr>
      <w:rFonts w:ascii="Calibri" w:hAnsi="Calibri"/>
      <w:sz w:val="18"/>
    </w:rPr>
  </w:style>
  <w:style w:type="character" w:styleId="1098" w:customStyle="1">
    <w:name w:val="font141"/>
    <w:uiPriority w:val="99"/>
    <w:qFormat/>
    <w:rPr>
      <w:rFonts w:ascii="Tahoma" w:hAnsi="Tahoma" w:cs="Tahoma"/>
      <w:color w:val="000000"/>
      <w:sz w:val="20"/>
      <w:szCs w:val="20"/>
      <w:u w:val="none"/>
    </w:rPr>
  </w:style>
  <w:style w:type="character" w:styleId="1099" w:customStyle="1">
    <w:name w:val="font21"/>
    <w:basedOn w:val="806"/>
    <w:uiPriority w:val="0"/>
    <w:qFormat/>
    <w:rPr>
      <w:rFonts w:ascii="仿宋_GB2312" w:eastAsia="仿宋_GB2312" w:cs="仿宋_GB2312"/>
      <w:b/>
      <w:color w:val="000000"/>
      <w:sz w:val="24"/>
      <w:szCs w:val="24"/>
      <w:u w:val="none"/>
    </w:rPr>
  </w:style>
  <w:style w:type="character" w:styleId="1100" w:customStyle="1">
    <w:name w:val="Plain Text Char"/>
    <w:uiPriority w:val="99"/>
    <w:qFormat/>
    <w:rPr>
      <w:rFonts w:ascii="宋体" w:hAnsi="Courier New"/>
      <w:sz w:val="21"/>
    </w:rPr>
  </w:style>
  <w:style w:type="character" w:styleId="1101" w:customStyle="1">
    <w:name w:val="font131"/>
    <w:uiPriority w:val="99"/>
    <w:qFormat/>
    <w:rPr>
      <w:rFonts w:ascii="Tahoma" w:hAnsi="Tahoma" w:cs="Tahoma"/>
      <w:color w:val="333333"/>
      <w:sz w:val="20"/>
      <w:szCs w:val="20"/>
      <w:u w:val="none"/>
    </w:rPr>
  </w:style>
  <w:style w:type="character" w:styleId="1102" w:customStyle="1">
    <w:name w:val="font101"/>
    <w:uiPriority w:val="99"/>
    <w:qFormat/>
    <w:rPr>
      <w:rFonts w:ascii="宋体" w:hAnsi="宋体" w:eastAsia="宋体" w:cs="宋体"/>
      <w:color w:val="000000"/>
      <w:sz w:val="20"/>
      <w:szCs w:val="20"/>
      <w:u w:val="none"/>
    </w:rPr>
  </w:style>
  <w:style w:type="character" w:styleId="1103" w:customStyle="1">
    <w:name w:val="font51"/>
    <w:uiPriority w:val="0"/>
    <w:qFormat/>
    <w:rPr>
      <w:rFonts w:hint="eastAsia" w:ascii="宋体" w:hAnsi="宋体" w:eastAsia="宋体" w:cs="宋体"/>
      <w:color w:val="000000"/>
      <w:sz w:val="18"/>
      <w:szCs w:val="18"/>
      <w:u w:val="none"/>
    </w:rPr>
  </w:style>
  <w:style w:type="character" w:styleId="1104" w:customStyle="1">
    <w:name w:val="Heading 1 Char"/>
    <w:uiPriority w:val="9"/>
    <w:qFormat/>
    <w:rPr>
      <w:rFonts w:ascii="Arial" w:hAnsi="Arial" w:eastAsia="Arial"/>
      <w:sz w:val="40"/>
      <w:szCs w:val="40"/>
      <w:lang w:bidi="ar-SA"/>
    </w:rPr>
  </w:style>
  <w:style w:type="paragraph" w:styleId="1105" w:customStyle="1">
    <w:name w:val="正文_2_0_0"/>
    <w:uiPriority w:val="0"/>
    <w:qFormat/>
    <w:pPr>
      <w:jc w:val="both"/>
      <w:widowControl w:val="off"/>
    </w:pPr>
    <w:rPr>
      <w:rFonts w:ascii="Times New Roman" w:hAnsi="Times New Roman" w:eastAsia="宋体" w:cs="Times New Roman"/>
      <w:lang w:val="en-US" w:eastAsia="zh-CN" w:bidi="ar-SA"/>
    </w:rPr>
  </w:style>
  <w:style w:type="paragraph" w:styleId="1106" w:customStyle="1">
    <w:name w:val="xc正文"/>
    <w:basedOn w:val="796"/>
    <w:uiPriority w:val="0"/>
    <w:qFormat/>
    <w:pPr>
      <w:ind w:firstLine="200"/>
      <w:jc w:val="both"/>
      <w:spacing w:line="360" w:lineRule="auto"/>
      <w:widowControl w:val="off"/>
    </w:pPr>
    <w:rPr>
      <w:rFonts w:ascii="Calibri" w:hAnsi="Calibri" w:eastAsia="仿宋_GB2312"/>
      <w:sz w:val="24"/>
      <w:szCs w:val="24"/>
      <w:lang w:val="zh-CN"/>
    </w:rPr>
  </w:style>
  <w:style w:type="paragraph" w:styleId="1107" w:customStyle="1">
    <w:name w:val="Body text|3"/>
    <w:basedOn w:val="796"/>
    <w:uiPriority w:val="0"/>
    <w:qFormat/>
    <w:pPr>
      <w:ind w:left="260" w:hanging="260"/>
      <w:widowControl w:val="off"/>
    </w:pPr>
    <w:rPr>
      <w:color w:val="000000"/>
      <w:sz w:val="26"/>
      <w:szCs w:val="26"/>
    </w:rPr>
  </w:style>
  <w:style w:type="paragraph" w:styleId="1108"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09" w:customStyle="1">
    <w:name w:val="Body text|1"/>
    <w:basedOn w:val="796"/>
    <w:uiPriority w:val="0"/>
    <w:qFormat/>
    <w:pPr>
      <w:ind w:firstLine="400"/>
      <w:spacing w:line="417" w:lineRule="auto"/>
      <w:widowControl w:val="off"/>
    </w:pPr>
    <w:rPr>
      <w:rFonts w:ascii="宋体" w:hAnsi="宋体" w:cs="宋体"/>
      <w:color w:val="000000"/>
      <w:sz w:val="30"/>
      <w:szCs w:val="30"/>
    </w:rPr>
  </w:style>
  <w:style w:type="paragraph" w:styleId="1110" w:customStyle="1">
    <w:name w:val="Table Paragraph"/>
    <w:basedOn w:val="796"/>
    <w:uiPriority w:val="1"/>
    <w:qFormat/>
    <w:pPr>
      <w:jc w:val="both"/>
      <w:widowControl w:val="off"/>
    </w:pPr>
    <w:rPr>
      <w:rFonts w:ascii="宋体" w:hAnsi="宋体" w:cs="宋体"/>
      <w:sz w:val="21"/>
      <w:szCs w:val="24"/>
      <w:lang w:val="zh-CN" w:bidi="zh-CN"/>
    </w:rPr>
  </w:style>
  <w:style w:type="paragraph" w:styleId="1111" w:customStyle="1">
    <w:name w:val="彩色列表 - 着色 11"/>
    <w:basedOn w:val="796"/>
    <w:uiPriority w:val="99"/>
    <w:qFormat/>
    <w:pPr>
      <w:ind w:firstLine="420"/>
      <w:jc w:val="both"/>
      <w:spacing w:line="274" w:lineRule="auto"/>
      <w:widowControl w:val="off"/>
    </w:pPr>
    <w:rPr>
      <w:rFonts w:ascii="仿宋_GB2312" w:hAnsi="Calibri" w:eastAsia="仿宋_GB2312"/>
      <w:szCs w:val="24"/>
    </w:rPr>
  </w:style>
  <w:style w:type="paragraph" w:styleId="1112" w:customStyle="1">
    <w:name w:val="xl134"/>
    <w:basedOn w:val="796"/>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113" w:customStyle="1">
    <w:name w:val="_Style 1"/>
    <w:basedOn w:val="796"/>
    <w:uiPriority w:val="0"/>
    <w:qFormat/>
    <w:pPr>
      <w:ind w:firstLine="420"/>
      <w:jc w:val="both"/>
      <w:widowControl w:val="off"/>
    </w:pPr>
    <w:rPr>
      <w:rFonts w:ascii="Calibri" w:hAnsi="Calibri"/>
    </w:rPr>
  </w:style>
  <w:style w:type="paragraph" w:styleId="1114" w:customStyle="1">
    <w:name w:val="HTML 预设格式1"/>
    <w:basedOn w:val="85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olor w:val="auto"/>
    </w:rPr>
  </w:style>
  <w:style w:type="paragraph" w:styleId="1115" w:customStyle="1">
    <w:name w:val="副标题1"/>
    <w:basedOn w:val="857"/>
    <w:next w:val="857"/>
    <w:uiPriority w:val="0"/>
    <w:qFormat/>
    <w:pPr>
      <w:ind w:left="100" w:right="100"/>
      <w:jc w:val="center"/>
      <w:spacing w:before="240" w:after="120" w:line="312" w:lineRule="auto"/>
      <w:outlineLvl w:val="1"/>
    </w:pPr>
    <w:rPr>
      <w:rFonts w:ascii="Cambria" w:hAnsi="Cambria"/>
      <w:b/>
      <w:bCs/>
      <w:color w:val="auto"/>
      <w:sz w:val="32"/>
      <w:szCs w:val="32"/>
    </w:rPr>
  </w:style>
  <w:style w:type="character" w:styleId="1116" w:customStyle="1">
    <w:name w:val="font41"/>
    <w:basedOn w:val="806"/>
    <w:uiPriority w:val="0"/>
    <w:qFormat/>
    <w:rPr>
      <w:rFonts w:hint="eastAsia" w:ascii="宋体" w:hAnsi="宋体" w:eastAsia="宋体" w:cs="宋体"/>
      <w:color w:val="ff0000"/>
      <w:sz w:val="24"/>
      <w:szCs w:val="24"/>
      <w:u w:val="none"/>
    </w:rPr>
  </w:style>
  <w:style w:type="character" w:styleId="1117" w:customStyle="1">
    <w:name w:val="font112"/>
    <w:basedOn w:val="806"/>
    <w:uiPriority w:val="0"/>
    <w:qFormat/>
    <w:rPr>
      <w:rFonts w:hint="eastAsia" w:ascii="宋体" w:hAnsi="宋体" w:eastAsia="宋体" w:cs="宋体"/>
      <w:color w:val="000000"/>
      <w:sz w:val="40"/>
      <w:szCs w:val="40"/>
      <w:u w:val="none"/>
      <w:vertAlign w:val="superscript"/>
    </w:rPr>
  </w:style>
  <w:style w:type="paragraph" w:styleId="1118" w:customStyle="1">
    <w:name w:val="font5"/>
    <w:basedOn w:val="796"/>
    <w:uiPriority w:val="0"/>
    <w:qFormat/>
    <w:pPr>
      <w:spacing w:before="100" w:beforeAutospacing="1" w:after="100" w:afterAutospacing="1"/>
    </w:pPr>
    <w:rPr>
      <w:sz w:val="24"/>
      <w:szCs w:val="24"/>
    </w:rPr>
  </w:style>
  <w:style w:type="paragraph" w:styleId="1119" w:customStyle="1">
    <w:name w:val="font6"/>
    <w:basedOn w:val="796"/>
    <w:uiPriority w:val="0"/>
    <w:qFormat/>
    <w:pPr>
      <w:spacing w:before="100" w:beforeAutospacing="1" w:after="100" w:afterAutospacing="1"/>
    </w:pPr>
    <w:rPr>
      <w:rFonts w:ascii="宋体" w:hAnsi="宋体" w:cs="宋体"/>
      <w:color w:val="000000"/>
      <w:sz w:val="24"/>
      <w:szCs w:val="24"/>
    </w:rPr>
  </w:style>
  <w:style w:type="paragraph" w:styleId="1120" w:customStyle="1">
    <w:name w:val="font7"/>
    <w:basedOn w:val="796"/>
    <w:uiPriority w:val="0"/>
    <w:qFormat/>
    <w:pPr>
      <w:spacing w:before="100" w:beforeAutospacing="1" w:after="100" w:afterAutospacing="1"/>
    </w:pPr>
    <w:rPr>
      <w:rFonts w:ascii="宋体" w:hAnsi="宋体" w:cs="宋体"/>
      <w:sz w:val="24"/>
      <w:szCs w:val="24"/>
    </w:rPr>
  </w:style>
  <w:style w:type="paragraph" w:styleId="1121" w:customStyle="1">
    <w:name w:val="font8"/>
    <w:basedOn w:val="796"/>
    <w:uiPriority w:val="0"/>
    <w:qFormat/>
    <w:pPr>
      <w:spacing w:before="100" w:beforeAutospacing="1" w:after="100" w:afterAutospacing="1"/>
    </w:pPr>
    <w:rPr>
      <w:color w:val="000000"/>
      <w:sz w:val="24"/>
      <w:szCs w:val="24"/>
    </w:rPr>
  </w:style>
  <w:style w:type="paragraph" w:styleId="1122" w:customStyle="1">
    <w:name w:val="font9"/>
    <w:basedOn w:val="796"/>
    <w:uiPriority w:val="0"/>
    <w:qFormat/>
    <w:pPr>
      <w:spacing w:before="100" w:beforeAutospacing="1" w:after="100" w:afterAutospacing="1"/>
    </w:pPr>
    <w:rPr>
      <w:rFonts w:ascii="宋体" w:hAnsi="宋体" w:cs="宋体"/>
      <w:sz w:val="18"/>
      <w:szCs w:val="18"/>
    </w:rPr>
  </w:style>
  <w:style w:type="paragraph" w:styleId="1123" w:customStyle="1">
    <w:name w:val="xl66"/>
    <w:basedOn w:val="79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24" w:customStyle="1">
    <w:name w:val="xl67"/>
    <w:basedOn w:val="796"/>
    <w:uiPriority w:val="0"/>
    <w:qFormat/>
    <w:pPr>
      <w:spacing w:before="100" w:beforeAutospacing="1" w:after="100" w:afterAutospacing="1"/>
    </w:pPr>
    <w:rPr>
      <w:color w:val="000000"/>
      <w:sz w:val="24"/>
      <w:szCs w:val="24"/>
    </w:rPr>
  </w:style>
  <w:style w:type="paragraph" w:styleId="1125" w:customStyle="1">
    <w:name w:val="xl68"/>
    <w:basedOn w:val="796"/>
    <w:uiPriority w:val="0"/>
    <w:qFormat/>
    <w:pPr>
      <w:spacing w:before="100" w:beforeAutospacing="1" w:after="100" w:afterAutospacing="1"/>
    </w:pPr>
    <w:rPr>
      <w:b/>
      <w:bCs/>
      <w:color w:val="000000"/>
      <w:sz w:val="24"/>
      <w:szCs w:val="24"/>
    </w:rPr>
  </w:style>
  <w:style w:type="paragraph" w:styleId="1126" w:customStyle="1">
    <w:name w:val="xl69"/>
    <w:basedOn w:val="796"/>
    <w:uiPriority w:val="0"/>
    <w:qFormat/>
    <w:pPr>
      <w:spacing w:before="100" w:beforeAutospacing="1" w:after="100" w:afterAutospacing="1"/>
      <w:shd w:val="clear" w:color="000000" w:fill="d9e1f2"/>
    </w:pPr>
    <w:rPr>
      <w:color w:val="000000"/>
      <w:sz w:val="24"/>
      <w:szCs w:val="24"/>
    </w:rPr>
  </w:style>
  <w:style w:type="paragraph" w:styleId="1127" w:customStyle="1">
    <w:name w:val="xl70"/>
    <w:basedOn w:val="796"/>
    <w:uiPriority w:val="0"/>
    <w:qFormat/>
    <w:pPr>
      <w:spacing w:before="100" w:beforeAutospacing="1" w:after="100" w:afterAutospacing="1"/>
    </w:pPr>
    <w:rPr>
      <w:color w:val="ff0000"/>
      <w:sz w:val="24"/>
      <w:szCs w:val="24"/>
    </w:rPr>
  </w:style>
  <w:style w:type="paragraph" w:styleId="1128" w:customStyle="1">
    <w:name w:val="xl71"/>
    <w:basedOn w:val="796"/>
    <w:uiPriority w:val="0"/>
    <w:qFormat/>
    <w:pPr>
      <w:spacing w:before="100" w:beforeAutospacing="1" w:after="100" w:afterAutospacing="1"/>
      <w:shd w:val="clear" w:color="000000" w:fill="d9e1f2"/>
    </w:pPr>
    <w:rPr>
      <w:color w:val="ff0000"/>
      <w:sz w:val="24"/>
      <w:szCs w:val="24"/>
    </w:rPr>
  </w:style>
  <w:style w:type="paragraph" w:styleId="1129" w:customStyle="1">
    <w:name w:val="xl72"/>
    <w:basedOn w:val="796"/>
    <w:uiPriority w:val="0"/>
    <w:qFormat/>
    <w:pPr>
      <w:spacing w:before="100" w:beforeAutospacing="1" w:after="100" w:afterAutospacing="1"/>
    </w:pPr>
    <w:rPr>
      <w:sz w:val="24"/>
      <w:szCs w:val="24"/>
    </w:rPr>
  </w:style>
  <w:style w:type="paragraph" w:styleId="1130" w:customStyle="1">
    <w:name w:val="xl73"/>
    <w:basedOn w:val="796"/>
    <w:uiPriority w:val="0"/>
    <w:qFormat/>
    <w:pPr>
      <w:spacing w:before="100" w:beforeAutospacing="1" w:after="100" w:afterAutospacing="1"/>
      <w:shd w:val="clear" w:color="000000" w:fill="ffff00"/>
    </w:pPr>
    <w:rPr>
      <w:color w:val="ff0000"/>
      <w:sz w:val="24"/>
      <w:szCs w:val="24"/>
    </w:rPr>
  </w:style>
  <w:style w:type="paragraph" w:styleId="1131" w:customStyle="1">
    <w:name w:val="xl74"/>
    <w:basedOn w:val="796"/>
    <w:uiPriority w:val="0"/>
    <w:qFormat/>
    <w:pPr>
      <w:spacing w:before="100" w:beforeAutospacing="1" w:after="100" w:afterAutospacing="1"/>
      <w:shd w:val="clear" w:color="000000" w:fill="d9e1f2"/>
    </w:pPr>
    <w:rPr>
      <w:sz w:val="24"/>
      <w:szCs w:val="24"/>
    </w:rPr>
  </w:style>
  <w:style w:type="paragraph" w:styleId="1132" w:customStyle="1">
    <w:name w:val="xl75"/>
    <w:basedOn w:val="796"/>
    <w:uiPriority w:val="0"/>
    <w:qFormat/>
    <w:pPr>
      <w:spacing w:before="100" w:beforeAutospacing="1" w:after="100" w:afterAutospacing="1"/>
      <w:shd w:val="clear" w:color="000000" w:fill="ffff00"/>
    </w:pPr>
    <w:rPr>
      <w:color w:val="000000"/>
      <w:sz w:val="24"/>
      <w:szCs w:val="24"/>
    </w:rPr>
  </w:style>
  <w:style w:type="paragraph" w:styleId="1133" w:customStyle="1">
    <w:name w:val="xl76"/>
    <w:basedOn w:val="796"/>
    <w:uiPriority w:val="0"/>
    <w:qFormat/>
    <w:pPr>
      <w:spacing w:before="100" w:beforeAutospacing="1" w:after="100" w:afterAutospacing="1"/>
    </w:pPr>
    <w:rPr>
      <w:color w:val="000000"/>
      <w:sz w:val="24"/>
      <w:szCs w:val="24"/>
    </w:rPr>
  </w:style>
  <w:style w:type="paragraph" w:styleId="1134" w:customStyle="1">
    <w:name w:val="xl77"/>
    <w:basedOn w:val="796"/>
    <w:uiPriority w:val="0"/>
    <w:qFormat/>
    <w:pPr>
      <w:spacing w:before="100" w:beforeAutospacing="1" w:after="100" w:afterAutospacing="1"/>
    </w:pPr>
    <w:rPr>
      <w:color w:val="000000"/>
      <w:sz w:val="24"/>
      <w:szCs w:val="24"/>
    </w:rPr>
  </w:style>
  <w:style w:type="paragraph" w:styleId="1135" w:customStyle="1">
    <w:name w:val="xl78"/>
    <w:basedOn w:val="796"/>
    <w:uiPriority w:val="0"/>
    <w:qFormat/>
    <w:pPr>
      <w:spacing w:before="100" w:beforeAutospacing="1" w:after="100" w:afterAutospacing="1"/>
    </w:pPr>
    <w:rPr>
      <w:sz w:val="24"/>
      <w:szCs w:val="24"/>
    </w:rPr>
  </w:style>
  <w:style w:type="paragraph" w:styleId="1136" w:customStyle="1">
    <w:name w:val="xl79"/>
    <w:basedOn w:val="796"/>
    <w:uiPriority w:val="0"/>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cs="宋体"/>
      <w:b/>
      <w:bCs/>
      <w:sz w:val="24"/>
      <w:szCs w:val="24"/>
    </w:rPr>
  </w:style>
  <w:style w:type="paragraph" w:styleId="1137" w:customStyle="1">
    <w:name w:val="xl80"/>
    <w:basedOn w:val="79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b/>
      <w:bCs/>
      <w:sz w:val="24"/>
      <w:szCs w:val="24"/>
    </w:rPr>
  </w:style>
  <w:style w:type="paragraph" w:styleId="1138" w:customStyle="1">
    <w:name w:val="xl81"/>
    <w:basedOn w:val="79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39" w:customStyle="1">
    <w:name w:val="xl82"/>
    <w:basedOn w:val="79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40" w:customStyle="1">
    <w:name w:val="xl83"/>
    <w:basedOn w:val="79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41" w:customStyle="1">
    <w:name w:val="xl84"/>
    <w:basedOn w:val="79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42" w:customStyle="1">
    <w:name w:val="xl85"/>
    <w:basedOn w:val="79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43" w:customStyle="1">
    <w:name w:val="xl86"/>
    <w:basedOn w:val="79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44" w:customStyle="1">
    <w:name w:val="xl87"/>
    <w:basedOn w:val="79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145" w:customStyle="1">
    <w:name w:val="xl88"/>
    <w:basedOn w:val="79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ff0000"/>
      <w:sz w:val="24"/>
      <w:szCs w:val="24"/>
    </w:rPr>
  </w:style>
  <w:style w:type="paragraph" w:styleId="1146" w:customStyle="1">
    <w:name w:val="xl89"/>
    <w:basedOn w:val="796"/>
    <w:uiPriority w:val="0"/>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cs="宋体"/>
      <w:sz w:val="24"/>
      <w:szCs w:val="24"/>
    </w:rPr>
  </w:style>
  <w:style w:type="paragraph" w:styleId="1147" w:customStyle="1">
    <w:name w:val="xl90"/>
    <w:basedOn w:val="796"/>
    <w:uiPriority w:val="0"/>
    <w:qFormat/>
    <w:pPr>
      <w:jc w:val="center"/>
      <w:spacing w:before="100" w:beforeAutospacing="1" w:after="100" w:afterAutospacing="1"/>
      <w:shd w:val="clear" w:color="000000" w:fill="92d050"/>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48" w:customStyle="1">
    <w:name w:val="xl91"/>
    <w:basedOn w:val="796"/>
    <w:uiPriority w:val="0"/>
    <w:qFormat/>
    <w:pPr>
      <w:jc w:val="center"/>
      <w:spacing w:before="100" w:beforeAutospacing="1" w:after="100" w:afterAutospacing="1"/>
      <w:shd w:val="clear" w:color="000000" w:fill="92d050"/>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49" w:customStyle="1">
    <w:name w:val="xl92"/>
    <w:basedOn w:val="796"/>
    <w:uiPriority w:val="0"/>
    <w:qFormat/>
    <w:pPr>
      <w:jc w:val="center"/>
      <w:spacing w:before="100" w:beforeAutospacing="1" w:after="100" w:afterAutospacing="1"/>
      <w:shd w:val="clear" w:color="000000" w:fill="ffff00"/>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50" w:customStyle="1">
    <w:name w:val="xl93"/>
    <w:basedOn w:val="796"/>
    <w:uiPriority w:val="0"/>
    <w:qFormat/>
    <w:pPr>
      <w:jc w:val="center"/>
      <w:spacing w:before="100" w:beforeAutospacing="1" w:after="100" w:afterAutospacing="1"/>
      <w:shd w:val="clear" w:color="000000" w:fill="ffff00"/>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151" w:customStyle="1">
    <w:name w:val="xl94"/>
    <w:basedOn w:val="79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sz w:val="24"/>
      <w:szCs w:val="24"/>
    </w:rPr>
  </w:style>
  <w:style w:type="paragraph" w:styleId="1152" w:customStyle="1">
    <w:name w:val="xl95"/>
    <w:basedOn w:val="79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53" w:customStyle="1">
    <w:name w:val="xl96"/>
    <w:basedOn w:val="796"/>
    <w:uiPriority w:val="0"/>
    <w:qFormat/>
    <w:pPr>
      <w:jc w:val="center"/>
      <w:spacing w:before="100" w:beforeAutospacing="1" w:after="100" w:afterAutospacing="1"/>
      <w:shd w:val="clear" w:color="000000" w:fill="ffff00"/>
      <w:pBdr>
        <w:top w:val="single" w:color="auto" w:sz="4" w:space="0"/>
        <w:left w:val="single" w:color="auto" w:sz="4" w:space="0"/>
        <w:bottom w:val="single" w:color="auto" w:sz="4" w:space="0"/>
        <w:right w:val="single" w:color="auto" w:sz="4" w:space="0"/>
      </w:pBdr>
    </w:pPr>
    <w:rPr>
      <w:b/>
      <w:bCs/>
      <w:color w:val="000000"/>
      <w:sz w:val="24"/>
      <w:szCs w:val="24"/>
    </w:rPr>
  </w:style>
  <w:style w:type="paragraph" w:styleId="1154" w:customStyle="1">
    <w:name w:val="xl97"/>
    <w:basedOn w:val="796"/>
    <w:uiPriority w:val="0"/>
    <w:qFormat/>
    <w:pPr>
      <w:jc w:val="center"/>
      <w:spacing w:before="100" w:beforeAutospacing="1" w:after="100" w:afterAutospacing="1"/>
      <w:shd w:val="clear" w:color="000000" w:fill="ffff00"/>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155" w:customStyle="1">
    <w:name w:val="xl98"/>
    <w:basedOn w:val="796"/>
    <w:uiPriority w:val="0"/>
    <w:qFormat/>
    <w:pPr>
      <w:jc w:val="center"/>
      <w:spacing w:before="100" w:beforeAutospacing="1" w:after="100" w:afterAutospacing="1"/>
      <w:shd w:val="clear" w:color="000000" w:fill="ffff00"/>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56" w:customStyle="1">
    <w:name w:val="xl99"/>
    <w:basedOn w:val="79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b/>
      <w:bCs/>
      <w:color w:val="000000"/>
      <w:sz w:val="24"/>
      <w:szCs w:val="24"/>
    </w:rPr>
  </w:style>
  <w:style w:type="paragraph" w:styleId="1157" w:customStyle="1">
    <w:name w:val="xl100"/>
    <w:basedOn w:val="796"/>
    <w:uiPriority w:val="0"/>
    <w:qFormat/>
    <w:pPr>
      <w:jc w:val="center"/>
      <w:spacing w:before="100" w:beforeAutospacing="1" w:after="100" w:afterAutospacing="1"/>
      <w:shd w:val="clear" w:color="000000" w:fill="ffff00"/>
      <w:pBdr>
        <w:top w:val="single" w:color="auto" w:sz="4" w:space="0"/>
        <w:left w:val="single" w:color="auto" w:sz="4" w:space="0"/>
        <w:right w:val="single" w:color="auto" w:sz="4" w:space="0"/>
      </w:pBdr>
    </w:pPr>
    <w:rPr>
      <w:b/>
      <w:bCs/>
      <w:color w:val="000000"/>
      <w:sz w:val="24"/>
      <w:szCs w:val="24"/>
    </w:rPr>
  </w:style>
  <w:style w:type="paragraph" w:styleId="1158" w:customStyle="1">
    <w:name w:val="xl101"/>
    <w:basedOn w:val="796"/>
    <w:uiPriority w:val="0"/>
    <w:qFormat/>
    <w:pPr>
      <w:jc w:val="center"/>
      <w:spacing w:before="100" w:beforeAutospacing="1" w:after="100" w:afterAutospacing="1"/>
      <w:shd w:val="clear" w:color="000000" w:fill="ffff00"/>
      <w:pBdr>
        <w:left w:val="single" w:color="auto" w:sz="4" w:space="0"/>
        <w:bottom w:val="single" w:color="auto" w:sz="4" w:space="0"/>
        <w:right w:val="single" w:color="auto" w:sz="4" w:space="0"/>
      </w:pBdr>
    </w:pPr>
    <w:rPr>
      <w:b/>
      <w:bCs/>
      <w:color w:val="000000"/>
      <w:sz w:val="24"/>
      <w:szCs w:val="24"/>
    </w:rPr>
  </w:style>
  <w:style w:type="paragraph" w:styleId="1159" w:customStyle="1">
    <w:name w:val="xl102"/>
    <w:basedOn w:val="796"/>
    <w:uiPriority w:val="0"/>
    <w:qFormat/>
    <w:pPr>
      <w:jc w:val="center"/>
      <w:spacing w:before="100" w:beforeAutospacing="1" w:after="100" w:afterAutospacing="1"/>
      <w:shd w:val="clear" w:color="000000" w:fill="ffff00"/>
      <w:pBdr>
        <w:top w:val="single" w:color="auto" w:sz="4" w:space="0"/>
        <w:left w:val="single" w:color="auto" w:sz="4" w:space="0"/>
        <w:right w:val="single" w:color="auto" w:sz="4" w:space="0"/>
      </w:pBdr>
    </w:pPr>
    <w:rPr>
      <w:color w:val="000000"/>
      <w:sz w:val="24"/>
      <w:szCs w:val="24"/>
    </w:rPr>
  </w:style>
  <w:style w:type="paragraph" w:styleId="1160" w:customStyle="1">
    <w:name w:val="xl103"/>
    <w:basedOn w:val="796"/>
    <w:uiPriority w:val="0"/>
    <w:qFormat/>
    <w:pPr>
      <w:jc w:val="center"/>
      <w:spacing w:before="100" w:beforeAutospacing="1" w:after="100" w:afterAutospacing="1"/>
      <w:shd w:val="clear" w:color="000000" w:fill="ffff00"/>
      <w:pBdr>
        <w:left w:val="single" w:color="auto" w:sz="4" w:space="0"/>
        <w:bottom w:val="single" w:color="auto" w:sz="4" w:space="0"/>
        <w:right w:val="single" w:color="auto" w:sz="4" w:space="0"/>
      </w:pBdr>
    </w:pPr>
    <w:rPr>
      <w:color w:val="000000"/>
      <w:sz w:val="24"/>
      <w:szCs w:val="24"/>
    </w:rPr>
  </w:style>
  <w:style w:type="paragraph" w:styleId="1161" w:customStyle="1">
    <w:name w:val="xl104"/>
    <w:basedOn w:val="796"/>
    <w:uiPriority w:val="0"/>
    <w:qFormat/>
    <w:pPr>
      <w:jc w:val="center"/>
      <w:spacing w:before="100" w:beforeAutospacing="1" w:after="100" w:afterAutospacing="1"/>
      <w:shd w:val="clear" w:color="000000" w:fill="ffff00"/>
      <w:pBdr>
        <w:top w:val="single" w:color="auto" w:sz="4" w:space="0"/>
        <w:left w:val="single" w:color="auto" w:sz="4" w:space="0"/>
        <w:right w:val="single" w:color="auto" w:sz="4" w:space="0"/>
      </w:pBdr>
    </w:pPr>
    <w:rPr>
      <w:color w:val="000000"/>
      <w:sz w:val="24"/>
      <w:szCs w:val="24"/>
    </w:rPr>
  </w:style>
  <w:style w:type="paragraph" w:styleId="1162" w:customStyle="1">
    <w:name w:val="xl105"/>
    <w:basedOn w:val="796"/>
    <w:uiPriority w:val="0"/>
    <w:qFormat/>
    <w:pPr>
      <w:jc w:val="center"/>
      <w:spacing w:before="100" w:beforeAutospacing="1" w:after="100" w:afterAutospacing="1"/>
      <w:shd w:val="clear" w:color="000000" w:fill="ffff00"/>
      <w:pBdr>
        <w:left w:val="single" w:color="auto" w:sz="4" w:space="0"/>
        <w:right w:val="single" w:color="auto" w:sz="4" w:space="0"/>
      </w:pBdr>
    </w:pPr>
    <w:rPr>
      <w:color w:val="000000"/>
      <w:sz w:val="24"/>
      <w:szCs w:val="24"/>
    </w:rPr>
  </w:style>
  <w:style w:type="paragraph" w:styleId="1163" w:customStyle="1">
    <w:name w:val="xl106"/>
    <w:basedOn w:val="796"/>
    <w:uiPriority w:val="0"/>
    <w:qFormat/>
    <w:pPr>
      <w:jc w:val="center"/>
      <w:spacing w:before="100" w:beforeAutospacing="1" w:after="100" w:afterAutospacing="1"/>
      <w:shd w:val="clear" w:color="000000" w:fill="ffff00"/>
      <w:pBdr>
        <w:left w:val="single" w:color="auto" w:sz="4" w:space="0"/>
        <w:bottom w:val="single" w:color="auto" w:sz="4" w:space="0"/>
        <w:right w:val="single" w:color="auto" w:sz="4" w:space="0"/>
      </w:pBdr>
    </w:pPr>
    <w:rPr>
      <w:color w:val="000000"/>
      <w:sz w:val="24"/>
      <w:szCs w:val="24"/>
    </w:rPr>
  </w:style>
  <w:style w:type="paragraph" w:styleId="1164" w:customStyle="1">
    <w:name w:val="xl107"/>
    <w:basedOn w:val="796"/>
    <w:uiPriority w:val="0"/>
    <w:qFormat/>
    <w:pPr>
      <w:jc w:val="center"/>
      <w:spacing w:before="100" w:beforeAutospacing="1" w:after="100" w:afterAutospacing="1"/>
      <w:pBdr>
        <w:top w:val="single" w:color="auto" w:sz="4" w:space="0"/>
        <w:left w:val="single" w:color="auto" w:sz="4" w:space="0"/>
        <w:right w:val="single" w:color="auto" w:sz="4" w:space="0"/>
      </w:pBdr>
    </w:pPr>
    <w:rPr>
      <w:b/>
      <w:bCs/>
      <w:color w:val="000000"/>
      <w:sz w:val="24"/>
      <w:szCs w:val="24"/>
    </w:rPr>
  </w:style>
  <w:style w:type="paragraph" w:styleId="1165" w:customStyle="1">
    <w:name w:val="xl108"/>
    <w:basedOn w:val="796"/>
    <w:uiPriority w:val="0"/>
    <w:qFormat/>
    <w:pPr>
      <w:jc w:val="center"/>
      <w:spacing w:before="100" w:beforeAutospacing="1" w:after="100" w:afterAutospacing="1"/>
      <w:pBdr>
        <w:left w:val="single" w:color="auto" w:sz="4" w:space="0"/>
        <w:right w:val="single" w:color="auto" w:sz="4" w:space="0"/>
      </w:pBdr>
    </w:pPr>
    <w:rPr>
      <w:b/>
      <w:bCs/>
      <w:color w:val="000000"/>
      <w:sz w:val="24"/>
      <w:szCs w:val="24"/>
    </w:rPr>
  </w:style>
  <w:style w:type="paragraph" w:styleId="1166" w:customStyle="1">
    <w:name w:val="xl109"/>
    <w:basedOn w:val="796"/>
    <w:uiPriority w:val="0"/>
    <w:qFormat/>
    <w:pPr>
      <w:jc w:val="center"/>
      <w:spacing w:before="100" w:beforeAutospacing="1" w:after="100" w:afterAutospacing="1"/>
      <w:pBdr>
        <w:left w:val="single" w:color="auto" w:sz="4" w:space="0"/>
        <w:bottom w:val="single" w:color="auto" w:sz="4" w:space="0"/>
        <w:right w:val="single" w:color="auto" w:sz="4" w:space="0"/>
      </w:pBdr>
    </w:pPr>
    <w:rPr>
      <w:b/>
      <w:bCs/>
      <w:color w:val="000000"/>
      <w:sz w:val="24"/>
      <w:szCs w:val="24"/>
    </w:rPr>
  </w:style>
  <w:style w:type="paragraph" w:styleId="1167" w:customStyle="1">
    <w:name w:val="xl110"/>
    <w:basedOn w:val="796"/>
    <w:uiPriority w:val="0"/>
    <w:qFormat/>
    <w:pPr>
      <w:jc w:val="center"/>
      <w:spacing w:before="100" w:beforeAutospacing="1" w:after="100" w:afterAutospacing="1"/>
      <w:shd w:val="clear" w:color="000000" w:fill="ffff00"/>
      <w:pBdr>
        <w:left w:val="single" w:color="auto" w:sz="4" w:space="0"/>
        <w:right w:val="single" w:color="auto" w:sz="4" w:space="0"/>
      </w:pBdr>
    </w:pPr>
    <w:rPr>
      <w:b/>
      <w:bCs/>
      <w:color w:val="000000"/>
      <w:sz w:val="24"/>
      <w:szCs w:val="24"/>
    </w:rPr>
  </w:style>
  <w:style w:type="paragraph" w:styleId="1168" w:customStyle="1">
    <w:name w:val="xl111"/>
    <w:basedOn w:val="796"/>
    <w:uiPriority w:val="0"/>
    <w:qFormat/>
    <w:pPr>
      <w:jc w:val="center"/>
      <w:spacing w:before="100" w:beforeAutospacing="1" w:after="100" w:afterAutospacing="1"/>
      <w:shd w:val="clear" w:color="000000" w:fill="ffff00"/>
      <w:pBdr>
        <w:left w:val="single" w:color="auto" w:sz="4" w:space="0"/>
        <w:bottom w:val="single" w:color="auto" w:sz="4" w:space="0"/>
        <w:right w:val="single" w:color="auto" w:sz="4" w:space="0"/>
      </w:pBdr>
    </w:pPr>
    <w:rPr>
      <w:b/>
      <w:bCs/>
      <w:color w:val="000000"/>
      <w:sz w:val="24"/>
      <w:szCs w:val="24"/>
    </w:rPr>
  </w:style>
  <w:style w:type="paragraph" w:styleId="1169" w:customStyle="1">
    <w:name w:val="xl112"/>
    <w:basedOn w:val="796"/>
    <w:uiPriority w:val="0"/>
    <w:qFormat/>
    <w:pPr>
      <w:jc w:val="center"/>
      <w:spacing w:before="100" w:beforeAutospacing="1" w:after="100" w:afterAutospacing="1"/>
      <w:shd w:val="clear" w:color="000000" w:fill="ffff00"/>
      <w:pBdr>
        <w:top w:val="single" w:color="auto" w:sz="4" w:space="0"/>
        <w:left w:val="single" w:color="auto" w:sz="4" w:space="0"/>
        <w:right w:val="single" w:color="auto" w:sz="4" w:space="0"/>
      </w:pBdr>
    </w:pPr>
    <w:rPr>
      <w:b/>
      <w:bCs/>
      <w:color w:val="000000"/>
      <w:sz w:val="24"/>
      <w:szCs w:val="24"/>
    </w:rPr>
  </w:style>
  <w:style w:type="paragraph" w:styleId="1170" w:customStyle="1">
    <w:name w:val="xl113"/>
    <w:basedOn w:val="79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color w:val="000000"/>
      <w:sz w:val="24"/>
      <w:szCs w:val="24"/>
    </w:rPr>
  </w:style>
  <w:style w:type="paragraph" w:styleId="1171" w:customStyle="1">
    <w:name w:val="xl114"/>
    <w:basedOn w:val="796"/>
    <w:uiPriority w:val="0"/>
    <w:qFormat/>
    <w:pPr>
      <w:jc w:val="center"/>
      <w:spacing w:before="100" w:beforeAutospacing="1" w:after="100" w:afterAutospacing="1"/>
      <w:pBdr>
        <w:top w:val="single" w:color="auto" w:sz="4" w:space="0"/>
        <w:left w:val="single" w:color="auto" w:sz="4" w:space="0"/>
        <w:right w:val="single" w:color="auto" w:sz="4" w:space="0"/>
      </w:pBdr>
    </w:pPr>
    <w:rPr>
      <w:rFonts w:ascii="宋体" w:hAnsi="宋体" w:cs="宋体"/>
      <w:sz w:val="24"/>
      <w:szCs w:val="24"/>
    </w:rPr>
  </w:style>
  <w:style w:type="paragraph" w:styleId="1172" w:customStyle="1">
    <w:name w:val="xl115"/>
    <w:basedOn w:val="796"/>
    <w:uiPriority w:val="0"/>
    <w:qFormat/>
    <w:pPr>
      <w:jc w:val="center"/>
      <w:spacing w:before="100" w:beforeAutospacing="1" w:after="100" w:afterAutospacing="1"/>
      <w:shd w:val="clear" w:color="000000" w:fill="ffff00"/>
      <w:pBdr>
        <w:top w:val="single" w:color="auto" w:sz="4" w:space="0"/>
        <w:left w:val="single" w:color="auto" w:sz="4" w:space="0"/>
        <w:right w:val="single" w:color="auto" w:sz="4" w:space="0"/>
      </w:pBdr>
    </w:pPr>
    <w:rPr>
      <w:rFonts w:ascii="宋体" w:hAnsi="宋体" w:cs="宋体"/>
      <w:color w:val="000000"/>
      <w:sz w:val="24"/>
      <w:szCs w:val="24"/>
    </w:rPr>
  </w:style>
  <w:style w:type="paragraph" w:styleId="1173" w:customStyle="1">
    <w:name w:val="xl116"/>
    <w:basedOn w:val="796"/>
    <w:uiPriority w:val="0"/>
    <w:qFormat/>
    <w:pPr>
      <w:jc w:val="center"/>
      <w:spacing w:before="100" w:beforeAutospacing="1" w:after="100" w:afterAutospacing="1"/>
      <w:shd w:val="clear" w:color="000000" w:fill="ffff00"/>
      <w:pBdr>
        <w:left w:val="single" w:color="auto" w:sz="4" w:space="0"/>
        <w:bottom w:val="single" w:color="auto" w:sz="4" w:space="0"/>
        <w:right w:val="single" w:color="auto" w:sz="4" w:space="0"/>
      </w:pBdr>
    </w:pPr>
    <w:rPr>
      <w:rFonts w:ascii="宋体" w:hAnsi="宋体" w:cs="宋体"/>
      <w:color w:val="000000"/>
      <w:sz w:val="24"/>
      <w:szCs w:val="24"/>
    </w:rPr>
  </w:style>
  <w:style w:type="paragraph" w:styleId="1174" w:customStyle="1">
    <w:name w:val="xl117"/>
    <w:basedOn w:val="796"/>
    <w:uiPriority w:val="0"/>
    <w:qFormat/>
    <w:pPr>
      <w:jc w:val="center"/>
      <w:spacing w:before="100" w:beforeAutospacing="1" w:after="100" w:afterAutospacing="1"/>
      <w:pBdr>
        <w:top w:val="single" w:color="auto" w:sz="4" w:space="0"/>
        <w:left w:val="single" w:color="auto" w:sz="4" w:space="0"/>
        <w:right w:val="single" w:color="auto" w:sz="4" w:space="0"/>
      </w:pBdr>
    </w:pPr>
    <w:rPr>
      <w:rFonts w:ascii="宋体" w:hAnsi="宋体" w:cs="宋体"/>
      <w:color w:val="000000"/>
      <w:sz w:val="24"/>
      <w:szCs w:val="24"/>
    </w:rPr>
  </w:style>
  <w:style w:type="paragraph" w:styleId="1175" w:customStyle="1">
    <w:name w:val="xl118"/>
    <w:basedOn w:val="796"/>
    <w:uiPriority w:val="0"/>
    <w:qFormat/>
    <w:pPr>
      <w:jc w:val="center"/>
      <w:spacing w:before="100" w:beforeAutospacing="1" w:after="100" w:afterAutospacing="1"/>
      <w:pBdr>
        <w:left w:val="single" w:color="auto" w:sz="4" w:space="0"/>
        <w:right w:val="single" w:color="auto" w:sz="4" w:space="0"/>
      </w:pBdr>
    </w:pPr>
    <w:rPr>
      <w:color w:val="000000"/>
      <w:sz w:val="24"/>
      <w:szCs w:val="24"/>
    </w:rPr>
  </w:style>
  <w:style w:type="paragraph" w:styleId="1176" w:customStyle="1">
    <w:name w:val="xl119"/>
    <w:basedOn w:val="796"/>
    <w:uiPriority w:val="0"/>
    <w:qFormat/>
    <w:pPr>
      <w:jc w:val="center"/>
      <w:spacing w:before="100" w:beforeAutospacing="1" w:after="100" w:afterAutospacing="1"/>
      <w:pBdr>
        <w:left w:val="single" w:color="auto" w:sz="4" w:space="0"/>
        <w:bottom w:val="single" w:color="auto" w:sz="4" w:space="0"/>
        <w:right w:val="single" w:color="auto" w:sz="4" w:space="0"/>
      </w:pBdr>
    </w:pPr>
    <w:rPr>
      <w:color w:val="000000"/>
      <w:sz w:val="24"/>
      <w:szCs w:val="24"/>
    </w:rPr>
  </w:style>
  <w:style w:type="paragraph" w:styleId="1177" w:customStyle="1">
    <w:name w:val="xl120"/>
    <w:basedOn w:val="796"/>
    <w:uiPriority w:val="0"/>
    <w:qFormat/>
    <w:pPr>
      <w:jc w:val="center"/>
      <w:spacing w:before="100" w:beforeAutospacing="1" w:after="100" w:afterAutospacing="1"/>
      <w:shd w:val="clear" w:color="000000" w:fill="ffff00"/>
      <w:pBdr>
        <w:left w:val="single" w:color="auto" w:sz="4" w:space="0"/>
        <w:right w:val="single" w:color="auto" w:sz="4" w:space="0"/>
      </w:pBdr>
    </w:pPr>
    <w:rPr>
      <w:rFonts w:ascii="宋体" w:hAnsi="宋体" w:cs="宋体"/>
      <w:color w:val="000000"/>
      <w:sz w:val="24"/>
      <w:szCs w:val="24"/>
    </w:rPr>
  </w:style>
  <w:style w:type="paragraph" w:styleId="1178" w:customStyle="1">
    <w:name w:val="xl121"/>
    <w:basedOn w:val="796"/>
    <w:uiPriority w:val="0"/>
    <w:qFormat/>
    <w:pPr>
      <w:jc w:val="center"/>
      <w:spacing w:before="100" w:beforeAutospacing="1" w:after="100" w:afterAutospacing="1"/>
      <w:shd w:val="clear" w:color="000000" w:fill="ffff00"/>
      <w:pBdr>
        <w:top w:val="single" w:color="auto" w:sz="4" w:space="0"/>
        <w:left w:val="single" w:color="auto" w:sz="4" w:space="0"/>
        <w:bottom w:val="single" w:color="auto" w:sz="4" w:space="0"/>
        <w:right w:val="single" w:color="auto" w:sz="4" w:space="0"/>
      </w:pBdr>
    </w:pPr>
    <w:rPr>
      <w:color w:val="000000"/>
      <w:sz w:val="24"/>
      <w:szCs w:val="24"/>
    </w:rPr>
  </w:style>
  <w:style w:type="paragraph" w:styleId="1179" w:customStyle="1">
    <w:name w:val="xl122"/>
    <w:basedOn w:val="796"/>
    <w:uiPriority w:val="0"/>
    <w:qFormat/>
    <w:pPr>
      <w:jc w:val="center"/>
      <w:spacing w:before="100" w:beforeAutospacing="1" w:after="100" w:afterAutospacing="1"/>
      <w:pBdr>
        <w:top w:val="single" w:color="auto" w:sz="4" w:space="0"/>
        <w:left w:val="single" w:color="auto" w:sz="4" w:space="0"/>
        <w:right w:val="single" w:color="auto" w:sz="4" w:space="0"/>
      </w:pBdr>
    </w:pPr>
    <w:rPr>
      <w:rFonts w:ascii="宋体" w:hAnsi="宋体" w:cs="宋体"/>
    </w:rPr>
  </w:style>
  <w:style w:type="paragraph" w:styleId="1180" w:customStyle="1">
    <w:name w:val="xl123"/>
    <w:basedOn w:val="796"/>
    <w:uiPriority w:val="0"/>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cs="宋体"/>
    </w:rPr>
  </w:style>
  <w:style w:type="paragraph" w:styleId="1181" w:customStyle="1">
    <w:name w:val="xl124"/>
    <w:basedOn w:val="796"/>
    <w:uiPriority w:val="0"/>
    <w:qFormat/>
    <w:pPr>
      <w:jc w:val="center"/>
      <w:spacing w:before="100" w:beforeAutospacing="1" w:after="100" w:afterAutospacing="1"/>
      <w:pBdr>
        <w:top w:val="single" w:color="auto" w:sz="4" w:space="0"/>
        <w:bottom w:val="single" w:color="auto" w:sz="4" w:space="0"/>
        <w:right w:val="single" w:color="auto" w:sz="4" w:space="0"/>
      </w:pBdr>
    </w:pPr>
    <w:rPr>
      <w:rFonts w:ascii="宋体" w:hAnsi="宋体" w:cs="宋体"/>
      <w:b/>
      <w:bCs/>
      <w:sz w:val="24"/>
      <w:szCs w:val="24"/>
    </w:rPr>
  </w:style>
  <w:style w:type="paragraph" w:styleId="1182" w:customStyle="1">
    <w:name w:val="xl125"/>
    <w:basedOn w:val="796"/>
    <w:uiPriority w:val="0"/>
    <w:qFormat/>
    <w:pPr>
      <w:jc w:val="center"/>
      <w:spacing w:before="100" w:beforeAutospacing="1" w:after="100" w:afterAutospacing="1"/>
      <w:pBdr>
        <w:top w:val="single" w:color="auto" w:sz="4" w:space="0"/>
        <w:bottom w:val="single" w:color="auto" w:sz="4" w:space="0"/>
        <w:right w:val="single" w:color="auto" w:sz="4" w:space="0"/>
      </w:pBdr>
    </w:pPr>
    <w:rPr>
      <w:b/>
      <w:bCs/>
      <w:sz w:val="24"/>
      <w:szCs w:val="24"/>
    </w:rPr>
  </w:style>
  <w:style w:type="paragraph" w:styleId="1183" w:customStyle="1">
    <w:name w:val="xl126"/>
    <w:basedOn w:val="796"/>
    <w:uiPriority w:val="0"/>
    <w:qFormat/>
    <w:pPr>
      <w:jc w:val="center"/>
      <w:spacing w:before="100" w:beforeAutospacing="1" w:after="100" w:afterAutospacing="1"/>
      <w:shd w:val="clear" w:color="000000" w:fill="92d050"/>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84" w:customStyle="1">
    <w:name w:val="xl127"/>
    <w:basedOn w:val="796"/>
    <w:uiPriority w:val="0"/>
    <w:qFormat/>
    <w:pPr>
      <w:jc w:val="center"/>
      <w:spacing w:before="100" w:beforeAutospacing="1" w:after="100" w:afterAutospacing="1"/>
      <w:shd w:val="clear" w:color="000000" w:fill="92d050"/>
      <w:pBdr>
        <w:top w:val="single" w:color="auto" w:sz="4" w:space="0"/>
        <w:left w:val="single" w:color="auto" w:sz="4" w:space="0"/>
        <w:bottom w:val="single" w:color="auto" w:sz="4" w:space="0"/>
        <w:right w:val="single" w:color="auto" w:sz="4" w:space="0"/>
      </w:pBdr>
    </w:pPr>
    <w:rPr>
      <w:b/>
      <w:bCs/>
      <w:sz w:val="24"/>
      <w:szCs w:val="24"/>
    </w:rPr>
  </w:style>
  <w:style w:type="paragraph" w:styleId="1185" w:customStyle="1">
    <w:name w:val="xl128"/>
    <w:basedOn w:val="796"/>
    <w:uiPriority w:val="0"/>
    <w:qFormat/>
    <w:pPr>
      <w:jc w:val="center"/>
      <w:spacing w:before="100" w:beforeAutospacing="1" w:after="100" w:afterAutospacing="1"/>
      <w:shd w:val="clear" w:color="000000" w:fill="ffff00"/>
      <w:pBdr>
        <w:top w:val="single" w:color="auto" w:sz="4" w:space="0"/>
        <w:left w:val="single" w:color="auto" w:sz="4" w:space="0"/>
        <w:right w:val="single" w:color="auto" w:sz="4" w:space="0"/>
      </w:pBdr>
    </w:pPr>
    <w:rPr>
      <w:rFonts w:ascii="宋体" w:hAnsi="宋体" w:cs="宋体"/>
      <w:b/>
      <w:bCs/>
      <w:sz w:val="24"/>
      <w:szCs w:val="24"/>
    </w:rPr>
  </w:style>
  <w:style w:type="paragraph" w:styleId="1186" w:customStyle="1">
    <w:name w:val="xl129"/>
    <w:basedOn w:val="796"/>
    <w:uiPriority w:val="0"/>
    <w:qFormat/>
    <w:pPr>
      <w:jc w:val="center"/>
      <w:spacing w:before="100" w:beforeAutospacing="1" w:after="100" w:afterAutospacing="1"/>
      <w:shd w:val="clear" w:color="000000" w:fill="ffff00"/>
      <w:pBdr>
        <w:left w:val="single" w:color="auto" w:sz="4" w:space="0"/>
        <w:bottom w:val="single" w:color="auto" w:sz="4" w:space="0"/>
        <w:right w:val="single" w:color="auto" w:sz="4" w:space="0"/>
      </w:pBdr>
    </w:pPr>
    <w:rPr>
      <w:rFonts w:ascii="宋体" w:hAnsi="宋体" w:cs="宋体"/>
      <w:b/>
      <w:bCs/>
      <w:sz w:val="24"/>
      <w:szCs w:val="24"/>
    </w:rPr>
  </w:style>
  <w:style w:type="paragraph" w:styleId="1187" w:customStyle="1">
    <w:name w:val="xl130"/>
    <w:basedOn w:val="796"/>
    <w:uiPriority w:val="0"/>
    <w:qFormat/>
    <w:pPr>
      <w:jc w:val="center"/>
      <w:spacing w:before="100" w:beforeAutospacing="1" w:after="100" w:afterAutospacing="1"/>
      <w:shd w:val="clear" w:color="000000" w:fill="ffff00"/>
      <w:pBdr>
        <w:top w:val="single" w:color="auto" w:sz="4" w:space="0"/>
        <w:left w:val="single" w:color="auto" w:sz="4" w:space="0"/>
        <w:right w:val="single" w:color="auto" w:sz="4" w:space="0"/>
      </w:pBdr>
    </w:pPr>
    <w:rPr>
      <w:rFonts w:ascii="宋体" w:hAnsi="宋体" w:cs="宋体"/>
      <w:b/>
      <w:bCs/>
      <w:color w:val="ff0000"/>
      <w:sz w:val="24"/>
      <w:szCs w:val="24"/>
    </w:rPr>
  </w:style>
  <w:style w:type="paragraph" w:styleId="1188" w:customStyle="1">
    <w:name w:val="xl131"/>
    <w:basedOn w:val="796"/>
    <w:uiPriority w:val="0"/>
    <w:qFormat/>
    <w:pPr>
      <w:jc w:val="center"/>
      <w:spacing w:before="100" w:beforeAutospacing="1" w:after="100" w:afterAutospacing="1"/>
      <w:shd w:val="clear" w:color="000000" w:fill="ffff00"/>
      <w:pBdr>
        <w:left w:val="single" w:color="auto" w:sz="4" w:space="0"/>
        <w:right w:val="single" w:color="auto" w:sz="4" w:space="0"/>
      </w:pBdr>
    </w:pPr>
    <w:rPr>
      <w:rFonts w:ascii="宋体" w:hAnsi="宋体" w:cs="宋体"/>
      <w:b/>
      <w:bCs/>
      <w:color w:val="ff0000"/>
      <w:sz w:val="24"/>
      <w:szCs w:val="24"/>
    </w:rPr>
  </w:style>
  <w:style w:type="paragraph" w:styleId="1189" w:customStyle="1">
    <w:name w:val="xl132"/>
    <w:basedOn w:val="796"/>
    <w:uiPriority w:val="0"/>
    <w:qFormat/>
    <w:pPr>
      <w:jc w:val="center"/>
      <w:spacing w:before="100" w:beforeAutospacing="1" w:after="100" w:afterAutospacing="1"/>
      <w:shd w:val="clear" w:color="000000" w:fill="ffff00"/>
      <w:pBdr>
        <w:left w:val="single" w:color="auto" w:sz="4" w:space="0"/>
        <w:right w:val="single" w:color="auto" w:sz="4" w:space="0"/>
      </w:pBdr>
    </w:pPr>
    <w:rPr>
      <w:rFonts w:ascii="宋体" w:hAnsi="宋体" w:cs="宋体"/>
      <w:b/>
      <w:bCs/>
      <w:sz w:val="24"/>
      <w:szCs w:val="24"/>
    </w:rPr>
  </w:style>
  <w:style w:type="paragraph" w:styleId="1190" w:customStyle="1">
    <w:name w:val="xl133"/>
    <w:basedOn w:val="79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rPr>
  </w:style>
  <w:style w:type="paragraph" w:styleId="1191" w:customStyle="1">
    <w:name w:val="xl135"/>
    <w:basedOn w:val="796"/>
    <w:uiPriority w:val="0"/>
    <w:qFormat/>
    <w:pPr>
      <w:jc w:val="center"/>
      <w:spacing w:before="100" w:beforeAutospacing="1" w:after="100" w:afterAutospacing="1"/>
      <w:pBdr>
        <w:top w:val="single" w:color="auto" w:sz="4" w:space="0"/>
        <w:left w:val="single" w:color="auto" w:sz="4" w:space="0"/>
        <w:right w:val="single" w:color="auto" w:sz="4" w:space="0"/>
      </w:pBdr>
    </w:pPr>
    <w:rPr>
      <w:rFonts w:ascii="宋体" w:hAnsi="宋体" w:cs="宋体"/>
      <w:b/>
      <w:bCs/>
      <w:sz w:val="24"/>
      <w:szCs w:val="24"/>
    </w:rPr>
  </w:style>
  <w:style w:type="paragraph" w:styleId="1192" w:customStyle="1">
    <w:name w:val="xl136"/>
    <w:basedOn w:val="796"/>
    <w:uiPriority w:val="0"/>
    <w:qFormat/>
    <w:pPr>
      <w:jc w:val="center"/>
      <w:spacing w:before="100" w:beforeAutospacing="1" w:after="100" w:afterAutospacing="1"/>
      <w:pBdr>
        <w:left w:val="single" w:color="auto" w:sz="4" w:space="0"/>
        <w:right w:val="single" w:color="auto" w:sz="4" w:space="0"/>
      </w:pBdr>
    </w:pPr>
    <w:rPr>
      <w:b/>
      <w:bCs/>
      <w:sz w:val="24"/>
      <w:szCs w:val="24"/>
    </w:rPr>
  </w:style>
  <w:style w:type="paragraph" w:styleId="1193" w:customStyle="1">
    <w:name w:val="xl137"/>
    <w:basedOn w:val="796"/>
    <w:uiPriority w:val="0"/>
    <w:qFormat/>
    <w:pPr>
      <w:jc w:val="center"/>
      <w:spacing w:before="100" w:beforeAutospacing="1" w:after="100" w:afterAutospacing="1"/>
      <w:pBdr>
        <w:left w:val="single" w:color="auto" w:sz="4" w:space="0"/>
        <w:bottom w:val="single" w:color="auto" w:sz="4" w:space="0"/>
        <w:right w:val="single" w:color="auto" w:sz="4" w:space="0"/>
      </w:pBdr>
    </w:pPr>
    <w:rPr>
      <w:b/>
      <w:bCs/>
      <w:sz w:val="24"/>
      <w:szCs w:val="24"/>
    </w:rPr>
  </w:style>
  <w:style w:type="paragraph" w:styleId="1194" w:customStyle="1">
    <w:name w:val="xl138"/>
    <w:basedOn w:val="796"/>
    <w:uiPriority w:val="0"/>
    <w:qFormat/>
    <w:pPr>
      <w:jc w:val="center"/>
      <w:spacing w:before="100" w:beforeAutospacing="1" w:after="100" w:afterAutospacing="1"/>
      <w:shd w:val="clear" w:color="000000" w:fill="ffff00"/>
      <w:pBdr>
        <w:top w:val="single" w:color="auto" w:sz="4" w:space="0"/>
        <w:left w:val="single" w:color="auto" w:sz="4" w:space="0"/>
        <w:bottom w:val="single" w:color="auto" w:sz="4" w:space="0"/>
        <w:right w:val="single" w:color="auto" w:sz="4" w:space="0"/>
      </w:pBdr>
    </w:pPr>
    <w:rPr>
      <w:b/>
      <w:bCs/>
      <w:sz w:val="24"/>
      <w:szCs w:val="24"/>
    </w:rPr>
  </w:style>
  <w:style w:type="paragraph" w:styleId="1195" w:customStyle="1">
    <w:name w:val="xl139"/>
    <w:basedOn w:val="79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96" w:customStyle="1">
    <w:name w:val="xl140"/>
    <w:basedOn w:val="79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b/>
      <w:bCs/>
      <w:sz w:val="24"/>
      <w:szCs w:val="24"/>
    </w:rPr>
  </w:style>
  <w:style w:type="paragraph" w:styleId="1197" w:customStyle="1">
    <w:name w:val="xl141"/>
    <w:basedOn w:val="79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b/>
      <w:bCs/>
      <w:sz w:val="24"/>
      <w:szCs w:val="24"/>
    </w:rPr>
  </w:style>
  <w:style w:type="paragraph" w:styleId="1198" w:customStyle="1">
    <w:name w:val="xl142"/>
    <w:basedOn w:val="79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199" w:customStyle="1">
    <w:name w:val="xl143"/>
    <w:basedOn w:val="79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200" w:customStyle="1">
    <w:name w:val="xl144"/>
    <w:basedOn w:val="79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01" w:customStyle="1">
    <w:name w:val="xl145"/>
    <w:basedOn w:val="796"/>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sz w:val="24"/>
      <w:szCs w:val="24"/>
    </w:rPr>
  </w:style>
  <w:style w:type="paragraph" w:styleId="1202" w:customStyle="1">
    <w:name w:val="xl146"/>
    <w:basedOn w:val="796"/>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sz w:val="24"/>
      <w:szCs w:val="24"/>
    </w:rPr>
  </w:style>
  <w:style w:type="paragraph" w:styleId="1203" w:customStyle="1">
    <w:name w:val="xl147"/>
    <w:basedOn w:val="79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204" w:customStyle="1">
    <w:name w:val="xl148"/>
    <w:basedOn w:val="79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b/>
      <w:bCs/>
      <w:color w:val="000000"/>
      <w:sz w:val="24"/>
      <w:szCs w:val="24"/>
    </w:rPr>
  </w:style>
  <w:style w:type="paragraph" w:styleId="1205" w:customStyle="1">
    <w:name w:val="xl149"/>
    <w:basedOn w:val="796"/>
    <w:uiPriority w:val="0"/>
    <w:qFormat/>
    <w:pPr>
      <w:jc w:val="center"/>
      <w:spacing w:before="100" w:beforeAutospacing="1" w:after="100" w:afterAutospacing="1"/>
      <w:shd w:val="clear" w:color="000000" w:fill="92d050"/>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206" w:customStyle="1">
    <w:name w:val="xl150"/>
    <w:basedOn w:val="796"/>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color w:val="000000"/>
      <w:sz w:val="24"/>
      <w:szCs w:val="24"/>
    </w:rPr>
  </w:style>
  <w:style w:type="paragraph" w:styleId="1207" w:customStyle="1">
    <w:name w:val="xl151"/>
    <w:basedOn w:val="796"/>
    <w:uiPriority w:val="0"/>
    <w:qFormat/>
    <w:pPr>
      <w:jc w:val="center"/>
      <w:spacing w:before="100" w:beforeAutospacing="1" w:after="100" w:afterAutospacing="1"/>
      <w:shd w:val="clear" w:color="000000" w:fill="92d050"/>
      <w:pBdr>
        <w:top w:val="single" w:color="auto" w:sz="4" w:space="0"/>
        <w:left w:val="single" w:color="auto" w:sz="4" w:space="0"/>
        <w:bottom w:val="single" w:color="auto" w:sz="4" w:space="0"/>
        <w:right w:val="single" w:color="auto" w:sz="4" w:space="0"/>
      </w:pBdr>
    </w:pPr>
    <w:rPr>
      <w:b/>
      <w:bCs/>
      <w:sz w:val="24"/>
      <w:szCs w:val="24"/>
    </w:rPr>
  </w:style>
  <w:style w:type="paragraph" w:styleId="1208" w:customStyle="1">
    <w:name w:val="xl152"/>
    <w:basedOn w:val="79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color w:val="000000"/>
      <w:sz w:val="24"/>
      <w:szCs w:val="24"/>
    </w:rPr>
  </w:style>
  <w:style w:type="paragraph" w:styleId="1209" w:customStyle="1">
    <w:name w:val="xl153"/>
    <w:basedOn w:val="796"/>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10" w:customStyle="1">
    <w:name w:val="xl154"/>
    <w:basedOn w:val="79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11" w:customStyle="1">
    <w:name w:val="xl155"/>
    <w:basedOn w:val="79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方正小标宋_GBK" w:hAnsi="宋体" w:eastAsia="方正小标宋_GBK" w:cs="宋体"/>
      <w:sz w:val="28"/>
      <w:szCs w:val="28"/>
    </w:rPr>
  </w:style>
  <w:style w:type="character" w:styleId="1212" w:customStyle="1">
    <w:name w:val="无"/>
    <w:uiPriority w:val="0"/>
    <w:qFormat/>
  </w:style>
  <w:style w:type="character" w:styleId="1213" w:customStyle="1">
    <w:name w:val="NormalCharacter"/>
    <w:link w:val="856"/>
    <w:uiPriority w:val="0"/>
    <w:semiHidden/>
    <w:qFormat/>
  </w:style>
  <w:style w:type="paragraph" w:styleId="1214" w:customStyle="1">
    <w:name w:val="正文文本13"/>
    <w:basedOn w:val="796"/>
    <w:next w:val="1043"/>
    <w:uiPriority w:val="0"/>
    <w:qFormat/>
    <w:rPr>
      <w:rFonts w:ascii="Times New Roman" w:hAnsi="Times New Roman" w:eastAsia="宋体" w:cs="Times New Roman"/>
    </w:rPr>
  </w:style>
  <w:style w:type="paragraph" w:styleId="1215" w:customStyle="1">
    <w:name w:val="普通(网站)13"/>
    <w:basedOn w:val="796"/>
    <w:uiPriority w:val="0"/>
    <w:qFormat/>
    <w:pPr>
      <w:ind w:left="0" w:right="0"/>
      <w:jc w:val="left"/>
      <w:spacing w:before="100" w:beforeAutospacing="1" w:after="100" w:afterAutospacing="1"/>
    </w:pPr>
    <w:rPr>
      <w:rFonts w:ascii="Times New Roman" w:hAnsi="Times New Roman" w:eastAsia="宋体" w:cs="Times New Roman"/>
      <w:sz w:val="24"/>
      <w:lang w:val="en-US" w:eastAsia="zh-CN"/>
    </w:rPr>
  </w:style>
  <w:style w:type="paragraph" w:styleId="1216" w:customStyle="1">
    <w:name w:val="UserStyle_0"/>
    <w:next w:val="1217"/>
    <w:uiPriority w:val="0"/>
    <w:qFormat/>
    <w:pPr>
      <w:jc w:val="both"/>
    </w:pPr>
    <w:rPr>
      <w:rFonts w:ascii="Times New Roman" w:hAnsi="Times New Roman" w:eastAsia="宋体" w:cs="Times New Roman"/>
      <w:sz w:val="21"/>
      <w:szCs w:val="24"/>
      <w:lang w:val="en-US" w:eastAsia="zh-CN" w:bidi="ar-SA"/>
    </w:rPr>
  </w:style>
  <w:style w:type="paragraph" w:styleId="1217" w:customStyle="1">
    <w:name w:val="UserStyle_1"/>
    <w:basedOn w:val="1216"/>
    <w:next w:val="1218"/>
    <w:uiPriority w:val="0"/>
    <w:qFormat/>
    <w:pPr>
      <w:spacing w:after="120"/>
    </w:pPr>
    <w:rPr>
      <w:lang w:eastAsia="en-US"/>
    </w:rPr>
  </w:style>
  <w:style w:type="paragraph" w:styleId="1218" w:customStyle="1">
    <w:name w:val="UserStyle_3"/>
    <w:basedOn w:val="1219"/>
    <w:next w:val="1220"/>
    <w:uiPriority w:val="0"/>
    <w:qFormat/>
    <w:pPr>
      <w:ind w:left="907" w:hanging="907"/>
      <w:spacing w:before="0" w:after="0"/>
      <w:tabs>
        <w:tab w:val="left" w:pos="810" w:leader="none"/>
        <w:tab w:val="left" w:pos="907" w:leader="none"/>
        <w:tab w:val="left" w:pos="1265" w:leader="none"/>
      </w:tabs>
    </w:pPr>
    <w:rPr>
      <w:rFonts w:hAnsi="宋体"/>
      <w:sz w:val="20"/>
      <w:szCs w:val="20"/>
    </w:rPr>
  </w:style>
  <w:style w:type="paragraph" w:styleId="1219" w:customStyle="1">
    <w:name w:val="UserStyle_4"/>
    <w:next w:val="796"/>
    <w:uiPriority w:val="0"/>
    <w:qFormat/>
    <w:pPr>
      <w:ind w:left="810" w:hanging="810"/>
      <w:jc w:val="both"/>
      <w:spacing w:before="50" w:after="50"/>
      <w:tabs>
        <w:tab w:val="left" w:pos="810" w:leader="none"/>
        <w:tab w:val="left" w:pos="1265" w:leader="none"/>
      </w:tabs>
    </w:pPr>
    <w:rPr>
      <w:rFonts w:ascii="黑体" w:hAnsi="Times New Roman" w:eastAsia="黑体" w:cs="Times New Roman"/>
      <w:sz w:val="21"/>
      <w:szCs w:val="22"/>
      <w:lang w:val="en-US" w:eastAsia="zh-CN" w:bidi="ar-SA"/>
    </w:rPr>
  </w:style>
  <w:style w:type="paragraph" w:styleId="1220" w:customStyle="1">
    <w:name w:val="UserStyle_5"/>
    <w:basedOn w:val="796"/>
    <w:next w:val="796"/>
    <w:uiPriority w:val="0"/>
    <w:qFormat/>
    <w:pPr>
      <w:ind w:firstLine="200"/>
    </w:pPr>
    <w:rPr>
      <w:rFonts w:ascii="宋体"/>
      <w:szCs w:val="20"/>
    </w:rPr>
  </w:style>
  <w:style w:type="character" w:styleId="1221" w:customStyle="1">
    <w:name w:val="NormalCharacter1"/>
    <w:uiPriority w:val="0"/>
    <w:semiHidden/>
    <w:qFormat/>
  </w:style>
  <w:style w:type="numbering" w:styleId="12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5C4EB429-9D52-45C2-AA3E-C0F28EAE9BB4}"/>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赵东升</dc:creator>
  <cp:lastModifiedBy>吴婷</cp:lastModifiedBy>
  <cp:revision>40</cp:revision>
  <dcterms:created xsi:type="dcterms:W3CDTF">2024-05-22T11:15:00Z</dcterms:created>
  <dcterms:modified xsi:type="dcterms:W3CDTF">2026-06-05T03:31:16Z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8DB90C1CD8D04767ABB8B9D67FB9B76C_13</vt:lpwstr>
  </property>
  <property fmtid="{D5CDD505-2E9C-101B-9397-08002B2CF9AE}" pid="4" name="KSOTemplateDocerSaveRecord">
    <vt:lpwstr>eyJoZGlkIjoiNjZiZThmZTJiMWI1NTEwOTU4ODkwOWYyNTU0MDc2NzkiLCJ1c2VySWQiOiI2OTAyNzQzMjIifQ==</vt:lpwstr>
  </property>
</Properties>
</file>