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23"/>
        <w:ind w:left="0"/>
        <w:rPr>
          <w:rFonts w:hint="eastAsia" w:ascii="宋体" w:hAnsi="宋体" w:eastAsia="宋体" w:cs="宋体"/>
          <w:b/>
          <w:color w:val="000000"/>
          <w:szCs w:val="21"/>
          <w:lang w:val="en-US" w:eastAsia="zh-CN"/>
        </w:rPr>
      </w:pPr>
      <w:r>
        <w:rPr>
          <w:rFonts w:hint="eastAsia" w:ascii="宋体" w:hAnsi="宋体" w:cs="宋体"/>
          <w:b/>
          <w:color w:val="000000"/>
          <w:szCs w:val="21"/>
          <w:lang w:val="en-US" w:eastAsia="zh-CN"/>
        </w:rPr>
        <w:t xml:space="preserve">  </w:t>
      </w:r>
      <w:r/>
    </w:p>
    <w:p>
      <w:pPr>
        <w:pStyle w:val="1024"/>
        <w:rPr>
          <w:rFonts w:ascii="宋体" w:hAnsi="宋体" w:cs="宋体"/>
          <w:b/>
          <w:color w:val="000000"/>
          <w:szCs w:val="21"/>
        </w:rPr>
      </w:pPr>
      <w:r>
        <w:rPr>
          <w:rFonts w:ascii="宋体" w:hAnsi="宋体" w:cs="宋体"/>
          <w:b/>
          <w:color w:val="000000"/>
          <w:szCs w:val="21"/>
        </w:rPr>
      </w:r>
      <w:r/>
    </w:p>
    <w:p>
      <w:pPr>
        <w:pStyle w:val="1024"/>
        <w:rPr>
          <w:rFonts w:ascii="宋体" w:hAnsi="宋体" w:cs="宋体"/>
          <w:b/>
          <w:color w:val="000000"/>
          <w:szCs w:val="21"/>
        </w:rPr>
      </w:pPr>
      <w:r>
        <w:rPr>
          <w:rFonts w:ascii="宋体" w:hAnsi="宋体" w:cs="宋体"/>
          <w:b/>
          <w:color w:val="000000"/>
          <w:szCs w:val="21"/>
        </w:rPr>
      </w:r>
      <w:r/>
    </w:p>
    <w:p>
      <w:pPr>
        <w:jc w:val="center"/>
        <w:rPr>
          <w:rFonts w:ascii="宋体" w:hAnsi="宋体" w:cs="宋体"/>
          <w:b/>
          <w:color w:val="000000"/>
          <w:spacing w:val="76"/>
          <w:sz w:val="112"/>
          <w:szCs w:val="112"/>
        </w:rPr>
      </w:pPr>
      <w:r>
        <w:rPr>
          <w:rFonts w:hint="eastAsia" w:ascii="宋体" w:hAnsi="宋体" w:cs="宋体"/>
          <w:b/>
          <w:color w:val="000000"/>
          <w:spacing w:val="76"/>
          <w:sz w:val="100"/>
          <w:szCs w:val="100"/>
        </w:rPr>
        <w:t xml:space="preserve">竞争性磋商文件</w:t>
      </w:r>
      <w:r/>
    </w:p>
    <w:p>
      <w:pPr>
        <w:pStyle w:val="1023"/>
        <w:rPr>
          <w:rFonts w:ascii="宋体" w:hAnsi="宋体" w:cs="宋体"/>
          <w:b/>
          <w:color w:val="000000"/>
          <w:szCs w:val="21"/>
        </w:rPr>
      </w:pPr>
      <w:r>
        <w:rPr>
          <w:rFonts w:ascii="宋体" w:hAnsi="宋体" w:cs="宋体"/>
          <w:b/>
          <w:color w:val="000000"/>
          <w:szCs w:val="21"/>
        </w:rPr>
      </w:r>
      <w:r/>
    </w:p>
    <w:p>
      <w:pPr>
        <w:pStyle w:val="1023"/>
        <w:rPr>
          <w:rFonts w:hint="eastAsia" w:ascii="宋体" w:hAnsi="宋体" w:eastAsia="宋体" w:cs="宋体"/>
          <w:color w:val="000000"/>
          <w:lang w:eastAsia="zh-CN"/>
        </w:rPr>
      </w:pPr>
      <w:r>
        <w:rPr>
          <w:rFonts w:hint="eastAsia" w:ascii="宋体" w:hAnsi="宋体" w:cs="宋体"/>
          <w:b/>
          <w:color w:val="000000"/>
          <w:spacing w:val="76"/>
          <w:sz w:val="100"/>
          <w:szCs w:val="100"/>
          <w:lang w:val="en-US" w:eastAsia="zh-CN"/>
        </w:rPr>
        <w:t xml:space="preserve"> </w:t>
      </w:r>
      <w:r/>
    </w:p>
    <w:p>
      <w:pPr>
        <w:pStyle w:val="1023"/>
        <w:ind w:left="0"/>
        <w:rPr>
          <w:rFonts w:ascii="宋体" w:hAnsi="宋体" w:cs="宋体"/>
          <w:color w:val="000000"/>
        </w:rPr>
      </w:pPr>
      <w:r>
        <w:rPr>
          <w:rFonts w:ascii="宋体" w:hAnsi="宋体" w:cs="宋体"/>
          <w:color w:val="000000"/>
        </w:rPr>
      </w:r>
      <w:r/>
    </w:p>
    <w:p>
      <w:pPr>
        <w:pStyle w:val="1024"/>
        <w:rPr>
          <w:rFonts w:ascii="宋体" w:hAnsi="宋体" w:cs="宋体"/>
          <w:color w:val="000000"/>
        </w:rPr>
      </w:pPr>
      <w:r>
        <w:rPr>
          <w:rFonts w:ascii="宋体" w:hAnsi="宋体" w:cs="宋体"/>
          <w:color w:val="000000"/>
        </w:rPr>
      </w:r>
      <w:r/>
    </w:p>
    <w:p>
      <w:pPr>
        <w:pStyle w:val="1024"/>
        <w:jc w:val="center"/>
        <w:rPr>
          <w:rFonts w:ascii="宋体" w:hAnsi="宋体" w:cs="宋体"/>
          <w:color w:val="000000"/>
        </w:rPr>
      </w:pPr>
      <w:r>
        <w:rPr>
          <w:rFonts w:ascii="宋体" w:hAnsi="宋体" w:cs="宋体"/>
          <w:color w:val="000000"/>
        </w:rPr>
      </w:r>
      <w:r/>
    </w:p>
    <w:p>
      <w:pPr>
        <w:pStyle w:val="992"/>
        <w:ind w:left="0"/>
        <w:rPr>
          <w:rFonts w:hint="default" w:ascii="宋体" w:hAnsi="宋体" w:eastAsia="宋体" w:cs="宋体"/>
          <w:lang w:val="en-US" w:eastAsia="zh-CN"/>
        </w:rPr>
      </w:pPr>
      <w:r>
        <w:rPr>
          <w:rFonts w:hint="eastAsia" w:ascii="宋体" w:hAnsi="宋体" w:cs="宋体"/>
          <w:lang w:val="en-US" w:eastAsia="zh-CN"/>
        </w:rPr>
        <w:t xml:space="preserve">  </w:t>
      </w:r>
      <w:r/>
    </w:p>
    <w:p>
      <w:pPr>
        <w:ind w:firstLine="842"/>
        <w:rPr>
          <w:rFonts w:ascii="宋体" w:hAnsi="宋体" w:cs="宋体"/>
          <w:b/>
          <w:bCs/>
          <w:sz w:val="32"/>
        </w:rPr>
      </w:pPr>
      <w:r>
        <w:rPr>
          <w:rFonts w:ascii="宋体" w:hAnsi="宋体" w:cs="宋体"/>
          <w:b/>
          <w:bCs/>
          <w:sz w:val="32"/>
        </w:rPr>
      </w:r>
      <w:r/>
    </w:p>
    <w:p>
      <w:pPr>
        <w:rPr>
          <w:rFonts w:hint="eastAsia" w:ascii="宋体" w:hAnsi="宋体" w:eastAsia="宋体" w:cs="宋体"/>
          <w:b/>
          <w:bCs/>
          <w:sz w:val="32"/>
          <w:lang w:eastAsia="zh-CN"/>
        </w:rPr>
      </w:pPr>
      <w:r>
        <w:rPr>
          <w:rFonts w:hint="eastAsia" w:ascii="宋体" w:hAnsi="宋体" w:cs="宋体"/>
          <w:b/>
          <w:bCs/>
          <w:sz w:val="32"/>
        </w:rPr>
        <w:t xml:space="preserve">项目编号：</w:t>
      </w:r>
      <w:r>
        <w:rPr>
          <w:rFonts w:hint="eastAsia" w:ascii="宋体" w:hAnsi="宋体" w:cs="宋体"/>
          <w:sz w:val="32"/>
        </w:rPr>
        <w:t xml:space="preserve">JSZC-320324-JSRL-C</w:t>
      </w:r>
      <w:r>
        <w:rPr>
          <w:rFonts w:hint="eastAsia" w:ascii="宋体" w:hAnsi="宋体" w:cs="宋体"/>
          <w:sz w:val="32"/>
          <w:lang w:eastAsia="zh-CN"/>
        </w:rPr>
        <w:t xml:space="preserve">2026-</w:t>
      </w:r>
      <w:bookmarkStart w:id="382" w:name="_GoBack"/>
      <w:r/>
      <w:bookmarkEnd w:id="382"/>
      <w:r>
        <w:rPr>
          <w:rFonts w:hint="eastAsia" w:ascii="宋体" w:hAnsi="宋体" w:cs="宋体"/>
          <w:sz w:val="32"/>
          <w:lang w:eastAsia="zh-CN"/>
        </w:rPr>
        <w:t xml:space="preserve">0003</w:t>
      </w:r>
      <w:r/>
    </w:p>
    <w:p>
      <w:pPr>
        <w:ind w:left="420" w:firstLine="842"/>
        <w:rPr>
          <w:rFonts w:ascii="宋体" w:hAnsi="宋体" w:cs="宋体"/>
          <w:sz w:val="32"/>
        </w:rPr>
      </w:pPr>
      <w:r>
        <w:rPr>
          <w:rFonts w:ascii="宋体" w:hAnsi="宋体" w:cs="宋体"/>
          <w:sz w:val="32"/>
        </w:rPr>
      </w:r>
      <w:r/>
    </w:p>
    <w:p>
      <w:pPr>
        <w:rPr>
          <w:rFonts w:ascii="宋体" w:hAnsi="宋体" w:cs="宋体"/>
          <w:sz w:val="32"/>
        </w:rPr>
      </w:pPr>
      <w:r>
        <w:rPr>
          <w:rFonts w:hint="eastAsia" w:ascii="宋体" w:hAnsi="宋体" w:cs="宋体"/>
          <w:b/>
          <w:bCs/>
          <w:sz w:val="32"/>
        </w:rPr>
        <w:t xml:space="preserve">项目名称：</w:t>
      </w:r>
      <w:r>
        <w:rPr>
          <w:rFonts w:hint="eastAsia" w:ascii="宋体" w:hAnsi="宋体" w:cs="宋体"/>
          <w:sz w:val="32"/>
          <w:lang w:eastAsia="zh-CN"/>
        </w:rPr>
        <w:t xml:space="preserve">双沟镇魏林安置小区10KV外线工程</w:t>
      </w:r>
      <w:r/>
    </w:p>
    <w:p>
      <w:pPr>
        <w:ind w:firstLine="1383"/>
        <w:rPr>
          <w:rFonts w:ascii="宋体" w:hAnsi="宋体" w:cs="宋体"/>
          <w:b/>
          <w:bCs/>
          <w:sz w:val="32"/>
        </w:rPr>
      </w:pPr>
      <w:r>
        <w:rPr>
          <w:rFonts w:ascii="宋体" w:hAnsi="宋体" w:cs="宋体"/>
          <w:b/>
          <w:bCs/>
          <w:sz w:val="32"/>
        </w:rPr>
      </w:r>
      <w:r/>
    </w:p>
    <w:p>
      <w:pPr>
        <w:spacing w:line="600" w:lineRule="auto"/>
        <w:rPr>
          <w:rFonts w:hint="eastAsia" w:eastAsia="宋体"/>
          <w:lang w:eastAsia="zh-CN"/>
        </w:rPr>
      </w:pPr>
      <w:r>
        <w:rPr>
          <w:rFonts w:hint="eastAsia" w:ascii="宋体" w:hAnsi="宋体" w:cs="宋体"/>
          <w:b/>
          <w:bCs/>
          <w:sz w:val="32"/>
        </w:rPr>
        <w:t xml:space="preserve">采购单位：</w:t>
      </w:r>
      <w:r>
        <w:rPr>
          <w:rFonts w:hint="eastAsia" w:ascii="宋体" w:hAnsi="宋体" w:cs="宋体"/>
          <w:sz w:val="32"/>
          <w:lang w:eastAsia="zh-CN"/>
        </w:rPr>
        <w:t xml:space="preserve">睢宁县双沟镇人民政府</w:t>
      </w:r>
      <w:r/>
    </w:p>
    <w:p>
      <w:pPr>
        <w:spacing w:line="600" w:lineRule="auto"/>
        <w:rPr>
          <w:rFonts w:ascii="宋体" w:hAnsi="宋体" w:cs="宋体"/>
          <w:b/>
          <w:sz w:val="32"/>
        </w:rPr>
      </w:pPr>
      <w:r>
        <w:rPr>
          <w:rFonts w:hint="eastAsia" w:ascii="宋体" w:hAnsi="宋体" w:cs="宋体"/>
          <w:b/>
          <w:sz w:val="32"/>
        </w:rPr>
        <w:t xml:space="preserve">代理机构：</w:t>
      </w:r>
      <w:r>
        <w:rPr>
          <w:rFonts w:hint="eastAsia" w:ascii="宋体" w:hAnsi="宋体" w:cs="宋体"/>
          <w:sz w:val="32"/>
        </w:rPr>
        <w:t xml:space="preserve">江苏瑞利项目管理有限公司</w:t>
      </w:r>
      <w:r/>
    </w:p>
    <w:p>
      <w:pPr>
        <w:jc w:val="center"/>
        <w:spacing w:line="360" w:lineRule="auto"/>
        <w:rPr>
          <w:rFonts w:ascii="宋体" w:hAnsi="宋体" w:cs="宋体"/>
          <w:b/>
          <w:sz w:val="32"/>
        </w:rPr>
      </w:pPr>
      <w:r>
        <w:rPr>
          <w:rFonts w:ascii="宋体" w:hAnsi="宋体" w:cs="宋体"/>
          <w:b/>
          <w:sz w:val="32"/>
        </w:rPr>
      </w:r>
      <w:r/>
    </w:p>
    <w:p>
      <w:pPr>
        <w:pStyle w:val="1027"/>
        <w:rPr>
          <w:rFonts w:eastAsia="宋体" w:cs="宋体"/>
          <w:b/>
          <w:sz w:val="32"/>
        </w:rPr>
      </w:pPr>
      <w:r>
        <w:rPr>
          <w:rFonts w:eastAsia="宋体" w:cs="宋体"/>
          <w:b/>
          <w:sz w:val="32"/>
        </w:rPr>
      </w:r>
      <w:r/>
    </w:p>
    <w:p>
      <w:pPr>
        <w:pStyle w:val="1028"/>
        <w:rPr>
          <w:rFonts w:hAnsi="宋体" w:eastAsia="宋体" w:cs="宋体"/>
          <w:b/>
          <w:sz w:val="32"/>
        </w:rPr>
      </w:pPr>
      <w:r>
        <w:rPr>
          <w:rFonts w:hAnsi="宋体" w:eastAsia="宋体" w:cs="宋体"/>
          <w:b/>
          <w:sz w:val="32"/>
        </w:rPr>
      </w:r>
      <w:r/>
    </w:p>
    <w:p>
      <w:pPr>
        <w:pStyle w:val="1028"/>
        <w:rPr>
          <w:rFonts w:hAnsi="宋体" w:eastAsia="宋体" w:cs="宋体"/>
          <w:b/>
          <w:sz w:val="32"/>
        </w:rPr>
      </w:pPr>
      <w:r>
        <w:rPr>
          <w:rFonts w:hAnsi="宋体" w:eastAsia="宋体" w:cs="宋体"/>
          <w:b/>
          <w:sz w:val="32"/>
        </w:rPr>
      </w:r>
      <w:r/>
    </w:p>
    <w:p>
      <w:pPr>
        <w:pStyle w:val="1028"/>
        <w:rPr>
          <w:rFonts w:hAnsi="宋体" w:eastAsia="宋体" w:cs="宋体"/>
          <w:b/>
          <w:sz w:val="32"/>
        </w:rPr>
      </w:pPr>
      <w:r>
        <w:rPr>
          <w:rFonts w:hAnsi="宋体" w:eastAsia="宋体" w:cs="宋体"/>
          <w:b/>
          <w:sz w:val="32"/>
        </w:rPr>
      </w:r>
      <w:r/>
    </w:p>
    <w:p>
      <w:pPr>
        <w:pStyle w:val="1028"/>
        <w:rPr>
          <w:rFonts w:hAnsi="宋体" w:eastAsia="宋体" w:cs="宋体"/>
          <w:b/>
          <w:sz w:val="32"/>
        </w:rPr>
      </w:pPr>
      <w:r>
        <w:rPr>
          <w:rFonts w:hAnsi="宋体" w:eastAsia="宋体" w:cs="宋体"/>
          <w:b/>
          <w:sz w:val="32"/>
        </w:rPr>
      </w:r>
      <w:r/>
    </w:p>
    <w:p>
      <w:pPr>
        <w:jc w:val="center"/>
        <w:spacing w:line="360" w:lineRule="auto"/>
        <w:rPr>
          <w:rFonts w:ascii="宋体" w:hAnsi="宋体" w:cs="宋体"/>
        </w:rPr>
        <w:sectPr>
          <w:headerReference w:type="default" r:id="rId9"/>
          <w:headerReference w:type="even" r:id="rId10"/>
          <w:headerReference w:type="first" r:id="rId11"/>
          <w:footerReference w:type="default" r:id="rId14"/>
          <w:footerReference w:type="even" r:id="rId15"/>
          <w:footnotePr/>
          <w:endnotePr/>
          <w:type w:val="nextPage"/>
          <w:pgSz w:w="11906" w:h="16838" w:orient="portrait"/>
          <w:pgMar w:top="1440" w:right="1486" w:bottom="1440" w:left="1800" w:header="851" w:footer="992" w:gutter="0"/>
          <w:pgNumType w:start="1"/>
          <w:cols w:num="1" w:sep="0" w:space="720" w:equalWidth="1"/>
          <w:docGrid w:linePitch="360"/>
          <w:titlePg/>
        </w:sectPr>
      </w:pPr>
      <w:r>
        <w:rPr>
          <w:rFonts w:hint="eastAsia" w:ascii="宋体" w:hAnsi="宋体" w:cs="宋体"/>
          <w:b/>
          <w:sz w:val="32"/>
        </w:rPr>
        <w:t xml:space="preserve">二〇二</w:t>
      </w:r>
      <w:r>
        <w:rPr>
          <w:rFonts w:hint="eastAsia" w:ascii="宋体" w:hAnsi="宋体" w:cs="宋体"/>
          <w:b/>
          <w:sz w:val="32"/>
          <w:lang w:val="en-US" w:eastAsia="zh-CN"/>
        </w:rPr>
        <w:t xml:space="preserve">六</w:t>
      </w:r>
      <w:r>
        <w:rPr>
          <w:rFonts w:hint="eastAsia" w:ascii="宋体" w:hAnsi="宋体" w:cs="宋体"/>
          <w:b/>
          <w:sz w:val="32"/>
        </w:rPr>
        <w:t xml:space="preserve">年</w:t>
      </w:r>
      <w:r>
        <w:rPr>
          <w:rFonts w:hint="eastAsia" w:ascii="宋体" w:hAnsi="宋体" w:cs="宋体"/>
          <w:b/>
          <w:sz w:val="32"/>
          <w:lang w:val="en-US" w:eastAsia="zh-CN"/>
        </w:rPr>
        <w:t xml:space="preserve">六</w:t>
      </w:r>
      <w:r>
        <w:rPr>
          <w:rFonts w:hint="eastAsia" w:ascii="宋体" w:hAnsi="宋体" w:cs="宋体"/>
          <w:b/>
          <w:sz w:val="32"/>
        </w:rPr>
        <w:t xml:space="preserve">月</w:t>
      </w:r>
      <w:r/>
    </w:p>
    <w:p>
      <w:pPr>
        <w:jc w:val="center"/>
        <w:spacing w:line="360" w:lineRule="auto"/>
        <w:rPr>
          <w:rFonts w:ascii="宋体" w:hAnsi="宋体" w:cs="宋体"/>
          <w:b/>
          <w:color w:val="000000" w:themeColor="text1"/>
          <w:sz w:val="36"/>
          <w14:textFill>
            <w14:solidFill>
              <w14:schemeClr w14:val="tx1"/>
            </w14:solidFill>
          </w14:textFill>
        </w:rPr>
      </w:pPr>
      <w:r>
        <w:rPr>
          <w:rFonts w:hint="eastAsia" w:ascii="宋体" w:hAnsi="宋体" w:cs="宋体"/>
          <w:b/>
          <w:color w:val="000000" w:themeColor="text1"/>
          <w:sz w:val="36"/>
          <w14:textFill>
            <w14:solidFill>
              <w14:schemeClr w14:val="tx1"/>
            </w14:solidFill>
          </w14:textFill>
        </w:rPr>
        <w:t xml:space="preserve">竞争性磋商文件</w:t>
      </w:r>
      <w:r/>
    </w:p>
    <w:p>
      <w:pPr>
        <w:jc w:val="center"/>
        <w:spacing w:line="360" w:lineRule="auto"/>
        <w:rPr>
          <w:rFonts w:hint="eastAsia" w:ascii="宋体" w:hAnsi="宋体" w:eastAsia="宋体" w:cs="宋体"/>
          <w:b/>
          <w:bCs/>
          <w:color w:val="000000" w:themeColor="text1"/>
          <w:sz w:val="24"/>
          <w:lang w:eastAsia="zh-CN"/>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项目编号：JSZC-320324-JSRL-C</w:t>
      </w:r>
      <w:r>
        <w:rPr>
          <w:rFonts w:hint="eastAsia" w:ascii="宋体" w:hAnsi="宋体" w:cs="宋体"/>
          <w:b/>
          <w:bCs/>
          <w:color w:val="000000" w:themeColor="text1"/>
          <w:sz w:val="24"/>
          <w:lang w:eastAsia="zh-CN"/>
          <w14:textFill>
            <w14:solidFill>
              <w14:schemeClr w14:val="tx1"/>
            </w14:solidFill>
          </w14:textFill>
        </w:rPr>
        <w:t xml:space="preserve">2026-0003</w:t>
      </w:r>
      <w:r/>
    </w:p>
    <w:p>
      <w:pPr>
        <w:spacing w:line="360" w:lineRule="auto"/>
        <w:tabs>
          <w:tab w:val="left" w:pos="3240"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（供应商）：</w:t>
      </w:r>
      <w:r/>
    </w:p>
    <w:p>
      <w:pPr>
        <w:ind w:firstLine="787"/>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按照《中华人民共和国政府采购法》、《中华人民共和国政府采购法实施条例》及《政府采购竞争性磋商采购方式管理暂行办法》的规定，</w:t>
      </w:r>
      <w:r>
        <w:rPr>
          <w:rFonts w:hint="eastAsia" w:ascii="宋体" w:hAnsi="宋体" w:cs="宋体"/>
          <w:color w:val="000000" w:themeColor="text1"/>
          <w:sz w:val="24"/>
          <w:u w:val="single"/>
          <w14:textFill>
            <w14:solidFill>
              <w14:schemeClr w14:val="tx1"/>
            </w14:solidFill>
          </w14:textFill>
        </w:rPr>
        <w:t xml:space="preserve">江苏瑞利项目管理有限公司</w:t>
      </w:r>
      <w:r>
        <w:rPr>
          <w:rFonts w:hint="eastAsia" w:ascii="宋体" w:hAnsi="宋体" w:cs="宋体"/>
          <w:color w:val="000000" w:themeColor="text1"/>
          <w:sz w:val="24"/>
          <w14:textFill>
            <w14:solidFill>
              <w14:schemeClr w14:val="tx1"/>
            </w14:solidFill>
          </w14:textFill>
        </w:rPr>
        <w:t xml:space="preserve">对</w:t>
      </w:r>
      <w:r>
        <w:rPr>
          <w:rFonts w:hint="eastAsia" w:ascii="宋体" w:hAnsi="宋体" w:cs="宋体"/>
          <w:color w:val="000000" w:themeColor="text1"/>
          <w:sz w:val="24"/>
          <w:u w:val="single"/>
          <w:lang w:eastAsia="zh-CN"/>
          <w14:textFill>
            <w14:solidFill>
              <w14:schemeClr w14:val="tx1"/>
            </w14:solidFill>
          </w14:textFill>
        </w:rPr>
        <w:t xml:space="preserve">双沟镇魏林安置小区10KV外线工程</w:t>
      </w:r>
      <w:r>
        <w:rPr>
          <w:rFonts w:hint="eastAsia" w:ascii="宋体" w:hAnsi="宋体" w:cs="宋体"/>
          <w:color w:val="000000" w:themeColor="text1"/>
          <w:sz w:val="24"/>
          <w14:textFill>
            <w14:solidFill>
              <w14:schemeClr w14:val="tx1"/>
            </w14:solidFill>
          </w14:textFill>
        </w:rPr>
        <w:t xml:space="preserve">采取竞争性磋商采购方式进行采购。如贵单位有意与本公司合作，请按以下竞争性磋商文件（以下简称磋商文件）要求参加磋商。</w:t>
      </w:r>
      <w:r/>
    </w:p>
    <w:p>
      <w:pPr>
        <w:jc w:val="center"/>
        <w:spacing w:line="360" w:lineRule="auto"/>
        <w:rPr>
          <w:rFonts w:ascii="宋体" w:hAnsi="宋体" w:cs="宋体"/>
          <w:b/>
          <w:bCs/>
          <w:color w:val="000000" w:themeColor="text1"/>
          <w:sz w:val="28"/>
          <w:szCs w:val="28"/>
          <w14:textFill>
            <w14:solidFill>
              <w14:schemeClr w14:val="tx1"/>
            </w14:solidFill>
          </w14:textFill>
        </w:rPr>
      </w:pPr>
      <w:r>
        <w:rPr>
          <w:rFonts w:hint="eastAsia" w:ascii="宋体" w:hAnsi="宋体" w:cs="宋体"/>
          <w:b/>
          <w:bCs/>
          <w:color w:val="000000" w:themeColor="text1"/>
          <w:sz w:val="28"/>
          <w:szCs w:val="28"/>
          <w14:textFill>
            <w14:solidFill>
              <w14:schemeClr w14:val="tx1"/>
            </w14:solidFill>
          </w14:textFill>
        </w:rPr>
        <w:t xml:space="preserve">第一章 项目说明</w:t>
      </w:r>
      <w:r/>
    </w:p>
    <w:p>
      <w:pPr>
        <w:ind w:firstLine="480"/>
        <w:spacing w:line="360" w:lineRule="auto"/>
        <w:rPr>
          <w:rFonts w:hint="default" w:ascii="宋体" w:hAnsi="宋体" w:eastAsia="宋体" w:cs="宋体"/>
          <w:color w:val="000000" w:themeColor="text1"/>
          <w:sz w:val="24"/>
          <w:lang w:val="en-US" w:eastAsia="zh-CN"/>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一、采 购 人：</w:t>
      </w:r>
      <w:r>
        <w:rPr>
          <w:rFonts w:hint="eastAsia" w:ascii="宋体" w:hAnsi="宋体" w:cs="宋体"/>
          <w:color w:val="000000" w:themeColor="text1"/>
          <w:sz w:val="24"/>
          <w:lang w:eastAsia="zh-CN"/>
          <w14:textFill>
            <w14:solidFill>
              <w14:schemeClr w14:val="tx1"/>
            </w14:solidFill>
          </w14:textFill>
        </w:rPr>
        <w:t xml:space="preserve">睢宁县双沟镇人民政府</w:t>
      </w:r>
      <w:r>
        <w:rPr>
          <w:rFonts w:hint="eastAsia" w:ascii="宋体" w:hAnsi="宋体" w:cs="宋体"/>
          <w:color w:val="000000" w:themeColor="text1"/>
          <w:sz w:val="24"/>
          <w:lang w:val="en-US" w:eastAsia="zh-CN"/>
          <w14:textFill>
            <w14:solidFill>
              <w14:schemeClr w14:val="tx1"/>
            </w14:solidFill>
          </w14:textFill>
        </w:rPr>
        <w:t xml:space="preserve"> </w:t>
      </w:r>
      <w:r/>
    </w:p>
    <w:p>
      <w:pPr>
        <w:ind w:firstLine="480"/>
        <w:jc w:val="left"/>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二、项目名称：</w:t>
      </w:r>
      <w:r>
        <w:rPr>
          <w:rFonts w:hint="eastAsia" w:ascii="宋体" w:hAnsi="宋体" w:cs="宋体"/>
          <w:color w:val="000000" w:themeColor="text1"/>
          <w:sz w:val="24"/>
          <w:lang w:eastAsia="zh-CN"/>
          <w14:textFill>
            <w14:solidFill>
              <w14:schemeClr w14:val="tx1"/>
            </w14:solidFill>
          </w14:textFill>
        </w:rPr>
        <w:t xml:space="preserve">双沟镇魏林安置小区10KV外线工程</w:t>
      </w:r>
      <w:r/>
    </w:p>
    <w:p>
      <w:pPr>
        <w:ind w:firstLine="480"/>
        <w:jc w:val="left"/>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三、项目编号：JSZC-320324-JSRL-C</w:t>
      </w:r>
      <w:r>
        <w:rPr>
          <w:rFonts w:hint="eastAsia" w:ascii="宋体" w:hAnsi="宋体" w:cs="宋体"/>
          <w:color w:val="000000" w:themeColor="text1"/>
          <w:sz w:val="24"/>
          <w:lang w:eastAsia="zh-CN"/>
          <w14:textFill>
            <w14:solidFill>
              <w14:schemeClr w14:val="tx1"/>
            </w14:solidFill>
          </w14:textFill>
        </w:rPr>
        <w:t xml:space="preserve">2026-0003</w:t>
      </w:r>
      <w:r>
        <w:rPr>
          <w:rFonts w:hint="eastAsia" w:ascii="宋体" w:hAnsi="宋体" w:cs="宋体"/>
          <w:color w:val="000000" w:themeColor="text1"/>
          <w:sz w:val="24"/>
          <w14:textFill>
            <w14:solidFill>
              <w14:schemeClr w14:val="tx1"/>
            </w14:solidFill>
          </w14:textFill>
        </w:rPr>
        <w:t xml:space="preserve"> </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四、采购邀请：通过发布公告的方式邀请符合相应资格条件的供应商参与竞争性磋商采购活动。</w:t>
      </w:r>
      <w:r/>
    </w:p>
    <w:p>
      <w:pPr>
        <w:ind w:firstLine="480"/>
        <w:spacing w:line="360" w:lineRule="auto"/>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五、采购方式：本项目采用</w:t>
      </w:r>
      <w:r>
        <w:rPr>
          <w:rFonts w:hint="eastAsia" w:ascii="宋体" w:hAnsi="宋体" w:cs="宋体"/>
          <w:color w:val="000000" w:themeColor="text1"/>
          <w:sz w:val="24"/>
          <w:u w:val="single"/>
          <w14:textFill>
            <w14:solidFill>
              <w14:schemeClr w14:val="tx1"/>
            </w14:solidFill>
          </w14:textFill>
        </w:rPr>
        <w:t xml:space="preserve">竞争性磋商</w:t>
      </w:r>
      <w:r>
        <w:rPr>
          <w:rFonts w:hint="eastAsia" w:ascii="宋体" w:hAnsi="宋体" w:cs="宋体"/>
          <w:color w:val="000000" w:themeColor="text1"/>
          <w:sz w:val="24"/>
          <w14:textFill>
            <w14:solidFill>
              <w14:schemeClr w14:val="tx1"/>
            </w14:solidFill>
          </w14:textFill>
        </w:rPr>
        <w:t xml:space="preserve">采购方式。</w:t>
      </w:r>
      <w:r/>
    </w:p>
    <w:p>
      <w:pPr>
        <w:ind w:firstLine="960"/>
        <w:spacing w:line="360" w:lineRule="auto"/>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采购人确定的采购项目属性：</w:t>
      </w:r>
      <w:r>
        <w:rPr>
          <w:rFonts w:hint="eastAsia" w:ascii="宋体" w:hAnsi="宋体" w:cs="宋体"/>
          <w:color w:val="000000" w:themeColor="text1"/>
          <w:sz w:val="24"/>
          <w:u w:val="single"/>
          <w14:textFill>
            <w14:solidFill>
              <w14:schemeClr w14:val="tx1"/>
            </w14:solidFill>
          </w14:textFill>
        </w:rPr>
        <w:t xml:space="preserve">工程</w:t>
      </w:r>
      <w:r>
        <w:rPr>
          <w:rFonts w:hint="eastAsia" w:ascii="宋体" w:hAnsi="宋体" w:cs="宋体"/>
          <w:color w:val="000000" w:themeColor="text1"/>
          <w:sz w:val="24"/>
          <w14:textFill>
            <w14:solidFill>
              <w14:schemeClr w14:val="tx1"/>
            </w14:solidFill>
          </w14:textFill>
        </w:rPr>
        <w:t xml:space="preserve">。</w:t>
      </w:r>
      <w:r/>
    </w:p>
    <w:p>
      <w:pPr>
        <w:pStyle w:val="986"/>
      </w:pPr>
      <w:r>
        <w:rPr>
          <w:rFonts w:hint="eastAsia" w:ascii="宋体" w:hAnsi="宋体" w:cs="宋体"/>
          <w:color w:val="000000" w:themeColor="text1"/>
          <w:sz w:val="24"/>
          <w14:textFill>
            <w14:solidFill>
              <w14:schemeClr w14:val="tx1"/>
            </w14:solidFill>
          </w14:textFill>
        </w:rPr>
        <w:t xml:space="preserve">                  </w:t>
      </w:r>
      <w:r/>
    </w:p>
    <w:p>
      <w:pPr>
        <w:ind w:firstLine="480"/>
        <w:spacing w:line="360" w:lineRule="auto"/>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六、供应商资格条件：见竞争性磋商公告（项目编号：JSZC-320324-JSRL-C</w:t>
      </w:r>
      <w:r>
        <w:rPr>
          <w:rFonts w:hint="eastAsia" w:ascii="宋体" w:hAnsi="宋体" w:cs="宋体"/>
          <w:color w:val="000000" w:themeColor="text1"/>
          <w:sz w:val="24"/>
          <w:lang w:eastAsia="zh-CN"/>
          <w14:textFill>
            <w14:solidFill>
              <w14:schemeClr w14:val="tx1"/>
            </w14:solidFill>
          </w14:textFill>
        </w:rPr>
        <w:t xml:space="preserve">2026-0003</w:t>
      </w:r>
      <w:r>
        <w:rPr>
          <w:rFonts w:hint="eastAsia" w:ascii="宋体" w:hAnsi="宋体" w:cs="宋体"/>
          <w:color w:val="000000" w:themeColor="text1"/>
          <w:sz w:val="24"/>
          <w14:textFill>
            <w14:solidFill>
              <w14:schemeClr w14:val="tx1"/>
            </w14:solidFill>
          </w14:textFill>
        </w:rPr>
        <w:t xml:space="preserve">）。</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七、采购预算（采购项目预算金额）：见《磋商文件》附件2、《项目要求（采购需求）》。</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八、采购需求：见《磋商文件》附件2、《项目要求（采购需求）》。</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九、合同草案条款：见《磋商文件》附件8、《合同草案条款》。</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十、报价要求</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1、供应商报价为要约，</w:t>
      </w:r>
      <w:r>
        <w:rPr>
          <w:rFonts w:hint="eastAsia" w:ascii="宋体" w:hAnsi="宋体" w:cs="宋体"/>
          <w:color w:val="000000" w:themeColor="text1"/>
          <w:sz w:val="24"/>
          <w:u w:val="single"/>
          <w:lang w:eastAsia="zh-CN"/>
          <w14:textFill>
            <w14:solidFill>
              <w14:schemeClr w14:val="tx1"/>
            </w14:solidFill>
          </w14:textFill>
        </w:rPr>
        <w:t xml:space="preserve">睢宁县双沟镇人民政府</w:t>
      </w:r>
      <w:r>
        <w:rPr>
          <w:rFonts w:hint="eastAsia" w:ascii="宋体" w:hAnsi="宋体" w:cs="宋体"/>
          <w:color w:val="000000" w:themeColor="text1"/>
          <w:sz w:val="24"/>
          <w14:textFill>
            <w14:solidFill>
              <w14:schemeClr w14:val="tx1"/>
            </w14:solidFill>
          </w14:textFill>
        </w:rPr>
        <w:t xml:space="preserve">无承诺表示时视为未成交，</w:t>
      </w:r>
      <w:r>
        <w:rPr>
          <w:rFonts w:hint="eastAsia" w:ascii="宋体" w:hAnsi="宋体" w:cs="宋体"/>
          <w:color w:val="000000" w:themeColor="text1"/>
          <w:sz w:val="24"/>
          <w:u w:val="single"/>
          <w:lang w:eastAsia="zh-CN"/>
          <w14:textFill>
            <w14:solidFill>
              <w14:schemeClr w14:val="tx1"/>
            </w14:solidFill>
          </w14:textFill>
        </w:rPr>
        <w:t xml:space="preserve">睢宁县双沟镇人民政府</w:t>
      </w:r>
      <w:r>
        <w:rPr>
          <w:rFonts w:hint="eastAsia" w:ascii="宋体" w:hAnsi="宋体" w:cs="宋体"/>
          <w:color w:val="000000" w:themeColor="text1"/>
          <w:sz w:val="24"/>
          <w14:textFill>
            <w14:solidFill>
              <w14:schemeClr w14:val="tx1"/>
            </w14:solidFill>
          </w14:textFill>
        </w:rPr>
        <w:t xml:space="preserve">认为必要时可重新进行竞争性磋商采购或采取其它方式采购。</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2、按照《磋商报价表》要求填写首次报价。</w:t>
      </w:r>
      <w:r/>
    </w:p>
    <w:p>
      <w:pPr>
        <w:ind w:right="-57"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3、报价包含本项目范围内的全部费用。供应商有漏报或不报的，采购人将视为有关费用已包括在本项目的报价中而不予支付。采购人不支付报价以外的任何费用。</w:t>
      </w:r>
      <w:r/>
    </w:p>
    <w:p>
      <w:pPr>
        <w:jc w:val="center"/>
        <w:spacing w:line="360" w:lineRule="auto"/>
        <w:rPr>
          <w:rFonts w:ascii="宋体" w:hAnsi="宋体" w:cs="宋体"/>
          <w:b/>
          <w:bCs/>
          <w:color w:val="000000" w:themeColor="text1"/>
          <w:sz w:val="28"/>
          <w:szCs w:val="28"/>
          <w14:textFill>
            <w14:solidFill>
              <w14:schemeClr w14:val="tx1"/>
            </w14:solidFill>
          </w14:textFill>
        </w:rPr>
      </w:pPr>
      <w:r>
        <w:rPr>
          <w:rFonts w:ascii="宋体" w:hAnsi="宋体" w:cs="宋体"/>
          <w:b/>
          <w:bCs/>
          <w:color w:val="000000" w:themeColor="text1"/>
          <w:sz w:val="28"/>
          <w:szCs w:val="28"/>
          <w14:textFill>
            <w14:solidFill>
              <w14:schemeClr w14:val="tx1"/>
            </w14:solidFill>
          </w14:textFill>
        </w:rPr>
      </w:r>
      <w:r/>
    </w:p>
    <w:p>
      <w:pPr>
        <w:jc w:val="center"/>
        <w:spacing w:line="360" w:lineRule="auto"/>
        <w:rPr>
          <w:rFonts w:ascii="宋体" w:hAnsi="宋体" w:cs="宋体"/>
          <w:b/>
          <w:bCs/>
          <w:color w:val="000000" w:themeColor="text1"/>
          <w:sz w:val="28"/>
          <w:szCs w:val="28"/>
          <w14:textFill>
            <w14:solidFill>
              <w14:schemeClr w14:val="tx1"/>
            </w14:solidFill>
          </w14:textFill>
        </w:rPr>
      </w:pPr>
      <w:r>
        <w:rPr>
          <w:rFonts w:hint="eastAsia" w:ascii="宋体" w:hAnsi="宋体" w:cs="宋体"/>
          <w:b/>
          <w:bCs/>
          <w:color w:val="000000" w:themeColor="text1"/>
          <w:sz w:val="28"/>
          <w:szCs w:val="28"/>
          <w14:textFill>
            <w14:solidFill>
              <w14:schemeClr w14:val="tx1"/>
            </w14:solidFill>
          </w14:textFill>
        </w:rPr>
        <w:t xml:space="preserve">第二章 磋商保证金</w:t>
      </w:r>
      <w:r/>
    </w:p>
    <w:p>
      <w:pPr>
        <w:ind w:right="-57"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十一、供应商提交磋商保证金</w:t>
      </w:r>
      <w:r/>
    </w:p>
    <w:p>
      <w:pPr>
        <w:ind w:right="-57"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1、磋商保证金交纳数额和形式：不需交纳。</w:t>
      </w:r>
      <w:r/>
    </w:p>
    <w:p>
      <w:pPr>
        <w:jc w:val="center"/>
        <w:spacing w:line="360" w:lineRule="auto"/>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p>
      <w:pPr>
        <w:jc w:val="center"/>
        <w:spacing w:line="360" w:lineRule="auto"/>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8"/>
          <w:szCs w:val="28"/>
          <w14:textFill>
            <w14:solidFill>
              <w14:schemeClr w14:val="tx1"/>
            </w14:solidFill>
          </w14:textFill>
        </w:rPr>
        <w:t xml:space="preserve">第三章 响应文件</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十二、提交响应文件要求</w:t>
      </w:r>
      <w:r/>
    </w:p>
    <w:p>
      <w:pPr>
        <w:ind w:firstLine="480"/>
        <w:spacing w:line="360" w:lineRule="auto"/>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（一）本项目通过“苏采云”系统进行电子采购，即供应商响应文件从政府采购客户端工具制作并通过“苏采云”系统提交。</w:t>
      </w:r>
      <w:r/>
    </w:p>
    <w:p>
      <w:pPr>
        <w:ind w:firstLine="480"/>
        <w:spacing w:line="360" w:lineRule="auto"/>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供应商应当通过“苏采云”系统提交数据电文形式的响应文件（即电子响应）。未进行线上响应文件提交并解密(因“苏采云”系统导致解密失败的除外)的供应商，响应无效。</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“CA数字证书”的获取：供应商需办理CA锁，“苏采云”系统目前仅支持“苏采云”系统下的政务CA，省内各地区办理的“苏采云”系统下的政务CA全省通用。“CA数字证书”的办理材料详见“徐州政府采购网-</w:t>
      </w:r>
      <w:r>
        <w:rPr>
          <w:rFonts w:hint="eastAsia" w:ascii="宋体" w:hAnsi="宋体" w:cs="宋体"/>
          <w:b/>
          <w:bCs/>
          <w:color w:val="000000" w:themeColor="text1"/>
          <w:sz w:val="24"/>
          <w:lang w:val="en-US" w:eastAsia="zh-CN"/>
          <w14:textFill>
            <w14:solidFill>
              <w14:schemeClr w14:val="tx1"/>
            </w14:solidFill>
          </w14:textFill>
        </w:rPr>
        <w:t xml:space="preserve">办事指南</w:t>
      </w:r>
      <w:r>
        <w:rPr>
          <w:rFonts w:hint="eastAsia" w:ascii="宋体" w:hAnsi="宋体" w:cs="宋体"/>
          <w:b/>
          <w:bCs/>
          <w:color w:val="000000" w:themeColor="text1"/>
          <w:sz w:val="24"/>
          <w14:textFill>
            <w14:solidFill>
              <w14:schemeClr w14:val="tx1"/>
            </w14:solidFill>
          </w14:textFill>
        </w:rPr>
        <w:t xml:space="preserve">-</w:t>
      </w:r>
      <w:r>
        <w:rPr>
          <w:rFonts w:hint="eastAsia" w:ascii="宋体" w:hAnsi="宋体" w:cs="宋体"/>
          <w:b/>
          <w:bCs/>
          <w:color w:val="000000" w:themeColor="text1"/>
          <w:sz w:val="24"/>
          <w:lang w:val="en-US" w:eastAsia="zh-CN"/>
          <w14:textFill>
            <w14:solidFill>
              <w14:schemeClr w14:val="tx1"/>
            </w14:solidFill>
          </w14:textFill>
        </w:rPr>
        <w:t xml:space="preserve">资料下载</w:t>
      </w:r>
      <w:r>
        <w:rPr>
          <w:rFonts w:hint="eastAsia" w:ascii="宋体" w:hAnsi="宋体" w:cs="宋体"/>
          <w:b/>
          <w:bCs/>
          <w:color w:val="000000" w:themeColor="text1"/>
          <w:sz w:val="24"/>
          <w14:textFill>
            <w14:solidFill>
              <w14:schemeClr w14:val="tx1"/>
            </w14:solidFill>
          </w14:textFill>
        </w:rPr>
        <w:t xml:space="preserve">”中的《“苏采云”系统政务CA办理材料、操作手册及控件下载》。</w:t>
      </w:r>
      <w:r/>
    </w:p>
    <w:p>
      <w:pPr>
        <w:ind w:firstLine="480"/>
        <w:spacing w:line="360" w:lineRule="auto"/>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使用需要第三方认证的电子签名、数据电文，通过互联网方式提交首次响应文件。即：使用“电子签名认证证书（CA数字证书）”登录“苏采云”系统（网址：http://jszfcg.jsczt.cn/；或进入徐州政府采购网（网址：</w:t>
      </w:r>
      <w:r>
        <w:rPr>
          <w:rFonts w:hint="eastAsia" w:ascii="宋体" w:hAnsi="宋体" w:cs="宋体"/>
          <w:b/>
          <w:bCs/>
          <w:color w:val="000000" w:themeColor="text1"/>
          <w:sz w:val="24"/>
          <w:lang w:eastAsia="zh-CN"/>
          <w14:textFill>
            <w14:solidFill>
              <w14:schemeClr w14:val="tx1"/>
            </w14:solidFill>
          </w14:textFill>
        </w:rPr>
        <w:t xml:space="preserve">https://czj.xz.gov.cn/zfcg/</w:t>
      </w:r>
      <w:r>
        <w:rPr>
          <w:rFonts w:hint="eastAsia" w:ascii="宋体" w:hAnsi="宋体" w:cs="宋体"/>
          <w:b/>
          <w:bCs/>
          <w:color w:val="000000" w:themeColor="text1"/>
          <w:sz w:val="24"/>
          <w14:textFill>
            <w14:solidFill>
              <w14:schemeClr w14:val="tx1"/>
            </w14:solidFill>
          </w14:textFill>
        </w:rPr>
        <w:t xml:space="preserve">），点击“苏采云”进入系统），按照要求通过互联网方式提交首次响应文件。</w:t>
      </w:r>
      <w:r/>
    </w:p>
    <w:p>
      <w:pPr>
        <w:pStyle w:val="1020"/>
        <w:spacing w:line="360" w:lineRule="auto"/>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 xml:space="preserve">“苏采云”系统使用要求：</w:t>
      </w:r>
      <w:r/>
    </w:p>
    <w:p>
      <w:pPr>
        <w:pStyle w:val="1020"/>
        <w:ind w:firstLine="480"/>
        <w:spacing w:line="360" w:lineRule="auto"/>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 xml:space="preserve">1、使用谷歌浏览器参与不见面开标及磋商环节。</w:t>
      </w:r>
      <w:r/>
    </w:p>
    <w:p>
      <w:pPr>
        <w:pStyle w:val="1020"/>
        <w:ind w:firstLine="480"/>
        <w:spacing w:line="360" w:lineRule="auto"/>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 xml:space="preserve">2、电脑需提前准备好麦克风、音响，摄像头，提前检查保证能够正常使用。</w:t>
      </w:r>
      <w:r/>
    </w:p>
    <w:p>
      <w:pPr>
        <w:pStyle w:val="1020"/>
        <w:ind w:firstLine="480"/>
        <w:spacing w:line="360" w:lineRule="auto"/>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 xml:space="preserve">3、操作系统至少win7以上，建议使用win10操作系统。</w:t>
      </w:r>
      <w:r/>
    </w:p>
    <w:p>
      <w:pPr>
        <w:pStyle w:val="1019"/>
        <w:ind w:firstLine="480"/>
        <w:rPr>
          <w:rFonts w:eastAsia="宋体" w:cs="宋体"/>
          <w:color w:val="000000" w:themeColor="text1"/>
          <w14:textFill>
            <w14:solidFill>
              <w14:schemeClr w14:val="tx1"/>
            </w14:solidFill>
          </w14:textFill>
        </w:rPr>
      </w:pPr>
      <w:r>
        <w:rPr>
          <w:rFonts w:hint="eastAsia" w:eastAsia="宋体" w:cs="宋体"/>
          <w:b/>
          <w:bCs/>
          <w:color w:val="000000" w:themeColor="text1"/>
          <w14:textFill>
            <w14:solidFill>
              <w14:schemeClr w14:val="tx1"/>
            </w14:solidFill>
          </w14:textFill>
        </w:rPr>
        <w:t xml:space="preserve">（二）首次响应文件提交的截止时间：202</w:t>
      </w:r>
      <w:r>
        <w:rPr>
          <w:rFonts w:hint="eastAsia" w:eastAsia="宋体" w:cs="宋体"/>
          <w:b/>
          <w:bCs/>
          <w:color w:val="000000" w:themeColor="text1"/>
          <w:lang w:val="en-US" w:eastAsia="zh-CN"/>
          <w14:textFill>
            <w14:solidFill>
              <w14:schemeClr w14:val="tx1"/>
            </w14:solidFill>
          </w14:textFill>
        </w:rPr>
        <w:t xml:space="preserve">6</w:t>
      </w:r>
      <w:r>
        <w:rPr>
          <w:rFonts w:hint="eastAsia" w:eastAsia="宋体" w:cs="宋体"/>
          <w:b/>
          <w:bCs/>
          <w:color w:val="000000" w:themeColor="text1"/>
          <w14:textFill>
            <w14:solidFill>
              <w14:schemeClr w14:val="tx1"/>
            </w14:solidFill>
          </w14:textFill>
        </w:rPr>
        <w:t xml:space="preserve">年</w:t>
      </w:r>
      <w:r>
        <w:rPr>
          <w:rFonts w:hint="eastAsia" w:eastAsia="宋体" w:cs="宋体"/>
          <w:b/>
          <w:bCs/>
          <w:color w:val="000000" w:themeColor="text1"/>
          <w:lang w:val="en-US" w:eastAsia="zh-CN"/>
          <w14:textFill>
            <w14:solidFill>
              <w14:schemeClr w14:val="tx1"/>
            </w14:solidFill>
          </w14:textFill>
        </w:rPr>
        <w:t xml:space="preserve">07</w:t>
      </w:r>
      <w:r>
        <w:rPr>
          <w:rFonts w:hint="eastAsia" w:eastAsia="宋体" w:cs="宋体"/>
          <w:b/>
          <w:bCs/>
          <w:color w:val="000000" w:themeColor="text1"/>
          <w14:textFill>
            <w14:solidFill>
              <w14:schemeClr w14:val="tx1"/>
            </w14:solidFill>
          </w14:textFill>
        </w:rPr>
        <w:t xml:space="preserve">月</w:t>
      </w:r>
      <w:r>
        <w:rPr>
          <w:rFonts w:hint="eastAsia" w:eastAsia="宋体" w:cs="宋体"/>
          <w:b/>
          <w:bCs/>
          <w:color w:val="000000" w:themeColor="text1"/>
          <w:lang w:val="en-US" w:eastAsia="zh-CN"/>
          <w14:textFill>
            <w14:solidFill>
              <w14:schemeClr w14:val="tx1"/>
            </w14:solidFill>
          </w14:textFill>
        </w:rPr>
        <w:t xml:space="preserve">01</w:t>
      </w:r>
      <w:r>
        <w:rPr>
          <w:rFonts w:hint="eastAsia" w:eastAsia="宋体" w:cs="宋体"/>
          <w:b/>
          <w:bCs/>
          <w:color w:val="000000" w:themeColor="text1"/>
          <w14:textFill>
            <w14:solidFill>
              <w14:schemeClr w14:val="tx1"/>
            </w14:solidFill>
          </w14:textFill>
        </w:rPr>
        <w:t xml:space="preserve">日上午09:00（北京时间），</w:t>
      </w:r>
      <w:r>
        <w:rPr>
          <w:rFonts w:hint="eastAsia" w:eastAsia="宋体" w:cs="宋体"/>
          <w:color w:val="000000" w:themeColor="text1"/>
          <w14:textFill>
            <w14:solidFill>
              <w14:schemeClr w14:val="tx1"/>
            </w14:solidFill>
          </w14:textFill>
        </w:rPr>
        <w:t xml:space="preserve">在截止时间后提交的首次响应文件为无效文件，将被拒收。</w:t>
      </w:r>
      <w:r/>
    </w:p>
    <w:p>
      <w:pPr>
        <w:pStyle w:val="1019"/>
        <w:ind w:firstLine="480"/>
        <w:rPr>
          <w:rFonts w:eastAsia="宋体" w:cs="宋体"/>
          <w:b/>
          <w:bCs/>
          <w:color w:val="000000" w:themeColor="text1"/>
          <w14:textFill>
            <w14:solidFill>
              <w14:schemeClr w14:val="tx1"/>
            </w14:solidFill>
          </w14:textFill>
        </w:rPr>
      </w:pPr>
      <w:r>
        <w:rPr>
          <w:rFonts w:hint="eastAsia" w:eastAsia="宋体" w:cs="宋体"/>
          <w:b/>
          <w:bCs/>
          <w:color w:val="000000" w:themeColor="text1"/>
          <w14:textFill>
            <w14:solidFill>
              <w14:schemeClr w14:val="tx1"/>
            </w14:solidFill>
          </w14:textFill>
        </w:rPr>
        <w:t xml:space="preserve">（三）首次响应文件提交时间、地点：</w:t>
      </w:r>
      <w:r/>
    </w:p>
    <w:p>
      <w:pPr>
        <w:pStyle w:val="1019"/>
        <w:ind w:firstLine="480"/>
        <w:rPr>
          <w:rFonts w:eastAsia="宋体" w:cs="宋体"/>
          <w:color w:val="000000" w:themeColor="text1"/>
          <w14:textFill>
            <w14:solidFill>
              <w14:schemeClr w14:val="tx1"/>
            </w14:solidFill>
          </w14:textFill>
        </w:rPr>
      </w:pPr>
      <w:r>
        <w:rPr>
          <w:rFonts w:hint="eastAsia" w:eastAsia="宋体" w:cs="宋体"/>
          <w:color w:val="000000" w:themeColor="text1"/>
          <w14:textFill>
            <w14:solidFill>
              <w14:schemeClr w14:val="tx1"/>
            </w14:solidFill>
          </w14:textFill>
        </w:rPr>
        <w:t xml:space="preserve">1、提交时间</w:t>
      </w:r>
      <w:r/>
    </w:p>
    <w:p>
      <w:pPr>
        <w:pStyle w:val="1019"/>
        <w:ind w:firstLine="480"/>
        <w:rPr>
          <w:rFonts w:eastAsia="宋体" w:cs="宋体"/>
          <w:b/>
          <w:bCs/>
          <w:color w:val="000000" w:themeColor="text1"/>
          <w14:textFill>
            <w14:solidFill>
              <w14:schemeClr w14:val="tx1"/>
            </w14:solidFill>
          </w14:textFill>
        </w:rPr>
      </w:pPr>
      <w:r>
        <w:rPr>
          <w:rFonts w:hint="eastAsia" w:eastAsia="宋体" w:cs="宋体"/>
          <w:color w:val="000000" w:themeColor="text1"/>
          <w14:textFill>
            <w14:solidFill>
              <w14:schemeClr w14:val="tx1"/>
            </w14:solidFill>
          </w14:textFill>
        </w:rPr>
        <w:t xml:space="preserve">首次响应文件提交的截止时间</w:t>
      </w:r>
      <w:r>
        <w:rPr>
          <w:rFonts w:hint="eastAsia" w:eastAsia="宋体" w:cs="宋体"/>
          <w:b/>
          <w:bCs/>
          <w:color w:val="000000" w:themeColor="text1"/>
          <w14:textFill>
            <w14:solidFill>
              <w14:schemeClr w14:val="tx1"/>
            </w14:solidFill>
          </w14:textFill>
        </w:rPr>
        <w:t xml:space="preserve">：202</w:t>
      </w:r>
      <w:r>
        <w:rPr>
          <w:rFonts w:hint="eastAsia" w:eastAsia="宋体" w:cs="宋体"/>
          <w:b/>
          <w:bCs/>
          <w:color w:val="000000" w:themeColor="text1"/>
          <w:lang w:val="en-US" w:eastAsia="zh-CN"/>
          <w14:textFill>
            <w14:solidFill>
              <w14:schemeClr w14:val="tx1"/>
            </w14:solidFill>
          </w14:textFill>
        </w:rPr>
        <w:t xml:space="preserve">6</w:t>
      </w:r>
      <w:r>
        <w:rPr>
          <w:rFonts w:hint="eastAsia" w:eastAsia="宋体" w:cs="宋体"/>
          <w:b/>
          <w:bCs/>
          <w:color w:val="000000" w:themeColor="text1"/>
          <w14:textFill>
            <w14:solidFill>
              <w14:schemeClr w14:val="tx1"/>
            </w14:solidFill>
          </w14:textFill>
        </w:rPr>
        <w:t xml:space="preserve">年</w:t>
      </w:r>
      <w:r>
        <w:rPr>
          <w:rFonts w:hint="eastAsia" w:eastAsia="宋体" w:cs="宋体"/>
          <w:b/>
          <w:bCs/>
          <w:color w:val="000000" w:themeColor="text1"/>
          <w:lang w:val="en-US" w:eastAsia="zh-CN"/>
          <w14:textFill>
            <w14:solidFill>
              <w14:schemeClr w14:val="tx1"/>
            </w14:solidFill>
          </w14:textFill>
        </w:rPr>
        <w:t xml:space="preserve">07</w:t>
      </w:r>
      <w:r>
        <w:rPr>
          <w:rFonts w:hint="eastAsia" w:eastAsia="宋体" w:cs="宋体"/>
          <w:b/>
          <w:bCs/>
          <w:color w:val="000000" w:themeColor="text1"/>
          <w14:textFill>
            <w14:solidFill>
              <w14:schemeClr w14:val="tx1"/>
            </w14:solidFill>
          </w14:textFill>
        </w:rPr>
        <w:t xml:space="preserve">月</w:t>
      </w:r>
      <w:r>
        <w:rPr>
          <w:rFonts w:hint="eastAsia" w:eastAsia="宋体" w:cs="宋体"/>
          <w:b/>
          <w:bCs/>
          <w:color w:val="000000" w:themeColor="text1"/>
          <w:lang w:val="en-US" w:eastAsia="zh-CN"/>
          <w14:textFill>
            <w14:solidFill>
              <w14:schemeClr w14:val="tx1"/>
            </w14:solidFill>
          </w14:textFill>
        </w:rPr>
        <w:t xml:space="preserve">01</w:t>
      </w:r>
      <w:r>
        <w:rPr>
          <w:rFonts w:hint="eastAsia" w:eastAsia="宋体" w:cs="宋体"/>
          <w:b/>
          <w:bCs/>
          <w:color w:val="000000" w:themeColor="text1"/>
          <w14:textFill>
            <w14:solidFill>
              <w14:schemeClr w14:val="tx1"/>
            </w14:solidFill>
          </w14:textFill>
        </w:rPr>
        <w:t xml:space="preserve">日上午09:00（北京时间）。</w:t>
      </w:r>
      <w:r/>
    </w:p>
    <w:p>
      <w:pPr>
        <w:pStyle w:val="1019"/>
        <w:ind w:firstLine="480"/>
        <w:rPr>
          <w:rFonts w:eastAsia="宋体" w:cs="宋体"/>
          <w:color w:val="000000" w:themeColor="text1"/>
          <w14:textFill>
            <w14:solidFill>
              <w14:schemeClr w14:val="tx1"/>
            </w14:solidFill>
          </w14:textFill>
        </w:rPr>
      </w:pPr>
      <w:r>
        <w:rPr>
          <w:rFonts w:hint="eastAsia" w:eastAsia="宋体" w:cs="宋体"/>
          <w:color w:val="000000" w:themeColor="text1"/>
          <w14:textFill>
            <w14:solidFill>
              <w14:schemeClr w14:val="tx1"/>
            </w14:solidFill>
          </w14:textFill>
        </w:rPr>
        <w:t xml:space="preserve">2、提交地点：</w:t>
      </w:r>
      <w:r/>
    </w:p>
    <w:p>
      <w:pPr>
        <w:pStyle w:val="1019"/>
        <w:ind w:firstLine="480"/>
        <w:rPr>
          <w:rFonts w:eastAsia="宋体" w:cs="宋体"/>
          <w:color w:val="000000" w:themeColor="text1"/>
          <w14:textFill>
            <w14:solidFill>
              <w14:schemeClr w14:val="tx1"/>
            </w14:solidFill>
          </w14:textFill>
        </w:rPr>
      </w:pPr>
      <w:r>
        <w:rPr>
          <w:rFonts w:hint="eastAsia" w:eastAsia="宋体" w:cs="宋体"/>
          <w:color w:val="000000" w:themeColor="text1"/>
          <w14:textFill>
            <w14:solidFill>
              <w14:schemeClr w14:val="tx1"/>
            </w14:solidFill>
          </w14:textFill>
        </w:rPr>
        <w:t xml:space="preserve">“苏采云”系统（网址：http://jszfcg.jsczt.cn/）“开标大厅”或进入徐州政府采购网（网址：</w:t>
      </w:r>
      <w:r>
        <w:rPr>
          <w:rFonts w:hint="eastAsia" w:eastAsia="宋体" w:cs="宋体"/>
          <w:color w:val="000000" w:themeColor="text1"/>
          <w:lang w:eastAsia="zh-CN"/>
          <w14:textFill>
            <w14:solidFill>
              <w14:schemeClr w14:val="tx1"/>
            </w14:solidFill>
          </w14:textFill>
        </w:rPr>
        <w:t xml:space="preserve">https://czj.xz.gov.cn/zfcg/</w:t>
      </w:r>
      <w:r>
        <w:rPr>
          <w:rFonts w:hint="eastAsia" w:eastAsia="宋体" w:cs="宋体"/>
          <w:color w:val="000000" w:themeColor="text1"/>
          <w14:textFill>
            <w14:solidFill>
              <w14:schemeClr w14:val="tx1"/>
            </w14:solidFill>
          </w14:textFill>
        </w:rPr>
        <w:t xml:space="preserve">），点击“苏采云”进入系统“开标大厅”。 </w:t>
      </w:r>
      <w:r/>
    </w:p>
    <w:p>
      <w:pPr>
        <w:pStyle w:val="1019"/>
        <w:ind w:firstLine="480"/>
        <w:rPr>
          <w:rFonts w:eastAsia="宋体" w:cs="宋体"/>
          <w:b/>
          <w:bCs/>
          <w:color w:val="000000" w:themeColor="text1"/>
          <w14:textFill>
            <w14:solidFill>
              <w14:schemeClr w14:val="tx1"/>
            </w14:solidFill>
          </w14:textFill>
        </w:rPr>
      </w:pPr>
      <w:r>
        <w:rPr>
          <w:rFonts w:hint="eastAsia" w:eastAsia="宋体" w:cs="宋体"/>
          <w:b/>
          <w:bCs/>
          <w:color w:val="000000" w:themeColor="text1"/>
          <w14:textFill>
            <w14:solidFill>
              <w14:schemeClr w14:val="tx1"/>
            </w14:solidFill>
          </w14:textFill>
        </w:rPr>
        <w:t xml:space="preserve">（四）首次响应文件开启时间：：202</w:t>
      </w:r>
      <w:r>
        <w:rPr>
          <w:rFonts w:hint="eastAsia" w:eastAsia="宋体" w:cs="宋体"/>
          <w:b/>
          <w:bCs/>
          <w:color w:val="000000" w:themeColor="text1"/>
          <w:lang w:val="en-US" w:eastAsia="zh-CN"/>
          <w14:textFill>
            <w14:solidFill>
              <w14:schemeClr w14:val="tx1"/>
            </w14:solidFill>
          </w14:textFill>
        </w:rPr>
        <w:t xml:space="preserve">6</w:t>
      </w:r>
      <w:r>
        <w:rPr>
          <w:rFonts w:hint="eastAsia" w:eastAsia="宋体" w:cs="宋体"/>
          <w:b/>
          <w:bCs/>
          <w:color w:val="000000" w:themeColor="text1"/>
          <w14:textFill>
            <w14:solidFill>
              <w14:schemeClr w14:val="tx1"/>
            </w14:solidFill>
          </w14:textFill>
        </w:rPr>
        <w:t xml:space="preserve">年</w:t>
      </w:r>
      <w:r>
        <w:rPr>
          <w:rFonts w:hint="eastAsia" w:eastAsia="宋体" w:cs="宋体"/>
          <w:b/>
          <w:bCs/>
          <w:color w:val="000000" w:themeColor="text1"/>
          <w:lang w:val="en-US" w:eastAsia="zh-CN"/>
          <w14:textFill>
            <w14:solidFill>
              <w14:schemeClr w14:val="tx1"/>
            </w14:solidFill>
          </w14:textFill>
        </w:rPr>
        <w:t xml:space="preserve">07</w:t>
      </w:r>
      <w:r>
        <w:rPr>
          <w:rFonts w:hint="eastAsia" w:eastAsia="宋体" w:cs="宋体"/>
          <w:b/>
          <w:bCs/>
          <w:color w:val="000000" w:themeColor="text1"/>
          <w14:textFill>
            <w14:solidFill>
              <w14:schemeClr w14:val="tx1"/>
            </w14:solidFill>
          </w14:textFill>
        </w:rPr>
        <w:t xml:space="preserve">月</w:t>
      </w:r>
      <w:r>
        <w:rPr>
          <w:rFonts w:hint="eastAsia" w:eastAsia="宋体" w:cs="宋体"/>
          <w:b/>
          <w:bCs/>
          <w:color w:val="000000" w:themeColor="text1"/>
          <w:lang w:val="en-US" w:eastAsia="zh-CN"/>
          <w14:textFill>
            <w14:solidFill>
              <w14:schemeClr w14:val="tx1"/>
            </w14:solidFill>
          </w14:textFill>
        </w:rPr>
        <w:t xml:space="preserve">01</w:t>
      </w:r>
      <w:r>
        <w:rPr>
          <w:rFonts w:hint="eastAsia" w:eastAsia="宋体" w:cs="宋体"/>
          <w:b/>
          <w:bCs/>
          <w:color w:val="000000" w:themeColor="text1"/>
          <w14:textFill>
            <w14:solidFill>
              <w14:schemeClr w14:val="tx1"/>
            </w14:solidFill>
          </w14:textFill>
        </w:rPr>
        <w:t xml:space="preserve">日上午09:00（北京时间）</w:t>
      </w:r>
      <w:r/>
    </w:p>
    <w:p>
      <w:pPr>
        <w:pStyle w:val="1019"/>
        <w:ind w:firstLine="480"/>
        <w:rPr>
          <w:rFonts w:eastAsia="宋体" w:cs="宋体"/>
          <w:b/>
          <w:bCs/>
          <w:color w:val="000000" w:themeColor="text1"/>
          <w14:textFill>
            <w14:solidFill>
              <w14:schemeClr w14:val="tx1"/>
            </w14:solidFill>
          </w14:textFill>
        </w:rPr>
      </w:pPr>
      <w:r>
        <w:rPr>
          <w:rFonts w:hint="eastAsia" w:eastAsia="宋体" w:cs="宋体"/>
          <w:b/>
          <w:bCs/>
          <w:color w:val="000000" w:themeColor="text1"/>
          <w14:textFill>
            <w14:solidFill>
              <w14:schemeClr w14:val="tx1"/>
            </w14:solidFill>
          </w14:textFill>
        </w:rPr>
        <w:t xml:space="preserve">（五）首次响应文件开启地点：</w:t>
      </w:r>
      <w:r/>
    </w:p>
    <w:p>
      <w:pPr>
        <w:pStyle w:val="1019"/>
        <w:ind w:firstLine="480"/>
        <w:rPr>
          <w:rFonts w:eastAsia="宋体" w:cs="宋体"/>
          <w:color w:val="000000" w:themeColor="text1"/>
          <w14:textFill>
            <w14:solidFill>
              <w14:schemeClr w14:val="tx1"/>
            </w14:solidFill>
          </w14:textFill>
        </w:rPr>
      </w:pPr>
      <w:r>
        <w:rPr>
          <w:rFonts w:hint="eastAsia" w:eastAsia="宋体" w:cs="宋体"/>
          <w:color w:val="000000" w:themeColor="text1"/>
          <w14:textFill>
            <w14:solidFill>
              <w14:schemeClr w14:val="tx1"/>
            </w14:solidFill>
          </w14:textFill>
        </w:rPr>
        <w:t xml:space="preserve">“苏采云”系统（网址：http://jszfcg.jsczt.cn/）“开标大厅”或进入徐州政府采购网（网址：</w:t>
      </w:r>
      <w:r>
        <w:rPr>
          <w:rFonts w:hint="eastAsia" w:eastAsia="宋体" w:cs="宋体"/>
          <w:color w:val="000000" w:themeColor="text1"/>
          <w:lang w:eastAsia="zh-CN"/>
          <w14:textFill>
            <w14:solidFill>
              <w14:schemeClr w14:val="tx1"/>
            </w14:solidFill>
          </w14:textFill>
        </w:rPr>
        <w:t xml:space="preserve">https://czj.xz.gov.cn/zfcg/</w:t>
      </w:r>
      <w:r>
        <w:rPr>
          <w:rFonts w:hint="eastAsia" w:eastAsia="宋体" w:cs="宋体"/>
          <w:color w:val="000000" w:themeColor="text1"/>
          <w14:textFill>
            <w14:solidFill>
              <w14:schemeClr w14:val="tx1"/>
            </w14:solidFill>
          </w14:textFill>
        </w:rPr>
        <w:t xml:space="preserve">），点击“苏采云”进入系统“开标大厅”。</w:t>
      </w:r>
      <w:r/>
    </w:p>
    <w:p>
      <w:pPr>
        <w:pStyle w:val="1019"/>
        <w:ind w:firstLine="480"/>
        <w:rPr>
          <w:rFonts w:eastAsia="宋体" w:cs="宋体"/>
          <w:color w:val="000000" w:themeColor="text1"/>
          <w14:textFill>
            <w14:solidFill>
              <w14:schemeClr w14:val="tx1"/>
            </w14:solidFill>
          </w14:textFill>
        </w:rPr>
      </w:pPr>
      <w:r>
        <w:rPr>
          <w:rFonts w:hint="eastAsia" w:eastAsia="宋体" w:cs="宋体"/>
          <w:color w:val="000000" w:themeColor="text1"/>
          <w14:textFill>
            <w14:solidFill>
              <w14:schemeClr w14:val="tx1"/>
            </w14:solidFill>
          </w14:textFill>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1019"/>
        <w:ind w:firstLine="480"/>
        <w:rPr>
          <w:rFonts w:eastAsia="宋体" w:cs="宋体"/>
          <w:color w:val="000000" w:themeColor="text1"/>
          <w14:textFill>
            <w14:solidFill>
              <w14:schemeClr w14:val="tx1"/>
            </w14:solidFill>
          </w14:textFill>
        </w:rPr>
      </w:pPr>
      <w:r>
        <w:rPr>
          <w:rFonts w:hint="eastAsia" w:eastAsia="宋体" w:cs="宋体"/>
          <w:color w:val="000000" w:themeColor="text1"/>
          <w14:textFill>
            <w14:solidFill>
              <w14:schemeClr w14:val="tx1"/>
            </w14:solidFill>
          </w14:textFill>
        </w:rPr>
        <w:t xml:space="preserve">（七）不接受不按要求加盖公章（电子签章）的首次响应文件。电子签章相关要求见“苏采云”系统。</w:t>
      </w:r>
      <w:r/>
    </w:p>
    <w:p>
      <w:pPr>
        <w:pStyle w:val="1019"/>
        <w:ind w:firstLine="480"/>
        <w:rPr>
          <w:rFonts w:eastAsia="宋体" w:cs="宋体"/>
          <w:color w:val="000000" w:themeColor="text1"/>
          <w14:textFill>
            <w14:solidFill>
              <w14:schemeClr w14:val="tx1"/>
            </w14:solidFill>
          </w14:textFill>
        </w:rPr>
      </w:pPr>
      <w:r>
        <w:rPr>
          <w:rFonts w:hint="eastAsia" w:eastAsia="宋体" w:cs="宋体"/>
          <w:bCs/>
          <w:color w:val="000000" w:themeColor="text1"/>
          <w14:textFill>
            <w14:solidFill>
              <w14:schemeClr w14:val="tx1"/>
            </w14:solidFill>
          </w14:textFill>
        </w:rPr>
        <w:t xml:space="preserve">（八）首次响应文件解密：到达开启时间，</w:t>
      </w:r>
      <w:r>
        <w:rPr>
          <w:rFonts w:hint="eastAsia" w:eastAsia="宋体" w:cs="宋体"/>
          <w:color w:val="000000" w:themeColor="text1"/>
          <w14:textFill>
            <w14:solidFill>
              <w14:schemeClr w14:val="tx1"/>
            </w14:solidFill>
          </w14:textFill>
        </w:rPr>
        <w:t xml:space="preserve">“苏采云”系统自动提取所有响应文件，供应商按采购文件规定方式按时在线解密。本项目采购文件规定的供应商按时在线解密方式：</w:t>
      </w:r>
      <w:r>
        <w:rPr>
          <w:rFonts w:hint="eastAsia" w:eastAsia="宋体" w:cs="宋体"/>
          <w:b/>
          <w:bCs/>
          <w:color w:val="000000" w:themeColor="text1"/>
          <w14:textFill>
            <w14:solidFill>
              <w14:schemeClr w14:val="tx1"/>
            </w14:solidFill>
          </w14:textFill>
        </w:rPr>
        <w:t xml:space="preserve">开启时间后30分钟内</w:t>
      </w:r>
      <w:r>
        <w:rPr>
          <w:rFonts w:hint="eastAsia" w:eastAsia="宋体" w:cs="宋体"/>
          <w:color w:val="000000" w:themeColor="text1"/>
          <w14:textFill>
            <w14:solidFill>
              <w14:schemeClr w14:val="tx1"/>
            </w14:solidFill>
          </w14:textFill>
        </w:rPr>
        <w:t xml:space="preserve">，通过“苏采云”系统（使用“CA数字证书”）解密。</w:t>
      </w:r>
      <w:r/>
    </w:p>
    <w:p>
      <w:pPr>
        <w:pStyle w:val="1019"/>
        <w:ind w:firstLine="480"/>
        <w:rPr>
          <w:rFonts w:eastAsia="宋体" w:cs="宋体"/>
          <w:color w:val="000000" w:themeColor="text1"/>
          <w14:textFill>
            <w14:solidFill>
              <w14:schemeClr w14:val="tx1"/>
            </w14:solidFill>
          </w14:textFill>
        </w:rPr>
      </w:pPr>
      <w:r>
        <w:rPr>
          <w:rFonts w:hint="eastAsia" w:eastAsia="宋体" w:cs="宋体"/>
          <w:color w:val="000000" w:themeColor="text1"/>
          <w14:textFill>
            <w14:solidFill>
              <w14:schemeClr w14:val="tx1"/>
            </w14:solidFill>
          </w14:textFill>
        </w:rPr>
        <w:t xml:space="preserve">（九）采购文件（后缀名为“.kedt”）、供应商操作手册及政府采购客户端工具可通过“苏采云”系统（网址：</w:t>
      </w:r>
      <w:r>
        <w:fldChar w:fldCharType="begin"/>
      </w:r>
      <w:r>
        <w:instrText xml:space="preserve"> HYPERLINK "http://jszfcg.jsczt.cn/" </w:instrText>
      </w:r>
      <w:r>
        <w:fldChar w:fldCharType="separate"/>
      </w:r>
      <w:r>
        <w:rPr>
          <w:rFonts w:hint="eastAsia" w:eastAsia="宋体" w:cs="宋体"/>
          <w:color w:val="000000" w:themeColor="text1"/>
          <w14:textFill>
            <w14:solidFill>
              <w14:schemeClr w14:val="tx1"/>
            </w14:solidFill>
          </w14:textFill>
        </w:rPr>
        <w:t xml:space="preserve">http://jszfcg.jsczt.cn/</w:t>
      </w:r>
      <w:r>
        <w:rPr>
          <w:rFonts w:hint="eastAsia" w:eastAsia="宋体" w:cs="宋体"/>
          <w:color w:val="000000" w:themeColor="text1"/>
          <w14:textFill>
            <w14:solidFill>
              <w14:schemeClr w14:val="tx1"/>
            </w14:solidFill>
          </w14:textFill>
        </w:rPr>
        <w:fldChar w:fldCharType="end"/>
      </w:r>
      <w:r>
        <w:rPr>
          <w:rFonts w:hint="eastAsia" w:eastAsia="宋体" w:cs="宋体"/>
          <w:color w:val="000000" w:themeColor="text1"/>
          <w14:textFill>
            <w14:solidFill>
              <w14:schemeClr w14:val="tx1"/>
            </w14:solidFill>
          </w14:textFill>
        </w:rPr>
        <w:t xml:space="preserve">）--已报名项目--报名详情页面内相应链接进行下载；供应商操作手册及政府采购客户端工具也可通过徐州政府采购网--</w:t>
      </w:r>
      <w:r>
        <w:rPr>
          <w:rFonts w:hint="eastAsia" w:eastAsia="宋体" w:cs="宋体"/>
          <w:color w:val="000000" w:themeColor="text1"/>
          <w:lang w:val="en-US" w:eastAsia="zh-CN"/>
          <w14:textFill>
            <w14:solidFill>
              <w14:schemeClr w14:val="tx1"/>
            </w14:solidFill>
          </w14:textFill>
        </w:rPr>
        <w:t xml:space="preserve"> </w:t>
      </w:r>
      <w:r>
        <w:rPr>
          <w:rFonts w:hint="eastAsia" w:eastAsia="宋体" w:cs="宋体"/>
          <w:color w:val="000000" w:themeColor="text1"/>
          <w14:textFill>
            <w14:solidFill>
              <w14:schemeClr w14:val="tx1"/>
            </w14:solidFill>
          </w14:textFill>
        </w:rPr>
        <w:t xml:space="preserve">办事指南-资料下载，点击进入《江苏省政府采购管理交易系统（苏采云）供应商操作手册及政府采购客户端》，进行下载。</w:t>
      </w:r>
      <w:r/>
    </w:p>
    <w:p>
      <w:pPr>
        <w:pStyle w:val="1019"/>
        <w:ind w:firstLine="480"/>
        <w:rPr>
          <w:rFonts w:eastAsia="宋体" w:cs="宋体"/>
          <w:color w:val="000000" w:themeColor="text1"/>
          <w14:textFill>
            <w14:solidFill>
              <w14:schemeClr w14:val="tx1"/>
            </w14:solidFill>
          </w14:textFill>
        </w:rPr>
      </w:pPr>
      <w:r>
        <w:rPr>
          <w:rFonts w:hint="eastAsia" w:eastAsia="宋体" w:cs="宋体"/>
          <w:color w:val="000000" w:themeColor="text1"/>
          <w14:textFill>
            <w14:solidFill>
              <w14:schemeClr w14:val="tx1"/>
            </w14:solidFill>
          </w14:textFill>
        </w:rPr>
        <w:t xml:space="preserve">（十）相关说明: 供应商在“苏采云”系统中提交首次响应文件的时间即为数据电文（响应文件，下同）的发送时间和接收时间。</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十三、响应文件编制要求</w:t>
      </w:r>
      <w:r/>
    </w:p>
    <w:p>
      <w:pPr>
        <w:pStyle w:val="1019"/>
        <w:ind w:firstLine="480"/>
        <w:rPr>
          <w:rFonts w:eastAsia="宋体" w:cs="宋体"/>
          <w:b/>
          <w:bCs/>
          <w:color w:val="000000" w:themeColor="text1"/>
          <w14:textFill>
            <w14:solidFill>
              <w14:schemeClr w14:val="tx1"/>
            </w14:solidFill>
          </w14:textFill>
        </w:rPr>
      </w:pPr>
      <w:r>
        <w:rPr>
          <w:rFonts w:hint="eastAsia" w:eastAsia="宋体" w:cs="宋体"/>
          <w:b/>
          <w:bCs/>
          <w:color w:val="000000" w:themeColor="text1"/>
          <w14:textFill>
            <w14:solidFill>
              <w14:schemeClr w14:val="tx1"/>
            </w14:solidFill>
          </w14:textFill>
        </w:rPr>
        <w:t xml:space="preserve">请按照以下要求（包括但不限于以下要求）制作：</w:t>
      </w:r>
      <w:r/>
    </w:p>
    <w:p>
      <w:pPr>
        <w:pStyle w:val="1019"/>
        <w:ind w:firstLine="425"/>
        <w:rPr>
          <w:rFonts w:eastAsia="宋体" w:cs="宋体"/>
          <w:b/>
          <w:color w:val="000000" w:themeColor="text1"/>
          <w14:textFill>
            <w14:solidFill>
              <w14:schemeClr w14:val="tx1"/>
            </w14:solidFill>
          </w14:textFill>
        </w:rPr>
      </w:pPr>
      <w:r>
        <w:rPr>
          <w:rFonts w:hint="eastAsia" w:eastAsia="宋体" w:cs="宋体"/>
          <w:b/>
          <w:color w:val="000000" w:themeColor="text1"/>
          <w14:textFill>
            <w14:solidFill>
              <w14:schemeClr w14:val="tx1"/>
            </w14:solidFill>
          </w14:textFill>
        </w:rPr>
        <w:t xml:space="preserve">（一）基本目录</w:t>
      </w:r>
      <w:r/>
    </w:p>
    <w:p>
      <w:pPr>
        <w:pStyle w:val="1019"/>
        <w:ind w:firstLine="480"/>
        <w:rPr>
          <w:rFonts w:eastAsia="宋体" w:cs="宋体"/>
          <w:color w:val="000000" w:themeColor="text1"/>
          <w14:textFill>
            <w14:solidFill>
              <w14:schemeClr w14:val="tx1"/>
            </w14:solidFill>
          </w14:textFill>
        </w:rPr>
      </w:pPr>
      <w:r>
        <w:rPr>
          <w:rFonts w:hint="eastAsia" w:eastAsia="宋体" w:cs="宋体"/>
          <w:color w:val="000000" w:themeColor="text1"/>
          <w14:textFill>
            <w14:solidFill>
              <w14:schemeClr w14:val="tx1"/>
            </w14:solidFill>
          </w14:textFill>
        </w:rPr>
        <w:t xml:space="preserve">1、《磋商报价表》（加盖电子签章，格式见《磋商文件》附件。政府采购客户端工具输入报价自动生成）；</w:t>
      </w:r>
      <w:r/>
    </w:p>
    <w:p>
      <w:pPr>
        <w:pStyle w:val="1019"/>
        <w:ind w:firstLine="480"/>
        <w:rPr>
          <w:rFonts w:eastAsia="宋体" w:cs="宋体"/>
          <w:color w:val="000000" w:themeColor="text1"/>
          <w14:textFill>
            <w14:solidFill>
              <w14:schemeClr w14:val="tx1"/>
            </w14:solidFill>
          </w14:textFill>
        </w:rPr>
      </w:pPr>
      <w:r>
        <w:rPr>
          <w:rFonts w:hint="eastAsia" w:eastAsia="宋体" w:cs="宋体"/>
          <w:color w:val="000000" w:themeColor="text1"/>
          <w14:textFill>
            <w14:solidFill>
              <w14:schemeClr w14:val="tx1"/>
            </w14:solidFill>
          </w14:textFill>
        </w:rPr>
        <w:t xml:space="preserve">2、授权委托书（提供原件的扫描件，格式见《磋商文件》附件）；</w:t>
      </w:r>
      <w:r/>
    </w:p>
    <w:p>
      <w:pPr>
        <w:pStyle w:val="1019"/>
        <w:ind w:firstLine="480"/>
        <w:rPr>
          <w:rFonts w:eastAsia="宋体" w:cs="宋体"/>
          <w:color w:val="000000" w:themeColor="text1"/>
          <w14:textFill>
            <w14:solidFill>
              <w14:schemeClr w14:val="tx1"/>
            </w14:solidFill>
          </w14:textFill>
        </w:rPr>
      </w:pPr>
      <w:r>
        <w:rPr>
          <w:rFonts w:hint="eastAsia" w:eastAsia="宋体" w:cs="宋体"/>
          <w:color w:val="000000" w:themeColor="text1"/>
          <w14:textFill>
            <w14:solidFill>
              <w14:schemeClr w14:val="tx1"/>
            </w14:solidFill>
          </w14:textFill>
        </w:rPr>
        <w:t xml:space="preserve">3、授权委托书中受托人身份证原件的扫描件；</w:t>
      </w:r>
      <w:r/>
    </w:p>
    <w:p>
      <w:pPr>
        <w:pStyle w:val="1010"/>
        <w:ind w:firstLine="480"/>
        <w:spacing w:before="0" w:beforeAutospacing="0" w:after="0" w:afterAutospacing="0" w:line="360" w:lineRule="auto"/>
        <w:shd w:val="clear" w:color="auto" w:fill="ffffff"/>
        <w:rPr>
          <w:rFonts w:cs="宋体"/>
        </w:rPr>
      </w:pPr>
      <w:r>
        <w:rPr>
          <w:rFonts w:hint="eastAsia" w:cs="宋体"/>
          <w:bCs/>
          <w:color w:val="000000" w:themeColor="text1"/>
          <w14:textFill>
            <w14:solidFill>
              <w14:schemeClr w14:val="tx1"/>
            </w14:solidFill>
          </w14:textFill>
        </w:rPr>
        <w:t xml:space="preserve">4、</w:t>
      </w:r>
      <w:r>
        <w:rPr>
          <w:rFonts w:hint="eastAsia" w:cs="宋体"/>
          <w:color w:val="000000"/>
          <w:shd w:val="clear" w:color="auto" w:fill="ffffff"/>
        </w:rPr>
        <w:t xml:space="preserve">所报产品的环境标志产品认证证书原件的扫描件（如有）。</w:t>
      </w:r>
      <w:r/>
    </w:p>
    <w:p>
      <w:pPr>
        <w:pStyle w:val="1010"/>
        <w:spacing w:before="0" w:beforeAutospacing="0" w:after="0" w:afterAutospacing="0" w:line="360" w:lineRule="auto"/>
        <w:shd w:val="clear" w:color="auto" w:fill="ffffff"/>
        <w:rPr>
          <w:rFonts w:cs="宋体"/>
        </w:rPr>
      </w:pPr>
      <w:r>
        <w:rPr>
          <w:rFonts w:hint="eastAsia" w:cs="宋体"/>
          <w:color w:val="000000"/>
          <w:shd w:val="clear" w:color="auto" w:fill="ffffff"/>
        </w:rPr>
        <w:t xml:space="preserve">注：（1）所报产品属于《环境标志产品政府采购品目清单》（由财政部 生态环境部印发）范围的，响应文件中提供（如有）所报产品的国家确定的认证机构出具的、处于有效期之内（即“首次响应文件开启时间”当天在有效期之内）的环境标志产品认证证书原件的扫描件。</w:t>
      </w:r>
      <w:r/>
    </w:p>
    <w:p>
      <w:pPr>
        <w:pStyle w:val="1010"/>
        <w:ind w:firstLine="240"/>
        <w:spacing w:before="0" w:beforeAutospacing="0" w:after="0" w:afterAutospacing="0" w:line="360" w:lineRule="auto"/>
        <w:shd w:val="clear" w:color="auto" w:fill="ffffff"/>
        <w:widowControl w:val="off"/>
        <w:rPr>
          <w:rFonts w:cs="宋体"/>
        </w:rPr>
      </w:pPr>
      <w:r>
        <w:rPr>
          <w:rFonts w:hint="eastAsia" w:cs="宋体"/>
          <w:color w:val="000000"/>
          <w:shd w:val="clear" w:color="auto" w:fill="ffffff"/>
        </w:rPr>
        <w:t xml:space="preserve">  （2）环境标志产品认证证书是否符合要求，采购人评审时查询中国政府采购网（www.ccgp.gov.cn）相关内容后确定。</w:t>
      </w:r>
      <w:r/>
    </w:p>
    <w:p>
      <w:pPr>
        <w:pStyle w:val="1010"/>
        <w:ind w:firstLine="240"/>
        <w:spacing w:before="0" w:beforeAutospacing="0" w:after="0" w:afterAutospacing="0" w:line="360" w:lineRule="auto"/>
        <w:shd w:val="clear" w:color="auto" w:fill="ffffff"/>
        <w:widowControl w:val="off"/>
        <w:rPr>
          <w:rFonts w:cs="宋体"/>
        </w:rPr>
      </w:pPr>
      <w:r>
        <w:rPr>
          <w:rFonts w:hint="eastAsia" w:cs="宋体"/>
          <w:color w:val="000000"/>
          <w:shd w:val="clear" w:color="auto" w:fill="ffffff"/>
        </w:rPr>
        <w:t xml:space="preserve">  5、所报产品的节能产品认证证书原件的扫描件（如有）。</w:t>
      </w:r>
      <w:r/>
    </w:p>
    <w:p>
      <w:pPr>
        <w:pStyle w:val="1010"/>
        <w:spacing w:before="0" w:beforeAutospacing="0" w:after="0" w:afterAutospacing="0" w:line="360" w:lineRule="auto"/>
        <w:shd w:val="clear" w:color="auto" w:fill="ffffff"/>
        <w:widowControl w:val="off"/>
        <w:rPr>
          <w:rFonts w:cs="宋体"/>
        </w:rPr>
      </w:pPr>
      <w:r>
        <w:rPr>
          <w:rFonts w:hint="eastAsia" w:cs="宋体"/>
          <w:color w:val="000000"/>
          <w:shd w:val="clear" w:color="auto" w:fill="ffffff"/>
        </w:rPr>
        <w:t xml:space="preserve">注：（1）所报产品属于《节能产品政府采购品目清单》（由财政部 发展改革委印发）范围的，响应文件中提供（如有）所报产品的国家确定的认证机构出具的、处于有效期之内（即“首次响应文件开启时间”当天在有效期之内）的节能产品认证证书原件的扫描件。</w:t>
      </w:r>
      <w:r/>
    </w:p>
    <w:p>
      <w:pPr>
        <w:pStyle w:val="1010"/>
        <w:ind w:firstLine="480"/>
        <w:spacing w:before="0" w:beforeAutospacing="0" w:after="0" w:afterAutospacing="0" w:line="360" w:lineRule="auto"/>
        <w:shd w:val="clear" w:color="auto" w:fill="ffffff"/>
        <w:widowControl w:val="off"/>
        <w:rPr>
          <w:rFonts w:cs="宋体"/>
        </w:rPr>
      </w:pPr>
      <w:r>
        <w:rPr>
          <w:rFonts w:hint="eastAsia" w:cs="宋体"/>
          <w:color w:val="000000"/>
          <w:shd w:val="clear" w:color="auto" w:fill="ffffff"/>
        </w:rPr>
        <w:t xml:space="preserve">（2）节能产品认证证书是否符合要求，采购人评审时查询中国政府采购网（www.ccgp.gov.cn）相关内容后确定。</w:t>
      </w:r>
      <w:r/>
    </w:p>
    <w:p>
      <w:pPr>
        <w:pStyle w:val="1010"/>
        <w:ind w:firstLine="482"/>
        <w:jc w:val="both"/>
        <w:spacing w:before="0" w:beforeAutospacing="0" w:after="0" w:afterAutospacing="0" w:line="360" w:lineRule="auto"/>
        <w:shd w:val="clear" w:color="auto" w:fill="ffffff"/>
        <w:widowControl w:val="off"/>
        <w:rPr>
          <w:rFonts w:cs="宋体"/>
          <w:bCs/>
          <w:color w:val="000000" w:themeColor="text1"/>
          <w14:textFill>
            <w14:solidFill>
              <w14:schemeClr w14:val="tx1"/>
            </w14:solidFill>
          </w14:textFill>
        </w:rPr>
      </w:pPr>
      <w:r>
        <w:rPr>
          <w:rFonts w:hint="eastAsia" w:cs="宋体"/>
          <w:color w:val="000000"/>
          <w:shd w:val="clear" w:color="auto" w:fill="ffffff"/>
        </w:rPr>
        <w:t xml:space="preserve">6、供应商认为需要提供的其他资料的扫描件（如有）。</w:t>
      </w:r>
      <w:r/>
    </w:p>
    <w:p>
      <w:pPr>
        <w:pStyle w:val="1020"/>
        <w:ind w:firstLine="482"/>
        <w:spacing w:line="360" w:lineRule="auto"/>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 xml:space="preserve">（二）资格条件（1～6项必须提供原件扫描件，否则响应无效）</w:t>
      </w:r>
      <w:r/>
    </w:p>
    <w:p>
      <w:pPr>
        <w:pStyle w:val="1020"/>
        <w:ind w:firstLine="482"/>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1.具有独立承担民事责任的能力，提供供应商合法有效的法人的营业执照(或事业单位法人证书)或其他组织应提供合法证明文件的原件扫描件。</w:t>
      </w:r>
      <w:r/>
    </w:p>
    <w:p>
      <w:pPr>
        <w:pStyle w:val="1020"/>
        <w:ind w:firstLine="482"/>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2.财务状况报告，至少提供：即提供供应商的本项目开标时间前6个月内（不含开标当月）</w:t>
      </w:r>
      <w:r>
        <w:rPr>
          <w:rFonts w:hint="eastAsia" w:ascii="宋体" w:hAnsi="宋体" w:cs="宋体"/>
          <w:bCs/>
          <w:color w:val="000000" w:themeColor="text1"/>
          <w:sz w:val="24"/>
          <w:szCs w:val="24"/>
          <w:lang w:val="en-US" w:eastAsia="zh-CN"/>
          <w14:textFill>
            <w14:solidFill>
              <w14:schemeClr w14:val="tx1"/>
            </w14:solidFill>
          </w14:textFill>
        </w:rPr>
        <w:t xml:space="preserve">任意一个月</w:t>
      </w:r>
      <w:r>
        <w:rPr>
          <w:rFonts w:hint="eastAsia" w:ascii="宋体" w:hAnsi="宋体" w:cs="宋体"/>
          <w:bCs/>
          <w:color w:val="000000" w:themeColor="text1"/>
          <w:sz w:val="24"/>
          <w:szCs w:val="24"/>
          <w14:textFill>
            <w14:solidFill>
              <w14:schemeClr w14:val="tx1"/>
            </w14:solidFill>
          </w14:textFill>
        </w:rPr>
        <w:t xml:space="preserve">的资产负债表和利润表月报表扫描件各1份；或供应商基本开户银行出具的有效的资信证明扫描件；或其上一年度经审计的财务报告扫描件（202</w:t>
      </w:r>
      <w:r>
        <w:rPr>
          <w:rFonts w:hint="eastAsia" w:ascii="宋体" w:hAnsi="宋体" w:cs="宋体"/>
          <w:bCs/>
          <w:color w:val="000000" w:themeColor="text1"/>
          <w:sz w:val="24"/>
          <w:szCs w:val="24"/>
          <w:lang w:val="en-US" w:eastAsia="zh-CN"/>
          <w14:textFill>
            <w14:solidFill>
              <w14:schemeClr w14:val="tx1"/>
            </w14:solidFill>
          </w14:textFill>
        </w:rPr>
        <w:t xml:space="preserve">5</w:t>
      </w:r>
      <w:r>
        <w:rPr>
          <w:rFonts w:hint="eastAsia" w:ascii="宋体" w:hAnsi="宋体" w:cs="宋体"/>
          <w:bCs/>
          <w:color w:val="000000" w:themeColor="text1"/>
          <w:sz w:val="24"/>
          <w:szCs w:val="24"/>
          <w14:textFill>
            <w14:solidFill>
              <w14:schemeClr w14:val="tx1"/>
            </w14:solidFill>
          </w14:textFill>
        </w:rPr>
        <w:t xml:space="preserve">年度，应包括审计报告正文、资产负债表、现金流量表、利润表）；</w:t>
      </w:r>
      <w:r/>
    </w:p>
    <w:p>
      <w:pPr>
        <w:pStyle w:val="1020"/>
        <w:ind w:firstLine="482"/>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3.供应商的本项目开标时间前6个月内（不含开标当月）任何1月的</w:t>
      </w:r>
      <w:r>
        <w:rPr>
          <w:rFonts w:hint="eastAsia" w:ascii="宋体" w:hAnsi="宋体" w:cs="宋体"/>
          <w:b/>
          <w:color w:val="000000" w:themeColor="text1"/>
          <w:sz w:val="24"/>
          <w:szCs w:val="24"/>
          <w14:textFill>
            <w14:solidFill>
              <w14:schemeClr w14:val="tx1"/>
            </w14:solidFill>
          </w14:textFill>
        </w:rPr>
        <w:t xml:space="preserve">依法缴纳税收</w:t>
      </w:r>
      <w:r>
        <w:rPr>
          <w:rFonts w:hint="eastAsia" w:ascii="宋体" w:hAnsi="宋体" w:cs="宋体"/>
          <w:bCs/>
          <w:color w:val="000000" w:themeColor="text1"/>
          <w:sz w:val="24"/>
          <w:szCs w:val="24"/>
          <w14:textFill>
            <w14:solidFill>
              <w14:schemeClr w14:val="tx1"/>
            </w14:solidFill>
          </w14:textFill>
        </w:rPr>
        <w:t xml:space="preserve">和</w:t>
      </w:r>
      <w:r>
        <w:rPr>
          <w:rFonts w:hint="eastAsia" w:ascii="宋体" w:hAnsi="宋体" w:cs="宋体"/>
          <w:b/>
          <w:color w:val="000000" w:themeColor="text1"/>
          <w:sz w:val="24"/>
          <w:szCs w:val="24"/>
          <w14:textFill>
            <w14:solidFill>
              <w14:schemeClr w14:val="tx1"/>
            </w14:solidFill>
          </w14:textFill>
        </w:rPr>
        <w:t xml:space="preserve">社会保障资金</w:t>
      </w:r>
      <w:r>
        <w:rPr>
          <w:rFonts w:hint="eastAsia" w:ascii="宋体" w:hAnsi="宋体" w:cs="宋体"/>
          <w:bCs/>
          <w:color w:val="000000" w:themeColor="text1"/>
          <w:sz w:val="24"/>
          <w:szCs w:val="24"/>
          <w14:textFill>
            <w14:solidFill>
              <w14:schemeClr w14:val="tx1"/>
            </w14:solidFill>
          </w14:textFill>
        </w:rPr>
        <w:t xml:space="preserve">的相关材料扫描件；依法免税或不需要缴纳社会保障资金的供应商应提供相应其依法免税或不需要缴纳社会保障资金的证明文件扫描件；</w:t>
      </w:r>
      <w:r/>
    </w:p>
    <w:p>
      <w:pPr>
        <w:pStyle w:val="1020"/>
        <w:ind w:firstLine="482"/>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4.具备履行合同所必需的设备和专业技术能力的证明材料提供具备履行合同所必需的设备和专业技术能力的书面声明（格式见《磋商文件》附件）。</w:t>
      </w:r>
      <w:r/>
    </w:p>
    <w:p>
      <w:pPr>
        <w:pStyle w:val="1020"/>
        <w:ind w:firstLine="482"/>
        <w:spacing w:line="360" w:lineRule="auto"/>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 xml:space="preserve">即要求如下： </w:t>
      </w:r>
      <w:r/>
    </w:p>
    <w:p>
      <w:pPr>
        <w:pStyle w:val="1020"/>
        <w:ind w:firstLine="482"/>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（1）供应商的</w:t>
      </w:r>
      <w:r>
        <w:rPr>
          <w:rFonts w:hint="eastAsia" w:ascii="宋体" w:hAnsi="宋体" w:cs="宋体"/>
          <w:b/>
          <w:bCs w:val="0"/>
          <w:color w:val="000000" w:themeColor="text1"/>
          <w:sz w:val="24"/>
          <w:szCs w:val="24"/>
          <w:lang w:eastAsia="zh-CN"/>
          <w14:textFill>
            <w14:solidFill>
              <w14:schemeClr w14:val="tx1"/>
            </w14:solidFill>
          </w14:textFill>
        </w:rPr>
        <w:t xml:space="preserve">电力工程施工总承包叁级（含） 以上资质或输变电工程专业承包叁级（含）以上资质，并同时具备承装（修、试）电力设施许可证五级（含）以上等级证书</w:t>
      </w:r>
      <w:r>
        <w:rPr>
          <w:rFonts w:hint="eastAsia" w:ascii="宋体" w:hAnsi="宋体" w:cs="宋体"/>
          <w:bCs/>
          <w:color w:val="000000" w:themeColor="text1"/>
          <w:sz w:val="24"/>
          <w:szCs w:val="24"/>
          <w:lang w:eastAsia="zh-CN"/>
          <w14:textFill>
            <w14:solidFill>
              <w14:schemeClr w14:val="tx1"/>
            </w14:solidFill>
          </w14:textFill>
        </w:rPr>
        <w:t xml:space="preserve">，</w:t>
      </w:r>
      <w:r>
        <w:rPr>
          <w:rFonts w:hint="eastAsia" w:ascii="宋体" w:hAnsi="宋体" w:cs="宋体"/>
          <w:bCs/>
          <w:color w:val="000000" w:themeColor="text1"/>
          <w:sz w:val="24"/>
          <w:szCs w:val="24"/>
          <w14:textFill>
            <w14:solidFill>
              <w14:schemeClr w14:val="tx1"/>
            </w14:solidFill>
          </w14:textFill>
        </w:rPr>
        <w:t xml:space="preserve">以上资质证书扫描件</w:t>
      </w:r>
      <w:r/>
    </w:p>
    <w:p>
      <w:pPr>
        <w:pStyle w:val="1020"/>
        <w:ind w:firstLine="482"/>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（2）供应商拟选派项目负责人（注册建造师）具备</w:t>
      </w:r>
      <w:r>
        <w:rPr>
          <w:rFonts w:hint="eastAsia" w:ascii="宋体" w:hAnsi="宋体" w:cs="宋体"/>
          <w:b/>
          <w:bCs w:val="0"/>
          <w:color w:val="000000" w:themeColor="text1"/>
          <w:sz w:val="24"/>
          <w:szCs w:val="24"/>
          <w:highlight w:val="none"/>
          <w:lang w:eastAsia="zh-CN"/>
          <w14:textFill>
            <w14:solidFill>
              <w14:schemeClr w14:val="tx1"/>
            </w14:solidFill>
          </w14:textFill>
        </w:rPr>
        <w:t xml:space="preserve">机电工程专业贰级（含）</w:t>
      </w:r>
      <w:r>
        <w:rPr>
          <w:rFonts w:hint="eastAsia" w:ascii="宋体" w:hAnsi="宋体" w:cs="宋体"/>
          <w:b/>
          <w:bCs w:val="0"/>
          <w:color w:val="000000" w:themeColor="text1"/>
          <w:sz w:val="24"/>
          <w:szCs w:val="24"/>
          <w14:textFill>
            <w14:solidFill>
              <w14:schemeClr w14:val="tx1"/>
            </w14:solidFill>
          </w14:textFill>
        </w:rPr>
        <w:t xml:space="preserve">以上资格证书；并取得《建筑施工企业项目负责人安全生产考核合格证书》（B证）</w:t>
      </w:r>
      <w:r>
        <w:rPr>
          <w:rFonts w:hint="eastAsia" w:ascii="宋体" w:hAnsi="宋体" w:cs="宋体"/>
          <w:bCs/>
          <w:color w:val="000000" w:themeColor="text1"/>
          <w:sz w:val="24"/>
          <w:szCs w:val="24"/>
          <w14:textFill>
            <w14:solidFill>
              <w14:schemeClr w14:val="tx1"/>
            </w14:solidFill>
          </w14:textFill>
        </w:rPr>
        <w:t xml:space="preserve">，响应文件中提供证书扫描件，及项目负责人无在建工程证明材料或承诺书。</w:t>
      </w:r>
      <w:r/>
    </w:p>
    <w:p>
      <w:pPr>
        <w:pStyle w:val="1020"/>
        <w:ind w:firstLine="482"/>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（3）供应商具备安全生产条件，取得《安全生产许可证》，响应文件中提供证书扫描件</w:t>
      </w:r>
      <w:r/>
    </w:p>
    <w:p>
      <w:pPr>
        <w:pStyle w:val="1020"/>
        <w:ind w:firstLine="482"/>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5.供应商参加政府采购活动前3年内在经营活动中没有重大违法记录的书面声明（加盖电子签章，格式见《磋商文件》附件）。</w:t>
      </w:r>
      <w:r/>
    </w:p>
    <w:p>
      <w:pPr>
        <w:pStyle w:val="1020"/>
        <w:ind w:firstLine="482"/>
        <w:spacing w:line="360" w:lineRule="auto"/>
        <w:rPr>
          <w:rFonts w:ascii="宋体" w:hAnsi="宋体" w:cs="宋体"/>
          <w:b/>
          <w:sz w:val="24"/>
          <w:szCs w:val="24"/>
        </w:rPr>
      </w:pPr>
      <w:r>
        <w:rPr>
          <w:rFonts w:hint="eastAsia" w:ascii="宋体" w:hAnsi="宋体" w:cs="宋体"/>
          <w:b/>
          <w:sz w:val="24"/>
          <w:szCs w:val="24"/>
        </w:rPr>
        <w:t xml:space="preserve">6、供应商为中小微企业（含中型、小型、微型企业，下同）的，提供《中小企业声明函》原件（电子签章，填写完整。必须提供，格式见《磋商文件》附件）。《中小企业声明函》查询渠道参考工业和信息化部发布的中小企业规模自测小程序。</w:t>
      </w:r>
      <w:r/>
    </w:p>
    <w:p>
      <w:pPr>
        <w:pStyle w:val="1020"/>
        <w:ind w:right="-334" w:firstLine="480"/>
        <w:spacing w:line="360" w:lineRule="auto"/>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注：中小微企业，应当同时符合以下条件：</w:t>
      </w:r>
      <w:r/>
    </w:p>
    <w:p>
      <w:pPr>
        <w:pStyle w:val="1020"/>
        <w:ind w:right="-334" w:firstLine="480"/>
        <w:spacing w:line="360" w:lineRule="auto"/>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中小企业需满足的条件具体以《政府采购促进中小企业发展管理办法》（财库﹝2020﹞46 号）和《工业和信息化部、国家统计局、国家发展和改革委员会、财政部关于印发中小企业划型标准规定的通知》（工信部联企业[2011]300号）的规定为准。</w:t>
      </w:r>
      <w:r/>
    </w:p>
    <w:p>
      <w:pPr>
        <w:pStyle w:val="1020"/>
        <w:ind w:right="-334" w:firstLine="480"/>
        <w:spacing w:line="360" w:lineRule="auto"/>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供应商为残疾人福利性单位的，视同小微企业，提供《残疾人福利性单位声明函》（电子签章，格式见附件》）。具体以《关于促进残疾人就业政府采购政策的通知》（财库〔2017〕141号）的规定为准。</w:t>
      </w:r>
      <w:r/>
    </w:p>
    <w:p>
      <w:pPr>
        <w:pStyle w:val="1020"/>
        <w:ind w:right="-334" w:firstLine="480"/>
        <w:spacing w:line="360" w:lineRule="auto"/>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供应商为监狱企业的，视同小微企业，提供省级以上监狱管理局、戒毒管理局（含新疆生产建设兵团）出具的属于监狱企业的证明文件扫描件。具体以《财政部司法部关于政府采购支持监狱企业发展有关问题的通知》（财库〔2014〕68号）的规定为准。</w:t>
      </w:r>
      <w:r/>
    </w:p>
    <w:p>
      <w:pPr>
        <w:pStyle w:val="1020"/>
        <w:ind w:right="-334" w:firstLine="480"/>
        <w:spacing w:line="360" w:lineRule="auto"/>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（三）符合条件（必须提供，否则响应无效）</w:t>
      </w:r>
      <w:r/>
    </w:p>
    <w:p>
      <w:pPr>
        <w:pStyle w:val="1020"/>
        <w:ind w:right="-334" w:firstLine="480"/>
        <w:spacing w:line="360" w:lineRule="auto"/>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1.《磋商报价表》（加盖电子签章，格式见《磋商文件》附件，必须提供，否则响应无效）；（磋商文件格式与客户端格式不同，以《磋商文件》附件为准，但首次报价必须相同）；</w:t>
      </w:r>
      <w:r/>
    </w:p>
    <w:p>
      <w:pPr>
        <w:pStyle w:val="1020"/>
        <w:ind w:right="-334" w:firstLine="480"/>
        <w:spacing w:line="360" w:lineRule="auto"/>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2.《承诺书》（加盖电子签章，格式见《磋商文件》附件）；</w:t>
      </w:r>
      <w:r/>
    </w:p>
    <w:p>
      <w:pPr>
        <w:pStyle w:val="1020"/>
        <w:ind w:right="-334" w:firstLine="480"/>
        <w:spacing w:line="360" w:lineRule="auto"/>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3.《授权委托书》（提供原件的扫描件，格式见《磋商文件》附件）；</w:t>
      </w:r>
      <w:r/>
    </w:p>
    <w:p>
      <w:pPr>
        <w:pStyle w:val="1020"/>
        <w:ind w:right="-334" w:firstLine="480"/>
        <w:spacing w:line="360" w:lineRule="auto"/>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4. 授权委托书中受托人</w:t>
      </w:r>
      <w:r>
        <w:rPr>
          <w:rFonts w:hint="eastAsia" w:ascii="宋体" w:hAnsi="宋体" w:cs="宋体"/>
          <w:bCs/>
          <w:color w:val="000000" w:themeColor="text1"/>
          <w:sz w:val="24"/>
          <w:highlight w:val="none"/>
          <w14:textFill>
            <w14:solidFill>
              <w14:schemeClr w14:val="tx1"/>
            </w14:solidFill>
          </w14:textFill>
        </w:rPr>
        <w:t xml:space="preserve">身份证扫描件</w:t>
      </w:r>
      <w:r>
        <w:rPr>
          <w:rFonts w:hint="eastAsia" w:ascii="宋体" w:hAnsi="宋体" w:cs="宋体"/>
          <w:bCs/>
          <w:color w:val="000000" w:themeColor="text1"/>
          <w:sz w:val="24"/>
          <w14:textFill>
            <w14:solidFill>
              <w14:schemeClr w14:val="tx1"/>
            </w14:solidFill>
          </w14:textFill>
        </w:rPr>
        <w:t xml:space="preserve">；</w:t>
      </w:r>
      <w:r/>
    </w:p>
    <w:p>
      <w:pPr>
        <w:pStyle w:val="1020"/>
        <w:ind w:right="-334" w:firstLine="480"/>
        <w:spacing w:line="360" w:lineRule="auto"/>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5.《分项价格表》（具有标价的工程量清单与报价表，加盖电子签章，格式见《磋商文件》附件）；</w:t>
      </w:r>
      <w:r/>
    </w:p>
    <w:p>
      <w:pPr>
        <w:pStyle w:val="1020"/>
        <w:ind w:right="-334" w:firstLine="480"/>
        <w:spacing w:line="360" w:lineRule="auto"/>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6.《偏离表》（加盖电子签章，格式见《磋商文件》附件）；</w:t>
      </w:r>
      <w:r/>
    </w:p>
    <w:p>
      <w:pPr>
        <w:pStyle w:val="1020"/>
        <w:ind w:right="-334" w:firstLine="480"/>
        <w:spacing w:line="360" w:lineRule="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7.《承包人用于本工程施工的机械设备表》（加盖电子签章，格式见《磋商文件》附件）；</w:t>
      </w:r>
      <w:r/>
    </w:p>
    <w:p>
      <w:pPr>
        <w:pStyle w:val="1020"/>
        <w:ind w:right="-334" w:firstLine="480"/>
        <w:spacing w:line="360" w:lineRule="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8.《承包人主要施工管理人员表》（加盖电子签章，格式见《磋商文件》附件）；</w:t>
      </w:r>
      <w:r/>
    </w:p>
    <w:p>
      <w:pPr>
        <w:pStyle w:val="1020"/>
        <w:ind w:right="-334" w:firstLine="480"/>
        <w:spacing w:line="360" w:lineRule="auto"/>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（四）综合评审评分项</w:t>
      </w:r>
      <w:r/>
    </w:p>
    <w:p>
      <w:pPr>
        <w:pStyle w:val="1020"/>
        <w:ind w:right="-334" w:firstLine="480"/>
        <w:spacing w:line="360" w:lineRule="auto"/>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1、技术部分：</w:t>
      </w:r>
      <w:r/>
    </w:p>
    <w:p>
      <w:pPr>
        <w:pStyle w:val="1020"/>
        <w:ind w:right="-334" w:firstLine="480"/>
        <w:spacing w:line="360" w:lineRule="auto"/>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1.1施工方案（要求见《磋商文件》附件1、《评分细则》及附件：2、《项目要求（采购需求）》）；</w:t>
      </w:r>
      <w:r/>
    </w:p>
    <w:p>
      <w:pPr>
        <w:pStyle w:val="1020"/>
        <w:ind w:right="-334" w:firstLine="480"/>
        <w:spacing w:line="360" w:lineRule="auto"/>
      </w:pPr>
      <w:r>
        <w:rPr>
          <w:rFonts w:hint="eastAsia" w:ascii="宋体" w:hAnsi="宋体" w:cs="宋体"/>
          <w:bCs/>
          <w:color w:val="000000" w:themeColor="text1"/>
          <w:sz w:val="24"/>
          <w14:textFill>
            <w14:solidFill>
              <w14:schemeClr w14:val="tx1"/>
            </w14:solidFill>
          </w14:textFill>
        </w:rPr>
        <w:t xml:space="preserve">1.2售后服务方案（要求见《磋商文件》附件1、《评分细则》及附件：2、《项目要求（采购需求）》）；</w:t>
      </w:r>
      <w:r/>
    </w:p>
    <w:p>
      <w:pPr>
        <w:pStyle w:val="1020"/>
        <w:ind w:firstLine="480"/>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2、商务部分</w:t>
      </w:r>
      <w:r/>
    </w:p>
    <w:p>
      <w:pPr>
        <w:pStyle w:val="1020"/>
        <w:ind w:right="-334" w:firstLine="480"/>
        <w:spacing w:line="360" w:lineRule="auto"/>
        <w:rPr>
          <w:rFonts w:ascii="宋体" w:hAnsi="宋体" w:cs="宋体"/>
          <w:bCs/>
          <w:color w:val="000000" w:themeColor="text1"/>
          <w:sz w:val="24"/>
          <w:szCs w:val="22"/>
          <w14:textFill>
            <w14:solidFill>
              <w14:schemeClr w14:val="tx1"/>
            </w14:solidFill>
          </w14:textFill>
        </w:rPr>
      </w:pPr>
      <w:r>
        <w:rPr>
          <w:rFonts w:hint="eastAsia" w:ascii="宋体" w:hAnsi="宋体" w:cs="宋体"/>
          <w:bCs/>
          <w:color w:val="000000" w:themeColor="text1"/>
          <w:sz w:val="24"/>
          <w:szCs w:val="22"/>
          <w14:textFill>
            <w14:solidFill>
              <w14:schemeClr w14:val="tx1"/>
            </w14:solidFill>
          </w14:textFill>
        </w:rPr>
        <w:t xml:space="preserve">评分细则中评分得分需提供的相关证明文件原件扫描件或供应商认为需要提供的其他资料扫描件。</w:t>
      </w:r>
      <w:r/>
    </w:p>
    <w:p>
      <w:pPr>
        <w:pStyle w:val="1020"/>
        <w:ind w:right="-334" w:firstLine="480"/>
        <w:spacing w:line="360" w:lineRule="auto"/>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（五）价格折扣文件格式</w:t>
      </w:r>
      <w:r/>
    </w:p>
    <w:p>
      <w:pPr>
        <w:pStyle w:val="1020"/>
        <w:ind w:right="-334" w:firstLine="480"/>
        <w:spacing w:line="360" w:lineRule="auto"/>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1、企业报价折扣证明：无。</w:t>
      </w:r>
      <w:r/>
    </w:p>
    <w:p>
      <w:pPr>
        <w:pStyle w:val="1020"/>
        <w:ind w:right="-334" w:firstLine="480"/>
        <w:spacing w:line="360" w:lineRule="auto"/>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（六）提交的首次响应文件的加密、签署、盖章要求：</w:t>
      </w:r>
      <w:r/>
    </w:p>
    <w:p>
      <w:pPr>
        <w:pStyle w:val="1019"/>
        <w:ind w:firstLine="480"/>
        <w:rPr>
          <w:rFonts w:eastAsia="宋体" w:cs="宋体"/>
          <w:color w:val="000000" w:themeColor="text1"/>
          <w14:textFill>
            <w14:solidFill>
              <w14:schemeClr w14:val="tx1"/>
            </w14:solidFill>
          </w14:textFill>
        </w:rPr>
      </w:pPr>
      <w:r>
        <w:rPr>
          <w:rFonts w:hint="eastAsia" w:eastAsia="宋体" w:cs="宋体"/>
          <w:color w:val="000000" w:themeColor="text1"/>
          <w14:textFill>
            <w14:solidFill>
              <w14:schemeClr w14:val="tx1"/>
            </w14:solidFill>
          </w14:textFill>
        </w:rPr>
        <w:t xml:space="preserve">1、加密要求：</w:t>
      </w:r>
      <w:r/>
    </w:p>
    <w:p>
      <w:pPr>
        <w:pStyle w:val="1019"/>
        <w:ind w:firstLine="480"/>
        <w:rPr>
          <w:rFonts w:eastAsia="宋体" w:cs="宋体"/>
          <w:color w:val="000000" w:themeColor="text1"/>
          <w14:textFill>
            <w14:solidFill>
              <w14:schemeClr w14:val="tx1"/>
            </w14:solidFill>
          </w14:textFill>
        </w:rPr>
      </w:pPr>
      <w:r>
        <w:rPr>
          <w:rFonts w:hint="eastAsia" w:eastAsia="宋体" w:cs="宋体"/>
          <w:color w:val="000000" w:themeColor="text1"/>
          <w14:textFill>
            <w14:solidFill>
              <w14:schemeClr w14:val="tx1"/>
            </w14:solidFill>
          </w14:textFill>
        </w:rPr>
        <w:t xml:space="preserve">供应商应当按照《磋商文件》和“苏采云”系统的要求编制并加密响应文件。本项目供应商须通过“苏采云”系统提供的政府采购客户端工具（使用“CA数字证书”）对其数据电文形式的响应文件加密。</w:t>
      </w:r>
      <w:r/>
    </w:p>
    <w:p>
      <w:pPr>
        <w:pStyle w:val="1019"/>
        <w:ind w:firstLine="480"/>
        <w:rPr>
          <w:rFonts w:eastAsia="宋体" w:cs="宋体"/>
          <w:color w:val="000000" w:themeColor="text1"/>
          <w14:textFill>
            <w14:solidFill>
              <w14:schemeClr w14:val="tx1"/>
            </w14:solidFill>
          </w14:textFill>
        </w:rPr>
      </w:pPr>
      <w:r>
        <w:rPr>
          <w:rFonts w:hint="eastAsia" w:eastAsia="宋体" w:cs="宋体"/>
          <w:color w:val="000000" w:themeColor="text1"/>
          <w14:textFill>
            <w14:solidFill>
              <w14:schemeClr w14:val="tx1"/>
            </w14:solidFill>
          </w14:textFill>
        </w:rPr>
        <w:t xml:space="preserve">2、签署要求：</w:t>
      </w:r>
      <w:r>
        <w:rPr>
          <w:rFonts w:hint="eastAsia" w:eastAsia="宋体" w:cs="宋体"/>
          <w:b/>
          <w:bCs/>
          <w:color w:val="000000" w:themeColor="text1"/>
          <w14:textFill>
            <w14:solidFill>
              <w14:schemeClr w14:val="tx1"/>
            </w14:solidFill>
          </w14:textFill>
        </w:rPr>
        <w:t xml:space="preserve">特别提醒：竞争性磋商文件中如需“被授权代表签字或盖章”，供应商可打印成文档，签字或盖章后再扫描上传，最后再电子签章。</w:t>
      </w:r>
      <w:r>
        <w:rPr>
          <w:rFonts w:hint="eastAsia" w:eastAsia="宋体" w:cs="宋体"/>
          <w:color w:val="000000" w:themeColor="text1"/>
          <w14:textFill>
            <w14:solidFill>
              <w14:schemeClr w14:val="tx1"/>
            </w14:solidFill>
          </w14:textFill>
        </w:rPr>
        <w:t xml:space="preserve">见《磋商文件》第九章附件中相关格式要求。</w:t>
      </w:r>
      <w:r/>
    </w:p>
    <w:p>
      <w:pPr>
        <w:pStyle w:val="1019"/>
        <w:ind w:firstLine="480"/>
        <w:rPr>
          <w:rFonts w:eastAsia="宋体" w:cs="宋体"/>
          <w:color w:val="000000" w:themeColor="text1"/>
          <w14:textFill>
            <w14:solidFill>
              <w14:schemeClr w14:val="tx1"/>
            </w14:solidFill>
          </w14:textFill>
        </w:rPr>
      </w:pPr>
      <w:r>
        <w:rPr>
          <w:rFonts w:hint="eastAsia" w:eastAsia="宋体" w:cs="宋体"/>
          <w:color w:val="000000" w:themeColor="text1"/>
          <w14:textFill>
            <w14:solidFill>
              <w14:schemeClr w14:val="tx1"/>
            </w14:solidFill>
          </w14:textFill>
        </w:rPr>
        <w:t xml:space="preserve">3、盖章要求：见《磋商文件》第九章附件中相关格式要求。供应商须通过“苏采云”系统提供的政府采购客户端工具（使用“CA数字证书”）加盖电子签章。</w:t>
      </w:r>
      <w:r/>
    </w:p>
    <w:p>
      <w:pPr>
        <w:pStyle w:val="1019"/>
        <w:rPr>
          <w:rFonts w:eastAsia="宋体" w:cs="宋体"/>
          <w:b/>
          <w:bCs/>
          <w:color w:val="000000" w:themeColor="text1"/>
          <w14:textFill>
            <w14:solidFill>
              <w14:schemeClr w14:val="tx1"/>
            </w14:solidFill>
          </w14:textFill>
        </w:rPr>
      </w:pPr>
      <w:r>
        <w:rPr>
          <w:rFonts w:hint="eastAsia" w:eastAsia="宋体" w:cs="宋体"/>
          <w:b/>
          <w:bCs/>
          <w:color w:val="000000" w:themeColor="text1"/>
          <w14:textFill>
            <w14:solidFill>
              <w14:schemeClr w14:val="tx1"/>
            </w14:solidFill>
          </w14:textFill>
        </w:rPr>
        <w:t xml:space="preserve">（七）通过“苏采云”系统提交政府采购客户端工具导出加密的响应文件（后缀名为zip）。响应文件不得超过150M！ </w:t>
      </w:r>
      <w:r/>
    </w:p>
    <w:p>
      <w:pPr>
        <w:pStyle w:val="1019"/>
        <w:ind w:firstLine="497"/>
        <w:rPr>
          <w:rFonts w:eastAsia="宋体" w:cs="宋体"/>
          <w:color w:val="000000" w:themeColor="text1"/>
          <w14:textFill>
            <w14:solidFill>
              <w14:schemeClr w14:val="tx1"/>
            </w14:solidFill>
          </w14:textFill>
        </w:rPr>
      </w:pPr>
      <w:r>
        <w:rPr>
          <w:rFonts w:hint="eastAsia" w:eastAsia="宋体" w:cs="宋体"/>
          <w:color w:val="000000" w:themeColor="text1"/>
          <w14:textFill>
            <w14:solidFill>
              <w14:schemeClr w14:val="tx1"/>
            </w14:solidFill>
          </w14:textFill>
        </w:rPr>
        <w:t xml:space="preserve">注：</w:t>
      </w:r>
      <w:r/>
    </w:p>
    <w:p>
      <w:pPr>
        <w:pStyle w:val="1019"/>
        <w:ind w:firstLine="497"/>
        <w:rPr>
          <w:rFonts w:eastAsia="宋体" w:cs="宋体"/>
          <w:color w:val="000000" w:themeColor="text1"/>
          <w14:textFill>
            <w14:solidFill>
              <w14:schemeClr w14:val="tx1"/>
            </w14:solidFill>
          </w14:textFill>
        </w:rPr>
      </w:pPr>
      <w:r>
        <w:rPr>
          <w:rFonts w:hint="eastAsia" w:eastAsia="宋体" w:cs="宋体"/>
          <w:color w:val="000000" w:themeColor="text1"/>
          <w14:textFill>
            <w14:solidFill>
              <w14:schemeClr w14:val="tx1"/>
            </w14:solidFill>
          </w14:textFill>
        </w:rPr>
        <w:t xml:space="preserve">1、供应商应当按照《磋商文件》的要求编制响应文件，并对其提交的响应文件的真实性、合法性承担法律责任。</w:t>
      </w:r>
      <w:r/>
    </w:p>
    <w:p>
      <w:pPr>
        <w:ind w:firstLine="480"/>
        <w:spacing w:line="360" w:lineRule="auto"/>
        <w:widowControl/>
        <w:rPr>
          <w:rFonts w:ascii="宋体" w:hAnsi="宋体" w:cs="宋体"/>
          <w:color w:val="000000" w:themeColor="text1"/>
          <w:sz w:val="24"/>
          <w14:textFill>
            <w14:solidFill>
              <w14:schemeClr w14:val="tx1"/>
            </w14:solidFill>
          </w14:textFill>
        </w:rPr>
        <w:outlineLvl w:val="2"/>
      </w:pPr>
      <w:r>
        <w:rPr>
          <w:rFonts w:hint="eastAsia" w:ascii="宋体" w:hAnsi="宋体" w:cs="宋体"/>
          <w:color w:val="000000" w:themeColor="text1"/>
          <w:sz w:val="24"/>
          <w14:textFill>
            <w14:solidFill>
              <w14:schemeClr w14:val="tx1"/>
            </w14:solidFill>
          </w14:textFill>
        </w:rPr>
        <w:t xml:space="preserve">2、采购人索取成交供应商的响应文件，须在双方签订政府采购合同后，由采购代理机构提供给采购人。</w:t>
      </w:r>
      <w:r/>
    </w:p>
    <w:p>
      <w:pPr>
        <w:jc w:val="center"/>
        <w:spacing w:line="360" w:lineRule="auto"/>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8"/>
          <w:szCs w:val="28"/>
          <w14:textFill>
            <w14:solidFill>
              <w14:schemeClr w14:val="tx1"/>
            </w14:solidFill>
          </w14:textFill>
        </w:rPr>
        <w:t xml:space="preserve">第四章 磋商相关说明</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十四、磋商程序</w:t>
      </w:r>
      <w:r/>
    </w:p>
    <w:p>
      <w:pPr>
        <w:pStyle w:val="1019"/>
        <w:spacing w:line="10" w:lineRule="atLeast"/>
        <w:rPr>
          <w:rFonts w:eastAsia="宋体" w:cs="宋体"/>
          <w:b/>
          <w:bCs/>
          <w:color w:val="000000" w:themeColor="text1"/>
          <w14:textFill>
            <w14:solidFill>
              <w14:schemeClr w14:val="tx1"/>
            </w14:solidFill>
          </w14:textFill>
        </w:rPr>
      </w:pPr>
      <w:r>
        <w:rPr>
          <w:rFonts w:hint="eastAsia" w:eastAsia="宋体" w:cs="宋体"/>
          <w:b/>
          <w:bCs/>
          <w:color w:val="000000" w:themeColor="text1"/>
          <w14:textFill>
            <w14:solidFill>
              <w14:schemeClr w14:val="tx1"/>
            </w14:solidFill>
          </w14:textFill>
        </w:rPr>
        <w:t xml:space="preserve">（一）磋商要求</w:t>
      </w:r>
      <w:r/>
    </w:p>
    <w:p>
      <w:pPr>
        <w:pStyle w:val="1019"/>
        <w:ind w:firstLine="480"/>
        <w:rPr>
          <w:rFonts w:eastAsia="宋体" w:cs="宋体"/>
          <w:bCs/>
          <w:color w:val="000000" w:themeColor="text1"/>
          <w14:textFill>
            <w14:solidFill>
              <w14:schemeClr w14:val="tx1"/>
            </w14:solidFill>
          </w14:textFill>
        </w:rPr>
      </w:pPr>
      <w:r>
        <w:rPr>
          <w:rFonts w:hint="eastAsia" w:eastAsia="宋体" w:cs="宋体"/>
          <w:bCs/>
          <w:color w:val="000000" w:themeColor="text1"/>
          <w14:textFill>
            <w14:solidFill>
              <w14:schemeClr w14:val="tx1"/>
            </w14:solidFill>
          </w14:textFill>
        </w:rPr>
        <w:t xml:space="preserve">1、被邀请参与磋商的供应商需按本竞争性磋商文件要求的截止时间、方式（地点）提交首次响应文件，同时派人通过“苏采云”系统在“开标大厅”等待磋商。</w:t>
      </w:r>
      <w:r/>
    </w:p>
    <w:p>
      <w:pPr>
        <w:pStyle w:val="1019"/>
        <w:ind w:firstLine="480"/>
        <w:rPr>
          <w:rFonts w:eastAsia="宋体" w:cs="宋体"/>
          <w:bCs/>
          <w:color w:val="000000" w:themeColor="text1"/>
          <w14:textFill>
            <w14:solidFill>
              <w14:schemeClr w14:val="tx1"/>
            </w14:solidFill>
          </w14:textFill>
        </w:rPr>
      </w:pPr>
      <w:r>
        <w:rPr>
          <w:rFonts w:hint="eastAsia" w:eastAsia="宋体" w:cs="宋体"/>
          <w:bCs/>
          <w:color w:val="000000" w:themeColor="text1"/>
          <w14:textFill>
            <w14:solidFill>
              <w14:schemeClr w14:val="tx1"/>
            </w14:solidFill>
          </w14:textFill>
        </w:rPr>
        <w:t xml:space="preserve">2、供应商可通过CA数字证书，在首次响应文件开启时间后，使用CA数字证书在规定时间内解密各自响应文件。</w:t>
      </w:r>
      <w:r/>
    </w:p>
    <w:p>
      <w:pPr>
        <w:pStyle w:val="1019"/>
        <w:ind w:firstLine="480"/>
        <w:rPr>
          <w:rFonts w:eastAsia="宋体" w:cs="宋体"/>
          <w:b/>
          <w:bCs/>
          <w:color w:val="000000" w:themeColor="text1"/>
          <w14:textFill>
            <w14:solidFill>
              <w14:schemeClr w14:val="tx1"/>
            </w14:solidFill>
          </w14:textFill>
        </w:rPr>
      </w:pPr>
      <w:r>
        <w:rPr>
          <w:rFonts w:hint="eastAsia" w:eastAsia="宋体" w:cs="宋体"/>
          <w:bCs/>
          <w:color w:val="000000" w:themeColor="text1"/>
          <w14:textFill>
            <w14:solidFill>
              <w14:schemeClr w14:val="tx1"/>
            </w14:solidFill>
          </w14:textFill>
        </w:rPr>
        <w:t xml:space="preserve">3、</w:t>
      </w:r>
      <w:r>
        <w:rPr>
          <w:rFonts w:hint="eastAsia" w:eastAsia="宋体" w:cs="宋体"/>
          <w:b/>
          <w:bCs/>
          <w:color w:val="000000" w:themeColor="text1"/>
          <w14:textFill>
            <w14:solidFill>
              <w14:schemeClr w14:val="tx1"/>
            </w14:solidFill>
          </w14:textFill>
        </w:rPr>
        <w:t xml:space="preserve">供应商的授权代表或法人须全程守候在“苏采云”系统开标大厅，并确保视频设备正常使用。授权代表或法人须携带授权委托书原件及身份证原件，经磋商小组核查后参与磋商活动。</w:t>
      </w:r>
      <w:r/>
    </w:p>
    <w:p>
      <w:pPr>
        <w:pStyle w:val="1019"/>
        <w:ind w:firstLine="480"/>
        <w:rPr>
          <w:rFonts w:eastAsia="宋体" w:cs="宋体"/>
          <w:color w:val="000000" w:themeColor="text1"/>
          <w14:textFill>
            <w14:solidFill>
              <w14:schemeClr w14:val="tx1"/>
            </w14:solidFill>
          </w14:textFill>
        </w:rPr>
      </w:pPr>
      <w:r>
        <w:rPr>
          <w:rFonts w:hint="eastAsia" w:eastAsia="宋体" w:cs="宋体"/>
          <w:color w:val="000000" w:themeColor="text1"/>
          <w14:textFill>
            <w14:solidFill>
              <w14:schemeClr w14:val="tx1"/>
            </w14:solidFill>
          </w14:textFill>
        </w:rPr>
        <w:t xml:space="preserve">4、磋商顺序按照电子标书解密先后时间进行，解密时间相同的，不分先后顺序</w:t>
      </w:r>
      <w:r/>
    </w:p>
    <w:p>
      <w:pPr>
        <w:pStyle w:val="1019"/>
        <w:ind w:firstLine="480"/>
        <w:rPr>
          <w:rFonts w:eastAsia="宋体" w:cs="宋体"/>
          <w:b/>
          <w:color w:val="000000" w:themeColor="text1"/>
          <w14:textFill>
            <w14:solidFill>
              <w14:schemeClr w14:val="tx1"/>
            </w14:solidFill>
          </w14:textFill>
        </w:rPr>
      </w:pPr>
      <w:r>
        <w:rPr>
          <w:rFonts w:hint="eastAsia" w:eastAsia="宋体" w:cs="宋体"/>
          <w:bCs/>
          <w:color w:val="000000" w:themeColor="text1"/>
          <w14:textFill>
            <w14:solidFill>
              <w14:schemeClr w14:val="tx1"/>
            </w14:solidFill>
          </w14:textFill>
        </w:rPr>
        <w:t xml:space="preserve">5、</w:t>
      </w:r>
      <w:r>
        <w:rPr>
          <w:rFonts w:hint="eastAsia" w:eastAsia="宋体" w:cs="宋体"/>
          <w:b/>
          <w:color w:val="000000" w:themeColor="text1"/>
          <w14:textFill>
            <w14:solidFill>
              <w14:schemeClr w14:val="tx1"/>
            </w14:solidFill>
          </w14:textFill>
        </w:rPr>
        <w:t xml:space="preserve">磋商方式：本次磋商采用“苏采云”系统中的视频会议，供应商自行选择任意地点参加远程磋商会议。请供应商在磋商前等候在开标大厅，随时接听磋商小组发出的磋商视频邀请（所有邀请等待时间2分钟，2分钟内所邀请供应商无响应，视同放弃磋商的权利，按解密顺序由下一家进行磋商，不再后补，</w:t>
      </w:r>
      <w:r>
        <w:rPr>
          <w:rFonts w:hint="eastAsia" w:eastAsia="宋体" w:cs="宋体"/>
          <w:b/>
          <w:bCs/>
          <w:color w:val="000000" w:themeColor="text1"/>
          <w14:textFill>
            <w14:solidFill>
              <w14:schemeClr w14:val="tx1"/>
            </w14:solidFill>
          </w14:textFill>
        </w:rPr>
        <w:t xml:space="preserve">供应商未在规定时间内进行二轮磋商报价的将无法进入下一轮评审</w:t>
      </w:r>
      <w:r>
        <w:rPr>
          <w:rFonts w:hint="eastAsia" w:eastAsia="宋体" w:cs="宋体"/>
          <w:b/>
          <w:color w:val="000000" w:themeColor="text1"/>
          <w14:textFill>
            <w14:solidFill>
              <w14:schemeClr w14:val="tx1"/>
            </w14:solidFill>
          </w14:textFill>
        </w:rPr>
        <w:t xml:space="preserve">）。</w:t>
      </w:r>
      <w:r/>
    </w:p>
    <w:p>
      <w:pPr>
        <w:pStyle w:val="1019"/>
        <w:ind w:firstLine="480"/>
        <w:rPr>
          <w:rFonts w:eastAsia="宋体" w:cs="宋体"/>
          <w:color w:val="000000" w:themeColor="text1"/>
          <w14:textFill>
            <w14:solidFill>
              <w14:schemeClr w14:val="tx1"/>
            </w14:solidFill>
          </w14:textFill>
        </w:rPr>
      </w:pPr>
      <w:r>
        <w:rPr>
          <w:rFonts w:hint="eastAsia" w:eastAsia="宋体" w:cs="宋体"/>
          <w:color w:val="000000" w:themeColor="text1"/>
          <w14:textFill>
            <w14:solidFill>
              <w14:schemeClr w14:val="tx1"/>
            </w14:solidFill>
          </w14:textFill>
        </w:rPr>
        <w:t xml:space="preserve">6.未在规定时间内进行答疑澄清的，视同放弃澄清。</w:t>
      </w:r>
      <w:r/>
    </w:p>
    <w:p>
      <w:pPr>
        <w:pStyle w:val="1019"/>
        <w:ind w:firstLine="480"/>
        <w:rPr>
          <w:rFonts w:eastAsia="宋体" w:cs="宋体"/>
          <w:color w:val="000000" w:themeColor="text1"/>
          <w14:textFill>
            <w14:solidFill>
              <w14:schemeClr w14:val="tx1"/>
            </w14:solidFill>
          </w14:textFill>
        </w:rPr>
      </w:pPr>
      <w:r>
        <w:rPr>
          <w:rFonts w:hint="eastAsia" w:eastAsia="宋体" w:cs="宋体"/>
          <w:color w:val="000000" w:themeColor="text1"/>
          <w14:textFill>
            <w14:solidFill>
              <w14:schemeClr w14:val="tx1"/>
            </w14:solidFill>
          </w14:textFill>
        </w:rPr>
        <w:t xml:space="preserve">7.未在规定时间内进行报价的，视为响应无效。</w:t>
      </w:r>
      <w:r/>
    </w:p>
    <w:p>
      <w:pPr>
        <w:pStyle w:val="1019"/>
        <w:ind w:firstLine="480"/>
        <w:rPr>
          <w:rFonts w:eastAsia="宋体" w:cs="宋体"/>
          <w:color w:val="000000" w:themeColor="text1"/>
          <w14:textFill>
            <w14:solidFill>
              <w14:schemeClr w14:val="tx1"/>
            </w14:solidFill>
          </w14:textFill>
        </w:rPr>
      </w:pPr>
      <w:r>
        <w:rPr>
          <w:rFonts w:hint="eastAsia" w:eastAsia="宋体" w:cs="宋体"/>
          <w:color w:val="000000" w:themeColor="text1"/>
          <w14:textFill>
            <w14:solidFill>
              <w14:schemeClr w14:val="tx1"/>
            </w14:solidFill>
          </w14:textFill>
        </w:rPr>
        <w:t xml:space="preserve">8.被邀请参与磋商的供应商如未按上述磋商要求执行，视同放弃磋商的权利。</w:t>
      </w:r>
      <w:r/>
    </w:p>
    <w:p>
      <w:pPr>
        <w:pStyle w:val="1019"/>
        <w:ind w:firstLine="240"/>
        <w:rPr>
          <w:rFonts w:eastAsia="宋体" w:cs="宋体"/>
          <w:b/>
          <w:bCs/>
          <w:color w:val="000000" w:themeColor="text1"/>
          <w14:textFill>
            <w14:solidFill>
              <w14:schemeClr w14:val="tx1"/>
            </w14:solidFill>
          </w14:textFill>
        </w:rPr>
      </w:pPr>
      <w:r>
        <w:rPr>
          <w:rFonts w:hint="eastAsia" w:eastAsia="宋体" w:cs="宋体"/>
          <w:b/>
          <w:bCs/>
          <w:color w:val="000000" w:themeColor="text1"/>
          <w14:textFill>
            <w14:solidFill>
              <w14:schemeClr w14:val="tx1"/>
            </w14:solidFill>
          </w14:textFill>
        </w:rPr>
        <w:t xml:space="preserve"> (二) 查询及使用供应商信用记录</w:t>
      </w:r>
      <w:r/>
    </w:p>
    <w:p>
      <w:pPr>
        <w:ind w:firstLine="480"/>
        <w:jc w:val="left"/>
        <w:spacing w:line="360" w:lineRule="auto"/>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1.由采购人查询信用信息。</w:t>
      </w:r>
      <w:r/>
    </w:p>
    <w:p>
      <w:pPr>
        <w:ind w:firstLine="480"/>
        <w:jc w:val="left"/>
        <w:spacing w:line="360" w:lineRule="auto"/>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2.查询渠道包括：</w:t>
      </w:r>
      <w:r/>
    </w:p>
    <w:p>
      <w:pPr>
        <w:ind w:firstLine="480"/>
        <w:jc w:val="left"/>
        <w:spacing w:line="360" w:lineRule="auto"/>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(1)“信用中国”网（www.creditchina.gov.cn）；</w:t>
      </w:r>
      <w:r/>
    </w:p>
    <w:p>
      <w:pPr>
        <w:ind w:firstLine="480"/>
        <w:jc w:val="left"/>
        <w:spacing w:line="360" w:lineRule="auto"/>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 中国政府采购网（www.ccgp.gov.cn）；</w:t>
      </w:r>
      <w:r/>
    </w:p>
    <w:p>
      <w:pPr>
        <w:ind w:firstLine="480"/>
        <w:jc w:val="left"/>
        <w:spacing w:line="360" w:lineRule="auto"/>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 “诚信江苏”网（www.jiangsu.gov.cn/jsxy/index.htm）</w:t>
      </w:r>
      <w:r/>
    </w:p>
    <w:p>
      <w:pPr>
        <w:ind w:firstLine="480"/>
        <w:jc w:val="left"/>
        <w:spacing w:line="360" w:lineRule="auto"/>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和或“信用江苏”网（http://credit.jiangsu.gov.cn/）；</w:t>
      </w:r>
      <w:r/>
    </w:p>
    <w:p>
      <w:pPr>
        <w:ind w:firstLine="480"/>
        <w:jc w:val="left"/>
        <w:spacing w:line="360" w:lineRule="auto"/>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(4)“诚信徐州”网（ http://www.xuzhoucredit.gov.cn）。</w:t>
      </w:r>
      <w:r/>
    </w:p>
    <w:p>
      <w:pPr>
        <w:ind w:firstLine="480"/>
        <w:jc w:val="left"/>
        <w:spacing w:line="360" w:lineRule="auto"/>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和或“信用徐州”网（www.xuzhoucredit.gov.cn/）。</w:t>
      </w:r>
      <w:r/>
    </w:p>
    <w:p>
      <w:pPr>
        <w:ind w:firstLine="480"/>
        <w:jc w:val="left"/>
        <w:spacing w:line="360" w:lineRule="auto"/>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3.截止时点（查询环节）：首次响应文件开启后资格审查结束前。</w:t>
      </w:r>
      <w:r/>
    </w:p>
    <w:p>
      <w:pPr>
        <w:ind w:firstLine="480"/>
        <w:jc w:val="left"/>
        <w:spacing w:line="360" w:lineRule="auto"/>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4.信用信息查询记录和证据留存的具体方式：</w:t>
      </w:r>
      <w:r/>
    </w:p>
    <w:p>
      <w:pPr>
        <w:ind w:firstLine="480"/>
        <w:jc w:val="left"/>
        <w:spacing w:line="360" w:lineRule="auto"/>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网页截屏打印，与其他采购文件一并保存。</w:t>
      </w:r>
      <w:r/>
    </w:p>
    <w:p>
      <w:pPr>
        <w:ind w:firstLine="480"/>
        <w:jc w:val="left"/>
        <w:spacing w:line="360" w:lineRule="auto"/>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5.信用信息的使用规则：</w:t>
      </w:r>
      <w:r/>
    </w:p>
    <w:p>
      <w:pPr>
        <w:ind w:firstLine="480"/>
        <w:jc w:val="left"/>
        <w:spacing w:line="360" w:lineRule="auto"/>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ind w:firstLine="480"/>
        <w:jc w:val="left"/>
        <w:spacing w:line="360" w:lineRule="auto"/>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6.信用评价结果查询：见《磋商文件》附件1.《评分细则》。</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十五、评审程序</w:t>
      </w:r>
      <w:r/>
    </w:p>
    <w:p>
      <w:pPr>
        <w:pStyle w:val="1019"/>
        <w:ind w:firstLine="480"/>
        <w:rPr>
          <w:rFonts w:eastAsia="宋体" w:cs="宋体"/>
          <w:color w:val="000000" w:themeColor="text1"/>
          <w14:textFill>
            <w14:solidFill>
              <w14:schemeClr w14:val="tx1"/>
            </w14:solidFill>
          </w14:textFill>
        </w:rPr>
      </w:pPr>
      <w:r>
        <w:rPr>
          <w:rFonts w:hint="eastAsia" w:eastAsia="宋体" w:cs="宋体"/>
          <w:color w:val="000000" w:themeColor="text1"/>
          <w14:textFill>
            <w14:solidFill>
              <w14:schemeClr w14:val="tx1"/>
            </w14:solidFill>
          </w14:textFill>
        </w:rPr>
        <w:t xml:space="preserve">经磋商确定最终采购需求和提交最后报价的供应商后，由磋商小组采用综合评分法对提交最后报价的供应商的响应文件和最后报价进行综合评分。</w:t>
      </w:r>
      <w:r/>
    </w:p>
    <w:p>
      <w:pPr>
        <w:pStyle w:val="1019"/>
        <w:ind w:firstLine="480"/>
        <w:rPr>
          <w:rFonts w:eastAsia="宋体" w:cs="宋体"/>
          <w:color w:val="000000" w:themeColor="text1"/>
          <w14:textFill>
            <w14:solidFill>
              <w14:schemeClr w14:val="tx1"/>
            </w14:solidFill>
          </w14:textFill>
        </w:rPr>
      </w:pPr>
      <w:r>
        <w:rPr>
          <w:rFonts w:hint="eastAsia" w:eastAsia="宋体" w:cs="宋体"/>
          <w:color w:val="000000" w:themeColor="text1"/>
          <w14:textFill>
            <w14:solidFill>
              <w14:schemeClr w14:val="tx1"/>
            </w14:solidFill>
          </w14:textFill>
        </w:rPr>
        <w:t xml:space="preserve">磋商小组在阅读完所有磋商供应商的响应文件后，集中与单一供应商代表分别就技术参数等技术问题及价格和售后服务等内容进行磋商。</w:t>
      </w:r>
      <w:r/>
    </w:p>
    <w:p>
      <w:pPr>
        <w:pStyle w:val="1019"/>
        <w:ind w:firstLine="480"/>
        <w:rPr>
          <w:rFonts w:eastAsia="宋体" w:cs="宋体"/>
          <w:color w:val="000000" w:themeColor="text1"/>
          <w14:textFill>
            <w14:solidFill>
              <w14:schemeClr w14:val="tx1"/>
            </w14:solidFill>
          </w14:textFill>
        </w:rPr>
      </w:pPr>
      <w:r>
        <w:rPr>
          <w:rFonts w:hint="eastAsia" w:eastAsia="宋体" w:cs="宋体"/>
          <w:color w:val="000000" w:themeColor="text1"/>
          <w14:textFill>
            <w14:solidFill>
              <w14:schemeClr w14:val="tx1"/>
            </w14:solidFill>
          </w14:textFill>
        </w:rPr>
        <w:t xml:space="preserve">磋商结束后，磋商小组应当要求所有参加磋商的供应商在规定时间内进行最后报价。供应商可按照磋商小组的要求在磋商现场（</w:t>
      </w:r>
      <w:r>
        <w:rPr>
          <w:rFonts w:hint="eastAsia" w:eastAsia="宋体" w:cs="宋体"/>
          <w:b/>
          <w:bCs/>
          <w:color w:val="000000" w:themeColor="text1"/>
          <w14:textFill>
            <w14:solidFill>
              <w14:schemeClr w14:val="tx1"/>
            </w14:solidFill>
          </w14:textFill>
        </w:rPr>
        <w:t xml:space="preserve">即“苏采云”系统</w:t>
      </w:r>
      <w:r>
        <w:rPr>
          <w:rFonts w:hint="eastAsia" w:eastAsia="宋体" w:cs="宋体"/>
          <w:b/>
          <w:bCs/>
          <w:color w:val="000000" w:themeColor="text1"/>
          <w:szCs w:val="24"/>
          <w14:textFill>
            <w14:solidFill>
              <w14:schemeClr w14:val="tx1"/>
            </w14:solidFill>
          </w14:textFill>
        </w:rPr>
        <w:t xml:space="preserve">开标大厅</w:t>
      </w:r>
      <w:r>
        <w:rPr>
          <w:rFonts w:hint="eastAsia" w:eastAsia="宋体" w:cs="宋体"/>
          <w:b/>
          <w:bCs/>
          <w:color w:val="000000" w:themeColor="text1"/>
          <w14:textFill>
            <w14:solidFill>
              <w14:schemeClr w14:val="tx1"/>
            </w14:solidFill>
          </w14:textFill>
        </w:rPr>
        <w:t xml:space="preserve">中</w:t>
      </w:r>
      <w:r>
        <w:rPr>
          <w:rFonts w:hint="eastAsia" w:eastAsia="宋体" w:cs="宋体"/>
          <w:color w:val="000000" w:themeColor="text1"/>
          <w14:textFill>
            <w14:solidFill>
              <w14:schemeClr w14:val="tx1"/>
            </w14:solidFill>
          </w14:textFill>
        </w:rPr>
        <w:t xml:space="preserve">）进行不少于两次的报价，首轮报价不公开，本项目二次报价为最后报价。</w:t>
      </w:r>
      <w:r/>
    </w:p>
    <w:p>
      <w:pPr>
        <w:pStyle w:val="1019"/>
        <w:ind w:firstLine="480"/>
        <w:rPr>
          <w:rFonts w:eastAsia="宋体" w:cs="宋体"/>
          <w:color w:val="000000" w:themeColor="text1"/>
          <w14:textFill>
            <w14:solidFill>
              <w14:schemeClr w14:val="tx1"/>
            </w14:solidFill>
          </w14:textFill>
        </w:rPr>
      </w:pPr>
      <w:r>
        <w:rPr>
          <w:rFonts w:hint="eastAsia" w:eastAsia="宋体" w:cs="宋体"/>
          <w:color w:val="000000" w:themeColor="text1"/>
          <w14:textFill>
            <w14:solidFill>
              <w14:schemeClr w14:val="tx1"/>
            </w14:solidFill>
          </w14:textFill>
        </w:rPr>
        <w:t xml:space="preserve">磋商小组应当根据综合评分情况，按照评审得分由高到低顺序推荐3名成交候选供应商，并编写评审报告。评审得分相同的，按照最后报价由低到高的顺序推荐。评审得分且最后报价相同的，按照</w:t>
      </w:r>
      <w:r>
        <w:rPr>
          <w:rFonts w:hint="eastAsia" w:eastAsia="宋体" w:cs="宋体"/>
          <w:b/>
          <w:bCs/>
          <w:color w:val="000000" w:themeColor="text1"/>
          <w14:textFill>
            <w14:solidFill>
              <w14:schemeClr w14:val="tx1"/>
            </w14:solidFill>
          </w14:textFill>
        </w:rPr>
        <w:t xml:space="preserve">施工组织方案</w:t>
      </w:r>
      <w:r>
        <w:rPr>
          <w:rFonts w:hint="eastAsia" w:eastAsia="宋体" w:cs="宋体"/>
          <w:color w:val="000000" w:themeColor="text1"/>
          <w14:textFill>
            <w14:solidFill>
              <w14:schemeClr w14:val="tx1"/>
            </w14:solidFill>
          </w14:textFill>
        </w:rPr>
        <w:t xml:space="preserve">优劣（得分）顺序推荐。</w:t>
      </w:r>
      <w:r/>
    </w:p>
    <w:p>
      <w:pPr>
        <w:pStyle w:val="1019"/>
        <w:ind w:firstLine="480"/>
        <w:rPr>
          <w:rFonts w:eastAsia="宋体" w:cs="宋体"/>
          <w:color w:val="000000" w:themeColor="text1"/>
          <w14:textFill>
            <w14:solidFill>
              <w14:schemeClr w14:val="tx1"/>
            </w14:solidFill>
          </w14:textFill>
        </w:rPr>
      </w:pPr>
      <w:r>
        <w:rPr>
          <w:rFonts w:hint="eastAsia" w:eastAsia="宋体" w:cs="宋体"/>
          <w:color w:val="000000" w:themeColor="text1"/>
          <w14:textFill>
            <w14:solidFill>
              <w14:schemeClr w14:val="tx1"/>
            </w14:solidFill>
          </w14:textFill>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w:t>
      </w:r>
      <w:r/>
    </w:p>
    <w:p>
      <w:pPr>
        <w:pStyle w:val="1019"/>
        <w:ind w:firstLine="480"/>
        <w:rPr>
          <w:rFonts w:eastAsia="宋体" w:cs="宋体"/>
          <w:b/>
          <w:bCs/>
          <w:color w:val="000000" w:themeColor="text1"/>
          <w14:textFill>
            <w14:solidFill>
              <w14:schemeClr w14:val="tx1"/>
            </w14:solidFill>
          </w14:textFill>
        </w:rPr>
      </w:pPr>
      <w:r>
        <w:rPr>
          <w:rFonts w:hint="eastAsia" w:eastAsia="宋体" w:cs="宋体"/>
          <w:b/>
          <w:bCs/>
          <w:color w:val="000000" w:themeColor="text1"/>
          <w14:textFill>
            <w14:solidFill>
              <w14:schemeClr w14:val="tx1"/>
            </w14:solidFill>
          </w14:textFill>
        </w:rPr>
        <w:t xml:space="preserve">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项目实施机构）或者采购代理机构应当终止竞争性磋商采购活动，发布项目终止公告并说明原因，重新开展采购活动。</w:t>
      </w:r>
      <w:r/>
    </w:p>
    <w:p>
      <w:pPr>
        <w:ind w:right="29"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相关内容和要求见：《中华人民共和国政府采购法》、《中华人民共和国政府采购法实施条例》、《政府采购竞争性磋商采购方式管理暂行办法》及《财政部关于政府采购竞争性磋商采购方式管理暂行办法有关问题的补充通知》（财库〔2015〕124号）。</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十六、评审方法和评审标准</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1、评审方法：综合评分法</w:t>
      </w:r>
      <w:r/>
    </w:p>
    <w:p>
      <w:pPr>
        <w:ind w:left="2" w:right="29"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2、评审标准：详见《磋商文件》附件1、《评分细则》</w:t>
      </w:r>
      <w:r/>
    </w:p>
    <w:p>
      <w:pPr>
        <w:ind w:firstLine="480"/>
        <w:spacing w:line="360" w:lineRule="auto"/>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十七、有下列情形之一的，其响应无效：</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1、电子响应文件未按规定期限提交的； </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2、电子响应文件未按磋商文件要求签章的； </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3、供应商未在规定时间内解密电子响应文件的； </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4、供应商的法定代表人授权代表，无法定代表人授权委托书的； </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5、不具备磋商文件中规定的资格要求或未按磋商文件规定的要求提供资格、资信证明文件的； </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6、被列入“信用中国”网站（www.creditchina.gov.cn）失信被执行人、重大税收违法案件当事人名单、政府采购严重违法失信行为记录名单的； </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7、响应文件未按磋商文件规定的内容和要求填写的；没有在系统指定位置上传对应文件、材料的；</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8、响应文件含有采购人不能接受的附加条件的； </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9、不同供应商委托同一单位或者个人办理磋商事宜的； </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10、项目磋商报价超过本项目（采购包）预算或最高限价的； </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11、响应文件中已标价工程量清单与磋商文件规定的甲供材料价格不一致的； </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12、响应文件中已标价工程量清单与磋商文件明确列出的不可竞争费用项目或费率或计算基础不一致的； </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13、响应文件的已标价工程量清单与磋商文件提供的工程量清单中的项目编码、项目名称、项目特征、计量单位、工程量不一致的；</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14、磋商小组认定供应商的报价明显低于其他通过符合性审查供应商的报价，有可能影响产品质量或者不能诚信履约，且供应商不能应磋商小组要求在评标现场合理的时间内提供书面说明（必要时磋商小组可要求供应商提交相关证明材料）证明其报价合理性的； </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15、响应文件内容不全或不符合磋商文件中规定的其它实质性要求的； </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16、法律法规和磋商文件规定的其它无效情形。</w:t>
      </w:r>
      <w:r/>
    </w:p>
    <w:p>
      <w:pPr>
        <w:ind w:left="2" w:right="29"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十八、磋商过程中可能实质性变动的内容：在磋商过程中，磋商小组可以根据《磋商文件》和磋商情况实质性变动采购需求中的技术、服务要求以及合同草案条款。</w:t>
      </w:r>
      <w:r/>
    </w:p>
    <w:p>
      <w:pPr>
        <w:pStyle w:val="991"/>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十九、采购人有权对供应商的响应文件的真实性进行核实，如供应商不能在采购人规定的时间内向采购人提供有效的证明文件，将被采购人认定为具有《中华人民共和国政府采购法》第七十七条所规定的“提供虚假材料谋取成交、成交的”情形，并承担相应的法律责任。</w:t>
      </w:r>
      <w:r/>
    </w:p>
    <w:p>
      <w:pPr>
        <w:ind w:left="-2" w:right="29"/>
        <w:jc w:val="cente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第五章 确定成交供应商及合同签订等</w:t>
      </w:r>
      <w:r/>
    </w:p>
    <w:p>
      <w:pPr>
        <w:ind w:left="2" w:right="29"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二十、采购人应当在收到评审报告后5个工作日内，从评审报告提出的成交候选供应商中，按照排序由高到低的原则确定成交供应商。在省级以上财政部门指定的政府采购信息发布媒体上公告成交结果，公告标的的基本概况为成交供应商的《磋商报价表》（最后报价）。</w:t>
      </w:r>
      <w:r/>
    </w:p>
    <w:p>
      <w:pPr>
        <w:ind w:firstLine="480"/>
        <w:jc w:val="left"/>
        <w:spacing w:line="360" w:lineRule="auto"/>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二十一、采购人与成交供应商应当在成交通知书发出之日起30日内，按照《磋商文件》确定的合同文本以及采购标的、规格型号、采购金额、采购数量、技术和服务要求等事项签订政府采购合同。</w:t>
      </w:r>
      <w:r/>
    </w:p>
    <w:p>
      <w:pPr>
        <w:ind w:firstLine="480"/>
        <w:jc w:val="left"/>
        <w:spacing w:line="360" w:lineRule="auto"/>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特别说明： 按照《政府采购法》及其实施条例以及相关规定，成交或者成交后无正当理由拒不与采购人签订政府采购合同的, 在一至三年内禁止参加政府采购活动，列入政府采购严重违法失信行为记录名单。</w:t>
      </w:r>
      <w:r/>
    </w:p>
    <w:p>
      <w:pPr>
        <w:ind w:firstLine="480"/>
        <w:jc w:val="left"/>
        <w:spacing w:line="360" w:lineRule="auto"/>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二十二、成交供应商在收到成交通知书时，须向江苏瑞利项目管理有限公司提交《磋商报价表》（首次响应文件）和《分项价格表》（首次响应文件）的数据文件（WORD格式）。</w:t>
      </w:r>
      <w:r/>
    </w:p>
    <w:p>
      <w:pPr>
        <w:ind w:firstLine="480"/>
        <w:jc w:val="left"/>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二十三、</w:t>
      </w:r>
      <w:r>
        <w:rPr>
          <w:rFonts w:hint="eastAsia" w:ascii="宋体" w:hAnsi="宋体" w:cs="宋体"/>
          <w:bCs/>
          <w:color w:val="000000" w:themeColor="text1"/>
          <w:sz w:val="24"/>
          <w14:textFill>
            <w14:solidFill>
              <w14:schemeClr w14:val="tx1"/>
            </w14:solidFill>
          </w14:textFill>
        </w:rPr>
        <w:t xml:space="preserve">供应商应对响应文件的合法性、真实性负责。</w:t>
      </w:r>
      <w:r>
        <w:rPr>
          <w:rFonts w:hint="eastAsia" w:ascii="宋体" w:hAnsi="宋体" w:cs="宋体"/>
          <w:b/>
          <w:bCs/>
          <w:color w:val="000000" w:themeColor="text1"/>
          <w:sz w:val="24"/>
          <w14:textFill>
            <w14:solidFill>
              <w14:schemeClr w14:val="tx1"/>
            </w14:solidFill>
          </w14:textFill>
        </w:rPr>
        <w:t xml:space="preserve">签订合同前，成交供应商必须向采购人提交其响应文件中所有原件扫描件的原件，采购人核查（核对）无误后，签订合同。如成交供应商不能在采购人规定的时间内向采购人提供原件，将被采购人视为放弃成交（成交）资格。</w:t>
      </w:r>
      <w:r/>
    </w:p>
    <w:p>
      <w:pPr>
        <w:jc w:val="center"/>
        <w:spacing w:line="360" w:lineRule="auto"/>
        <w:widowControl/>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8"/>
          <w:szCs w:val="28"/>
          <w14:textFill>
            <w14:solidFill>
              <w14:schemeClr w14:val="tx1"/>
            </w14:solidFill>
          </w14:textFill>
        </w:rPr>
        <w:t xml:space="preserve">第六章 磋商文件的澄清或者修改</w:t>
      </w:r>
      <w:r/>
    </w:p>
    <w:p>
      <w:pPr>
        <w:ind w:firstLine="480"/>
        <w:jc w:val="left"/>
        <w:spacing w:line="360" w:lineRule="auto"/>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二十四、《磋商文件》的澄清或者修改</w:t>
      </w:r>
      <w:r/>
    </w:p>
    <w:p>
      <w:pPr>
        <w:ind w:firstLine="480"/>
        <w:jc w:val="left"/>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附件的形式通知所有获取《磋商文件》的供应商。发布本项目的“更正公告”后采购代理机构已尽通知义务。敬请各所有获取《磋商文件》的供应商关注本项目的“更正公告”及附件，否则，将自行承担相应的风险。</w:t>
      </w:r>
      <w:r/>
    </w:p>
    <w:p>
      <w:pPr>
        <w:jc w:val="center"/>
        <w:spacing w:line="360" w:lineRule="auto"/>
        <w:rPr>
          <w:rFonts w:ascii="宋体" w:hAnsi="宋体" w:cs="宋体"/>
          <w:b/>
          <w:bCs/>
          <w:color w:val="000000" w:themeColor="text1"/>
          <w:sz w:val="28"/>
          <w:szCs w:val="28"/>
          <w14:textFill>
            <w14:solidFill>
              <w14:schemeClr w14:val="tx1"/>
            </w14:solidFill>
          </w14:textFill>
        </w:rPr>
      </w:pPr>
      <w:r>
        <w:rPr>
          <w:rFonts w:hint="eastAsia" w:ascii="宋体" w:hAnsi="宋体" w:cs="宋体"/>
          <w:b/>
          <w:bCs/>
          <w:color w:val="000000" w:themeColor="text1"/>
          <w:sz w:val="28"/>
          <w:szCs w:val="28"/>
          <w14:textFill>
            <w14:solidFill>
              <w14:schemeClr w14:val="tx1"/>
            </w14:solidFill>
          </w14:textFill>
        </w:rPr>
        <w:t xml:space="preserve">第七章 询问和质疑</w:t>
      </w:r>
      <w:r/>
    </w:p>
    <w:p>
      <w:pPr>
        <w:ind w:firstLine="480"/>
        <w:jc w:val="left"/>
        <w:spacing w:line="360" w:lineRule="auto"/>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二十五、询问和质疑</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根据采购代理机构与采购人签订的本采购项目的《委托代理协议》，供应商对政府采购活动事项有疑问的，可以向采购人或采购代理机构提出询问；供应商认为采购文件、采购过程、成交或成交结果使自己的权益受到损害的，可以在知道或者应知其权益受到损害之日起七个工作日内，以书面形式向采购人或采购代理机构提出质疑，由采购人或采购代理机构依法处理。</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2、质疑和投诉按《政府采购质疑和投诉办法》执行。</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3、供应商对同一采购程序环节的质疑应在质疑期内一次性提出。</w:t>
      </w:r>
      <w:r/>
    </w:p>
    <w:p>
      <w:pPr>
        <w:ind w:firstLine="480"/>
        <w:spacing w:line="360" w:lineRule="auto"/>
        <w:rPr>
          <w:rFonts w:hint="default" w:ascii="宋体" w:hAnsi="宋体" w:eastAsia="宋体" w:cs="宋体"/>
          <w:color w:val="000000" w:themeColor="text1"/>
          <w:sz w:val="24"/>
          <w:lang w:val="en-US" w:eastAsia="zh-CN"/>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质疑接收人：王霄霄      联系电话：18913453037</w:t>
      </w:r>
      <w:r>
        <w:rPr>
          <w:rFonts w:hint="eastAsia" w:ascii="宋体" w:hAnsi="宋体" w:cs="宋体"/>
          <w:color w:val="000000" w:themeColor="text1"/>
          <w:sz w:val="24"/>
          <w:lang w:val="en-US" w:eastAsia="zh-CN"/>
          <w14:textFill>
            <w14:solidFill>
              <w14:schemeClr w14:val="tx1"/>
            </w14:solidFill>
          </w14:textFill>
        </w:rPr>
        <w:t xml:space="preserve">/13685119726</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通讯地址：</w:t>
      </w:r>
      <w:r>
        <w:rPr>
          <w:rStyle w:val="1209"/>
          <w:rFonts w:hint="eastAsia" w:ascii="宋体" w:hAnsi="宋体" w:cs="宋体"/>
          <w:color w:val="000000" w:themeColor="text1"/>
          <w:sz w:val="24"/>
          <w14:textFill>
            <w14:solidFill>
              <w14:schemeClr w14:val="tx1"/>
            </w14:solidFill>
          </w14:textFill>
        </w:rPr>
        <w:t xml:space="preserve">睢宁县睢城街道润景商务广场1#楼3楼</w:t>
      </w:r>
      <w:r/>
    </w:p>
    <w:p>
      <w:pPr>
        <w:jc w:val="center"/>
        <w:spacing w:line="360" w:lineRule="auto"/>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p>
      <w:pPr>
        <w:jc w:val="center"/>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第八章 其他</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1、代理服务费收取标准见附件。</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2、</w:t>
      </w:r>
      <w:r>
        <w:rPr>
          <w:rFonts w:hint="eastAsia" w:ascii="宋体" w:hAnsi="宋体" w:cs="宋体"/>
          <w:color w:val="000000" w:themeColor="text1"/>
          <w:sz w:val="24"/>
          <w:highlight w:val="none"/>
          <w14:textFill>
            <w14:solidFill>
              <w14:schemeClr w14:val="tx1"/>
            </w14:solidFill>
          </w14:textFill>
        </w:rPr>
        <w:t xml:space="preserve">成交人领取成交通知书时需提交纸质响应文件3份（一正两副）及电子版响应文件（U盘）1份。</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 xml:space="preserve">3</w:t>
      </w:r>
      <w:r>
        <w:rPr>
          <w:rFonts w:hint="eastAsia" w:ascii="宋体" w:hAnsi="宋体" w:cs="宋体"/>
          <w:color w:val="000000" w:themeColor="text1"/>
          <w:sz w:val="24"/>
          <w14:textFill>
            <w14:solidFill>
              <w14:schemeClr w14:val="tx1"/>
            </w14:solidFill>
          </w14:textFill>
        </w:rPr>
        <w:t xml:space="preserve">、成交结果在徐州政府采购网</w:t>
      </w:r>
      <w:r>
        <w:rPr>
          <w:rFonts w:hint="eastAsia" w:ascii="宋体" w:hAnsi="宋体" w:cs="宋体"/>
          <w:color w:val="000000" w:themeColor="text1"/>
          <w:sz w:val="24"/>
          <w:lang w:eastAsia="zh-CN"/>
          <w14:textFill>
            <w14:solidFill>
              <w14:schemeClr w14:val="tx1"/>
            </w14:solidFill>
          </w14:textFill>
        </w:rPr>
        <w:t xml:space="preserve">https://czj.xz.gov.cn/zfcg/</w:t>
      </w:r>
      <w:r>
        <w:rPr>
          <w:rFonts w:hint="eastAsia" w:ascii="宋体" w:hAnsi="宋体" w:cs="宋体"/>
          <w:color w:val="000000" w:themeColor="text1"/>
          <w:sz w:val="24"/>
          <w14:textFill>
            <w14:solidFill>
              <w14:schemeClr w14:val="tx1"/>
            </w14:solidFill>
          </w14:textFill>
        </w:rPr>
        <w:t xml:space="preserve">上公布。</w:t>
      </w:r>
      <w:r/>
    </w:p>
    <w:p>
      <w:pPr>
        <w:ind w:firstLine="482"/>
        <w:spacing w:line="360" w:lineRule="auto"/>
        <w:rPr>
          <w:rStyle w:val="1209"/>
          <w:rFonts w:hint="eastAsia" w:ascii="宋体" w:hAnsi="宋体" w:eastAsia="宋体" w:cs="宋体"/>
          <w:color w:val="000000" w:themeColor="text1"/>
          <w:sz w:val="24"/>
          <w:lang w:eastAsia="zh-CN"/>
          <w14:textFill>
            <w14:solidFill>
              <w14:schemeClr w14:val="tx1"/>
            </w14:solidFill>
          </w14:textFill>
        </w:rPr>
      </w:pPr>
      <w:r>
        <w:rPr>
          <w:rStyle w:val="1209"/>
          <w:rFonts w:hint="eastAsia" w:ascii="宋体" w:hAnsi="宋体" w:cs="宋体"/>
          <w:color w:val="000000" w:themeColor="text1"/>
          <w:sz w:val="24"/>
          <w:lang w:val="en-US" w:eastAsia="zh-CN"/>
          <w14:textFill>
            <w14:solidFill>
              <w14:schemeClr w14:val="tx1"/>
            </w14:solidFill>
          </w14:textFill>
        </w:rPr>
        <w:t xml:space="preserve">4</w:t>
      </w:r>
      <w:r>
        <w:rPr>
          <w:rStyle w:val="1209"/>
          <w:rFonts w:hint="eastAsia" w:ascii="宋体" w:hAnsi="宋体" w:cs="宋体"/>
          <w:color w:val="000000" w:themeColor="text1"/>
          <w:sz w:val="24"/>
          <w14:textFill>
            <w14:solidFill>
              <w14:schemeClr w14:val="tx1"/>
            </w14:solidFill>
          </w14:textFill>
        </w:rPr>
        <w:t xml:space="preserve">、采购人：</w:t>
      </w:r>
      <w:r>
        <w:rPr>
          <w:rStyle w:val="1209"/>
          <w:rFonts w:hint="eastAsia" w:ascii="宋体" w:hAnsi="宋体" w:cs="宋体"/>
          <w:color w:val="000000" w:themeColor="text1"/>
          <w:sz w:val="24"/>
          <w:lang w:eastAsia="zh-CN"/>
          <w14:textFill>
            <w14:solidFill>
              <w14:schemeClr w14:val="tx1"/>
            </w14:solidFill>
          </w14:textFill>
        </w:rPr>
        <w:t xml:space="preserve">睢宁县双沟镇人民政府</w:t>
      </w:r>
      <w:r/>
    </w:p>
    <w:p>
      <w:pPr>
        <w:ind w:firstLine="482"/>
        <w:spacing w:line="360" w:lineRule="auto"/>
        <w:rPr>
          <w:rStyle w:val="1209"/>
          <w:rFonts w:hint="eastAsia" w:ascii="宋体" w:hAnsi="宋体" w:eastAsia="宋体" w:cs="宋体"/>
          <w:color w:val="000000" w:themeColor="text1"/>
          <w:sz w:val="24"/>
          <w:lang w:eastAsia="zh-CN"/>
          <w14:textFill>
            <w14:solidFill>
              <w14:schemeClr w14:val="tx1"/>
            </w14:solidFill>
          </w14:textFill>
        </w:rPr>
      </w:pPr>
      <w:r>
        <w:rPr>
          <w:rStyle w:val="1209"/>
          <w:rFonts w:hint="eastAsia" w:ascii="宋体" w:hAnsi="宋体" w:cs="宋体"/>
          <w:color w:val="000000" w:themeColor="text1"/>
          <w:sz w:val="24"/>
          <w14:textFill>
            <w14:solidFill>
              <w14:schemeClr w14:val="tx1"/>
            </w14:solidFill>
          </w14:textFill>
        </w:rPr>
        <w:t xml:space="preserve">地址：</w:t>
      </w:r>
      <w:r>
        <w:rPr>
          <w:rStyle w:val="1209"/>
          <w:rFonts w:hint="eastAsia" w:ascii="宋体" w:hAnsi="宋体" w:cs="宋体"/>
          <w:color w:val="000000" w:themeColor="text1"/>
          <w:sz w:val="24"/>
          <w:lang w:eastAsia="zh-CN"/>
          <w14:textFill>
            <w14:solidFill>
              <w14:schemeClr w14:val="tx1"/>
            </w14:solidFill>
          </w14:textFill>
        </w:rPr>
        <w:t xml:space="preserve">睢宁县双沟镇幸福路1号</w:t>
      </w:r>
      <w:r/>
    </w:p>
    <w:p>
      <w:pPr>
        <w:ind w:firstLine="482"/>
        <w:spacing w:line="360" w:lineRule="auto"/>
        <w:rPr>
          <w:rStyle w:val="1209"/>
          <w:rFonts w:hint="default" w:ascii="宋体" w:hAnsi="宋体" w:eastAsia="宋体" w:cs="宋体"/>
          <w:color w:val="000000" w:themeColor="text1"/>
          <w:sz w:val="24"/>
          <w:highlight w:val="none"/>
          <w:lang w:val="en-US" w:eastAsia="zh-CN"/>
          <w14:textFill>
            <w14:solidFill>
              <w14:schemeClr w14:val="tx1"/>
            </w14:solidFill>
          </w14:textFill>
        </w:rPr>
      </w:pPr>
      <w:r>
        <w:rPr>
          <w:rStyle w:val="1209"/>
          <w:rFonts w:hint="eastAsia" w:ascii="宋体" w:hAnsi="宋体" w:cs="宋体"/>
          <w:color w:val="000000" w:themeColor="text1"/>
          <w:sz w:val="24"/>
          <w:highlight w:val="none"/>
          <w14:textFill>
            <w14:solidFill>
              <w14:schemeClr w14:val="tx1"/>
            </w14:solidFill>
          </w14:textFill>
        </w:rPr>
        <w:t xml:space="preserve"> 联系电话：</w:t>
      </w:r>
      <w:r>
        <w:rPr>
          <w:rStyle w:val="1209"/>
          <w:rFonts w:hint="eastAsia" w:ascii="宋体" w:hAnsi="宋体" w:cs="宋体"/>
          <w:color w:val="000000" w:themeColor="text1"/>
          <w:sz w:val="24"/>
          <w:highlight w:val="none"/>
          <w:lang w:val="en-US" w:eastAsia="zh-CN"/>
          <w14:textFill>
            <w14:solidFill>
              <w14:schemeClr w14:val="tx1"/>
            </w14:solidFill>
          </w14:textFill>
        </w:rPr>
        <w:t xml:space="preserve">13815355807 </w:t>
      </w:r>
      <w:r/>
    </w:p>
    <w:p>
      <w:pPr>
        <w:pStyle w:val="1020"/>
        <w:ind w:firstLine="482"/>
        <w:jc w:val="left"/>
        <w:spacing w:line="360" w:lineRule="auto"/>
        <w:widowControl w:val="off"/>
        <w:rPr>
          <w:rStyle w:val="1209"/>
          <w:rFonts w:ascii="宋体" w:hAnsi="宋体" w:cs="宋体"/>
          <w:color w:val="000000" w:themeColor="text1"/>
          <w:sz w:val="24"/>
          <w14:textFill>
            <w14:solidFill>
              <w14:schemeClr w14:val="tx1"/>
            </w14:solidFill>
          </w14:textFill>
        </w:rPr>
      </w:pPr>
      <w:r>
        <w:rPr>
          <w:rStyle w:val="1209"/>
          <w:rFonts w:hint="eastAsia" w:ascii="宋体" w:hAnsi="宋体" w:cs="宋体"/>
          <w:color w:val="000000" w:themeColor="text1"/>
          <w:sz w:val="24"/>
          <w:lang w:val="en-US" w:eastAsia="zh-CN"/>
          <w14:textFill>
            <w14:solidFill>
              <w14:schemeClr w14:val="tx1"/>
            </w14:solidFill>
          </w14:textFill>
        </w:rPr>
        <w:t xml:space="preserve">5</w:t>
      </w:r>
      <w:r>
        <w:rPr>
          <w:rStyle w:val="1209"/>
          <w:rFonts w:hint="eastAsia" w:ascii="宋体" w:hAnsi="宋体" w:cs="宋体"/>
          <w:color w:val="000000" w:themeColor="text1"/>
          <w:sz w:val="24"/>
          <w14:textFill>
            <w14:solidFill>
              <w14:schemeClr w14:val="tx1"/>
            </w14:solidFill>
          </w14:textFill>
        </w:rPr>
        <w:t xml:space="preserve">、采购代理公司：江苏瑞利项目管理有限公司</w:t>
      </w:r>
      <w:r/>
    </w:p>
    <w:p>
      <w:pPr>
        <w:pStyle w:val="1020"/>
        <w:ind w:firstLine="482"/>
        <w:jc w:val="left"/>
        <w:spacing w:line="360" w:lineRule="auto"/>
        <w:widowControl w:val="off"/>
        <w:rPr>
          <w:rStyle w:val="1209"/>
          <w:rFonts w:ascii="宋体" w:hAnsi="宋体" w:cs="宋体"/>
          <w:color w:val="000000" w:themeColor="text1"/>
          <w:sz w:val="24"/>
          <w14:textFill>
            <w14:solidFill>
              <w14:schemeClr w14:val="tx1"/>
            </w14:solidFill>
          </w14:textFill>
        </w:rPr>
      </w:pPr>
      <w:r>
        <w:rPr>
          <w:rStyle w:val="1209"/>
          <w:rFonts w:hint="eastAsia" w:ascii="宋体" w:hAnsi="宋体" w:cs="宋体"/>
          <w:color w:val="000000" w:themeColor="text1"/>
          <w:sz w:val="24"/>
          <w14:textFill>
            <w14:solidFill>
              <w14:schemeClr w14:val="tx1"/>
            </w14:solidFill>
          </w14:textFill>
        </w:rPr>
        <w:t xml:space="preserve">地址：睢宁县睢城街道润景商务广场1#楼3楼</w:t>
      </w:r>
      <w:r/>
    </w:p>
    <w:p>
      <w:pPr>
        <w:pStyle w:val="1020"/>
        <w:ind w:firstLine="482"/>
        <w:jc w:val="left"/>
        <w:spacing w:line="360" w:lineRule="auto"/>
        <w:widowControl w:val="off"/>
        <w:rPr>
          <w:rStyle w:val="1209"/>
          <w:rFonts w:hint="default" w:ascii="宋体" w:hAnsi="宋体" w:eastAsia="宋体" w:cs="宋体"/>
          <w:color w:val="000000" w:themeColor="text1"/>
          <w:sz w:val="24"/>
          <w:lang w:val="en-US" w:eastAsia="zh-CN"/>
          <w14:textFill>
            <w14:solidFill>
              <w14:schemeClr w14:val="tx1"/>
            </w14:solidFill>
          </w14:textFill>
        </w:rPr>
      </w:pPr>
      <w:r>
        <w:rPr>
          <w:rStyle w:val="1209"/>
          <w:rFonts w:hint="eastAsia" w:ascii="宋体" w:hAnsi="宋体" w:cs="宋体"/>
          <w:color w:val="000000" w:themeColor="text1"/>
          <w:sz w:val="24"/>
          <w14:textFill>
            <w14:solidFill>
              <w14:schemeClr w14:val="tx1"/>
            </w14:solidFill>
          </w14:textFill>
        </w:rPr>
        <w:t xml:space="preserve">联系人：王霄霄      联系电话：18913453037</w:t>
      </w:r>
      <w:r>
        <w:rPr>
          <w:rStyle w:val="1209"/>
          <w:rFonts w:hint="eastAsia" w:ascii="宋体" w:hAnsi="宋体" w:cs="宋体"/>
          <w:color w:val="000000" w:themeColor="text1"/>
          <w:sz w:val="24"/>
          <w:lang w:val="en-US" w:eastAsia="zh-CN"/>
          <w14:textFill>
            <w14:solidFill>
              <w14:schemeClr w14:val="tx1"/>
            </w14:solidFill>
          </w14:textFill>
        </w:rPr>
        <w:t xml:space="preserve">/13685119726</w:t>
      </w:r>
      <w:r/>
    </w:p>
    <w:p>
      <w:pPr>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br w:type="page" w:clear="all"/>
      </w:r>
      <w:r/>
    </w:p>
    <w:p>
      <w:pPr>
        <w:jc w:val="center"/>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b/>
          <w:bCs/>
          <w:color w:val="000000" w:themeColor="text1"/>
          <w:sz w:val="28"/>
          <w:szCs w:val="28"/>
          <w14:textFill>
            <w14:solidFill>
              <w14:schemeClr w14:val="tx1"/>
            </w14:solidFill>
          </w14:textFill>
        </w:rPr>
        <w:t xml:space="preserve">第九章 附件</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1、《评分细则》</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2、《项目要求（采购需求）》</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3、《磋商报价表》</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4、《分项价格表》</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5、《承包人用于本工程施工的机械设备表》</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6、《承包人主要施工管理人员表》</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7、《偏离表》</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8、《拟签订的合同文本（合同草案条款）》</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9、《承诺书》</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10、《授权委托书》</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11、《中小企业声明函》及自测小程序</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12、《供应商参加政府采购活动前3年内在经营活动中没有重大违法记录的书面声明》</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13、《具备履行合同所必需的设备和专业技术能力的书面声明》</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14、《残疾人福利性单位声明函》</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15、《预付款保函支付条款模板》</w:t>
      </w:r>
      <w:r/>
    </w:p>
    <w:p>
      <w:pPr>
        <w:pStyle w:val="991"/>
        <w:ind w:firstLine="48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16、《代理服务收费标准》</w:t>
      </w:r>
      <w:r/>
    </w:p>
    <w:p>
      <w:pPr>
        <w:numPr>
          <w:ilvl w:val="0"/>
          <w:numId w:val="1"/>
        </w:numPr>
        <w:jc w:val="center"/>
        <w:spacing w:line="0" w:lineRule="atLeast"/>
        <w:rPr>
          <w:rFonts w:ascii="宋体" w:hAnsi="宋体" w:cs="宋体"/>
          <w:b/>
          <w:color w:val="000000" w:themeColor="text1"/>
          <w:sz w:val="36"/>
          <w14:textFill>
            <w14:solidFill>
              <w14:schemeClr w14:val="tx1"/>
            </w14:solidFill>
          </w14:textFill>
        </w:rPr>
      </w:pPr>
      <w:r>
        <w:rPr>
          <w:rFonts w:hint="eastAsia" w:ascii="宋体" w:hAnsi="宋体" w:cs="宋体"/>
          <w:b/>
          <w:color w:val="000000" w:themeColor="text1"/>
          <w:sz w:val="36"/>
          <w14:textFill>
            <w14:solidFill>
              <w14:schemeClr w14:val="tx1"/>
            </w14:solidFill>
          </w14:textFill>
        </w:rPr>
        <w:br w:type="page" w:clear="all"/>
      </w:r>
      <w:r>
        <w:rPr>
          <w:rFonts w:hint="eastAsia" w:ascii="宋体" w:hAnsi="宋体" w:cs="宋体"/>
          <w:b/>
          <w:color w:val="000000" w:themeColor="text1"/>
          <w:sz w:val="36"/>
          <w14:textFill>
            <w14:solidFill>
              <w14:schemeClr w14:val="tx1"/>
            </w14:solidFill>
          </w14:textFill>
        </w:rPr>
        <w:t xml:space="preserve">评分细则</w:t>
      </w:r>
      <w:r/>
    </w:p>
    <w:tbl>
      <w:tblPr>
        <w:tblStyle w:val="985"/>
        <w:tblW w:w="963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02"/>
        <w:gridCol w:w="1570"/>
        <w:gridCol w:w="6662"/>
      </w:tblGrid>
      <w:tr>
        <w:trPr>
          <w:jc w:val="center"/>
          <w:trHeight w:val="567"/>
        </w:trPr>
        <w:tc>
          <w:tcPr>
            <w:gridSpan w:val="2"/>
            <w:tcBorders>
              <w:top w:val="single" w:color="000000" w:sz="4" w:space="0"/>
              <w:left w:val="single" w:color="000000" w:sz="4" w:space="0"/>
              <w:bottom w:val="single" w:color="000000" w:sz="4" w:space="0"/>
              <w:right w:val="single" w:color="000000" w:sz="4" w:space="0"/>
            </w:tcBorders>
            <w:tcW w:w="2972" w:type="dxa"/>
            <w:vAlign w:val="center"/>
            <w:textDirection w:val="lrTb"/>
            <w:noWrap w:val="false"/>
          </w:tcPr>
          <w:p>
            <w:pPr>
              <w:pStyle w:val="1219"/>
              <w:jc w:val="center"/>
              <w:rPr>
                <w:rFonts w:ascii="宋体" w:hAnsi="宋体" w:cs="宋体"/>
                <w:color w:val="auto"/>
              </w:rPr>
            </w:pPr>
            <w:r>
              <w:rPr>
                <w:rFonts w:hint="eastAsia" w:ascii="宋体" w:hAnsi="宋体" w:cs="宋体"/>
                <w:color w:val="auto"/>
              </w:rPr>
              <w:t xml:space="preserve">项目</w:t>
            </w:r>
            <w:r/>
          </w:p>
        </w:tc>
        <w:tc>
          <w:tcPr>
            <w:tcBorders>
              <w:top w:val="single" w:color="000000" w:sz="4" w:space="0"/>
              <w:left w:val="single" w:color="000000" w:sz="4" w:space="0"/>
              <w:bottom w:val="single" w:color="000000" w:sz="4" w:space="0"/>
              <w:right w:val="single" w:color="000000" w:sz="4" w:space="0"/>
            </w:tcBorders>
            <w:tcW w:w="6662" w:type="dxa"/>
            <w:vAlign w:val="center"/>
            <w:textDirection w:val="lrTb"/>
            <w:noWrap w:val="false"/>
          </w:tcPr>
          <w:p>
            <w:pPr>
              <w:pStyle w:val="1219"/>
              <w:jc w:val="center"/>
              <w:rPr>
                <w:rFonts w:ascii="宋体" w:hAnsi="宋体" w:cs="宋体"/>
                <w:color w:val="auto"/>
              </w:rPr>
            </w:pPr>
            <w:r>
              <w:rPr>
                <w:rFonts w:hint="eastAsia" w:ascii="宋体" w:hAnsi="宋体" w:cs="宋体"/>
                <w:color w:val="auto"/>
              </w:rPr>
              <w:t xml:space="preserve">评分细则</w:t>
            </w:r>
            <w:r/>
          </w:p>
        </w:tc>
      </w:tr>
      <w:tr>
        <w:trPr>
          <w:jc w:val="center"/>
          <w:trHeight w:val="1266"/>
        </w:trPr>
        <w:tc>
          <w:tcPr>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pStyle w:val="1219"/>
              <w:jc w:val="center"/>
              <w:rPr>
                <w:rFonts w:ascii="宋体" w:hAnsi="宋体" w:cs="宋体"/>
                <w:color w:val="auto"/>
              </w:rPr>
            </w:pPr>
            <w:r>
              <w:rPr>
                <w:rFonts w:hint="eastAsia" w:ascii="宋体" w:hAnsi="宋体" w:cs="宋体"/>
                <w:color w:val="auto"/>
              </w:rPr>
              <w:t xml:space="preserve">价格部分</w:t>
            </w:r>
            <w:r/>
          </w:p>
          <w:p>
            <w:pPr>
              <w:pStyle w:val="1219"/>
              <w:jc w:val="center"/>
              <w:rPr>
                <w:rFonts w:ascii="宋体" w:hAnsi="宋体" w:cs="宋体"/>
                <w:color w:val="auto"/>
              </w:rPr>
            </w:pPr>
            <w:r>
              <w:rPr>
                <w:rFonts w:hint="eastAsia" w:ascii="宋体" w:hAnsi="宋体" w:cs="宋体"/>
                <w:color w:val="auto"/>
              </w:rPr>
              <w:t xml:space="preserve">(</w:t>
            </w:r>
            <w:r>
              <w:rPr>
                <w:rFonts w:hint="eastAsia" w:ascii="宋体" w:hAnsi="宋体" w:cs="宋体"/>
                <w:color w:val="auto"/>
                <w:lang w:val="en-US" w:eastAsia="zh-CN"/>
              </w:rPr>
              <w:t xml:space="preserve">2</w:t>
            </w:r>
            <w:r>
              <w:rPr>
                <w:rFonts w:hint="eastAsia" w:ascii="宋体" w:hAnsi="宋体" w:cs="宋体"/>
                <w:color w:val="auto"/>
              </w:rPr>
              <w:t xml:space="preserve">0分)</w:t>
            </w:r>
            <w:r/>
          </w:p>
        </w:tc>
        <w:tc>
          <w:tcPr>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pStyle w:val="1219"/>
              <w:jc w:val="center"/>
              <w:rPr>
                <w:rFonts w:ascii="宋体" w:hAnsi="宋体" w:cs="宋体"/>
                <w:color w:val="auto"/>
              </w:rPr>
            </w:pPr>
            <w:r>
              <w:rPr>
                <w:rFonts w:hint="eastAsia" w:ascii="宋体" w:hAnsi="宋体" w:cs="宋体"/>
                <w:color w:val="auto"/>
              </w:rPr>
              <w:t xml:space="preserve">价格</w:t>
            </w:r>
            <w:r/>
          </w:p>
          <w:p>
            <w:pPr>
              <w:pStyle w:val="1219"/>
              <w:jc w:val="center"/>
              <w:rPr>
                <w:rFonts w:ascii="宋体" w:hAnsi="宋体" w:cs="宋体"/>
                <w:color w:val="auto"/>
              </w:rPr>
            </w:pPr>
            <w:r>
              <w:rPr>
                <w:rFonts w:hint="eastAsia" w:ascii="宋体" w:hAnsi="宋体" w:cs="宋体"/>
                <w:color w:val="auto"/>
              </w:rPr>
              <w:t xml:space="preserve">(</w:t>
            </w:r>
            <w:r>
              <w:rPr>
                <w:rFonts w:hint="eastAsia" w:ascii="宋体" w:hAnsi="宋体" w:cs="宋体"/>
                <w:color w:val="auto"/>
                <w:lang w:val="en-US" w:eastAsia="zh-CN"/>
              </w:rPr>
              <w:t xml:space="preserve">2</w:t>
            </w:r>
            <w:r>
              <w:rPr>
                <w:rFonts w:hint="eastAsia" w:ascii="宋体" w:hAnsi="宋体" w:cs="宋体"/>
                <w:color w:val="auto"/>
              </w:rPr>
              <w:t xml:space="preserve">0分)</w:t>
            </w:r>
            <w:r/>
          </w:p>
        </w:tc>
        <w:tc>
          <w:tcPr>
            <w:tcBorders>
              <w:top w:val="single" w:color="000000" w:sz="4" w:space="0"/>
              <w:left w:val="single" w:color="000000" w:sz="4" w:space="0"/>
              <w:bottom w:val="single" w:color="000000" w:sz="4" w:space="0"/>
              <w:right w:val="single" w:color="000000" w:sz="4" w:space="0"/>
            </w:tcBorders>
            <w:tcW w:w="6662" w:type="dxa"/>
            <w:vAlign w:val="center"/>
            <w:textDirection w:val="lrTb"/>
            <w:noWrap w:val="false"/>
          </w:tcPr>
          <w:p>
            <w:pPr>
              <w:pStyle w:val="1020"/>
              <w:rPr>
                <w:rFonts w:ascii="宋体" w:hAnsi="宋体" w:cs="宋体"/>
                <w:sz w:val="24"/>
                <w:szCs w:val="24"/>
              </w:rPr>
            </w:pPr>
            <w:r>
              <w:rPr>
                <w:rFonts w:hint="eastAsia" w:ascii="宋体" w:hAnsi="宋体" w:cs="宋体"/>
                <w:sz w:val="24"/>
                <w:szCs w:val="24"/>
              </w:rPr>
              <w:t xml:space="preserve">采用低价优先法计算，即满足磋商文件要求且最后报价最低的供应商的价格为磋商基准价，其价格分为满分。其他供应商的价格分统一按照下列公式计算：</w:t>
            </w:r>
            <w:r/>
          </w:p>
          <w:p>
            <w:pPr>
              <w:pStyle w:val="1020"/>
              <w:rPr>
                <w:rFonts w:ascii="宋体" w:hAnsi="宋体" w:cs="宋体"/>
                <w:sz w:val="24"/>
                <w:szCs w:val="24"/>
              </w:rPr>
            </w:pPr>
            <w:r>
              <w:rPr>
                <w:rFonts w:hint="eastAsia" w:ascii="宋体" w:hAnsi="宋体" w:cs="宋体"/>
                <w:sz w:val="24"/>
                <w:szCs w:val="24"/>
              </w:rPr>
              <w:t xml:space="preserve">磋商报价得分=（磋商基准价/最后磋商报价）×</w:t>
            </w:r>
            <w:r>
              <w:rPr>
                <w:rFonts w:hint="eastAsia" w:ascii="宋体" w:hAnsi="宋体" w:cs="宋体"/>
                <w:sz w:val="24"/>
                <w:szCs w:val="24"/>
                <w:lang w:val="en-US" w:eastAsia="zh-CN"/>
              </w:rPr>
              <w:t xml:space="preserve">2</w:t>
            </w:r>
            <w:r>
              <w:rPr>
                <w:rFonts w:hint="eastAsia" w:ascii="宋体" w:hAnsi="宋体" w:cs="宋体"/>
                <w:sz w:val="24"/>
                <w:szCs w:val="24"/>
              </w:rPr>
              <w:t xml:space="preserve">0</w:t>
            </w:r>
            <w:r/>
          </w:p>
        </w:tc>
      </w:tr>
      <w:tr>
        <w:trPr>
          <w:jc w:val="center"/>
          <w:trHeight w:val="1047"/>
        </w:trPr>
        <w:tc>
          <w:tcPr>
            <w:tcBorders>
              <w:top w:val="single" w:color="000000" w:sz="4" w:space="0"/>
              <w:left w:val="single" w:color="000000" w:sz="4" w:space="0"/>
              <w:bottom w:val="single" w:color="000000" w:sz="4" w:space="0"/>
              <w:right w:val="single" w:color="000000" w:sz="4" w:space="0"/>
            </w:tcBorders>
            <w:tcW w:w="1402" w:type="dxa"/>
            <w:vAlign w:val="center"/>
            <w:vMerge w:val="restart"/>
            <w:textDirection w:val="lrTb"/>
            <w:noWrap w:val="false"/>
          </w:tcPr>
          <w:p>
            <w:pPr>
              <w:pStyle w:val="1219"/>
              <w:jc w:val="center"/>
              <w:rPr>
                <w:rFonts w:ascii="宋体" w:hAnsi="宋体" w:cs="宋体"/>
                <w:color w:val="auto"/>
              </w:rPr>
            </w:pPr>
            <w:r>
              <w:rPr>
                <w:rFonts w:hint="eastAsia" w:ascii="宋体" w:hAnsi="宋体" w:cs="宋体"/>
                <w:color w:val="auto"/>
              </w:rPr>
              <w:t xml:space="preserve">施工方案</w:t>
            </w:r>
            <w:r/>
          </w:p>
          <w:p>
            <w:pPr>
              <w:pStyle w:val="1219"/>
              <w:jc w:val="center"/>
              <w:rPr>
                <w:rFonts w:ascii="宋体" w:hAnsi="宋体" w:cs="宋体"/>
                <w:color w:val="auto"/>
              </w:rPr>
            </w:pPr>
            <w:r>
              <w:rPr>
                <w:rFonts w:hint="eastAsia" w:ascii="宋体" w:hAnsi="宋体" w:cs="宋体"/>
                <w:color w:val="auto"/>
              </w:rPr>
              <w:t xml:space="preserve">(6</w:t>
            </w:r>
            <w:r>
              <w:rPr>
                <w:rFonts w:hint="eastAsia" w:ascii="宋体" w:hAnsi="宋体" w:cs="宋体"/>
                <w:color w:val="auto"/>
                <w:lang w:val="en-US" w:eastAsia="zh-CN"/>
              </w:rPr>
              <w:t xml:space="preserve">6</w:t>
            </w:r>
            <w:r>
              <w:rPr>
                <w:rFonts w:hint="eastAsia" w:ascii="宋体" w:hAnsi="宋体" w:cs="宋体"/>
                <w:color w:val="auto"/>
              </w:rPr>
              <w:t xml:space="preserve">分)</w:t>
            </w:r>
            <w:r/>
          </w:p>
          <w:p>
            <w:pPr>
              <w:pStyle w:val="1219"/>
              <w:ind w:firstLine="240"/>
              <w:jc w:val="center"/>
              <w:rPr>
                <w:rFonts w:ascii="宋体" w:hAnsi="宋体" w:cs="宋体"/>
                <w:color w:val="auto"/>
              </w:rPr>
            </w:pPr>
            <w:r>
              <w:rPr>
                <w:rFonts w:ascii="宋体" w:hAnsi="宋体" w:cs="宋体"/>
                <w:color w:val="auto"/>
              </w:rPr>
            </w:r>
            <w:r/>
          </w:p>
        </w:tc>
        <w:tc>
          <w:tcPr>
            <w:tcBorders>
              <w:top w:val="single" w:color="000000" w:sz="4" w:space="0"/>
              <w:left w:val="single" w:color="000000" w:sz="4" w:space="0"/>
              <w:bottom w:val="single" w:color="auto" w:sz="4" w:space="0"/>
              <w:right w:val="single" w:color="000000" w:sz="4" w:space="0"/>
            </w:tcBorders>
            <w:tcW w:w="1570" w:type="dxa"/>
            <w:vAlign w:val="center"/>
            <w:textDirection w:val="lrTb"/>
            <w:noWrap w:val="false"/>
          </w:tcPr>
          <w:p>
            <w:pPr>
              <w:pStyle w:val="1219"/>
              <w:jc w:val="center"/>
              <w:rPr>
                <w:rFonts w:ascii="宋体" w:hAnsi="宋体" w:cs="宋体"/>
              </w:rPr>
            </w:pPr>
            <w:r>
              <w:rPr>
                <w:rFonts w:hint="eastAsia" w:ascii="宋体" w:hAnsi="宋体" w:cs="宋体"/>
              </w:rPr>
              <w:t xml:space="preserve">总体施工</w:t>
            </w:r>
            <w:r/>
          </w:p>
          <w:p>
            <w:pPr>
              <w:pStyle w:val="1219"/>
              <w:jc w:val="center"/>
              <w:rPr>
                <w:rFonts w:ascii="宋体" w:hAnsi="宋体" w:cs="宋体"/>
              </w:rPr>
            </w:pPr>
            <w:r>
              <w:rPr>
                <w:rFonts w:hint="eastAsia" w:ascii="宋体" w:hAnsi="宋体" w:cs="宋体"/>
              </w:rPr>
              <w:t xml:space="preserve">方案</w:t>
            </w:r>
            <w:r/>
          </w:p>
          <w:p>
            <w:pPr>
              <w:pStyle w:val="1219"/>
              <w:jc w:val="center"/>
              <w:rPr>
                <w:rFonts w:ascii="宋体" w:hAnsi="宋体" w:cs="宋体"/>
                <w:color w:val="auto"/>
              </w:rPr>
            </w:pPr>
            <w:r>
              <w:rPr>
                <w:rFonts w:hint="eastAsia" w:ascii="宋体" w:hAnsi="宋体" w:cs="宋体"/>
              </w:rPr>
              <w:t xml:space="preserve">（1</w:t>
            </w:r>
            <w:r>
              <w:rPr>
                <w:rFonts w:hint="eastAsia" w:ascii="宋体" w:hAnsi="宋体" w:cs="宋体"/>
                <w:lang w:val="en-US" w:eastAsia="zh-CN"/>
              </w:rPr>
              <w:t xml:space="preserve">2</w:t>
            </w:r>
            <w:r>
              <w:rPr>
                <w:rFonts w:hint="eastAsia" w:ascii="宋体" w:hAnsi="宋体" w:cs="宋体"/>
              </w:rPr>
              <w:t xml:space="preserve">分）</w:t>
            </w:r>
            <w:r/>
          </w:p>
        </w:tc>
        <w:tc>
          <w:tcPr>
            <w:tcBorders>
              <w:top w:val="single" w:color="000000" w:sz="4" w:space="0"/>
              <w:left w:val="single" w:color="000000" w:sz="4" w:space="0"/>
              <w:bottom w:val="single" w:color="auto" w:sz="4" w:space="0"/>
              <w:right w:val="single" w:color="000000" w:sz="4" w:space="0"/>
            </w:tcBorders>
            <w:tcW w:w="6662" w:type="dxa"/>
            <w:vAlign w:val="center"/>
            <w:textDirection w:val="lrTb"/>
            <w:noWrap w:val="false"/>
          </w:tcPr>
          <w:p>
            <w:pPr>
              <w:rPr>
                <w:rFonts w:ascii="宋体" w:hAnsi="宋体" w:cs="宋体"/>
                <w:sz w:val="24"/>
              </w:rPr>
            </w:pPr>
            <w:r>
              <w:rPr>
                <w:rFonts w:hint="eastAsia" w:ascii="宋体" w:hAnsi="宋体" w:cs="宋体"/>
                <w:sz w:val="24"/>
              </w:rPr>
              <w:t xml:space="preserve">依据响应文件中的总体施工方案，对工程总体及重点部分施工方案及工艺方法进行综合评分。</w:t>
            </w:r>
            <w:r/>
          </w:p>
          <w:p>
            <w:pPr>
              <w:rPr>
                <w:rFonts w:ascii="宋体" w:hAnsi="宋体" w:cs="宋体"/>
                <w:sz w:val="24"/>
              </w:rPr>
            </w:pPr>
            <w:r>
              <w:rPr>
                <w:rFonts w:hint="eastAsia" w:ascii="宋体" w:hAnsi="宋体" w:cs="宋体"/>
                <w:sz w:val="24"/>
              </w:rPr>
              <w:t xml:space="preserve">合理性(</w:t>
            </w:r>
            <w:r>
              <w:rPr>
                <w:rFonts w:hint="eastAsia" w:ascii="宋体" w:hAnsi="宋体" w:cs="宋体"/>
                <w:sz w:val="24"/>
                <w:lang w:val="en-US" w:eastAsia="zh-CN"/>
              </w:rPr>
              <w:t xml:space="preserve">4</w:t>
            </w:r>
            <w:r>
              <w:rPr>
                <w:rFonts w:hint="eastAsia" w:ascii="宋体" w:hAnsi="宋体" w:cs="宋体"/>
                <w:sz w:val="24"/>
              </w:rPr>
              <w:t xml:space="preserve">分)：合理得</w:t>
            </w:r>
            <w:r>
              <w:rPr>
                <w:rFonts w:hint="eastAsia" w:ascii="宋体" w:hAnsi="宋体" w:cs="宋体"/>
                <w:sz w:val="24"/>
                <w:lang w:val="en-US" w:eastAsia="zh-CN"/>
              </w:rPr>
              <w:t xml:space="preserve">4</w:t>
            </w:r>
            <w:r>
              <w:rPr>
                <w:rFonts w:hint="eastAsia" w:ascii="宋体" w:hAnsi="宋体" w:cs="宋体"/>
                <w:sz w:val="24"/>
              </w:rPr>
              <w:t xml:space="preserve">分；较合理得</w:t>
            </w:r>
            <w:r>
              <w:rPr>
                <w:rFonts w:hint="eastAsia" w:ascii="宋体" w:hAnsi="宋体" w:cs="宋体"/>
                <w:sz w:val="24"/>
                <w:lang w:val="en-US" w:eastAsia="zh-CN"/>
              </w:rPr>
              <w:t xml:space="preserve">3</w:t>
            </w:r>
            <w:r>
              <w:rPr>
                <w:rFonts w:hint="eastAsia" w:ascii="宋体" w:hAnsi="宋体" w:cs="宋体"/>
                <w:sz w:val="24"/>
              </w:rPr>
              <w:t xml:space="preserve">分；不太合理的得</w:t>
            </w:r>
            <w:r>
              <w:rPr>
                <w:rFonts w:hint="eastAsia" w:ascii="宋体" w:hAnsi="宋体" w:cs="宋体"/>
                <w:sz w:val="24"/>
                <w:lang w:val="en-US" w:eastAsia="zh-CN"/>
              </w:rPr>
              <w:t xml:space="preserve">2</w:t>
            </w:r>
            <w:r>
              <w:rPr>
                <w:rFonts w:hint="eastAsia" w:ascii="宋体" w:hAnsi="宋体" w:cs="宋体"/>
                <w:sz w:val="24"/>
              </w:rPr>
              <w:t xml:space="preserve">分。</w:t>
            </w:r>
            <w:r/>
          </w:p>
          <w:p>
            <w:pPr>
              <w:rPr>
                <w:rFonts w:ascii="宋体" w:hAnsi="宋体" w:cs="宋体"/>
                <w:sz w:val="24"/>
              </w:rPr>
            </w:pPr>
            <w:r>
              <w:rPr>
                <w:rFonts w:hint="eastAsia" w:ascii="宋体" w:hAnsi="宋体" w:cs="宋体"/>
                <w:sz w:val="24"/>
              </w:rPr>
              <w:t xml:space="preserve">针对性（4分)：针对性强得4分；针对性较强得3分；针对性一般的得2分，欠缺针对性的得1分。</w:t>
            </w:r>
            <w:r/>
          </w:p>
          <w:p>
            <w:pPr>
              <w:rPr>
                <w:rFonts w:ascii="宋体" w:hAnsi="宋体" w:cs="宋体"/>
                <w:sz w:val="24"/>
              </w:rPr>
            </w:pPr>
            <w:r>
              <w:rPr>
                <w:rFonts w:hint="eastAsia" w:ascii="宋体" w:hAnsi="宋体" w:cs="宋体"/>
                <w:sz w:val="24"/>
              </w:rPr>
              <w:t xml:space="preserve">可行性（</w:t>
            </w:r>
            <w:r>
              <w:rPr>
                <w:rFonts w:hint="eastAsia" w:ascii="宋体" w:hAnsi="宋体" w:cs="宋体"/>
                <w:sz w:val="24"/>
                <w:lang w:val="en-US" w:eastAsia="zh-CN"/>
              </w:rPr>
              <w:t xml:space="preserve">4</w:t>
            </w:r>
            <w:r>
              <w:rPr>
                <w:rFonts w:hint="eastAsia" w:ascii="宋体" w:hAnsi="宋体" w:cs="宋体"/>
                <w:sz w:val="24"/>
              </w:rPr>
              <w:t xml:space="preserve">分)：符合实际切实可行得</w:t>
            </w:r>
            <w:r>
              <w:rPr>
                <w:rFonts w:hint="eastAsia" w:ascii="宋体" w:hAnsi="宋体" w:cs="宋体"/>
                <w:sz w:val="24"/>
                <w:lang w:val="en-US" w:eastAsia="zh-CN"/>
              </w:rPr>
              <w:t xml:space="preserve">4</w:t>
            </w:r>
            <w:r>
              <w:rPr>
                <w:rFonts w:hint="eastAsia" w:ascii="宋体" w:hAnsi="宋体" w:cs="宋体"/>
                <w:sz w:val="24"/>
              </w:rPr>
              <w:t xml:space="preserve">分；较切实可行得</w:t>
            </w:r>
            <w:r>
              <w:rPr>
                <w:rFonts w:hint="eastAsia" w:ascii="宋体" w:hAnsi="宋体" w:cs="宋体"/>
                <w:sz w:val="24"/>
                <w:lang w:val="en-US" w:eastAsia="zh-CN"/>
              </w:rPr>
              <w:t xml:space="preserve">3</w:t>
            </w:r>
            <w:r>
              <w:rPr>
                <w:rFonts w:hint="eastAsia" w:ascii="宋体" w:hAnsi="宋体" w:cs="宋体"/>
                <w:sz w:val="24"/>
              </w:rPr>
              <w:t xml:space="preserve">分；可行性欠缺得</w:t>
            </w:r>
            <w:r>
              <w:rPr>
                <w:rFonts w:hint="eastAsia" w:ascii="宋体" w:hAnsi="宋体" w:cs="宋体"/>
                <w:sz w:val="24"/>
                <w:lang w:val="en-US" w:eastAsia="zh-CN"/>
              </w:rPr>
              <w:t xml:space="preserve">2</w:t>
            </w:r>
            <w:r>
              <w:rPr>
                <w:rFonts w:hint="eastAsia" w:ascii="宋体" w:hAnsi="宋体" w:cs="宋体"/>
                <w:sz w:val="24"/>
              </w:rPr>
              <w:t xml:space="preserve">分；</w:t>
            </w:r>
            <w:r/>
          </w:p>
          <w:p>
            <w:pPr>
              <w:pStyle w:val="1022"/>
              <w:rPr>
                <w:rFonts w:ascii="宋体" w:hAnsi="宋体" w:cs="宋体"/>
                <w:sz w:val="24"/>
                <w:szCs w:val="20"/>
              </w:rPr>
            </w:pPr>
            <w:r>
              <w:rPr>
                <w:rFonts w:hint="eastAsia" w:ascii="宋体" w:hAnsi="宋体" w:cs="宋体"/>
                <w:sz w:val="24"/>
              </w:rPr>
              <w:t xml:space="preserve">未提供的不得分。最高得1</w:t>
            </w:r>
            <w:r>
              <w:rPr>
                <w:rFonts w:hint="eastAsia" w:ascii="宋体" w:hAnsi="宋体" w:cs="宋体"/>
                <w:sz w:val="24"/>
                <w:lang w:val="en-US" w:eastAsia="zh-CN"/>
              </w:rPr>
              <w:t xml:space="preserve">2</w:t>
            </w:r>
            <w:r>
              <w:rPr>
                <w:rFonts w:hint="eastAsia" w:ascii="宋体" w:hAnsi="宋体" w:cs="宋体"/>
                <w:sz w:val="24"/>
              </w:rPr>
              <w:t xml:space="preserve">分，最低不得分。</w:t>
            </w:r>
            <w:r/>
          </w:p>
        </w:tc>
      </w:tr>
      <w:tr>
        <w:trPr>
          <w:jc w:val="center"/>
          <w:trHeight w:val="241"/>
        </w:trPr>
        <w:tc>
          <w:tcPr>
            <w:tcBorders>
              <w:top w:val="single" w:color="000000" w:sz="4" w:space="0"/>
              <w:left w:val="single" w:color="000000" w:sz="4" w:space="0"/>
              <w:bottom w:val="single" w:color="000000" w:sz="4" w:space="0"/>
              <w:right w:val="single" w:color="000000" w:sz="4" w:space="0"/>
            </w:tcBorders>
            <w:tcW w:w="1402" w:type="dxa"/>
            <w:vAlign w:val="center"/>
            <w:vMerge w:val="continue"/>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auto" w:sz="4" w:space="0"/>
              <w:left w:val="single" w:color="000000" w:sz="4" w:space="0"/>
              <w:bottom w:val="single" w:color="auto" w:sz="4" w:space="0"/>
              <w:right w:val="single" w:color="000000" w:sz="4" w:space="0"/>
            </w:tcBorders>
            <w:tcW w:w="1570" w:type="dxa"/>
            <w:vAlign w:val="center"/>
            <w:textDirection w:val="lrTb"/>
            <w:noWrap w:val="false"/>
          </w:tcPr>
          <w:p>
            <w:pPr>
              <w:pStyle w:val="1022"/>
              <w:jc w:val="center"/>
              <w:rPr>
                <w:rFonts w:ascii="宋体" w:hAnsi="宋体" w:cs="宋体"/>
                <w:sz w:val="24"/>
              </w:rPr>
            </w:pPr>
            <w:r>
              <w:rPr>
                <w:rFonts w:hint="eastAsia" w:ascii="宋体" w:hAnsi="宋体" w:cs="宋体"/>
                <w:sz w:val="24"/>
              </w:rPr>
              <w:t xml:space="preserve">施工进度计划及保证措施</w:t>
            </w:r>
            <w:r/>
          </w:p>
          <w:p>
            <w:pPr>
              <w:pStyle w:val="1022"/>
              <w:jc w:val="center"/>
              <w:rPr>
                <w:rFonts w:ascii="宋体" w:hAnsi="宋体" w:cs="宋体"/>
                <w:sz w:val="24"/>
              </w:rPr>
            </w:pPr>
            <w:r>
              <w:rPr>
                <w:rFonts w:hint="eastAsia" w:ascii="宋体" w:hAnsi="宋体" w:cs="宋体"/>
                <w:sz w:val="24"/>
              </w:rPr>
              <w:t xml:space="preserve">（</w:t>
            </w:r>
            <w:r>
              <w:rPr>
                <w:rFonts w:hint="eastAsia" w:ascii="宋体" w:hAnsi="宋体" w:cs="宋体"/>
                <w:sz w:val="24"/>
                <w:lang w:val="en-US" w:eastAsia="zh-CN"/>
              </w:rPr>
              <w:t xml:space="preserve">10</w:t>
            </w:r>
            <w:r>
              <w:rPr>
                <w:rFonts w:hint="eastAsia" w:ascii="宋体" w:hAnsi="宋体" w:cs="宋体"/>
                <w:sz w:val="24"/>
              </w:rPr>
              <w:t xml:space="preserve">分）</w:t>
            </w:r>
            <w:r/>
          </w:p>
          <w:p>
            <w:pPr>
              <w:pStyle w:val="1022"/>
              <w:ind w:firstLine="240"/>
              <w:jc w:val="center"/>
              <w:rPr>
                <w:rFonts w:ascii="宋体" w:hAnsi="宋体" w:cs="宋体"/>
                <w:sz w:val="24"/>
              </w:rPr>
            </w:pPr>
            <w:r>
              <w:rPr>
                <w:rFonts w:ascii="宋体" w:hAnsi="宋体" w:cs="宋体"/>
                <w:sz w:val="24"/>
              </w:rPr>
            </w:r>
            <w:r/>
          </w:p>
        </w:tc>
        <w:tc>
          <w:tcPr>
            <w:tcBorders>
              <w:top w:val="single" w:color="auto" w:sz="4" w:space="0"/>
              <w:left w:val="single" w:color="000000" w:sz="4" w:space="0"/>
              <w:bottom w:val="single" w:color="auto" w:sz="4" w:space="0"/>
              <w:right w:val="single" w:color="000000" w:sz="4" w:space="0"/>
            </w:tcBorders>
            <w:tcW w:w="6662" w:type="dxa"/>
            <w:vAlign w:val="center"/>
            <w:textDirection w:val="lrTb"/>
            <w:noWrap w:val="false"/>
          </w:tcPr>
          <w:p>
            <w:pPr>
              <w:pStyle w:val="1022"/>
              <w:spacing w:line="288" w:lineRule="auto"/>
              <w:rPr>
                <w:rFonts w:ascii="宋体" w:hAnsi="宋体" w:cs="宋体"/>
                <w:sz w:val="24"/>
                <w:szCs w:val="20"/>
              </w:rPr>
            </w:pPr>
            <w:r>
              <w:rPr>
                <w:rFonts w:hint="eastAsia" w:ascii="宋体" w:hAnsi="宋体" w:cs="宋体"/>
                <w:sz w:val="24"/>
                <w:szCs w:val="20"/>
              </w:rPr>
              <w:t xml:space="preserve">根据供应商提供的针对本项目工程特点、工程进度计划安排、计划开工竣工日期、关键工作计划及工期保证措施等方面进行综合评分。</w:t>
            </w:r>
            <w:r/>
          </w:p>
          <w:p>
            <w:pPr>
              <w:rPr>
                <w:rFonts w:ascii="宋体" w:hAnsi="宋体" w:cs="宋体"/>
                <w:sz w:val="24"/>
              </w:rPr>
            </w:pPr>
            <w:r>
              <w:rPr>
                <w:rFonts w:hint="eastAsia" w:ascii="宋体" w:hAnsi="宋体" w:cs="宋体"/>
                <w:sz w:val="24"/>
              </w:rPr>
              <w:t xml:space="preserve">合理性(3分)：合理得3分；较合理得2分；不太合理的得1分。</w:t>
            </w:r>
            <w:r/>
          </w:p>
          <w:p>
            <w:pPr>
              <w:rPr>
                <w:rFonts w:ascii="宋体" w:hAnsi="宋体" w:cs="宋体"/>
                <w:sz w:val="24"/>
              </w:rPr>
            </w:pPr>
            <w:r>
              <w:rPr>
                <w:rFonts w:hint="eastAsia" w:ascii="宋体" w:hAnsi="宋体" w:cs="宋体"/>
                <w:sz w:val="24"/>
              </w:rPr>
              <w:t xml:space="preserve">针对性（4分)：针对性强得4分；针对性较强得3分；针对性一般的得2分，欠缺针对性的得1分。</w:t>
            </w:r>
            <w:r/>
          </w:p>
          <w:p>
            <w:pPr>
              <w:rPr>
                <w:rFonts w:ascii="宋体" w:hAnsi="宋体" w:cs="宋体"/>
                <w:sz w:val="24"/>
              </w:rPr>
            </w:pPr>
            <w:r>
              <w:rPr>
                <w:rFonts w:hint="eastAsia" w:ascii="宋体" w:hAnsi="宋体" w:cs="宋体"/>
                <w:sz w:val="24"/>
              </w:rPr>
              <w:t xml:space="preserve">可行性（3分)：符合实际切实可行得3分；较切实可行得2分；可行性欠缺得1分；</w:t>
            </w:r>
            <w:r/>
          </w:p>
          <w:p>
            <w:pPr>
              <w:pStyle w:val="1022"/>
              <w:rPr>
                <w:rFonts w:ascii="宋体" w:hAnsi="宋体" w:cs="宋体"/>
                <w:sz w:val="24"/>
                <w:szCs w:val="20"/>
              </w:rPr>
            </w:pPr>
            <w:r>
              <w:rPr>
                <w:rFonts w:hint="eastAsia" w:ascii="宋体" w:hAnsi="宋体" w:cs="宋体"/>
                <w:sz w:val="24"/>
              </w:rPr>
              <w:t xml:space="preserve">未提供的不得分。最高得10分，最低不得分。</w:t>
            </w:r>
            <w:r/>
          </w:p>
        </w:tc>
      </w:tr>
      <w:tr>
        <w:trPr>
          <w:jc w:val="center"/>
          <w:trHeight w:val="1220"/>
        </w:trPr>
        <w:tc>
          <w:tcPr>
            <w:tcBorders>
              <w:top w:val="single" w:color="000000" w:sz="4" w:space="0"/>
              <w:left w:val="single" w:color="000000" w:sz="4" w:space="0"/>
              <w:bottom w:val="single" w:color="000000" w:sz="4" w:space="0"/>
              <w:right w:val="single" w:color="000000" w:sz="4" w:space="0"/>
            </w:tcBorders>
            <w:tcW w:w="1402" w:type="dxa"/>
            <w:vAlign w:val="center"/>
            <w:vMerge w:val="continue"/>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auto" w:sz="4" w:space="0"/>
              <w:left w:val="single" w:color="000000" w:sz="4" w:space="0"/>
              <w:bottom w:val="single" w:color="auto" w:sz="4" w:space="0"/>
              <w:right w:val="single" w:color="000000" w:sz="4" w:space="0"/>
            </w:tcBorders>
            <w:tcW w:w="1570" w:type="dxa"/>
            <w:vAlign w:val="center"/>
            <w:textDirection w:val="lrTb"/>
            <w:noWrap w:val="false"/>
          </w:tcPr>
          <w:p>
            <w:pPr>
              <w:jc w:val="center"/>
              <w:rPr>
                <w:rFonts w:ascii="宋体" w:hAnsi="宋体" w:cs="宋体"/>
                <w:sz w:val="24"/>
              </w:rPr>
            </w:pPr>
            <w:r>
              <w:rPr>
                <w:rFonts w:hint="eastAsia" w:ascii="宋体" w:hAnsi="宋体" w:cs="宋体"/>
                <w:sz w:val="24"/>
              </w:rPr>
              <w:t xml:space="preserve">施工质量</w:t>
            </w:r>
            <w:r/>
          </w:p>
          <w:p>
            <w:pPr>
              <w:jc w:val="center"/>
              <w:rPr>
                <w:rFonts w:ascii="宋体" w:hAnsi="宋体" w:cs="宋体"/>
                <w:sz w:val="24"/>
              </w:rPr>
            </w:pPr>
            <w:r>
              <w:rPr>
                <w:rFonts w:hint="eastAsia" w:ascii="宋体" w:hAnsi="宋体" w:cs="宋体"/>
                <w:sz w:val="24"/>
              </w:rPr>
              <w:t xml:space="preserve">保证</w:t>
            </w:r>
            <w:r/>
          </w:p>
          <w:p>
            <w:pPr>
              <w:jc w:val="center"/>
              <w:rPr>
                <w:rFonts w:ascii="宋体" w:hAnsi="宋体" w:cs="宋体"/>
                <w:sz w:val="24"/>
              </w:rPr>
            </w:pPr>
            <w:r>
              <w:rPr>
                <w:rFonts w:hint="eastAsia" w:ascii="宋体" w:hAnsi="宋体" w:cs="宋体"/>
                <w:sz w:val="24"/>
              </w:rPr>
              <w:t xml:space="preserve">（10分）</w:t>
            </w:r>
            <w:r/>
          </w:p>
        </w:tc>
        <w:tc>
          <w:tcPr>
            <w:tcBorders>
              <w:top w:val="single" w:color="auto" w:sz="4" w:space="0"/>
              <w:left w:val="single" w:color="000000" w:sz="4" w:space="0"/>
              <w:bottom w:val="single" w:color="auto" w:sz="4" w:space="0"/>
              <w:right w:val="single" w:color="000000" w:sz="4" w:space="0"/>
            </w:tcBorders>
            <w:tcW w:w="6662" w:type="dxa"/>
            <w:vAlign w:val="center"/>
            <w:textDirection w:val="lrTb"/>
            <w:noWrap w:val="false"/>
          </w:tcPr>
          <w:p>
            <w:pPr>
              <w:rPr>
                <w:rFonts w:ascii="宋体" w:hAnsi="宋体" w:cs="宋体"/>
                <w:sz w:val="24"/>
              </w:rPr>
            </w:pPr>
            <w:r>
              <w:rPr>
                <w:rFonts w:hint="eastAsia" w:ascii="宋体" w:hAnsi="宋体" w:cs="宋体"/>
                <w:sz w:val="24"/>
                <w:szCs w:val="20"/>
              </w:rPr>
              <w:t xml:space="preserve">根据供应商提供的质量保证措施，对施工质量管理规划及目标、施工质量保证措施及突发情况预防方式等方面进行</w:t>
            </w:r>
            <w:r>
              <w:rPr>
                <w:rFonts w:hint="eastAsia" w:ascii="宋体" w:hAnsi="宋体" w:cs="宋体"/>
                <w:sz w:val="24"/>
              </w:rPr>
              <w:t xml:space="preserve">综合评分。</w:t>
            </w:r>
            <w:r/>
          </w:p>
          <w:p>
            <w:pPr>
              <w:rPr>
                <w:rFonts w:ascii="宋体" w:hAnsi="宋体" w:cs="宋体"/>
                <w:sz w:val="24"/>
              </w:rPr>
            </w:pPr>
            <w:r>
              <w:rPr>
                <w:rFonts w:hint="eastAsia" w:ascii="宋体" w:hAnsi="宋体" w:cs="宋体"/>
                <w:sz w:val="24"/>
              </w:rPr>
              <w:t xml:space="preserve">合理性(3分)：合理得3分；较合理得2分；不太合理的得1分。</w:t>
            </w:r>
            <w:r/>
          </w:p>
          <w:p>
            <w:pPr>
              <w:rPr>
                <w:rFonts w:ascii="宋体" w:hAnsi="宋体" w:cs="宋体"/>
                <w:sz w:val="24"/>
              </w:rPr>
            </w:pPr>
            <w:r>
              <w:rPr>
                <w:rFonts w:hint="eastAsia" w:ascii="宋体" w:hAnsi="宋体" w:cs="宋体"/>
                <w:sz w:val="24"/>
              </w:rPr>
              <w:t xml:space="preserve">针对性（4分)：针对性强得4分；针对性较强得3分；针对性一般的得2分，欠缺针对性的得1分。</w:t>
            </w:r>
            <w:r/>
          </w:p>
          <w:p>
            <w:pPr>
              <w:rPr>
                <w:rFonts w:ascii="宋体" w:hAnsi="宋体" w:cs="宋体"/>
                <w:sz w:val="24"/>
              </w:rPr>
            </w:pPr>
            <w:r>
              <w:rPr>
                <w:rFonts w:hint="eastAsia" w:ascii="宋体" w:hAnsi="宋体" w:cs="宋体"/>
                <w:sz w:val="24"/>
              </w:rPr>
              <w:t xml:space="preserve">可行性（3分)：符合实际切实可行得3分；较切实可行得2分；可行性欠缺得1分；</w:t>
            </w:r>
            <w:r/>
          </w:p>
          <w:p>
            <w:pPr>
              <w:rPr>
                <w:rFonts w:ascii="宋体" w:hAnsi="宋体" w:cs="宋体"/>
                <w:sz w:val="24"/>
                <w:szCs w:val="20"/>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未提供的不得分。最高得10分，最低不得分。</w:t>
            </w:r>
            <w:r/>
          </w:p>
        </w:tc>
      </w:tr>
      <w:tr>
        <w:trPr>
          <w:jc w:val="center"/>
          <w:trHeight w:val="737"/>
        </w:trPr>
        <w:tc>
          <w:tcPr>
            <w:tcBorders>
              <w:top w:val="single" w:color="000000" w:sz="4" w:space="0"/>
              <w:left w:val="single" w:color="000000" w:sz="4" w:space="0"/>
              <w:bottom w:val="single" w:color="000000" w:sz="4" w:space="0"/>
              <w:right w:val="single" w:color="000000" w:sz="4" w:space="0"/>
            </w:tcBorders>
            <w:tcW w:w="1402" w:type="dxa"/>
            <w:vAlign w:val="center"/>
            <w:vMerge w:val="continue"/>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auto" w:sz="4" w:space="0"/>
              <w:left w:val="single" w:color="000000" w:sz="4" w:space="0"/>
              <w:bottom w:val="single" w:color="auto" w:sz="4" w:space="0"/>
              <w:right w:val="single" w:color="000000" w:sz="4" w:space="0"/>
            </w:tcBorders>
            <w:tcW w:w="1570" w:type="dxa"/>
            <w:vAlign w:val="center"/>
            <w:textDirection w:val="lrTb"/>
            <w:noWrap w:val="false"/>
          </w:tcPr>
          <w:p>
            <w:pPr>
              <w:pStyle w:val="1022"/>
              <w:jc w:val="center"/>
              <w:rPr>
                <w:rFonts w:ascii="宋体" w:hAnsi="宋体" w:cs="宋体"/>
                <w:sz w:val="24"/>
              </w:rPr>
            </w:pPr>
            <w:r>
              <w:rPr>
                <w:rFonts w:hint="eastAsia" w:ascii="宋体" w:hAnsi="宋体" w:cs="宋体"/>
                <w:sz w:val="24"/>
              </w:rPr>
              <w:t xml:space="preserve">安全文明施工措施</w:t>
            </w:r>
            <w:r/>
          </w:p>
          <w:p>
            <w:pPr>
              <w:pStyle w:val="1022"/>
              <w:jc w:val="center"/>
              <w:rPr>
                <w:rFonts w:ascii="宋体" w:hAnsi="宋体" w:cs="宋体"/>
                <w:sz w:val="24"/>
              </w:rPr>
            </w:pPr>
            <w:r>
              <w:rPr>
                <w:rFonts w:hint="eastAsia" w:ascii="宋体" w:hAnsi="宋体" w:cs="宋体"/>
                <w:sz w:val="24"/>
              </w:rPr>
              <w:t xml:space="preserve">（</w:t>
            </w:r>
            <w:r>
              <w:rPr>
                <w:rFonts w:hint="eastAsia" w:ascii="宋体" w:hAnsi="宋体" w:cs="宋体"/>
                <w:sz w:val="24"/>
                <w:lang w:val="en-US" w:eastAsia="zh-CN"/>
              </w:rPr>
              <w:t xml:space="preserve">9</w:t>
            </w:r>
            <w:r>
              <w:rPr>
                <w:rFonts w:hint="eastAsia" w:ascii="宋体" w:hAnsi="宋体" w:cs="宋体"/>
                <w:sz w:val="24"/>
              </w:rPr>
              <w:t xml:space="preserve">分）</w:t>
            </w:r>
            <w:r/>
          </w:p>
        </w:tc>
        <w:tc>
          <w:tcPr>
            <w:tcBorders>
              <w:top w:val="single" w:color="auto" w:sz="4" w:space="0"/>
              <w:left w:val="single" w:color="000000" w:sz="4" w:space="0"/>
              <w:bottom w:val="single" w:color="auto" w:sz="4" w:space="0"/>
              <w:right w:val="single" w:color="000000" w:sz="4" w:space="0"/>
            </w:tcBorders>
            <w:tcW w:w="6662" w:type="dxa"/>
            <w:vAlign w:val="center"/>
            <w:textDirection w:val="lrTb"/>
            <w:noWrap w:val="false"/>
          </w:tcPr>
          <w:p>
            <w:pPr>
              <w:rPr>
                <w:rFonts w:ascii="宋体" w:hAnsi="宋体" w:cs="宋体"/>
                <w:sz w:val="24"/>
              </w:rPr>
            </w:pPr>
            <w:r>
              <w:rPr>
                <w:rFonts w:hint="eastAsia" w:ascii="宋体" w:hAnsi="宋体" w:cs="宋体"/>
                <w:sz w:val="24"/>
              </w:rPr>
              <w:t xml:space="preserve">根据供应商提供的安全文明施工措施中安全生产管理措施、文明施工管理措施、环境保护措施等方面进行综合评分。</w:t>
            </w:r>
            <w:r/>
          </w:p>
          <w:p>
            <w:pPr>
              <w:rPr>
                <w:rFonts w:ascii="宋体" w:hAnsi="宋体" w:cs="宋体"/>
                <w:sz w:val="24"/>
              </w:rPr>
            </w:pPr>
            <w:r>
              <w:rPr>
                <w:rFonts w:hint="eastAsia" w:ascii="宋体" w:hAnsi="宋体" w:cs="宋体"/>
                <w:sz w:val="24"/>
              </w:rPr>
              <w:t xml:space="preserve">合理性(3分)：合理得3分；较合理得2分；不太合理的得1分。</w:t>
            </w:r>
            <w:r/>
          </w:p>
          <w:p>
            <w:pPr>
              <w:rPr>
                <w:rFonts w:ascii="宋体" w:hAnsi="宋体" w:cs="宋体"/>
                <w:sz w:val="24"/>
              </w:rPr>
            </w:pPr>
            <w:r>
              <w:rPr>
                <w:rFonts w:hint="eastAsia" w:ascii="宋体" w:hAnsi="宋体" w:cs="宋体"/>
                <w:sz w:val="24"/>
              </w:rPr>
              <w:t xml:space="preserve">针对性（</w:t>
            </w:r>
            <w:r>
              <w:rPr>
                <w:rFonts w:hint="eastAsia" w:ascii="宋体" w:hAnsi="宋体" w:cs="宋体"/>
                <w:sz w:val="24"/>
                <w:lang w:val="en-US" w:eastAsia="zh-CN"/>
              </w:rPr>
              <w:t xml:space="preserve">3</w:t>
            </w:r>
            <w:r>
              <w:rPr>
                <w:rFonts w:hint="eastAsia" w:ascii="宋体" w:hAnsi="宋体" w:cs="宋体"/>
                <w:sz w:val="24"/>
              </w:rPr>
              <w:t xml:space="preserve">分)：针对性强得</w:t>
            </w:r>
            <w:r>
              <w:rPr>
                <w:rFonts w:hint="eastAsia" w:ascii="宋体" w:hAnsi="宋体" w:cs="宋体"/>
                <w:sz w:val="24"/>
                <w:lang w:val="en-US" w:eastAsia="zh-CN"/>
              </w:rPr>
              <w:t xml:space="preserve">3</w:t>
            </w:r>
            <w:r>
              <w:rPr>
                <w:rFonts w:hint="eastAsia" w:ascii="宋体" w:hAnsi="宋体" w:cs="宋体"/>
                <w:sz w:val="24"/>
              </w:rPr>
              <w:t xml:space="preserve">分；针对性一般的得2分，欠缺针对性的得1分。</w:t>
            </w:r>
            <w:r/>
          </w:p>
          <w:p>
            <w:pPr>
              <w:rPr>
                <w:rFonts w:ascii="宋体" w:hAnsi="宋体" w:cs="宋体"/>
                <w:sz w:val="24"/>
              </w:rPr>
            </w:pPr>
            <w:r>
              <w:rPr>
                <w:rFonts w:hint="eastAsia" w:ascii="宋体" w:hAnsi="宋体" w:cs="宋体"/>
                <w:sz w:val="24"/>
              </w:rPr>
              <w:t xml:space="preserve">可行性（3分)：符合实际切实可行得3分；较切实可行得2分；可行性欠缺得1分；</w:t>
            </w:r>
            <w:r/>
          </w:p>
          <w:p>
            <w:pPr>
              <w:pStyle w:val="1022"/>
              <w:rPr>
                <w:rFonts w:ascii="宋体" w:hAnsi="宋体" w:cs="宋体"/>
                <w:sz w:val="24"/>
              </w:rPr>
            </w:pPr>
            <w:r>
              <w:rPr>
                <w:rFonts w:hint="eastAsia" w:ascii="宋体" w:hAnsi="宋体" w:cs="宋体"/>
                <w:sz w:val="24"/>
              </w:rPr>
              <w:t xml:space="preserve">未提供的不得分。最高得</w:t>
            </w:r>
            <w:r>
              <w:rPr>
                <w:rFonts w:hint="eastAsia" w:ascii="宋体" w:hAnsi="宋体" w:cs="宋体"/>
                <w:sz w:val="24"/>
                <w:lang w:val="en-US" w:eastAsia="zh-CN"/>
              </w:rPr>
              <w:t xml:space="preserve">9</w:t>
            </w:r>
            <w:r>
              <w:rPr>
                <w:rFonts w:hint="eastAsia" w:ascii="宋体" w:hAnsi="宋体" w:cs="宋体"/>
                <w:sz w:val="24"/>
              </w:rPr>
              <w:t xml:space="preserve">分，最低不得分。</w:t>
            </w:r>
            <w:r/>
          </w:p>
        </w:tc>
      </w:tr>
      <w:tr>
        <w:trPr>
          <w:jc w:val="center"/>
          <w:trHeight w:val="737"/>
        </w:trPr>
        <w:tc>
          <w:tcPr>
            <w:tcBorders>
              <w:top w:val="single" w:color="000000" w:sz="4" w:space="0"/>
              <w:left w:val="single" w:color="000000" w:sz="4" w:space="0"/>
              <w:bottom w:val="single" w:color="000000" w:sz="4" w:space="0"/>
              <w:right w:val="single" w:color="000000" w:sz="4" w:space="0"/>
            </w:tcBorders>
            <w:tcW w:w="1402" w:type="dxa"/>
            <w:vAlign w:val="center"/>
            <w:vMerge w:val="continue"/>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auto" w:sz="4" w:space="0"/>
              <w:left w:val="single" w:color="000000" w:sz="4" w:space="0"/>
              <w:bottom w:val="single" w:color="auto" w:sz="4" w:space="0"/>
              <w:right w:val="single" w:color="000000" w:sz="4" w:space="0"/>
            </w:tcBorders>
            <w:tcW w:w="1570" w:type="dxa"/>
            <w:vAlign w:val="center"/>
            <w:textDirection w:val="lrTb"/>
            <w:noWrap w:val="false"/>
          </w:tcPr>
          <w:p>
            <w:pPr>
              <w:pStyle w:val="1219"/>
              <w:jc w:val="center"/>
              <w:rPr>
                <w:rFonts w:ascii="宋体" w:hAnsi="宋体" w:cs="宋体"/>
                <w:color w:val="auto"/>
              </w:rPr>
            </w:pPr>
            <w:r>
              <w:rPr>
                <w:rFonts w:hint="eastAsia" w:ascii="宋体" w:hAnsi="宋体" w:cs="宋体"/>
                <w:color w:val="auto"/>
              </w:rPr>
              <w:t xml:space="preserve">施工资源需求计划，劳动力、机械设备和材料投入情况</w:t>
            </w:r>
            <w:r/>
          </w:p>
          <w:p>
            <w:pPr>
              <w:pStyle w:val="1219"/>
              <w:jc w:val="center"/>
              <w:rPr>
                <w:rFonts w:ascii="宋体" w:hAnsi="宋体" w:cs="宋体"/>
                <w:color w:val="auto"/>
              </w:rPr>
            </w:pPr>
            <w:r>
              <w:rPr>
                <w:rFonts w:hint="eastAsia" w:ascii="宋体" w:hAnsi="宋体" w:cs="宋体"/>
                <w:color w:val="auto"/>
              </w:rPr>
              <w:t xml:space="preserve">（</w:t>
            </w:r>
            <w:r>
              <w:rPr>
                <w:rFonts w:hint="eastAsia" w:ascii="宋体" w:hAnsi="宋体" w:cs="宋体"/>
                <w:color w:val="auto"/>
                <w:lang w:val="en-US" w:eastAsia="zh-CN"/>
              </w:rPr>
              <w:t xml:space="preserve">9</w:t>
            </w:r>
            <w:r>
              <w:rPr>
                <w:rFonts w:hint="eastAsia" w:ascii="宋体" w:hAnsi="宋体" w:cs="宋体"/>
                <w:color w:val="auto"/>
              </w:rPr>
              <w:t xml:space="preserve">分）</w:t>
            </w:r>
            <w:r/>
          </w:p>
        </w:tc>
        <w:tc>
          <w:tcPr>
            <w:tcBorders>
              <w:top w:val="single" w:color="auto" w:sz="4" w:space="0"/>
              <w:left w:val="single" w:color="000000" w:sz="4" w:space="0"/>
              <w:bottom w:val="single" w:color="auto" w:sz="4" w:space="0"/>
              <w:right w:val="single" w:color="000000" w:sz="4" w:space="0"/>
            </w:tcBorders>
            <w:tcW w:w="6662" w:type="dxa"/>
            <w:vAlign w:val="center"/>
            <w:textDirection w:val="lrTb"/>
            <w:noWrap w:val="false"/>
          </w:tcPr>
          <w:p>
            <w:pPr>
              <w:pStyle w:val="1219"/>
              <w:jc w:val="both"/>
              <w:rPr>
                <w:rFonts w:ascii="宋体" w:hAnsi="宋体" w:cs="宋体"/>
                <w:color w:val="auto"/>
              </w:rPr>
            </w:pPr>
            <w:r>
              <w:rPr>
                <w:rFonts w:hint="eastAsia" w:ascii="宋体" w:hAnsi="宋体" w:cs="宋体"/>
                <w:color w:val="auto"/>
              </w:rPr>
              <w:t xml:space="preserve">施工资源需求计划，劳动力、机械设备配置和材料投入情况及保障措施等方面进行综合评分。</w:t>
            </w:r>
            <w:r/>
          </w:p>
          <w:p>
            <w:pPr>
              <w:rPr>
                <w:rFonts w:ascii="宋体" w:hAnsi="宋体" w:cs="宋体"/>
                <w:sz w:val="24"/>
              </w:rPr>
            </w:pPr>
            <w:r>
              <w:rPr>
                <w:rFonts w:hint="eastAsia" w:ascii="宋体" w:hAnsi="宋体" w:cs="宋体"/>
                <w:sz w:val="24"/>
              </w:rPr>
              <w:t xml:space="preserve">合理性(3分)：合理得3分；较合理得2分；不太合理的得1分。</w:t>
            </w:r>
            <w:r/>
          </w:p>
          <w:p>
            <w:pPr>
              <w:rPr>
                <w:rFonts w:ascii="宋体" w:hAnsi="宋体" w:cs="宋体"/>
                <w:sz w:val="24"/>
              </w:rPr>
            </w:pPr>
            <w:r>
              <w:rPr>
                <w:rFonts w:hint="eastAsia" w:ascii="宋体" w:hAnsi="宋体" w:cs="宋体"/>
                <w:sz w:val="24"/>
              </w:rPr>
              <w:t xml:space="preserve">针对性（</w:t>
            </w:r>
            <w:r>
              <w:rPr>
                <w:rFonts w:hint="eastAsia" w:ascii="宋体" w:hAnsi="宋体" w:cs="宋体"/>
                <w:sz w:val="24"/>
                <w:lang w:val="en-US" w:eastAsia="zh-CN"/>
              </w:rPr>
              <w:t xml:space="preserve">3</w:t>
            </w:r>
            <w:r>
              <w:rPr>
                <w:rFonts w:hint="eastAsia" w:ascii="宋体" w:hAnsi="宋体" w:cs="宋体"/>
                <w:sz w:val="24"/>
              </w:rPr>
              <w:t xml:space="preserve">分)：针对性强得</w:t>
            </w:r>
            <w:r>
              <w:rPr>
                <w:rFonts w:hint="eastAsia" w:ascii="宋体" w:hAnsi="宋体" w:cs="宋体"/>
                <w:sz w:val="24"/>
                <w:lang w:val="en-US" w:eastAsia="zh-CN"/>
              </w:rPr>
              <w:t xml:space="preserve">3</w:t>
            </w:r>
            <w:r>
              <w:rPr>
                <w:rFonts w:hint="eastAsia" w:ascii="宋体" w:hAnsi="宋体" w:cs="宋体"/>
                <w:sz w:val="24"/>
              </w:rPr>
              <w:t xml:space="preserve">分；针对性一般的得2分，欠缺针对性的得1分。</w:t>
            </w:r>
            <w:r/>
          </w:p>
          <w:p>
            <w:pPr>
              <w:rPr>
                <w:rFonts w:ascii="宋体" w:hAnsi="宋体" w:cs="宋体"/>
                <w:sz w:val="24"/>
              </w:rPr>
            </w:pPr>
            <w:r>
              <w:rPr>
                <w:rFonts w:hint="eastAsia" w:ascii="宋体" w:hAnsi="宋体" w:cs="宋体"/>
                <w:sz w:val="24"/>
              </w:rPr>
              <w:t xml:space="preserve">可行性（3分)：符合实际切实可行得3分；较切实可行得2分；可行性欠缺得1分；</w:t>
            </w:r>
            <w:r/>
          </w:p>
          <w:p>
            <w:pPr>
              <w:pStyle w:val="1219"/>
              <w:jc w:val="both"/>
              <w:rPr>
                <w:rFonts w:ascii="宋体" w:hAnsi="宋体" w:cs="宋体"/>
                <w:color w:val="auto"/>
              </w:rPr>
            </w:pPr>
            <w:r>
              <w:rPr>
                <w:rFonts w:hint="eastAsia" w:ascii="宋体" w:hAnsi="宋体" w:cs="宋体"/>
                <w:color w:val="auto"/>
              </w:rPr>
              <w:t xml:space="preserve">未提供的不得分。最高得</w:t>
            </w:r>
            <w:r>
              <w:rPr>
                <w:rFonts w:hint="eastAsia" w:ascii="宋体" w:hAnsi="宋体" w:cs="宋体"/>
                <w:color w:val="auto"/>
                <w:lang w:val="en-US" w:eastAsia="zh-CN"/>
              </w:rPr>
              <w:t xml:space="preserve">9</w:t>
            </w:r>
            <w:r>
              <w:rPr>
                <w:rFonts w:hint="eastAsia" w:ascii="宋体" w:hAnsi="宋体" w:cs="宋体"/>
                <w:color w:val="auto"/>
              </w:rPr>
              <w:t xml:space="preserve">分，最低不得分。</w:t>
            </w:r>
            <w:r/>
          </w:p>
        </w:tc>
      </w:tr>
      <w:tr>
        <w:trPr>
          <w:jc w:val="center"/>
          <w:trHeight w:val="737"/>
        </w:trPr>
        <w:tc>
          <w:tcPr>
            <w:tcBorders>
              <w:top w:val="single" w:color="000000" w:sz="4" w:space="0"/>
              <w:left w:val="single" w:color="000000" w:sz="4" w:space="0"/>
              <w:bottom w:val="single" w:color="000000" w:sz="4" w:space="0"/>
              <w:right w:val="single" w:color="000000" w:sz="4" w:space="0"/>
            </w:tcBorders>
            <w:tcW w:w="1402" w:type="dxa"/>
            <w:vAlign w:val="center"/>
            <w:vMerge w:val="continue"/>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auto" w:sz="4" w:space="0"/>
              <w:left w:val="single" w:color="000000" w:sz="4" w:space="0"/>
              <w:bottom w:val="single" w:color="auto" w:sz="4" w:space="0"/>
              <w:right w:val="single" w:color="000000" w:sz="4" w:space="0"/>
            </w:tcBorders>
            <w:tcW w:w="1570" w:type="dxa"/>
            <w:vAlign w:val="center"/>
            <w:textDirection w:val="lrTb"/>
            <w:noWrap w:val="false"/>
          </w:tcPr>
          <w:p>
            <w:pPr>
              <w:pStyle w:val="1219"/>
              <w:jc w:val="center"/>
              <w:rPr>
                <w:rFonts w:ascii="宋体" w:hAnsi="宋体" w:cs="宋体"/>
                <w:color w:val="auto"/>
              </w:rPr>
            </w:pPr>
            <w:r>
              <w:rPr>
                <w:rFonts w:ascii="宋体" w:hAnsi="宋体" w:cs="宋体"/>
                <w:color w:val="auto"/>
              </w:rPr>
            </w:r>
            <w:r/>
          </w:p>
          <w:p>
            <w:pPr>
              <w:pStyle w:val="1219"/>
              <w:jc w:val="center"/>
              <w:rPr>
                <w:rFonts w:ascii="宋体" w:hAnsi="宋体" w:cs="宋体"/>
                <w:color w:val="auto"/>
              </w:rPr>
            </w:pPr>
            <w:r>
              <w:rPr>
                <w:rFonts w:hint="eastAsia" w:ascii="宋体" w:hAnsi="宋体" w:cs="宋体"/>
                <w:color w:val="auto"/>
              </w:rPr>
              <w:t xml:space="preserve">关键施工技术、工艺及</w:t>
            </w:r>
            <w:r/>
          </w:p>
          <w:p>
            <w:pPr>
              <w:pStyle w:val="1219"/>
              <w:jc w:val="center"/>
              <w:rPr>
                <w:rFonts w:ascii="宋体" w:hAnsi="宋体" w:cs="宋体"/>
                <w:color w:val="auto"/>
              </w:rPr>
            </w:pPr>
            <w:r>
              <w:rPr>
                <w:rFonts w:hint="eastAsia" w:ascii="宋体" w:hAnsi="宋体" w:cs="宋体"/>
                <w:color w:val="auto"/>
              </w:rPr>
              <w:t xml:space="preserve">工程项目实施的重点、难点和解决方案</w:t>
            </w:r>
            <w:r/>
          </w:p>
          <w:p>
            <w:pPr>
              <w:pStyle w:val="1219"/>
              <w:jc w:val="center"/>
              <w:rPr>
                <w:rFonts w:ascii="宋体" w:hAnsi="宋体" w:cs="宋体"/>
                <w:color w:val="auto"/>
              </w:rPr>
            </w:pPr>
            <w:r>
              <w:rPr>
                <w:rFonts w:hint="eastAsia" w:ascii="宋体" w:hAnsi="宋体" w:cs="宋体"/>
                <w:color w:val="auto"/>
              </w:rPr>
              <w:t xml:space="preserve">（10分）</w:t>
            </w:r>
            <w:r/>
          </w:p>
          <w:p>
            <w:pPr>
              <w:pStyle w:val="1219"/>
              <w:ind w:firstLine="240"/>
              <w:jc w:val="center"/>
              <w:rPr>
                <w:rFonts w:ascii="宋体" w:hAnsi="宋体" w:cs="宋体"/>
                <w:color w:val="auto"/>
              </w:rPr>
            </w:pPr>
            <w:r>
              <w:rPr>
                <w:rFonts w:ascii="宋体" w:hAnsi="宋体" w:cs="宋体"/>
                <w:color w:val="auto"/>
              </w:rPr>
            </w:r>
            <w:r/>
          </w:p>
        </w:tc>
        <w:tc>
          <w:tcPr>
            <w:tcBorders>
              <w:top w:val="single" w:color="auto" w:sz="4" w:space="0"/>
              <w:left w:val="single" w:color="000000" w:sz="4" w:space="0"/>
              <w:bottom w:val="single" w:color="auto" w:sz="4" w:space="0"/>
              <w:right w:val="single" w:color="000000" w:sz="4" w:space="0"/>
            </w:tcBorders>
            <w:tcW w:w="6662" w:type="dxa"/>
            <w:vAlign w:val="center"/>
            <w:textDirection w:val="lrTb"/>
            <w:noWrap w:val="false"/>
          </w:tcPr>
          <w:p>
            <w:pPr>
              <w:pStyle w:val="1219"/>
              <w:jc w:val="both"/>
              <w:rPr>
                <w:rFonts w:ascii="宋体" w:hAnsi="宋体" w:cs="宋体"/>
                <w:color w:val="auto"/>
              </w:rPr>
            </w:pPr>
            <w:r>
              <w:rPr>
                <w:rFonts w:hint="eastAsia" w:ascii="宋体" w:hAnsi="宋体" w:cs="宋体"/>
                <w:color w:val="auto"/>
              </w:rPr>
              <w:t xml:space="preserve">根据供应商提供的关键施工技术、工艺及工程项目实施的重点、难点和解决方案等方面进行综合评分。</w:t>
            </w:r>
            <w:r/>
          </w:p>
          <w:p>
            <w:pPr>
              <w:rPr>
                <w:rFonts w:ascii="宋体" w:hAnsi="宋体" w:cs="宋体"/>
                <w:sz w:val="24"/>
              </w:rPr>
            </w:pPr>
            <w:r>
              <w:rPr>
                <w:rFonts w:hint="eastAsia" w:ascii="宋体" w:hAnsi="宋体" w:cs="宋体"/>
                <w:sz w:val="24"/>
              </w:rPr>
              <w:t xml:space="preserve">合理性(3分)：合理得3分；较合理得2分；不太合理的得1分。</w:t>
            </w:r>
            <w:r/>
          </w:p>
          <w:p>
            <w:pPr>
              <w:rPr>
                <w:rFonts w:ascii="宋体" w:hAnsi="宋体" w:cs="宋体"/>
                <w:sz w:val="24"/>
              </w:rPr>
            </w:pPr>
            <w:r>
              <w:rPr>
                <w:rFonts w:hint="eastAsia" w:ascii="宋体" w:hAnsi="宋体" w:cs="宋体"/>
                <w:sz w:val="24"/>
              </w:rPr>
              <w:t xml:space="preserve">针对性（4分)：针对性强得4分；针对性较强得3分；针对性一般的得2分，欠缺针对性的得1分。</w:t>
            </w:r>
            <w:r/>
          </w:p>
          <w:p>
            <w:pPr>
              <w:rPr>
                <w:rFonts w:ascii="宋体" w:hAnsi="宋体" w:cs="宋体"/>
                <w:sz w:val="24"/>
              </w:rPr>
            </w:pPr>
            <w:r>
              <w:rPr>
                <w:rFonts w:hint="eastAsia" w:ascii="宋体" w:hAnsi="宋体" w:cs="宋体"/>
                <w:sz w:val="24"/>
              </w:rPr>
              <w:t xml:space="preserve">可行性（3分)：符合实际切实可行得3分；较切实可行得2分；可行性欠缺得1分；</w:t>
            </w:r>
            <w:r/>
          </w:p>
          <w:p>
            <w:pPr>
              <w:pStyle w:val="1219"/>
              <w:jc w:val="both"/>
              <w:rPr>
                <w:rFonts w:ascii="宋体" w:hAnsi="宋体" w:cs="宋体"/>
                <w:color w:val="auto"/>
              </w:rPr>
            </w:pPr>
            <w:r>
              <w:rPr>
                <w:rFonts w:hint="eastAsia" w:ascii="宋体" w:hAnsi="宋体" w:cs="宋体"/>
                <w:color w:val="auto"/>
              </w:rPr>
              <w:t xml:space="preserve">未提供的不得分。最高得10分，最低不得分。</w:t>
            </w:r>
            <w:r/>
          </w:p>
        </w:tc>
      </w:tr>
      <w:tr>
        <w:trPr>
          <w:jc w:val="center"/>
          <w:trHeight w:val="737"/>
        </w:trPr>
        <w:tc>
          <w:tcPr>
            <w:tcBorders>
              <w:top w:val="single" w:color="000000" w:sz="4" w:space="0"/>
              <w:left w:val="single" w:color="000000" w:sz="4" w:space="0"/>
              <w:bottom w:val="single" w:color="auto" w:sz="4" w:space="0"/>
              <w:right w:val="single" w:color="000000" w:sz="4" w:space="0"/>
            </w:tcBorders>
            <w:tcW w:w="1402" w:type="dxa"/>
            <w:vAlign w:val="center"/>
            <w:vMerge w:val="continue"/>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auto" w:sz="4" w:space="0"/>
              <w:left w:val="single" w:color="000000" w:sz="4" w:space="0"/>
              <w:bottom w:val="single" w:color="auto" w:sz="4" w:space="0"/>
              <w:right w:val="single" w:color="000000" w:sz="4" w:space="0"/>
            </w:tcBorders>
            <w:tcW w:w="1570" w:type="dxa"/>
            <w:vAlign w:val="center"/>
            <w:textDirection w:val="lrTb"/>
            <w:noWrap w:val="false"/>
          </w:tcPr>
          <w:p>
            <w:pPr>
              <w:pStyle w:val="1219"/>
              <w:jc w:val="center"/>
              <w:rPr>
                <w:rFonts w:ascii="宋体" w:hAnsi="宋体" w:cs="宋体"/>
                <w:color w:val="auto"/>
              </w:rPr>
            </w:pPr>
            <w:r>
              <w:rPr>
                <w:rFonts w:hint="eastAsia" w:ascii="宋体" w:hAnsi="宋体" w:cs="宋体"/>
                <w:color w:val="auto"/>
              </w:rPr>
              <w:t xml:space="preserve">项目管理班子的人员配备、素质及管理经验</w:t>
            </w:r>
            <w:r/>
          </w:p>
          <w:p>
            <w:pPr>
              <w:pStyle w:val="1219"/>
              <w:jc w:val="center"/>
              <w:rPr>
                <w:rFonts w:ascii="宋体" w:hAnsi="宋体" w:cs="宋体"/>
                <w:color w:val="auto"/>
              </w:rPr>
            </w:pPr>
            <w:r>
              <w:rPr>
                <w:rFonts w:hint="eastAsia" w:ascii="宋体" w:hAnsi="宋体" w:cs="宋体"/>
                <w:color w:val="auto"/>
              </w:rPr>
              <w:t xml:space="preserve">（6分）</w:t>
            </w:r>
            <w:r/>
          </w:p>
        </w:tc>
        <w:tc>
          <w:tcPr>
            <w:tcBorders>
              <w:top w:val="single" w:color="auto" w:sz="4" w:space="0"/>
              <w:left w:val="single" w:color="000000" w:sz="4" w:space="0"/>
              <w:bottom w:val="single" w:color="auto" w:sz="4" w:space="0"/>
              <w:right w:val="single" w:color="000000" w:sz="4" w:space="0"/>
            </w:tcBorders>
            <w:tcW w:w="6662" w:type="dxa"/>
            <w:vAlign w:val="center"/>
            <w:textDirection w:val="lrTb"/>
            <w:noWrap w:val="false"/>
          </w:tcPr>
          <w:p>
            <w:pPr>
              <w:pStyle w:val="1022"/>
              <w:rPr>
                <w:rFonts w:ascii="宋体" w:hAnsi="宋体" w:cs="宋体"/>
                <w:sz w:val="24"/>
              </w:rPr>
            </w:pPr>
            <w:r>
              <w:rPr>
                <w:rFonts w:hint="eastAsia" w:ascii="宋体" w:hAnsi="宋体" w:cs="宋体"/>
                <w:sz w:val="24"/>
              </w:rPr>
              <w:t xml:space="preserve">根据供应商提供的项目部组成主要技术人员、劳动力配置、组织机构管理、各人员岗位职责及保障措施等方面进行综合评分。</w:t>
            </w:r>
            <w:r/>
          </w:p>
          <w:p>
            <w:pPr>
              <w:rPr>
                <w:rFonts w:ascii="宋体" w:hAnsi="宋体" w:cs="宋体"/>
                <w:sz w:val="24"/>
              </w:rPr>
            </w:pPr>
            <w:r>
              <w:rPr>
                <w:rFonts w:hint="eastAsia" w:ascii="宋体" w:hAnsi="宋体" w:cs="宋体"/>
                <w:sz w:val="24"/>
              </w:rPr>
              <w:t xml:space="preserve">合理性(2分)：合理得2分；较合理得1分；不太合理的得0.5分。</w:t>
            </w:r>
            <w:r/>
          </w:p>
          <w:p>
            <w:pPr>
              <w:rPr>
                <w:rFonts w:ascii="宋体" w:hAnsi="宋体" w:cs="宋体"/>
                <w:sz w:val="24"/>
              </w:rPr>
            </w:pPr>
            <w:r>
              <w:rPr>
                <w:rFonts w:hint="eastAsia" w:ascii="宋体" w:hAnsi="宋体" w:cs="宋体"/>
                <w:sz w:val="24"/>
              </w:rPr>
              <w:t xml:space="preserve">针对性（2分)：针对性强得2分；针对性一般的得1分，欠缺针对性的得0.5分。</w:t>
            </w:r>
            <w:r/>
          </w:p>
          <w:p>
            <w:pPr>
              <w:rPr>
                <w:rFonts w:ascii="宋体" w:hAnsi="宋体" w:cs="宋体"/>
                <w:sz w:val="24"/>
              </w:rPr>
            </w:pPr>
            <w:r>
              <w:rPr>
                <w:rFonts w:hint="eastAsia" w:ascii="宋体" w:hAnsi="宋体" w:cs="宋体"/>
                <w:sz w:val="24"/>
              </w:rPr>
              <w:t xml:space="preserve">可行性（2分)：符合实际切实可行得2分；较切实可行得1分；可行性欠缺得0.5分；</w:t>
            </w:r>
            <w:r/>
          </w:p>
          <w:p>
            <w:pPr>
              <w:pStyle w:val="1219"/>
              <w:jc w:val="both"/>
              <w:rPr>
                <w:rFonts w:ascii="宋体" w:hAnsi="宋体" w:cs="宋体"/>
                <w:color w:val="auto"/>
              </w:rPr>
            </w:pPr>
            <w:r>
              <w:rPr>
                <w:rFonts w:hint="eastAsia" w:ascii="宋体" w:hAnsi="宋体" w:cs="宋体"/>
                <w:color w:val="auto"/>
              </w:rPr>
              <w:t xml:space="preserve">未提供的不得分。最高得6分，最低不得分。</w:t>
            </w:r>
            <w:r/>
          </w:p>
        </w:tc>
      </w:tr>
      <w:tr>
        <w:trPr>
          <w:jc w:val="center"/>
          <w:trHeight w:val="3134"/>
        </w:trPr>
        <w:tc>
          <w:tcPr>
            <w:tcBorders>
              <w:top w:val="single" w:color="auto" w:sz="4" w:space="0"/>
              <w:left w:val="single" w:color="000000" w:sz="4" w:space="0"/>
              <w:bottom w:val="single" w:color="auto" w:sz="4" w:space="0"/>
              <w:right w:val="single" w:color="000000" w:sz="4" w:space="0"/>
            </w:tcBorders>
            <w:tcW w:w="1402"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售后服务方案</w:t>
            </w:r>
            <w:r/>
          </w:p>
          <w:p>
            <w:pPr>
              <w:jc w:val="center"/>
              <w:widowControl/>
              <w:rPr>
                <w:rFonts w:ascii="宋体" w:hAnsi="宋体" w:cs="宋体"/>
                <w:sz w:val="24"/>
              </w:rPr>
            </w:pPr>
            <w:r>
              <w:rPr>
                <w:rFonts w:hint="eastAsia" w:ascii="宋体" w:hAnsi="宋体" w:cs="宋体"/>
                <w:sz w:val="24"/>
              </w:rPr>
              <w:t xml:space="preserve">（</w:t>
            </w:r>
            <w:r>
              <w:rPr>
                <w:rFonts w:hint="eastAsia" w:ascii="宋体" w:hAnsi="宋体" w:cs="宋体"/>
                <w:sz w:val="24"/>
                <w:lang w:val="en-US" w:eastAsia="zh-CN"/>
              </w:rPr>
              <w:t xml:space="preserve">8</w:t>
            </w:r>
            <w:r>
              <w:rPr>
                <w:rFonts w:hint="eastAsia" w:ascii="宋体" w:hAnsi="宋体" w:cs="宋体"/>
                <w:sz w:val="24"/>
              </w:rPr>
              <w:t xml:space="preserve">分）</w:t>
            </w:r>
            <w:r/>
          </w:p>
        </w:tc>
        <w:tc>
          <w:tcPr>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rPr>
                <w:rFonts w:ascii="宋体" w:hAnsi="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rPr>
              <w:t xml:space="preserve">缺陷责任期内、外的服务方案</w:t>
            </w:r>
            <w:r/>
          </w:p>
          <w:p>
            <w:pPr>
              <w:jc w:val="center"/>
              <w:rPr>
                <w:rFonts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rPr>
              <w:t xml:space="preserve">(</w:t>
            </w:r>
            <w:r>
              <w:rPr>
                <w:rFonts w:hint="eastAsia" w:ascii="宋体" w:hAnsi="宋体" w:cs="宋体"/>
                <w:bCs/>
                <w:color w:val="000000"/>
                <w:sz w:val="24"/>
                <w:lang w:val="en-US" w:eastAsia="zh-CN"/>
              </w:rPr>
              <w:t xml:space="preserve">8</w:t>
            </w:r>
            <w:r>
              <w:rPr>
                <w:rFonts w:hint="eastAsia" w:ascii="宋体" w:hAnsi="宋体" w:cs="宋体"/>
                <w:bCs/>
                <w:color w:val="000000"/>
                <w:sz w:val="24"/>
              </w:rPr>
              <w:t xml:space="preserve">分)</w:t>
            </w:r>
            <w:r/>
          </w:p>
        </w:tc>
        <w:tc>
          <w:tcPr>
            <w:tcBorders>
              <w:top w:val="single" w:color="000000" w:sz="4" w:space="0"/>
              <w:left w:val="single" w:color="000000" w:sz="4" w:space="0"/>
              <w:bottom w:val="single" w:color="000000" w:sz="4" w:space="0"/>
              <w:right w:val="single" w:color="000000" w:sz="4" w:space="0"/>
            </w:tcBorders>
            <w:tcW w:w="6662" w:type="dxa"/>
            <w:vAlign w:val="center"/>
            <w:textDirection w:val="lrTb"/>
            <w:noWrap w:val="false"/>
          </w:tcPr>
          <w:p>
            <w:pPr>
              <w:rPr>
                <w:rFonts w:ascii="宋体" w:hAnsi="宋体" w:cs="宋体"/>
                <w:sz w:val="24"/>
              </w:rPr>
            </w:pPr>
            <w:r>
              <w:rPr>
                <w:rFonts w:hint="eastAsia" w:ascii="宋体" w:hAnsi="宋体" w:cs="宋体"/>
                <w:sz w:val="24"/>
              </w:rPr>
              <w:t xml:space="preserve">依据响应文件中的售后服务方案，包含缺陷责任期内和缺陷责任期满后的服务方案进行综合评分。</w:t>
            </w:r>
            <w:r/>
          </w:p>
          <w:p>
            <w:pPr>
              <w:rPr>
                <w:rFonts w:ascii="宋体" w:hAnsi="宋体" w:cs="宋体"/>
                <w:sz w:val="24"/>
              </w:rPr>
            </w:pPr>
            <w:r>
              <w:rPr>
                <w:rFonts w:hint="eastAsia" w:ascii="宋体" w:hAnsi="宋体" w:cs="宋体"/>
                <w:sz w:val="24"/>
              </w:rPr>
              <w:t xml:space="preserve">合理性(</w:t>
            </w:r>
            <w:r>
              <w:rPr>
                <w:rFonts w:hint="eastAsia" w:ascii="宋体" w:hAnsi="宋体" w:cs="宋体"/>
                <w:sz w:val="24"/>
                <w:lang w:val="en-US" w:eastAsia="zh-CN"/>
              </w:rPr>
              <w:t xml:space="preserve">3</w:t>
            </w:r>
            <w:r>
              <w:rPr>
                <w:rFonts w:hint="eastAsia" w:ascii="宋体" w:hAnsi="宋体" w:cs="宋体"/>
                <w:sz w:val="24"/>
              </w:rPr>
              <w:t xml:space="preserve">分)：合理得</w:t>
            </w:r>
            <w:r>
              <w:rPr>
                <w:rFonts w:hint="eastAsia" w:ascii="宋体" w:hAnsi="宋体" w:cs="宋体"/>
                <w:sz w:val="24"/>
                <w:lang w:val="en-US" w:eastAsia="zh-CN"/>
              </w:rPr>
              <w:t xml:space="preserve">3</w:t>
            </w:r>
            <w:r>
              <w:rPr>
                <w:rFonts w:hint="eastAsia" w:ascii="宋体" w:hAnsi="宋体" w:cs="宋体"/>
                <w:sz w:val="24"/>
              </w:rPr>
              <w:t xml:space="preserve">分；较合理得</w:t>
            </w:r>
            <w:r>
              <w:rPr>
                <w:rFonts w:hint="eastAsia" w:ascii="宋体" w:hAnsi="宋体" w:cs="宋体"/>
                <w:sz w:val="24"/>
                <w:lang w:val="en-US" w:eastAsia="zh-CN"/>
              </w:rPr>
              <w:t xml:space="preserve">2</w:t>
            </w:r>
            <w:r>
              <w:rPr>
                <w:rFonts w:hint="eastAsia" w:ascii="宋体" w:hAnsi="宋体" w:cs="宋体"/>
                <w:sz w:val="24"/>
              </w:rPr>
              <w:t xml:space="preserve">分；不太合理的得</w:t>
            </w:r>
            <w:r>
              <w:rPr>
                <w:rFonts w:hint="eastAsia" w:ascii="宋体" w:hAnsi="宋体" w:cs="宋体"/>
                <w:sz w:val="24"/>
                <w:lang w:val="en-US" w:eastAsia="zh-CN"/>
              </w:rPr>
              <w:t xml:space="preserve">1</w:t>
            </w:r>
            <w:r>
              <w:rPr>
                <w:rFonts w:hint="eastAsia" w:ascii="宋体" w:hAnsi="宋体" w:cs="宋体"/>
                <w:sz w:val="24"/>
              </w:rPr>
              <w:t xml:space="preserve">分。</w:t>
            </w:r>
            <w:r/>
          </w:p>
          <w:p>
            <w:pPr>
              <w:rPr>
                <w:rFonts w:ascii="宋体" w:hAnsi="宋体" w:cs="宋体"/>
                <w:sz w:val="24"/>
              </w:rPr>
            </w:pPr>
            <w:r>
              <w:rPr>
                <w:rFonts w:hint="eastAsia" w:ascii="宋体" w:hAnsi="宋体" w:cs="宋体"/>
                <w:sz w:val="24"/>
              </w:rPr>
              <w:t xml:space="preserve">针对性（</w:t>
            </w:r>
            <w:r>
              <w:rPr>
                <w:rFonts w:hint="eastAsia" w:ascii="宋体" w:hAnsi="宋体" w:cs="宋体"/>
                <w:sz w:val="24"/>
                <w:lang w:val="en-US" w:eastAsia="zh-CN"/>
              </w:rPr>
              <w:t xml:space="preserve">3</w:t>
            </w:r>
            <w:r>
              <w:rPr>
                <w:rFonts w:hint="eastAsia" w:ascii="宋体" w:hAnsi="宋体" w:cs="宋体"/>
                <w:sz w:val="24"/>
              </w:rPr>
              <w:t xml:space="preserve">分)：针对性强得</w:t>
            </w:r>
            <w:r>
              <w:rPr>
                <w:rFonts w:hint="eastAsia" w:ascii="宋体" w:hAnsi="宋体" w:cs="宋体"/>
                <w:sz w:val="24"/>
                <w:lang w:val="en-US" w:eastAsia="zh-CN"/>
              </w:rPr>
              <w:t xml:space="preserve">3</w:t>
            </w:r>
            <w:r>
              <w:rPr>
                <w:rFonts w:hint="eastAsia" w:ascii="宋体" w:hAnsi="宋体" w:cs="宋体"/>
                <w:sz w:val="24"/>
              </w:rPr>
              <w:t xml:space="preserve">分；针对性一般的得</w:t>
            </w:r>
            <w:r>
              <w:rPr>
                <w:rFonts w:hint="eastAsia" w:ascii="宋体" w:hAnsi="宋体" w:cs="宋体"/>
                <w:sz w:val="24"/>
                <w:lang w:val="en-US" w:eastAsia="zh-CN"/>
              </w:rPr>
              <w:t xml:space="preserve">2</w:t>
            </w:r>
            <w:r>
              <w:rPr>
                <w:rFonts w:hint="eastAsia" w:ascii="宋体" w:hAnsi="宋体" w:cs="宋体"/>
                <w:sz w:val="24"/>
              </w:rPr>
              <w:t xml:space="preserve">分，欠缺针对性的得</w:t>
            </w:r>
            <w:r>
              <w:rPr>
                <w:rFonts w:hint="eastAsia" w:ascii="宋体" w:hAnsi="宋体" w:cs="宋体"/>
                <w:sz w:val="24"/>
                <w:lang w:val="en-US" w:eastAsia="zh-CN"/>
              </w:rPr>
              <w:t xml:space="preserve">1</w:t>
            </w:r>
            <w:r>
              <w:rPr>
                <w:rFonts w:hint="eastAsia" w:ascii="宋体" w:hAnsi="宋体" w:cs="宋体"/>
                <w:sz w:val="24"/>
              </w:rPr>
              <w:t xml:space="preserve">分。</w:t>
            </w:r>
            <w:r/>
          </w:p>
          <w:p>
            <w:pPr>
              <w:rPr>
                <w:rFonts w:ascii="宋体" w:hAnsi="宋体" w:cs="宋体"/>
                <w:sz w:val="24"/>
              </w:rPr>
            </w:pPr>
            <w:r>
              <w:rPr>
                <w:rFonts w:hint="eastAsia" w:ascii="宋体" w:hAnsi="宋体" w:cs="宋体"/>
                <w:sz w:val="24"/>
              </w:rPr>
              <w:t xml:space="preserve">可行性（</w:t>
            </w:r>
            <w:r>
              <w:rPr>
                <w:rFonts w:hint="eastAsia" w:ascii="宋体" w:hAnsi="宋体" w:cs="宋体"/>
                <w:sz w:val="24"/>
                <w:lang w:val="en-US" w:eastAsia="zh-CN"/>
              </w:rPr>
              <w:t xml:space="preserve">2</w:t>
            </w:r>
            <w:r>
              <w:rPr>
                <w:rFonts w:hint="eastAsia" w:ascii="宋体" w:hAnsi="宋体" w:cs="宋体"/>
                <w:sz w:val="24"/>
              </w:rPr>
              <w:t xml:space="preserve">分)：符合实际切实可行得</w:t>
            </w:r>
            <w:r>
              <w:rPr>
                <w:rFonts w:hint="eastAsia" w:ascii="宋体" w:hAnsi="宋体" w:cs="宋体"/>
                <w:sz w:val="24"/>
                <w:lang w:val="en-US" w:eastAsia="zh-CN"/>
              </w:rPr>
              <w:t xml:space="preserve">2</w:t>
            </w:r>
            <w:r>
              <w:rPr>
                <w:rFonts w:hint="eastAsia" w:ascii="宋体" w:hAnsi="宋体" w:cs="宋体"/>
                <w:sz w:val="24"/>
              </w:rPr>
              <w:t xml:space="preserve">分；较切实可行得</w:t>
            </w:r>
            <w:r>
              <w:rPr>
                <w:rFonts w:hint="eastAsia" w:ascii="宋体" w:hAnsi="宋体" w:cs="宋体"/>
                <w:sz w:val="24"/>
                <w:lang w:val="en-US" w:eastAsia="zh-CN"/>
              </w:rPr>
              <w:t xml:space="preserve">1</w:t>
            </w:r>
            <w:r>
              <w:rPr>
                <w:rFonts w:hint="eastAsia" w:ascii="宋体" w:hAnsi="宋体" w:cs="宋体"/>
                <w:sz w:val="24"/>
              </w:rPr>
              <w:t xml:space="preserve">分；可行性欠缺得0.</w:t>
            </w:r>
            <w:r>
              <w:rPr>
                <w:rFonts w:hint="eastAsia" w:ascii="宋体" w:hAnsi="宋体" w:cs="宋体"/>
                <w:sz w:val="24"/>
                <w:lang w:val="en-US" w:eastAsia="zh-CN"/>
              </w:rPr>
              <w:t xml:space="preserve">5</w:t>
            </w:r>
            <w:r>
              <w:rPr>
                <w:rFonts w:hint="eastAsia" w:ascii="宋体" w:hAnsi="宋体" w:cs="宋体"/>
                <w:sz w:val="24"/>
              </w:rPr>
              <w:t xml:space="preserve">分。</w:t>
            </w:r>
            <w:r/>
          </w:p>
          <w:p>
            <w:pPr>
              <w:spacing w:line="320" w:lineRule="exact"/>
              <w:widowControl/>
              <w:rPr>
                <w:rFonts w:ascii="宋体" w:hAnsi="宋体" w:cs="宋体"/>
                <w:sz w:val="24"/>
              </w:rPr>
            </w:pPr>
            <w:r>
              <w:rPr>
                <w:rFonts w:hint="eastAsia" w:ascii="宋体" w:hAnsi="宋体" w:cs="宋体"/>
                <w:sz w:val="24"/>
              </w:rPr>
              <w:t xml:space="preserve">以上未提供的不得分。最高得</w:t>
            </w:r>
            <w:r>
              <w:rPr>
                <w:rFonts w:hint="eastAsia" w:ascii="宋体" w:hAnsi="宋体" w:cs="宋体"/>
                <w:sz w:val="24"/>
                <w:lang w:val="en-US" w:eastAsia="zh-CN"/>
              </w:rPr>
              <w:t xml:space="preserve">8</w:t>
            </w:r>
            <w:r>
              <w:rPr>
                <w:rFonts w:hint="eastAsia" w:ascii="宋体" w:hAnsi="宋体" w:cs="宋体"/>
                <w:sz w:val="24"/>
              </w:rPr>
              <w:t xml:space="preserve">分，最低不得分。</w:t>
            </w:r>
            <w:r/>
          </w:p>
        </w:tc>
      </w:tr>
      <w:tr>
        <w:trPr>
          <w:jc w:val="center"/>
          <w:trHeight w:val="1567"/>
        </w:trPr>
        <w:tc>
          <w:tcPr>
            <w:tcBorders>
              <w:top w:val="single" w:color="auto" w:sz="4" w:space="0"/>
              <w:left w:val="single" w:color="000000" w:sz="4" w:space="0"/>
              <w:right w:val="single" w:color="000000" w:sz="4" w:space="0"/>
            </w:tcBorders>
            <w:tcW w:w="1402" w:type="dxa"/>
            <w:vAlign w:val="center"/>
            <w:vMerge w:val="restart"/>
            <w:textDirection w:val="lrTb"/>
            <w:noWrap w:val="false"/>
          </w:tcPr>
          <w:p>
            <w:pPr>
              <w:jc w:val="center"/>
              <w:widowControl/>
              <w:rPr>
                <w:rFonts w:hint="eastAsia" w:ascii="宋体" w:hAnsi="宋体" w:eastAsia="宋体" w:cs="宋体"/>
                <w:sz w:val="24"/>
                <w:lang w:val="en-US" w:eastAsia="zh-CN"/>
              </w:rPr>
            </w:pPr>
            <w:r>
              <w:rPr>
                <w:rFonts w:hint="eastAsia" w:ascii="宋体" w:hAnsi="宋体" w:cs="宋体"/>
                <w:sz w:val="24"/>
                <w:lang w:val="en-US" w:eastAsia="zh-CN"/>
              </w:rPr>
              <w:t xml:space="preserve">商务部分（6分）</w:t>
            </w:r>
            <w:r/>
          </w:p>
        </w:tc>
        <w:tc>
          <w:tcPr>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rPr>
                <w:rFonts w:hint="eastAsia" w:ascii="宋体" w:hAnsi="宋体" w:eastAsia="宋体" w:cs="宋体"/>
                <w:bCs/>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lang w:val="en-US" w:eastAsia="zh-CN"/>
              </w:rPr>
              <w:t xml:space="preserve">业绩（4分）</w:t>
            </w:r>
            <w:r/>
          </w:p>
        </w:tc>
        <w:tc>
          <w:tcPr>
            <w:tcBorders>
              <w:top w:val="single" w:color="000000" w:sz="4" w:space="0"/>
              <w:left w:val="single" w:color="000000" w:sz="4" w:space="0"/>
              <w:bottom w:val="single" w:color="000000" w:sz="4" w:space="0"/>
              <w:right w:val="single" w:color="000000" w:sz="4" w:space="0"/>
            </w:tcBorders>
            <w:tcW w:w="6662" w:type="dxa"/>
            <w:vAlign w:val="center"/>
            <w:textDirection w:val="lrTb"/>
            <w:noWrap w:val="false"/>
          </w:tcPr>
          <w:p>
            <w:pPr>
              <w:pStyle w:val="1219"/>
              <w:numPr>
                <w:ilvl w:val="0"/>
                <w:numId w:val="0"/>
              </w:numP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投标人具备自202</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06</w:t>
            </w:r>
            <w:r>
              <w:rPr>
                <w:rFonts w:hint="eastAsia" w:ascii="宋体" w:hAnsi="宋体" w:eastAsia="宋体" w:cs="宋体"/>
                <w:color w:val="auto"/>
                <w:sz w:val="24"/>
                <w:szCs w:val="24"/>
                <w:highlight w:val="none"/>
              </w:rPr>
              <w:t xml:space="preserve">月至今承担过合同内容与本次投标相同或类似的</w:t>
            </w:r>
            <w:r>
              <w:rPr>
                <w:rFonts w:hint="eastAsia" w:ascii="宋体" w:hAnsi="宋体" w:cs="宋体"/>
                <w:color w:val="auto"/>
                <w:sz w:val="24"/>
                <w:szCs w:val="24"/>
                <w:highlight w:val="none"/>
                <w:lang w:val="en-US" w:eastAsia="zh-CN"/>
              </w:rPr>
              <w:t xml:space="preserve">电力施工</w:t>
            </w:r>
            <w:r>
              <w:rPr>
                <w:rFonts w:hint="eastAsia" w:ascii="宋体" w:hAnsi="宋体" w:eastAsia="宋体" w:cs="宋体"/>
                <w:color w:val="auto"/>
                <w:sz w:val="24"/>
                <w:szCs w:val="24"/>
                <w:highlight w:val="none"/>
              </w:rPr>
              <w:t xml:space="preserve">项目业绩。供应商必须在响应文件中提供中标通知书、施工合同及竣工验收报告</w:t>
            </w:r>
            <w:r>
              <w:rPr>
                <w:rFonts w:hint="eastAsia" w:ascii="宋体" w:hAnsi="宋体" w:cs="宋体"/>
                <w:color w:val="auto"/>
                <w:sz w:val="24"/>
                <w:szCs w:val="24"/>
                <w:highlight w:val="none"/>
                <w:lang w:val="en-US" w:eastAsia="zh-CN"/>
              </w:rPr>
              <w:t xml:space="preserve">原件扫描件</w:t>
            </w:r>
            <w:r>
              <w:rPr>
                <w:rFonts w:hint="eastAsia" w:ascii="宋体" w:hAnsi="宋体" w:eastAsia="宋体" w:cs="宋体"/>
                <w:color w:val="auto"/>
                <w:sz w:val="24"/>
                <w:szCs w:val="24"/>
                <w:highlight w:val="none"/>
              </w:rPr>
              <w:t xml:space="preserve">（三者缺一不可，否则不得分），时间以竣工验收报告为准</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cs="宋体"/>
                <w:b/>
                <w:bCs/>
                <w:color w:val="auto"/>
                <w:sz w:val="24"/>
                <w:szCs w:val="24"/>
                <w:highlight w:val="none"/>
                <w:lang w:val="en-US" w:eastAsia="zh-CN"/>
              </w:rPr>
              <w:t xml:space="preserve">三者均须</w:t>
            </w:r>
            <w:r>
              <w:rPr>
                <w:rFonts w:hint="eastAsia" w:ascii="宋体" w:hAnsi="宋体" w:eastAsia="宋体" w:cs="宋体"/>
                <w:b/>
                <w:bCs/>
                <w:color w:val="auto"/>
                <w:sz w:val="24"/>
                <w:szCs w:val="24"/>
                <w:highlight w:val="none"/>
              </w:rPr>
              <w:t xml:space="preserve">原件扫描件上传</w:t>
            </w:r>
            <w:r>
              <w:rPr>
                <w:rFonts w:hint="eastAsia" w:ascii="宋体" w:hAnsi="宋体" w:eastAsia="宋体" w:cs="宋体"/>
                <w:color w:val="auto"/>
                <w:sz w:val="24"/>
                <w:szCs w:val="24"/>
                <w:highlight w:val="none"/>
              </w:rPr>
              <w:t xml:space="preserve">，不提供不得分）</w:t>
            </w:r>
            <w:r/>
          </w:p>
          <w:p>
            <w:pPr>
              <w:spacing w:line="320" w:lineRule="exact"/>
              <w:widowControl/>
              <w:rPr>
                <w:rFonts w:hint="eastAsia" w:ascii="宋体" w:hAnsi="宋体" w:cs="宋体"/>
                <w:sz w:val="24"/>
              </w:rPr>
            </w:pPr>
            <w:r>
              <w:rPr>
                <w:rFonts w:hint="eastAsia" w:ascii="宋体" w:hAnsi="宋体" w:eastAsia="宋体" w:cs="宋体"/>
                <w:color w:val="auto"/>
                <w:sz w:val="24"/>
                <w:szCs w:val="24"/>
                <w:highlight w:val="none"/>
              </w:rPr>
              <w:t xml:space="preserve">每提供一份有效类似业绩得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分，最高得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tc>
      </w:tr>
      <w:tr>
        <w:trPr>
          <w:jc w:val="center"/>
          <w:trHeight w:val="1567"/>
        </w:trPr>
        <w:tc>
          <w:tcPr>
            <w:tcBorders>
              <w:left w:val="single" w:color="000000" w:sz="4" w:space="0"/>
              <w:bottom w:val="single" w:color="auto" w:sz="4" w:space="0"/>
              <w:right w:val="single" w:color="000000" w:sz="4" w:space="0"/>
            </w:tcBorders>
            <w:tcW w:w="1402" w:type="dxa"/>
            <w:vAlign w:val="center"/>
            <w:vMerge w:val="continue"/>
            <w:textDirection w:val="lrTb"/>
            <w:noWrap w:val="false"/>
          </w:tcPr>
          <w:p>
            <w:pPr>
              <w:spacing w:line="320" w:lineRule="exact"/>
              <w:widowControl/>
            </w:pPr>
            <w:r/>
            <w:r/>
          </w:p>
        </w:tc>
        <w:tc>
          <w:tcPr>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spacing w:line="320" w:lineRule="exact"/>
              <w:widowControl/>
              <w:rPr>
                <w:rFonts w:hint="default" w:ascii="宋体" w:hAnsi="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人员证书 （2分）</w:t>
            </w:r>
            <w:r/>
          </w:p>
        </w:tc>
        <w:tc>
          <w:tcPr>
            <w:tcBorders>
              <w:top w:val="single" w:color="000000" w:sz="4" w:space="0"/>
              <w:left w:val="single" w:color="000000" w:sz="4" w:space="0"/>
              <w:bottom w:val="single" w:color="000000" w:sz="4" w:space="0"/>
              <w:right w:val="single" w:color="000000" w:sz="4" w:space="0"/>
            </w:tcBorders>
            <w:tcW w:w="6662" w:type="dxa"/>
            <w:vAlign w:val="center"/>
            <w:textDirection w:val="lrTb"/>
            <w:noWrap w:val="false"/>
          </w:tcPr>
          <w:p>
            <w:pPr>
              <w:spacing w:line="320" w:lineRule="exact"/>
              <w:widowControl/>
              <w:rPr>
                <w:rFonts w:hint="default" w:ascii="宋体" w:hAnsi="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拟投入的项目负责人或技术负责人具有</w:t>
            </w:r>
            <w:r>
              <w:rPr>
                <w:rFonts w:hint="eastAsia" w:ascii="宋体" w:hAnsi="宋体" w:cs="宋体"/>
                <w:b/>
                <w:bCs w:val="0"/>
                <w:color w:val="000000"/>
                <w:sz w:val="24"/>
                <w:highlight w:val="none"/>
                <w:lang w:val="en-US" w:eastAsia="zh-CN"/>
              </w:rPr>
              <w:t xml:space="preserve">电气专业</w:t>
            </w:r>
            <w:r>
              <w:rPr>
                <w:rFonts w:hint="eastAsia" w:ascii="宋体" w:hAnsi="宋体" w:cs="宋体"/>
                <w:bCs/>
                <w:color w:val="000000"/>
                <w:sz w:val="24"/>
                <w:highlight w:val="none"/>
                <w:lang w:val="en-US" w:eastAsia="zh-CN"/>
              </w:rPr>
              <w:t xml:space="preserve">中级及以上职称的得2分，提供证书原件扫描件、本单位近半年（不含开标当月）任意一个月缴纳的社保证明，否则不得分。</w:t>
            </w:r>
            <w:r/>
          </w:p>
        </w:tc>
      </w:tr>
    </w:tbl>
    <w:p>
      <w:pPr>
        <w:pStyle w:val="1020"/>
        <w:contextualSpacing/>
        <w:jc w:val="left"/>
        <w:spacing w:line="312" w:lineRule="auto"/>
        <w:widowControl w:val="off"/>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p>
      <w:pP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本章说明：</w:t>
      </w:r>
      <w:r>
        <w:rPr>
          <w:rFonts w:hint="eastAsia" w:ascii="宋体" w:hAnsi="宋体" w:cs="宋体"/>
          <w:color w:val="000000" w:themeColor="text1"/>
          <w:sz w:val="24"/>
          <w14:textFill>
            <w14:solidFill>
              <w14:schemeClr w14:val="tx1"/>
            </w14:solidFill>
          </w14:textFill>
        </w:rPr>
        <w:t xml:space="preserve">本项目采用</w:t>
      </w:r>
      <w:r>
        <w:rPr>
          <w:rFonts w:hint="eastAsia" w:ascii="宋体" w:hAnsi="宋体" w:cs="宋体"/>
          <w:b/>
          <w:bCs/>
          <w:color w:val="000000" w:themeColor="text1"/>
          <w:sz w:val="24"/>
          <w14:textFill>
            <w14:solidFill>
              <w14:schemeClr w14:val="tx1"/>
            </w14:solidFill>
          </w14:textFill>
        </w:rPr>
        <w:t xml:space="preserve">综合评分法</w:t>
      </w:r>
      <w:r>
        <w:rPr>
          <w:rFonts w:hint="eastAsia" w:ascii="宋体" w:hAnsi="宋体" w:cs="宋体"/>
          <w:color w:val="000000" w:themeColor="text1"/>
          <w:sz w:val="24"/>
          <w14:textFill>
            <w14:solidFill>
              <w14:schemeClr w14:val="tx1"/>
            </w14:solidFill>
          </w14:textFill>
        </w:rPr>
        <w:t xml:space="preserve">。(供应商技术部分得分取所有评委的平均值，保留小数点后二位)</w:t>
      </w:r>
      <w:r>
        <w:rPr>
          <w:rFonts w:hint="eastAsia" w:ascii="宋体" w:hAnsi="宋体" w:cs="宋体"/>
          <w:color w:val="000000" w:themeColor="text1"/>
          <w:sz w:val="24"/>
          <w:lang w:val="en-US" w:eastAsia="zh-CN"/>
          <w14:textFill>
            <w14:solidFill>
              <w14:schemeClr w14:val="tx1"/>
            </w14:solidFill>
          </w14:textFill>
        </w:rPr>
        <w:t xml:space="preserve">  </w:t>
      </w:r>
      <w:r>
        <w:rPr>
          <w:rFonts w:hint="eastAsia" w:ascii="宋体" w:hAnsi="宋体" w:cs="宋体"/>
          <w:b/>
          <w:bCs/>
          <w:color w:val="000000" w:themeColor="text1"/>
          <w:sz w:val="36"/>
          <w:szCs w:val="36"/>
          <w14:textFill>
            <w14:solidFill>
              <w14:schemeClr w14:val="tx1"/>
            </w14:solidFill>
          </w14:textFill>
        </w:rPr>
        <w:br w:type="page" w:clear="all"/>
      </w:r>
      <w:r>
        <w:rPr>
          <w:rFonts w:hint="eastAsia" w:ascii="宋体" w:hAnsi="宋体" w:cs="宋体"/>
          <w:b/>
          <w:bCs/>
          <w:color w:val="000000" w:themeColor="text1"/>
          <w:sz w:val="36"/>
          <w:szCs w:val="36"/>
          <w14:textFill>
            <w14:solidFill>
              <w14:schemeClr w14:val="tx1"/>
            </w14:solidFill>
          </w14:textFill>
        </w:rPr>
        <w:t xml:space="preserve">            2、项目要求（采购需求）</w:t>
      </w:r>
      <w:r/>
    </w:p>
    <w:p>
      <w:pPr>
        <w:pStyle w:val="1218"/>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pStyle w:val="1030"/>
        <w:ind w:firstLine="482"/>
        <w:rPr>
          <w:rFonts w:ascii="宋体" w:hAnsi="宋体" w:cs="宋体"/>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 xml:space="preserve">一、本</w:t>
      </w:r>
      <w:r>
        <w:rPr>
          <w:rFonts w:hint="eastAsia" w:ascii="宋体" w:hAnsi="宋体" w:cs="宋体"/>
          <w:b/>
          <w:bCs/>
          <w:color w:val="000000" w:themeColor="text1"/>
          <w:highlight w:val="none"/>
          <w14:textFill>
            <w14:solidFill>
              <w14:schemeClr w14:val="tx1"/>
            </w14:solidFill>
          </w14:textFill>
        </w:rPr>
        <w:t xml:space="preserve">项目预算金额</w:t>
      </w:r>
      <w:r>
        <w:rPr>
          <w:rFonts w:hint="eastAsia" w:ascii="宋体" w:hAnsi="宋体" w:cs="宋体"/>
          <w:b/>
          <w:bCs/>
          <w:color w:val="000000" w:themeColor="text1"/>
          <w:highlight w:val="none"/>
          <w:lang w:val="en-US" w:eastAsia="zh-CN"/>
          <w14:textFill>
            <w14:solidFill>
              <w14:schemeClr w14:val="tx1"/>
            </w14:solidFill>
          </w14:textFill>
        </w:rPr>
        <w:t xml:space="preserve">3932561.41</w:t>
      </w:r>
      <w:r>
        <w:rPr>
          <w:rFonts w:hint="eastAsia" w:ascii="宋体" w:hAnsi="宋体" w:cs="宋体"/>
          <w:b/>
          <w:bCs/>
          <w:color w:val="000000" w:themeColor="text1"/>
          <w:highlight w:val="none"/>
          <w14:textFill>
            <w14:solidFill>
              <w14:schemeClr w14:val="tx1"/>
            </w14:solidFill>
          </w14:textFill>
        </w:rPr>
        <w:t xml:space="preserve">元，</w:t>
      </w:r>
      <w:r>
        <w:rPr>
          <w:rFonts w:hint="eastAsia" w:ascii="宋体" w:hAnsi="宋体" w:cs="宋体"/>
          <w:b/>
          <w:bCs/>
          <w:color w:val="000000" w:themeColor="text1"/>
          <w:highlight w:val="none"/>
          <w:lang w:val="en-US" w:eastAsia="zh-CN"/>
          <w14:textFill>
            <w14:solidFill>
              <w14:schemeClr w14:val="tx1"/>
            </w14:solidFill>
          </w14:textFill>
        </w:rPr>
        <w:t xml:space="preserve">最高限价为</w:t>
      </w:r>
      <w:r>
        <w:rPr>
          <w:rFonts w:hint="eastAsia" w:ascii="宋体" w:hAnsi="宋体" w:cs="宋体"/>
          <w:b/>
          <w:bCs/>
          <w:color w:val="000000" w:themeColor="text1"/>
          <w:highlight w:val="none"/>
          <w:lang w:eastAsia="zh-CN"/>
          <w14:textFill>
            <w14:solidFill>
              <w14:schemeClr w14:val="tx1"/>
            </w14:solidFill>
          </w14:textFill>
        </w:rPr>
        <w:t xml:space="preserve">3932561.41元</w:t>
      </w:r>
      <w:r>
        <w:rPr>
          <w:rFonts w:hint="eastAsia" w:ascii="宋体" w:hAnsi="宋体" w:cs="宋体"/>
          <w:bCs/>
          <w:color w:val="000000" w:themeColor="text1"/>
          <w14:textFill>
            <w14:solidFill>
              <w14:schemeClr w14:val="tx1"/>
            </w14:solidFill>
          </w14:textFill>
        </w:rPr>
        <w:t xml:space="preserve">（</w:t>
      </w:r>
      <w:r>
        <w:rPr>
          <w:rFonts w:hint="eastAsia" w:ascii="宋体" w:hAnsi="宋体" w:cs="宋体"/>
          <w:bCs/>
          <w:color w:val="000000" w:themeColor="text1"/>
          <w:lang w:val="en-US" w:eastAsia="zh-CN"/>
          <w14:textFill>
            <w14:solidFill>
              <w14:schemeClr w14:val="tx1"/>
            </w14:solidFill>
          </w14:textFill>
        </w:rPr>
        <w:t xml:space="preserve">不接收超过最高限价的投标报价，否则按无效标书处理</w:t>
      </w:r>
      <w:r>
        <w:rPr>
          <w:rFonts w:hint="eastAsia" w:ascii="宋体" w:hAnsi="宋体" w:cs="宋体"/>
          <w:bCs/>
          <w:color w:val="000000" w:themeColor="text1"/>
          <w14:textFill>
            <w14:solidFill>
              <w14:schemeClr w14:val="tx1"/>
            </w14:solidFill>
          </w14:textFill>
        </w:rPr>
        <w:t xml:space="preserve">），报价包含完成</w:t>
      </w:r>
      <w:r>
        <w:rPr>
          <w:rFonts w:hint="eastAsia" w:ascii="宋体" w:hAnsi="宋体" w:cs="宋体"/>
          <w:bCs/>
          <w:color w:val="000000" w:themeColor="text1"/>
          <w:lang w:val="en-US" w:eastAsia="zh-CN"/>
          <w14:textFill>
            <w14:solidFill>
              <w14:schemeClr w14:val="tx1"/>
            </w14:solidFill>
          </w14:textFill>
        </w:rPr>
        <w:t xml:space="preserve">本</w:t>
      </w:r>
      <w:r>
        <w:rPr>
          <w:rFonts w:hint="eastAsia" w:ascii="宋体" w:hAnsi="宋体" w:cs="宋体"/>
          <w:bCs/>
          <w:color w:val="000000" w:themeColor="text1"/>
          <w14:textFill>
            <w14:solidFill>
              <w14:schemeClr w14:val="tx1"/>
            </w14:solidFill>
          </w14:textFill>
        </w:rPr>
        <w:t xml:space="preserve">项目的所有费用，供应商报价时需考虑完成本项目内容所涉及的包含并不限于人工费、材料费、机械费、工具设备费、税费、保险、培训、售后服务、验收、利润等供应商认为可能发生的相关一切费用。采购人不再支付报价以外的任何费用。</w:t>
      </w:r>
      <w:r/>
    </w:p>
    <w:p>
      <w:pPr>
        <w:pStyle w:val="1030"/>
        <w:ind w:firstLine="482"/>
        <w:rPr>
          <w:rFonts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 xml:space="preserve">二、项目内容：</w:t>
      </w:r>
      <w:r/>
    </w:p>
    <w:p>
      <w:pPr>
        <w:pStyle w:val="1030"/>
        <w:ind w:firstLine="480"/>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1、工程名称：</w:t>
      </w:r>
      <w:r>
        <w:rPr>
          <w:rFonts w:hint="eastAsia" w:ascii="宋体" w:hAnsi="宋体" w:cs="宋体"/>
          <w:bCs/>
          <w:color w:val="000000" w:themeColor="text1"/>
          <w:lang w:eastAsia="zh-CN"/>
          <w14:textFill>
            <w14:solidFill>
              <w14:schemeClr w14:val="tx1"/>
            </w14:solidFill>
          </w14:textFill>
        </w:rPr>
        <w:t xml:space="preserve">双沟镇魏林安置小区10KV外线工程</w:t>
      </w:r>
      <w:r/>
    </w:p>
    <w:p>
      <w:pPr>
        <w:pStyle w:val="1030"/>
        <w:ind w:firstLine="480"/>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2、建设地点：睢宁县双沟镇</w:t>
      </w:r>
      <w:r/>
    </w:p>
    <w:p>
      <w:pPr>
        <w:pStyle w:val="1030"/>
        <w:ind w:firstLine="482"/>
        <w:rPr>
          <w:rFonts w:ascii="宋体" w:hAnsi="宋体" w:cs="宋体"/>
          <w:b/>
          <w:color w:val="000000" w:themeColor="text1"/>
          <w:u w:val="single"/>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3、招标范围：</w:t>
      </w:r>
      <w:r>
        <w:rPr>
          <w:rFonts w:hint="eastAsia" w:ascii="宋体" w:hAnsi="宋体" w:cs="宋体"/>
          <w:b/>
          <w:color w:val="000000" w:themeColor="text1"/>
          <w:u w:val="single"/>
          <w:lang w:eastAsia="zh-CN"/>
          <w14:textFill>
            <w14:solidFill>
              <w14:schemeClr w14:val="tx1"/>
            </w14:solidFill>
          </w14:textFill>
        </w:rPr>
        <w:t xml:space="preserve">双沟镇魏林安置小区10KV外线工程</w:t>
      </w:r>
      <w:r>
        <w:rPr>
          <w:rFonts w:hint="eastAsia" w:ascii="宋体" w:hAnsi="宋体" w:cs="宋体"/>
          <w:b/>
          <w:color w:val="000000" w:themeColor="text1"/>
          <w:u w:val="single"/>
          <w14:textFill>
            <w14:solidFill>
              <w14:schemeClr w14:val="tx1"/>
            </w14:solidFill>
          </w14:textFill>
        </w:rPr>
        <w:t xml:space="preserve">，详见工程量清单</w:t>
      </w:r>
      <w:r>
        <w:rPr>
          <w:rFonts w:hint="eastAsia" w:ascii="宋体" w:hAnsi="宋体" w:cs="宋体"/>
          <w:b/>
          <w:color w:val="000000" w:themeColor="text1"/>
          <w:u w:val="single"/>
          <w:lang w:val="en-US" w:eastAsia="zh-CN"/>
          <w14:textFill>
            <w14:solidFill>
              <w14:schemeClr w14:val="tx1"/>
            </w14:solidFill>
          </w14:textFill>
        </w:rPr>
        <w:t xml:space="preserve">及图纸</w:t>
      </w:r>
      <w:r>
        <w:rPr>
          <w:rFonts w:hint="eastAsia" w:ascii="宋体" w:hAnsi="宋体" w:cs="宋体"/>
          <w:b/>
          <w:color w:val="000000" w:themeColor="text1"/>
          <w:u w:val="single"/>
          <w14:textFill>
            <w14:solidFill>
              <w14:schemeClr w14:val="tx1"/>
            </w14:solidFill>
          </w14:textFill>
        </w:rPr>
        <w:t xml:space="preserve">包含的所有内容。</w:t>
      </w:r>
      <w:r/>
    </w:p>
    <w:p>
      <w:pPr>
        <w:pStyle w:val="1030"/>
        <w:ind w:firstLine="482"/>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4、承包方式：包工包料。</w:t>
      </w:r>
      <w:r/>
    </w:p>
    <w:p>
      <w:pPr>
        <w:pStyle w:val="1030"/>
        <w:ind w:firstLine="480"/>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5、要求工期：</w:t>
      </w:r>
      <w:r>
        <w:rPr>
          <w:rFonts w:hint="eastAsia" w:ascii="宋体" w:hAnsi="宋体" w:cs="宋体"/>
          <w:bCs/>
          <w:color w:val="000000" w:themeColor="text1"/>
          <w:highlight w:val="none"/>
          <w:lang w:val="en-US" w:eastAsia="zh-CN"/>
          <w14:textFill>
            <w14:solidFill>
              <w14:schemeClr w14:val="tx1"/>
            </w14:solidFill>
          </w14:textFill>
        </w:rPr>
        <w:t xml:space="preserve">60</w:t>
      </w:r>
      <w:r>
        <w:rPr>
          <w:rFonts w:hint="eastAsia" w:ascii="宋体" w:hAnsi="宋体" w:cs="宋体"/>
          <w:bCs/>
          <w:color w:val="000000" w:themeColor="text1"/>
          <w:highlight w:val="none"/>
          <w14:textFill>
            <w14:solidFill>
              <w14:schemeClr w14:val="tx1"/>
            </w14:solidFill>
          </w14:textFill>
        </w:rPr>
        <w:t xml:space="preserve">日</w:t>
      </w:r>
      <w:r>
        <w:rPr>
          <w:rFonts w:hint="eastAsia" w:ascii="宋体" w:hAnsi="宋体" w:cs="宋体"/>
          <w:bCs/>
          <w:color w:val="000000" w:themeColor="text1"/>
          <w14:textFill>
            <w14:solidFill>
              <w14:schemeClr w14:val="tx1"/>
            </w14:solidFill>
          </w14:textFill>
        </w:rPr>
        <w:t xml:space="preserve">历天。</w:t>
      </w:r>
      <w:r/>
    </w:p>
    <w:p>
      <w:pPr>
        <w:pStyle w:val="1030"/>
        <w:ind w:firstLine="480"/>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6、工程质量标准：合格（符合国家标准及行业要求，满足采购人需求）。</w:t>
      </w:r>
      <w:r/>
    </w:p>
    <w:p>
      <w:pPr>
        <w:pStyle w:val="1030"/>
        <w:ind w:firstLine="480"/>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7、现场勘察：供应商根据自身情况选择是否勘察现场，供应商根据勘察现场情况自行报价。供应商自行勘察现场，费用自理，若造成的人员伤害等各种损失由供应商负责。</w:t>
      </w:r>
      <w:r/>
    </w:p>
    <w:p>
      <w:pPr>
        <w:pStyle w:val="1030"/>
        <w:ind w:firstLine="482"/>
        <w:rPr>
          <w:rFonts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 xml:space="preserve">三、工程量清单报价</w:t>
      </w:r>
      <w:r/>
    </w:p>
    <w:p>
      <w:pPr>
        <w:pStyle w:val="1030"/>
        <w:ind w:firstLine="482"/>
        <w:rPr>
          <w:rFonts w:hint="eastAsia"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(一)  工程量清单详见本项目竞争性磋商文件。</w:t>
      </w:r>
      <w:r/>
    </w:p>
    <w:p>
      <w:pPr>
        <w:pStyle w:val="1030"/>
        <w:ind w:firstLine="482"/>
        <w:rPr>
          <w:rFonts w:hint="eastAsia"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(二) 《已标价的工程量清单》报价要求</w:t>
      </w:r>
      <w:r/>
    </w:p>
    <w:p>
      <w:pPr>
        <w:pStyle w:val="1030"/>
        <w:ind w:firstLine="482"/>
        <w:rPr>
          <w:rFonts w:hint="eastAsia"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1、报价内容</w:t>
      </w:r>
      <w:r/>
    </w:p>
    <w:p>
      <w:pPr>
        <w:pStyle w:val="1030"/>
        <w:ind w:firstLine="482"/>
        <w:rPr>
          <w:rFonts w:hint="eastAsia"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1.1 响应报价应包括竞争性磋商文件中所确定的范围内工程量清单中所含的全部内容，以及为完成上述内容所需的全部费用。</w:t>
      </w:r>
      <w:r/>
    </w:p>
    <w:p>
      <w:pPr>
        <w:pStyle w:val="1030"/>
        <w:ind w:firstLine="482"/>
        <w:rPr>
          <w:rFonts w:hint="eastAsia"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注：供应商必须按采购人提供的工程量清单进行报价，否则视为对竞争性磋商文件商务条款的实质性偏离。供应商不得修改工程量清单中的分布分项内容及数量，否则视为不响应竞争性磋商文件。</w:t>
      </w:r>
      <w:r/>
    </w:p>
    <w:p>
      <w:pPr>
        <w:pStyle w:val="1030"/>
        <w:ind w:firstLine="482"/>
        <w:rPr>
          <w:rFonts w:hint="eastAsia"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1.2 供应商应按采购人提供的工程量清单填报价格。填写的项目名称、项目特征、计量单位、工程量必须与采购人提供的一致。</w:t>
      </w:r>
      <w:r/>
    </w:p>
    <w:p>
      <w:pPr>
        <w:pStyle w:val="1030"/>
        <w:ind w:firstLine="482"/>
        <w:rPr>
          <w:rFonts w:hint="eastAsia"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1.3 供应商应按采购人提供的工程量计算工程项目的单价和合价。工程量清单中的每一单项均需计算填写单价和合价，供应商没有填写单价和合价的项目将被认为此项费用已包括在工程量清单的其他单价和合价中。</w:t>
      </w:r>
      <w:r/>
    </w:p>
    <w:p>
      <w:pPr>
        <w:pStyle w:val="1030"/>
        <w:ind w:firstLine="482"/>
        <w:rPr>
          <w:rFonts w:hint="eastAsia"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1.4 响应的供应商必须按统一的工程量清单报价，成交后，在施工过程中，不论由于工程量清单有误或漏项，还是由于设计变更、现场变更、签证引起的工程量清单项目或清单项目工程数量的增减，均按实调整。</w:t>
      </w:r>
      <w:r/>
    </w:p>
    <w:p>
      <w:pPr>
        <w:pStyle w:val="1030"/>
        <w:ind w:firstLine="482"/>
        <w:rPr>
          <w:rFonts w:hint="eastAsia"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1.5 技术参数、项目实施方案所描述的技术措施所发生的费用，视为已体现在供应商报价的非实体性消耗所发生的费用中。</w:t>
      </w:r>
      <w:r/>
    </w:p>
    <w:p>
      <w:pPr>
        <w:pStyle w:val="1030"/>
        <w:ind w:firstLine="482"/>
        <w:rPr>
          <w:rFonts w:hint="eastAsia"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1.6 供应商自行勘察，了解周边原有建筑、设施，事先视察工地，充分了解工程位置、邻近建筑物、工地情况，通路、储存空间、起卸限制、及任何其它足以影响报价之情况，供应商须按接收工地日的现况，接收工地及自费清理任何遗留在工地上之废物，施工过程中因工地特殊情况而引起二次搬运、安全防护等。供应商在响应报价时应考虑这样因素，并在响应报价中予以考虑，采购人不接受供应商关于此类费用的任何诉讼或索赔。</w:t>
      </w:r>
      <w:r/>
    </w:p>
    <w:p>
      <w:pPr>
        <w:pStyle w:val="1030"/>
        <w:ind w:firstLine="482"/>
        <w:rPr>
          <w:rFonts w:hint="eastAsia"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1.7 安全文明施工是供应商的责任，采购人不接受任何由于供应商施工而导致的扰民或民扰引起的诉讼或索赔。供应商应在其响应报价时充分考虑因扰民与民扰而造成的工期影响与费用增加，在报价予以考虑，采购人不接受任何由于供应商考虑不周为由而提出的任何索赔。</w:t>
      </w:r>
      <w:r/>
    </w:p>
    <w:p>
      <w:pPr>
        <w:pStyle w:val="1030"/>
        <w:ind w:firstLine="482"/>
        <w:rPr>
          <w:rFonts w:hint="eastAsia"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1.8 垃圾外运，在报价中综合考虑。</w:t>
      </w:r>
      <w:r/>
    </w:p>
    <w:p>
      <w:pPr>
        <w:pStyle w:val="1030"/>
        <w:ind w:firstLine="482"/>
        <w:rPr>
          <w:rFonts w:hint="eastAsia"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1.9辅助工程部分：综合单价中应包括采购人提供的施工图所含内容，以及工程量清单报价中的价格，应包括完成清单项目的人工费、材料费、机械费、管理费及利润等费用。政策性文件规定及施工进程中包含的所有风险、责任等各项应有费用，并含相应的平整场地、地基处理调整等图纸及建设方要求的工程施工全部内容的全部费用。</w:t>
      </w:r>
      <w:r/>
    </w:p>
    <w:p>
      <w:pPr>
        <w:pStyle w:val="1030"/>
        <w:ind w:firstLine="482"/>
        <w:rPr>
          <w:rFonts w:hint="eastAsia"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1.10地方关系协调费投标人自行考虑，就此项采购人不支付任何费用。</w:t>
      </w:r>
      <w:r/>
    </w:p>
    <w:p>
      <w:pPr>
        <w:pStyle w:val="1030"/>
        <w:ind w:firstLine="482"/>
        <w:rPr>
          <w:rFonts w:hint="eastAsia"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1.11本工程质保期按质量保证书所填时间，必须保证工程质量，因此产生的各项费用视为投标人已自行考虑在投标报价中；除采购人确认的有效变更签证、设计变更外，结算时不因任何因素调整中标的综合单价。</w:t>
      </w:r>
      <w:r/>
    </w:p>
    <w:p>
      <w:pPr>
        <w:pStyle w:val="1030"/>
        <w:ind w:firstLine="482"/>
        <w:rPr>
          <w:rFonts w:hint="eastAsia"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1.12施工时需做好防护措施保证周边安全，因中标人保障不利对采购人或第三方造成损失的，赔偿责任全部由中标人承担，若因此会增加费用，控制价不计取，投标人自行考虑在报价中，结算时不予调整。</w:t>
      </w:r>
      <w:r/>
    </w:p>
    <w:p>
      <w:pPr>
        <w:pStyle w:val="1030"/>
        <w:ind w:firstLine="482"/>
        <w:rPr>
          <w:rFonts w:hint="eastAsia"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2、报价方式</w:t>
      </w:r>
      <w:r/>
    </w:p>
    <w:p>
      <w:pPr>
        <w:pStyle w:val="1030"/>
        <w:ind w:firstLine="482"/>
        <w:rPr>
          <w:rFonts w:hint="eastAsia"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2.1 本工程采用固定单价合同（除另有规定外）。供应商应充分考虑施工期间各类建材的市场风险，并计入总报价，供应商在计算报价时应考虑一定的风险系数。</w:t>
      </w:r>
      <w:r/>
    </w:p>
    <w:p>
      <w:pPr>
        <w:pStyle w:val="1030"/>
        <w:ind w:firstLine="482"/>
        <w:rPr>
          <w:rFonts w:hint="eastAsia"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2.2 材料风险约定：</w:t>
      </w:r>
      <w:r/>
    </w:p>
    <w:p>
      <w:pPr>
        <w:pStyle w:val="1030"/>
        <w:ind w:firstLine="482"/>
        <w:rPr>
          <w:rFonts w:hint="eastAsia"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2.2.1 对于法律、法规、规章或有关政策出台导致工程税金、规费等发生变化的，应按照有关规定执行。</w:t>
      </w:r>
      <w:r/>
    </w:p>
    <w:p>
      <w:pPr>
        <w:pStyle w:val="1030"/>
        <w:ind w:firstLine="482"/>
        <w:rPr>
          <w:rFonts w:hint="eastAsia"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2.2.2 本工程对材料风险约定如下：供应商应充分考虑施工期间各类建材的市场风险，充分考虑政策性关于人工、机械费用等方面调整，并计入总报价，供应商所填写的单价在合同实施期间不因市场变化因素而变动，结算不再调整。</w:t>
      </w:r>
      <w:r/>
    </w:p>
    <w:p>
      <w:pPr>
        <w:pStyle w:val="1030"/>
        <w:ind w:firstLine="482"/>
        <w:rPr>
          <w:rFonts w:hint="eastAsia"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3、报价的计价方法</w:t>
      </w:r>
      <w:r/>
    </w:p>
    <w:p>
      <w:pPr>
        <w:pStyle w:val="1030"/>
        <w:ind w:firstLine="482"/>
        <w:rPr>
          <w:rFonts w:hint="eastAsia"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本工程项目采用工程量清单计价。供应商应根据采购人提供的工程量清单计算工程项目的单价、合价。工程量清单中每一个子目和单项均需计算填写单价、合价。若供应商没有填写单价、合价的项目采购人将不予支付，并认为此项费用已包括在工程量清单的其它单价、合价中。</w:t>
      </w:r>
      <w:r/>
    </w:p>
    <w:p>
      <w:pPr>
        <w:pStyle w:val="1030"/>
        <w:ind w:firstLine="482"/>
        <w:rPr>
          <w:rFonts w:hint="eastAsia"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4、报价编制依据及要求：</w:t>
      </w:r>
      <w:r/>
    </w:p>
    <w:p>
      <w:pPr>
        <w:pStyle w:val="1030"/>
        <w:ind w:firstLine="482"/>
        <w:rPr>
          <w:rFonts w:hint="eastAsia"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本工程执行现行国家标准《建设工程工程量清单计价规范》（GB50500-2013）, 《江苏省建筑与装饰工程计价定额</w:t>
      </w:r>
      <w:r>
        <w:rPr>
          <w:rFonts w:hint="eastAsia" w:ascii="宋体" w:hAnsi="宋体" w:cs="宋体"/>
          <w:bCs/>
          <w:color w:val="000000" w:themeColor="text1"/>
          <w14:textFill>
            <w14:solidFill>
              <w14:schemeClr w14:val="tx1"/>
            </w14:solidFill>
          </w14:textFill>
        </w:rPr>
        <w:t xml:space="preserve">(2014）》、《江苏省园林定额》（2007年）《江苏省房屋修缮工程计价表》（2009年）、《江苏省市政工程计价定额》（2014年）、《江苏省机械台班费用定额》（2007年）、《江苏省安装工程计价定额》(2014年）、《江苏省建设工程费用定额》（2014年）、苏建价[2016]154号《关于建筑业实施营改增后江苏省建设工程计价依据调整的通知》、《省住房城乡建设厅关于调整建设工程计价增值税税率的通知》苏建函价（2019）178号、及省市现行有关计价文件规定，还包括磋商文件、工程量清单及其补充通知和答疑纪要等。</w:t>
      </w:r>
      <w:r/>
    </w:p>
    <w:p>
      <w:pPr>
        <w:pStyle w:val="1030"/>
        <w:ind w:firstLine="482"/>
        <w:rPr>
          <w:rFonts w:hint="eastAsia"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四、异常低价审查</w:t>
      </w:r>
      <w:r/>
    </w:p>
    <w:p>
      <w:pPr>
        <w:pStyle w:val="1030"/>
        <w:ind w:firstLine="482"/>
        <w:rPr>
          <w:rFonts w:hint="eastAsia"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执行</w:t>
      </w:r>
      <w:r>
        <w:rPr>
          <w:rFonts w:hint="eastAsia" w:ascii="宋体" w:hAnsi="宋体" w:cs="宋体"/>
          <w:b/>
          <w:bCs w:val="0"/>
          <w:color w:val="000000" w:themeColor="text1"/>
          <w14:textFill>
            <w14:solidFill>
              <w14:schemeClr w14:val="tx1"/>
            </w14:solidFill>
          </w14:textFill>
        </w:rPr>
        <w:t xml:space="preserve">徐财购〔2026〕3号文件</w:t>
      </w:r>
      <w:r>
        <w:rPr>
          <w:rFonts w:hint="eastAsia" w:ascii="宋体" w:hAnsi="宋体" w:cs="宋体"/>
          <w:bCs/>
          <w:color w:val="000000" w:themeColor="text1"/>
          <w14:textFill>
            <w14:solidFill>
              <w14:schemeClr w14:val="tx1"/>
            </w14:solidFill>
          </w14:textFill>
        </w:rPr>
        <w:t xml:space="preserve">关于推动解决政府采购异常低价问题相关工作的通知文件，具体为：</w:t>
      </w:r>
      <w:r/>
    </w:p>
    <w:p>
      <w:pPr>
        <w:pStyle w:val="1030"/>
        <w:ind w:firstLine="482"/>
        <w:rPr>
          <w:rFonts w:hint="eastAsia"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（一）评审过程中出现下列情形之一的，磋商小组应当启动异常低价响应审查程序： </w:t>
      </w:r>
      <w:r/>
    </w:p>
    <w:p>
      <w:pPr>
        <w:pStyle w:val="1030"/>
        <w:ind w:firstLine="482"/>
        <w:rPr>
          <w:rFonts w:hint="eastAsia"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①投标（响应）报价低于全部通过符合性审查供应商投标（响应）报价平均值50%的，即投标（响应）报价&lt;全部通过符合性审查供应商投标（响应）报价平均值×50%；</w:t>
      </w:r>
      <w:r/>
    </w:p>
    <w:p>
      <w:pPr>
        <w:pStyle w:val="1030"/>
        <w:ind w:firstLine="482"/>
        <w:rPr>
          <w:rFonts w:hint="eastAsia"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②投标（响应）报价低于通过符合性审查的次低报价供应商投标（响应）报价50%的，即投标（响应）报价&lt;通过符合性审查的次低报价供应商投标（响应）报价×50%；</w:t>
      </w:r>
      <w:r/>
    </w:p>
    <w:p>
      <w:pPr>
        <w:pStyle w:val="1030"/>
        <w:ind w:firstLine="482"/>
        <w:rPr>
          <w:rFonts w:hint="eastAsia"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③投标（响应）报价低于采购项目最高限价（未设定最高限价的采购项目，以采购项目预算金额作为最高限价）45%的，即投标（响应）报价&lt;采购项目最高限价×45%。</w:t>
      </w:r>
      <w:r/>
    </w:p>
    <w:p>
      <w:pPr>
        <w:pStyle w:val="1030"/>
        <w:ind w:firstLine="482"/>
        <w:rPr>
          <w:rFonts w:hint="eastAsia"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④评审（评标）委员会基于专业判断，认为供应商报价过低，有可能影响产品质量或者不能诚信履约的其他情形。 </w:t>
      </w:r>
      <w:r/>
    </w:p>
    <w:p>
      <w:pPr>
        <w:pStyle w:val="1030"/>
        <w:ind w:firstLine="482"/>
        <w:rPr>
          <w:rFonts w:hint="eastAsia"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二）启动异常低价响应审查后，磋商小组应当要求相关供应商在评标现场合理的时间内，提供项目具体成本测算等与报价合理性相关的书面说明及相关证明材料，对投响应价格作出解释，由磋商小组结合同类产品在主要电商平台的价格、该行业当地薪资水平等情况，依据专业经验对供应商报价合理性进行判断。响应供应商不提供书面说明、证明材料，或者提供的书面说明、证明材料不能证明其报价合理性的，磋商小组应当将其作为无效响应处理。审查相关情况应当在评审报告中进行记录。</w:t>
      </w:r>
      <w:r/>
    </w:p>
    <w:p>
      <w:pPr>
        <w:pStyle w:val="1030"/>
        <w:ind w:firstLine="482"/>
        <w:rPr>
          <w:rFonts w:hint="eastAsia"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五、项目相关要求</w:t>
      </w:r>
      <w:r/>
    </w:p>
    <w:p>
      <w:pPr>
        <w:pStyle w:val="1030"/>
        <w:ind w:firstLine="482"/>
        <w:rPr>
          <w:rFonts w:hint="eastAsia"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1、供应商报价时需考虑完成本项目内容所涉及的人工费、材料费、机械费、税费、验收等相关的一切费用。</w:t>
      </w:r>
      <w:r/>
    </w:p>
    <w:p>
      <w:pPr>
        <w:pStyle w:val="1030"/>
        <w:ind w:firstLine="482"/>
        <w:rPr>
          <w:rFonts w:hint="eastAsia"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2、供应商应根据本项目实际情况，合理配置人员，除项目经理外，安全员、质检员、施工员、预算员、材料员等人员应经验丰富，确保项目顺利实施。</w:t>
      </w:r>
      <w:r/>
    </w:p>
    <w:p>
      <w:pPr>
        <w:pStyle w:val="1030"/>
        <w:ind w:firstLine="482"/>
        <w:rPr>
          <w:rFonts w:hint="eastAsia"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3、供应商对项目现场和周围环境进行实地踏勘，合理编制本项目施工方案，施工方案应至少包含：施工进度计划和各阶段进度的保证措施、各分部分项工程的施工方案及质量保证措施、安全文明施工及环境保护措施、劳动力、机械设备和材料投入计划 。  </w:t>
      </w:r>
      <w:r/>
    </w:p>
    <w:p>
      <w:pPr>
        <w:pStyle w:val="1030"/>
        <w:ind w:firstLine="482"/>
        <w:rPr>
          <w:rFonts w:hint="eastAsia"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4、符合徐州市有关部门规定的标准化施工现场要求，同时应满足建筑、市容等相关主管部门的有关规定。施工工地一律实行封闭施工、防尘网覆盖、定时洒水，控制扬尘污染等安全文明施工措施。承包人违反规定所造成的损失和处罚由承包人承担。交工后一周内彻底清洁完毕撤离现场。</w:t>
      </w:r>
      <w:r/>
    </w:p>
    <w:p>
      <w:pPr>
        <w:pStyle w:val="1030"/>
        <w:ind w:firstLine="482"/>
        <w:rPr>
          <w:rFonts w:hint="eastAsia"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5、承包人对工程建设期间扬尘治理工作负主体责任。应制定施工现场扬尘污染防治专项方案，按照承包工程范围做好扬尘污染防治措施的落实。方案必须符合我市关于扬尘管控的相关规定要求。</w:t>
      </w:r>
      <w:r/>
    </w:p>
    <w:p>
      <w:pPr>
        <w:pStyle w:val="1030"/>
        <w:ind w:firstLine="482"/>
        <w:rPr>
          <w:rFonts w:hint="eastAsia"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6、工程质量必须达到合同约定标准，且保证相关部门验收通过；未达到质量要求的，成交供应商负责无条件返工，直至达到要求，所发生的费用由成交供应商承担，成交供应商还应赔偿因此给采购人造成的损失，工期不予顺延，同时采购人有权对成交供应商进行适当处罚；</w:t>
      </w:r>
      <w:r/>
    </w:p>
    <w:p>
      <w:pPr>
        <w:pStyle w:val="1030"/>
        <w:ind w:firstLine="482"/>
        <w:rPr>
          <w:rFonts w:hint="eastAsia"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六、服务要求 </w:t>
      </w:r>
      <w:r/>
    </w:p>
    <w:p>
      <w:pPr>
        <w:pStyle w:val="1030"/>
        <w:ind w:firstLine="482"/>
        <w:rPr>
          <w:rFonts w:hint="eastAsia"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1、质保期服务：执行国家相关标准。质保期外，工程质量出现问题，中标人应主动提供维修方案，只收取材料费。 </w:t>
      </w:r>
      <w:r/>
    </w:p>
    <w:p>
      <w:pPr>
        <w:pStyle w:val="1030"/>
        <w:ind w:firstLine="482"/>
        <w:rPr>
          <w:rFonts w:hint="eastAsia"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2、质保期内，如发生故障，采购人通知成交供应商服务人员时，相关服务人员要在12小时内到达现场配合采购人处理问题，进行更换或进行必要的维修。                                                                                                                                            </w:t>
      </w:r>
      <w:r/>
    </w:p>
    <w:p>
      <w:pPr>
        <w:pStyle w:val="1030"/>
        <w:ind w:firstLine="482"/>
        <w:rPr>
          <w:rFonts w:hint="eastAsia"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3、供应商需根据本项目特征及自身情况编制施工方案。</w:t>
      </w:r>
      <w:r/>
    </w:p>
    <w:p>
      <w:pPr>
        <w:pStyle w:val="1030"/>
        <w:ind w:firstLine="480"/>
        <w:rPr>
          <w:rFonts w:ascii="宋体" w:hAnsi="宋体" w:cs="宋体"/>
          <w:b/>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 xml:space="preserve">七、</w:t>
      </w:r>
      <w:r>
        <w:rPr>
          <w:rFonts w:hint="eastAsia" w:ascii="宋体" w:hAnsi="宋体" w:cs="宋体"/>
          <w:b/>
          <w:color w:val="000000" w:themeColor="text1"/>
          <w14:textFill>
            <w14:solidFill>
              <w14:schemeClr w14:val="tx1"/>
            </w14:solidFill>
          </w14:textFill>
        </w:rPr>
        <w:t xml:space="preserve">其他要求：见《竞争性磋商文件》附件：《合同草案条款》。</w:t>
      </w:r>
      <w:r/>
    </w:p>
    <w:p>
      <w:pPr>
        <w:ind w:firstLine="3253"/>
        <w:spacing w:line="360" w:lineRule="auto"/>
        <w:rPr>
          <w:rFonts w:hint="eastAsia" w:ascii="宋体" w:hAnsi="宋体" w:cs="宋体"/>
          <w:b/>
          <w:bCs/>
          <w:color w:val="000000" w:themeColor="text1"/>
          <w:sz w:val="36"/>
          <w14:textFill>
            <w14:solidFill>
              <w14:schemeClr w14:val="tx1"/>
            </w14:solidFill>
          </w14:textFill>
        </w:rPr>
      </w:pPr>
      <w:r>
        <w:rPr>
          <w:rFonts w:hint="eastAsia" w:ascii="宋体" w:hAnsi="宋体" w:cs="宋体"/>
          <w:b/>
          <w:bCs/>
          <w:color w:val="000000" w:themeColor="text1"/>
          <w:sz w:val="36"/>
          <w14:textFill>
            <w14:solidFill>
              <w14:schemeClr w14:val="tx1"/>
            </w14:solidFill>
          </w14:textFill>
        </w:rPr>
      </w:r>
      <w:r/>
    </w:p>
    <w:p>
      <w:pPr>
        <w:ind w:firstLine="3253"/>
        <w:spacing w:line="360" w:lineRule="auto"/>
        <w:rPr>
          <w:rFonts w:hint="eastAsia" w:ascii="宋体" w:hAnsi="宋体" w:cs="宋体"/>
          <w:b/>
          <w:bCs/>
          <w:color w:val="000000" w:themeColor="text1"/>
          <w:sz w:val="36"/>
          <w14:textFill>
            <w14:solidFill>
              <w14:schemeClr w14:val="tx1"/>
            </w14:solidFill>
          </w14:textFill>
        </w:rPr>
      </w:pPr>
      <w:r>
        <w:rPr>
          <w:rFonts w:hint="eastAsia" w:ascii="宋体" w:hAnsi="宋体" w:cs="宋体"/>
          <w:b/>
          <w:bCs/>
          <w:color w:val="000000" w:themeColor="text1"/>
          <w:sz w:val="36"/>
          <w14:textFill>
            <w14:solidFill>
              <w14:schemeClr w14:val="tx1"/>
            </w14:solidFill>
          </w14:textFill>
        </w:rPr>
      </w:r>
      <w:r/>
    </w:p>
    <w:p>
      <w:pPr>
        <w:ind w:firstLine="3253"/>
        <w:spacing w:line="360" w:lineRule="auto"/>
        <w:rPr>
          <w:rFonts w:hint="eastAsia" w:ascii="宋体" w:hAnsi="宋体" w:cs="宋体"/>
          <w:b/>
          <w:bCs/>
          <w:color w:val="000000" w:themeColor="text1"/>
          <w:sz w:val="36"/>
          <w14:textFill>
            <w14:solidFill>
              <w14:schemeClr w14:val="tx1"/>
            </w14:solidFill>
          </w14:textFill>
        </w:rPr>
      </w:pPr>
      <w:r>
        <w:rPr>
          <w:rFonts w:hint="eastAsia" w:ascii="宋体" w:hAnsi="宋体" w:cs="宋体"/>
          <w:b/>
          <w:bCs/>
          <w:color w:val="000000" w:themeColor="text1"/>
          <w:sz w:val="36"/>
          <w14:textFill>
            <w14:solidFill>
              <w14:schemeClr w14:val="tx1"/>
            </w14:solidFill>
          </w14:textFill>
        </w:rPr>
      </w:r>
      <w:r/>
    </w:p>
    <w:p>
      <w:pPr>
        <w:ind w:firstLine="3253"/>
        <w:spacing w:line="360" w:lineRule="auto"/>
        <w:rPr>
          <w:rFonts w:hint="eastAsia" w:ascii="宋体" w:hAnsi="宋体" w:cs="宋体"/>
          <w:b/>
          <w:bCs/>
          <w:color w:val="000000" w:themeColor="text1"/>
          <w:sz w:val="36"/>
          <w14:textFill>
            <w14:solidFill>
              <w14:schemeClr w14:val="tx1"/>
            </w14:solidFill>
          </w14:textFill>
        </w:rPr>
      </w:pPr>
      <w:r>
        <w:rPr>
          <w:rFonts w:hint="eastAsia" w:ascii="宋体" w:hAnsi="宋体" w:cs="宋体"/>
          <w:b/>
          <w:bCs/>
          <w:color w:val="000000" w:themeColor="text1"/>
          <w:sz w:val="36"/>
          <w14:textFill>
            <w14:solidFill>
              <w14:schemeClr w14:val="tx1"/>
            </w14:solidFill>
          </w14:textFill>
        </w:rPr>
      </w:r>
      <w:r/>
    </w:p>
    <w:p>
      <w:pPr>
        <w:ind w:firstLine="3253"/>
        <w:spacing w:line="360" w:lineRule="auto"/>
        <w:rPr>
          <w:rFonts w:hint="eastAsia" w:ascii="宋体" w:hAnsi="宋体" w:cs="宋体"/>
          <w:b/>
          <w:bCs/>
          <w:color w:val="000000" w:themeColor="text1"/>
          <w:sz w:val="36"/>
          <w14:textFill>
            <w14:solidFill>
              <w14:schemeClr w14:val="tx1"/>
            </w14:solidFill>
          </w14:textFill>
        </w:rPr>
      </w:pPr>
      <w:r>
        <w:rPr>
          <w:rFonts w:hint="eastAsia" w:ascii="宋体" w:hAnsi="宋体" w:cs="宋体"/>
          <w:b/>
          <w:bCs/>
          <w:color w:val="000000" w:themeColor="text1"/>
          <w:sz w:val="36"/>
          <w14:textFill>
            <w14:solidFill>
              <w14:schemeClr w14:val="tx1"/>
            </w14:solidFill>
          </w14:textFill>
        </w:rPr>
      </w:r>
      <w:r/>
    </w:p>
    <w:p>
      <w:pPr>
        <w:ind w:firstLine="3253"/>
        <w:spacing w:line="360" w:lineRule="auto"/>
        <w:rPr>
          <w:rFonts w:hint="eastAsia" w:ascii="宋体" w:hAnsi="宋体" w:cs="宋体"/>
          <w:b/>
          <w:bCs/>
          <w:color w:val="000000" w:themeColor="text1"/>
          <w:sz w:val="36"/>
          <w14:textFill>
            <w14:solidFill>
              <w14:schemeClr w14:val="tx1"/>
            </w14:solidFill>
          </w14:textFill>
        </w:rPr>
      </w:pPr>
      <w:r>
        <w:rPr>
          <w:rFonts w:hint="eastAsia" w:ascii="宋体" w:hAnsi="宋体" w:cs="宋体"/>
          <w:b/>
          <w:bCs/>
          <w:color w:val="000000" w:themeColor="text1"/>
          <w:sz w:val="36"/>
          <w14:textFill>
            <w14:solidFill>
              <w14:schemeClr w14:val="tx1"/>
            </w14:solidFill>
          </w14:textFill>
        </w:rPr>
      </w:r>
      <w:r/>
    </w:p>
    <w:p>
      <w:pPr>
        <w:ind w:firstLine="3253"/>
        <w:spacing w:line="360" w:lineRule="auto"/>
        <w:rPr>
          <w:rFonts w:hint="eastAsia" w:ascii="宋体" w:hAnsi="宋体" w:cs="宋体"/>
          <w:b/>
          <w:bCs/>
          <w:color w:val="000000" w:themeColor="text1"/>
          <w:sz w:val="36"/>
          <w14:textFill>
            <w14:solidFill>
              <w14:schemeClr w14:val="tx1"/>
            </w14:solidFill>
          </w14:textFill>
        </w:rPr>
      </w:pPr>
      <w:r>
        <w:rPr>
          <w:rFonts w:hint="eastAsia" w:ascii="宋体" w:hAnsi="宋体" w:cs="宋体"/>
          <w:b/>
          <w:bCs/>
          <w:color w:val="000000" w:themeColor="text1"/>
          <w:sz w:val="36"/>
          <w14:textFill>
            <w14:solidFill>
              <w14:schemeClr w14:val="tx1"/>
            </w14:solidFill>
          </w14:textFill>
        </w:rPr>
      </w:r>
      <w:r/>
    </w:p>
    <w:p>
      <w:pPr>
        <w:ind w:firstLine="3253"/>
        <w:spacing w:line="360" w:lineRule="auto"/>
        <w:rPr>
          <w:rFonts w:hint="eastAsia" w:ascii="宋体" w:hAnsi="宋体" w:cs="宋体"/>
          <w:b/>
          <w:bCs/>
          <w:color w:val="000000" w:themeColor="text1"/>
          <w:sz w:val="36"/>
          <w14:textFill>
            <w14:solidFill>
              <w14:schemeClr w14:val="tx1"/>
            </w14:solidFill>
          </w14:textFill>
        </w:rPr>
      </w:pPr>
      <w:r>
        <w:rPr>
          <w:rFonts w:hint="eastAsia" w:ascii="宋体" w:hAnsi="宋体" w:cs="宋体"/>
          <w:b/>
          <w:bCs/>
          <w:color w:val="000000" w:themeColor="text1"/>
          <w:sz w:val="36"/>
          <w14:textFill>
            <w14:solidFill>
              <w14:schemeClr w14:val="tx1"/>
            </w14:solidFill>
          </w14:textFill>
        </w:rPr>
      </w:r>
      <w:r/>
    </w:p>
    <w:p>
      <w:pPr>
        <w:ind w:firstLine="3253"/>
        <w:spacing w:line="360" w:lineRule="auto"/>
        <w:rPr>
          <w:rFonts w:hint="eastAsia" w:ascii="宋体" w:hAnsi="宋体" w:cs="宋体"/>
          <w:b/>
          <w:bCs/>
          <w:color w:val="000000" w:themeColor="text1"/>
          <w:sz w:val="36"/>
          <w14:textFill>
            <w14:solidFill>
              <w14:schemeClr w14:val="tx1"/>
            </w14:solidFill>
          </w14:textFill>
        </w:rPr>
      </w:pPr>
      <w:r>
        <w:rPr>
          <w:rFonts w:hint="eastAsia" w:ascii="宋体" w:hAnsi="宋体" w:cs="宋体"/>
          <w:b/>
          <w:bCs/>
          <w:color w:val="000000" w:themeColor="text1"/>
          <w:sz w:val="36"/>
          <w14:textFill>
            <w14:solidFill>
              <w14:schemeClr w14:val="tx1"/>
            </w14:solidFill>
          </w14:textFill>
        </w:rPr>
      </w:r>
      <w:r/>
    </w:p>
    <w:p>
      <w:pPr>
        <w:ind w:firstLine="3253"/>
        <w:spacing w:line="360" w:lineRule="auto"/>
        <w:rPr>
          <w:rFonts w:hint="eastAsia" w:ascii="宋体" w:hAnsi="宋体" w:cs="宋体"/>
          <w:b/>
          <w:bCs/>
          <w:color w:val="000000" w:themeColor="text1"/>
          <w:sz w:val="36"/>
          <w14:textFill>
            <w14:solidFill>
              <w14:schemeClr w14:val="tx1"/>
            </w14:solidFill>
          </w14:textFill>
        </w:rPr>
      </w:pPr>
      <w:r>
        <w:rPr>
          <w:rFonts w:hint="eastAsia" w:ascii="宋体" w:hAnsi="宋体" w:cs="宋体"/>
          <w:b/>
          <w:bCs/>
          <w:color w:val="000000" w:themeColor="text1"/>
          <w:sz w:val="36"/>
          <w14:textFill>
            <w14:solidFill>
              <w14:schemeClr w14:val="tx1"/>
            </w14:solidFill>
          </w14:textFill>
        </w:rPr>
      </w:r>
      <w:r/>
    </w:p>
    <w:p>
      <w:pPr>
        <w:ind w:firstLine="3253"/>
        <w:spacing w:line="360" w:lineRule="auto"/>
        <w:rPr>
          <w:rFonts w:hint="eastAsia" w:ascii="宋体" w:hAnsi="宋体" w:cs="宋体"/>
          <w:b/>
          <w:bCs/>
          <w:color w:val="000000" w:themeColor="text1"/>
          <w:sz w:val="36"/>
          <w14:textFill>
            <w14:solidFill>
              <w14:schemeClr w14:val="tx1"/>
            </w14:solidFill>
          </w14:textFill>
        </w:rPr>
      </w:pPr>
      <w:r>
        <w:rPr>
          <w:rFonts w:hint="eastAsia" w:ascii="宋体" w:hAnsi="宋体" w:cs="宋体"/>
          <w:b/>
          <w:bCs/>
          <w:color w:val="000000" w:themeColor="text1"/>
          <w:sz w:val="36"/>
          <w14:textFill>
            <w14:solidFill>
              <w14:schemeClr w14:val="tx1"/>
            </w14:solidFill>
          </w14:textFill>
        </w:rPr>
      </w:r>
      <w:r/>
    </w:p>
    <w:p>
      <w:pPr>
        <w:ind w:firstLine="3253"/>
        <w:spacing w:line="360" w:lineRule="auto"/>
        <w:rPr>
          <w:rFonts w:hint="eastAsia" w:ascii="宋体" w:hAnsi="宋体" w:cs="宋体"/>
          <w:b/>
          <w:bCs/>
          <w:color w:val="000000" w:themeColor="text1"/>
          <w:sz w:val="36"/>
          <w14:textFill>
            <w14:solidFill>
              <w14:schemeClr w14:val="tx1"/>
            </w14:solidFill>
          </w14:textFill>
        </w:rPr>
      </w:pPr>
      <w:r>
        <w:rPr>
          <w:rFonts w:hint="eastAsia" w:ascii="宋体" w:hAnsi="宋体" w:cs="宋体"/>
          <w:b/>
          <w:bCs/>
          <w:color w:val="000000" w:themeColor="text1"/>
          <w:sz w:val="36"/>
          <w14:textFill>
            <w14:solidFill>
              <w14:schemeClr w14:val="tx1"/>
            </w14:solidFill>
          </w14:textFill>
        </w:rPr>
      </w:r>
      <w:r/>
    </w:p>
    <w:p>
      <w:pPr>
        <w:pStyle w:val="986"/>
        <w:rPr>
          <w:rFonts w:hint="eastAsia" w:ascii="宋体" w:hAnsi="宋体" w:cs="宋体"/>
          <w:b/>
          <w:bCs/>
          <w:color w:val="000000" w:themeColor="text1"/>
          <w:sz w:val="36"/>
          <w14:textFill>
            <w14:solidFill>
              <w14:schemeClr w14:val="tx1"/>
            </w14:solidFill>
          </w14:textFill>
        </w:rPr>
      </w:pPr>
      <w:r>
        <w:rPr>
          <w:rFonts w:hint="eastAsia" w:ascii="宋体" w:hAnsi="宋体" w:cs="宋体"/>
          <w:b/>
          <w:bCs/>
          <w:color w:val="000000" w:themeColor="text1"/>
          <w:sz w:val="36"/>
          <w14:textFill>
            <w14:solidFill>
              <w14:schemeClr w14:val="tx1"/>
            </w14:solidFill>
          </w14:textFill>
        </w:rPr>
      </w:r>
      <w:r/>
    </w:p>
    <w:p>
      <w:pPr>
        <w:pStyle w:val="987"/>
        <w:rPr>
          <w:rFonts w:hint="eastAsia" w:ascii="宋体" w:hAnsi="宋体" w:cs="宋体"/>
          <w:b/>
          <w:bCs/>
          <w:color w:val="000000" w:themeColor="text1"/>
          <w:sz w:val="36"/>
          <w14:textFill>
            <w14:solidFill>
              <w14:schemeClr w14:val="tx1"/>
            </w14:solidFill>
          </w14:textFill>
        </w:rPr>
      </w:pPr>
      <w:r>
        <w:rPr>
          <w:rFonts w:hint="eastAsia" w:ascii="宋体" w:hAnsi="宋体" w:cs="宋体"/>
          <w:b/>
          <w:bCs/>
          <w:color w:val="000000" w:themeColor="text1"/>
          <w:sz w:val="36"/>
          <w14:textFill>
            <w14:solidFill>
              <w14:schemeClr w14:val="tx1"/>
            </w14:solidFill>
          </w14:textFill>
        </w:rPr>
      </w:r>
      <w:r/>
    </w:p>
    <w:p>
      <w:pPr>
        <w:rPr>
          <w:rFonts w:hint="eastAsia" w:ascii="宋体" w:hAnsi="宋体" w:cs="宋体"/>
          <w:b/>
          <w:bCs/>
          <w:color w:val="000000" w:themeColor="text1"/>
          <w:sz w:val="36"/>
          <w14:textFill>
            <w14:solidFill>
              <w14:schemeClr w14:val="tx1"/>
            </w14:solidFill>
          </w14:textFill>
        </w:rPr>
      </w:pPr>
      <w:r>
        <w:rPr>
          <w:rFonts w:hint="eastAsia" w:ascii="宋体" w:hAnsi="宋体" w:cs="宋体"/>
          <w:b/>
          <w:bCs/>
          <w:color w:val="000000" w:themeColor="text1"/>
          <w:sz w:val="36"/>
          <w14:textFill>
            <w14:solidFill>
              <w14:schemeClr w14:val="tx1"/>
            </w14:solidFill>
          </w14:textFill>
        </w:rPr>
      </w:r>
      <w:r/>
    </w:p>
    <w:p>
      <w:pPr>
        <w:rPr>
          <w:rFonts w:hint="eastAsia" w:ascii="宋体" w:hAnsi="宋体" w:eastAsia="宋体" w:cs="宋体"/>
          <w:b/>
          <w:bCs/>
          <w:color w:val="000000" w:themeColor="text1"/>
          <w:sz w:val="36"/>
          <w:lang w:val="en-US" w:eastAsia="zh-CN"/>
          <w14:textFill>
            <w14:solidFill>
              <w14:schemeClr w14:val="tx1"/>
            </w14:solidFill>
          </w14:textFill>
        </w:rPr>
      </w:pPr>
      <w:r>
        <w:rPr>
          <w:rFonts w:hint="eastAsia" w:ascii="宋体" w:hAnsi="宋体" w:cs="宋体"/>
          <w:b/>
          <w:bCs/>
          <w:color w:val="000000" w:themeColor="text1"/>
          <w:sz w:val="36"/>
          <w:lang w:val="en-US" w:eastAsia="zh-CN"/>
          <w14:textFill>
            <w14:solidFill>
              <w14:schemeClr w14:val="tx1"/>
            </w14:solidFill>
          </w14:textFill>
        </w:rPr>
        <w:t xml:space="preserve"> </w:t>
      </w:r>
      <w:r/>
    </w:p>
    <w:p>
      <w:pPr>
        <w:pStyle w:val="986"/>
        <w:rPr>
          <w:rFonts w:hint="eastAsia"/>
        </w:rPr>
      </w:pPr>
      <w:r>
        <w:rPr>
          <w:rFonts w:hint="eastAsia"/>
        </w:rPr>
      </w:r>
      <w:r/>
    </w:p>
    <w:p>
      <w:pPr>
        <w:ind w:firstLine="3253"/>
        <w:spacing w:line="360" w:lineRule="auto"/>
        <w:rPr>
          <w:rFonts w:hint="eastAsia" w:ascii="宋体" w:hAnsi="宋体" w:cs="宋体"/>
          <w:b/>
          <w:bCs/>
          <w:color w:val="000000" w:themeColor="text1"/>
          <w:sz w:val="36"/>
          <w14:textFill>
            <w14:solidFill>
              <w14:schemeClr w14:val="tx1"/>
            </w14:solidFill>
          </w14:textFill>
        </w:rPr>
      </w:pPr>
      <w:r>
        <w:rPr>
          <w:rFonts w:hint="eastAsia" w:ascii="宋体" w:hAnsi="宋体" w:cs="宋体"/>
          <w:b/>
          <w:bCs/>
          <w:color w:val="000000" w:themeColor="text1"/>
          <w:sz w:val="36"/>
          <w14:textFill>
            <w14:solidFill>
              <w14:schemeClr w14:val="tx1"/>
            </w14:solidFill>
          </w14:textFill>
        </w:rPr>
      </w:r>
      <w:r/>
    </w:p>
    <w:p>
      <w:pPr>
        <w:ind w:firstLine="3253"/>
        <w:spacing w:line="360" w:lineRule="auto"/>
        <w:rPr>
          <w:rFonts w:ascii="宋体" w:hAnsi="宋体" w:cs="宋体"/>
          <w:b/>
          <w:bCs/>
          <w:color w:val="000000" w:themeColor="text1"/>
          <w:sz w:val="36"/>
          <w14:textFill>
            <w14:solidFill>
              <w14:schemeClr w14:val="tx1"/>
            </w14:solidFill>
          </w14:textFill>
        </w:rPr>
      </w:pPr>
      <w:r>
        <w:rPr>
          <w:rFonts w:hint="eastAsia" w:ascii="宋体" w:hAnsi="宋体" w:cs="宋体"/>
          <w:b/>
          <w:bCs/>
          <w:color w:val="000000" w:themeColor="text1"/>
          <w:sz w:val="36"/>
          <w14:textFill>
            <w14:solidFill>
              <w14:schemeClr w14:val="tx1"/>
            </w14:solidFill>
          </w14:textFill>
        </w:rPr>
        <w:t xml:space="preserve">3、磋商报价表</w:t>
      </w:r>
      <w:r/>
    </w:p>
    <w:p>
      <w:pPr>
        <w:jc w:val="left"/>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项目编号：JSZC-320324-JSRL-C</w:t>
      </w:r>
      <w:r>
        <w:rPr>
          <w:rFonts w:hint="eastAsia" w:ascii="宋体" w:hAnsi="宋体" w:cs="宋体"/>
          <w:color w:val="000000" w:themeColor="text1"/>
          <w:sz w:val="24"/>
          <w:lang w:eastAsia="zh-CN"/>
          <w14:textFill>
            <w14:solidFill>
              <w14:schemeClr w14:val="tx1"/>
            </w14:solidFill>
          </w14:textFill>
        </w:rPr>
        <w:t xml:space="preserve">2026-0003</w:t>
      </w:r>
      <w:r>
        <w:rPr>
          <w:rFonts w:hint="eastAsia" w:ascii="宋体" w:hAnsi="宋体" w:cs="宋体"/>
          <w:color w:val="000000" w:themeColor="text1"/>
          <w:sz w:val="24"/>
          <w14:textFill>
            <w14:solidFill>
              <w14:schemeClr w14:val="tx1"/>
            </w14:solidFill>
          </w14:textFill>
        </w:rPr>
        <w:t xml:space="preserve"> </w:t>
      </w:r>
      <w:r/>
    </w:p>
    <w:p>
      <w:p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本次为首次报价</w:t>
      </w:r>
      <w:r/>
    </w:p>
    <w:p>
      <w:p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货币单位：人民币元</w:t>
      </w:r>
      <w:r/>
    </w:p>
    <w:tbl>
      <w:tblPr>
        <w:tblStyle w:val="985"/>
        <w:tblW w:w="8941"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928"/>
        <w:gridCol w:w="1941"/>
        <w:gridCol w:w="3072"/>
      </w:tblGrid>
      <w:tr>
        <w:trPr>
          <w:cantSplit/>
          <w:jc w:val="center"/>
          <w:trHeight w:val="839"/>
        </w:trPr>
        <w:tc>
          <w:tcPr>
            <w:tcW w:w="3928" w:type="dxa"/>
            <w:vAlign w:val="center"/>
            <w:textDirection w:val="lrTb"/>
            <w:noWrap w:val="false"/>
          </w:tcPr>
          <w:p>
            <w:pPr>
              <w:jc w:val="center"/>
              <w:rPr>
                <w:rFonts w:ascii="宋体" w:hAnsi="宋体" w:cs="宋体"/>
                <w:b/>
                <w:bCs/>
                <w:color w:val="000000"/>
                <w:sz w:val="24"/>
              </w:rPr>
            </w:pPr>
            <w:r>
              <w:rPr>
                <w:rFonts w:hint="eastAsia" w:ascii="宋体" w:hAnsi="宋体" w:cs="宋体"/>
                <w:b/>
                <w:bCs/>
                <w:color w:val="000000"/>
                <w:sz w:val="24"/>
              </w:rPr>
              <w:t xml:space="preserve">项目名称</w:t>
            </w:r>
            <w:r/>
          </w:p>
        </w:tc>
        <w:tc>
          <w:tcPr>
            <w:tcW w:w="1941" w:type="dxa"/>
            <w:vAlign w:val="center"/>
            <w:textDirection w:val="lrTb"/>
            <w:noWrap w:val="false"/>
          </w:tcPr>
          <w:p>
            <w:pPr>
              <w:jc w:val="center"/>
              <w:rPr>
                <w:rFonts w:ascii="宋体" w:hAnsi="宋体" w:cs="宋体"/>
                <w:b/>
                <w:bCs/>
                <w:color w:val="000000"/>
                <w:sz w:val="24"/>
              </w:rPr>
            </w:pPr>
            <w:r>
              <w:rPr>
                <w:rFonts w:hint="eastAsia" w:ascii="宋体" w:hAnsi="宋体" w:cs="宋体"/>
                <w:b/>
                <w:bCs/>
                <w:color w:val="000000"/>
                <w:sz w:val="24"/>
              </w:rPr>
              <w:t xml:space="preserve">项目内容</w:t>
            </w:r>
            <w:r/>
          </w:p>
        </w:tc>
        <w:tc>
          <w:tcPr>
            <w:tcW w:w="3072" w:type="dxa"/>
            <w:vAlign w:val="center"/>
            <w:textDirection w:val="lrTb"/>
            <w:noWrap w:val="false"/>
          </w:tcPr>
          <w:p>
            <w:pPr>
              <w:jc w:val="center"/>
              <w:rPr>
                <w:rFonts w:ascii="宋体" w:hAnsi="宋体" w:cs="宋体"/>
                <w:b/>
                <w:bCs/>
                <w:color w:val="000000"/>
                <w:sz w:val="24"/>
              </w:rPr>
            </w:pPr>
            <w:r>
              <w:rPr>
                <w:rFonts w:hint="eastAsia" w:ascii="宋体" w:hAnsi="宋体" w:cs="宋体"/>
                <w:b/>
                <w:bCs/>
                <w:color w:val="000000"/>
                <w:sz w:val="24"/>
              </w:rPr>
              <w:t xml:space="preserve">总价（小写）</w:t>
            </w:r>
            <w:r/>
          </w:p>
        </w:tc>
      </w:tr>
      <w:tr>
        <w:trPr>
          <w:cantSplit/>
          <w:jc w:val="center"/>
          <w:trHeight w:val="1065" w:hRule="exact"/>
        </w:trPr>
        <w:tc>
          <w:tcPr>
            <w:tcW w:w="3928" w:type="dxa"/>
            <w:vAlign w:val="center"/>
            <w:textDirection w:val="lrTb"/>
            <w:noWrap w:val="false"/>
          </w:tcPr>
          <w:p>
            <w:pPr>
              <w:jc w:val="center"/>
              <w:rPr>
                <w:rFonts w:ascii="宋体" w:hAnsi="宋体" w:cs="宋体"/>
                <w:b/>
                <w:bCs/>
                <w:color w:val="000000"/>
                <w:sz w:val="24"/>
              </w:rPr>
            </w:pPr>
            <w:r>
              <w:rPr>
                <w:rFonts w:hint="eastAsia" w:ascii="宋体" w:hAnsi="宋体" w:cs="宋体"/>
                <w:b/>
                <w:bCs/>
                <w:color w:val="000000"/>
                <w:sz w:val="24"/>
                <w:lang w:eastAsia="zh-CN"/>
              </w:rPr>
              <w:t xml:space="preserve">双沟镇魏林安置小区10KV外线工程</w:t>
            </w:r>
            <w:r/>
          </w:p>
        </w:tc>
        <w:tc>
          <w:tcPr>
            <w:tcW w:w="1941" w:type="dxa"/>
            <w:vAlign w:val="center"/>
            <w:textDirection w:val="lrTb"/>
            <w:noWrap w:val="false"/>
          </w:tcPr>
          <w:p>
            <w:pPr>
              <w:jc w:val="center"/>
              <w:rPr>
                <w:rFonts w:ascii="宋体" w:hAnsi="宋体" w:cs="宋体"/>
                <w:b/>
                <w:bCs/>
                <w:color w:val="000000"/>
                <w:sz w:val="24"/>
              </w:rPr>
            </w:pPr>
            <w:r>
              <w:rPr>
                <w:rFonts w:hint="eastAsia" w:ascii="宋体" w:hAnsi="宋体" w:cs="宋体"/>
                <w:b/>
                <w:bCs/>
                <w:color w:val="000000"/>
                <w:sz w:val="24"/>
              </w:rPr>
              <w:t xml:space="preserve">详见响应文件</w:t>
            </w:r>
            <w:r/>
          </w:p>
        </w:tc>
        <w:tc>
          <w:tcPr>
            <w:tcW w:w="3072" w:type="dxa"/>
            <w:vAlign w:val="center"/>
            <w:textDirection w:val="lrTb"/>
            <w:noWrap w:val="false"/>
          </w:tcPr>
          <w:p>
            <w:pPr>
              <w:jc w:val="center"/>
              <w:rPr>
                <w:rFonts w:ascii="宋体" w:hAnsi="宋体" w:cs="宋体"/>
                <w:b/>
                <w:bCs/>
                <w:color w:val="000000"/>
                <w:sz w:val="24"/>
              </w:rPr>
            </w:pPr>
            <w:r>
              <w:rPr>
                <w:rFonts w:ascii="宋体" w:hAnsi="宋体" w:cs="宋体"/>
                <w:b/>
                <w:bCs/>
                <w:color w:val="000000"/>
                <w:sz w:val="24"/>
              </w:rPr>
            </w:r>
            <w:r/>
          </w:p>
        </w:tc>
      </w:tr>
      <w:tr>
        <w:trPr>
          <w:cantSplit/>
          <w:jc w:val="center"/>
          <w:trHeight w:val="1085" w:hRule="exact"/>
        </w:trPr>
        <w:tc>
          <w:tcPr>
            <w:tcW w:w="3928" w:type="dxa"/>
            <w:vAlign w:val="center"/>
            <w:textDirection w:val="lrTb"/>
            <w:noWrap w:val="false"/>
          </w:tcPr>
          <w:p>
            <w:pPr>
              <w:jc w:val="center"/>
              <w:rPr>
                <w:rFonts w:ascii="宋体" w:hAnsi="宋体" w:cs="宋体"/>
                <w:b/>
                <w:bCs/>
                <w:color w:val="000000"/>
                <w:sz w:val="24"/>
              </w:rPr>
            </w:pPr>
            <w:r>
              <w:rPr>
                <w:rFonts w:hint="eastAsia" w:ascii="宋体" w:hAnsi="宋体" w:cs="宋体"/>
                <w:b/>
                <w:bCs/>
                <w:color w:val="000000"/>
                <w:sz w:val="24"/>
              </w:rPr>
              <w:t xml:space="preserve">总价（大写）：</w:t>
            </w:r>
            <w:r/>
          </w:p>
        </w:tc>
        <w:tc>
          <w:tcPr>
            <w:gridSpan w:val="2"/>
            <w:tcW w:w="5013" w:type="dxa"/>
            <w:vAlign w:val="center"/>
            <w:textDirection w:val="lrTb"/>
            <w:noWrap w:val="false"/>
          </w:tcPr>
          <w:p>
            <w:pPr>
              <w:jc w:val="center"/>
              <w:rPr>
                <w:rFonts w:ascii="宋体" w:hAnsi="宋体" w:cs="宋体"/>
                <w:b/>
                <w:bCs/>
                <w:color w:val="000000"/>
                <w:sz w:val="24"/>
              </w:rPr>
            </w:pPr>
            <w:r>
              <w:rPr>
                <w:rFonts w:ascii="宋体" w:hAnsi="宋体" w:cs="宋体"/>
                <w:b/>
                <w:bCs/>
                <w:color w:val="000000"/>
                <w:sz w:val="24"/>
              </w:rPr>
            </w:r>
            <w:r/>
          </w:p>
        </w:tc>
      </w:tr>
    </w:tbl>
    <w:p>
      <w:pPr>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spacing w:line="360" w:lineRule="auto"/>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供应商承诺：本报价（总价）为供应商本企业提供的服务。</w:t>
      </w:r>
      <w:r/>
    </w:p>
    <w:p>
      <w:pPr>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报价说明：</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1、报价应包括磋商文件所确定的招标范围内工程量清单所含的全部内容，以及为完成上述内容所需的全部费用。采购人不再支付报价以外的任何费用。</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2、报价以总价为准，大小写不一致以大写为准；</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3、偏离说明：详见《偏离表》；</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4、如最后报价未列明单价，则最后所报各项单价计算方法为：（最后报价/最初报价）* 各项最初报价的单价。</w:t>
      </w:r>
      <w:r/>
    </w:p>
    <w:p>
      <w:pPr>
        <w:ind w:firstLine="480"/>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ind w:firstLine="480"/>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ind w:right="29"/>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供应商（电子签章）：</w:t>
      </w:r>
      <w:r/>
    </w:p>
    <w:p>
      <w:pPr>
        <w:ind w:right="29"/>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w:t>
      </w:r>
      <w:r/>
    </w:p>
    <w:p>
      <w:pPr>
        <w:ind w:right="29" w:firstLine="264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日期：</w:t>
      </w:r>
      <w:r/>
    </w:p>
    <w:p>
      <w:pPr>
        <w:rPr>
          <w:rFonts w:ascii="宋体" w:hAnsi="宋体" w:cs="宋体"/>
          <w:b/>
          <w:bCs/>
          <w:color w:val="000000" w:themeColor="text1"/>
          <w:sz w:val="36"/>
          <w14:textFill>
            <w14:solidFill>
              <w14:schemeClr w14:val="tx1"/>
            </w14:solidFill>
          </w14:textFill>
        </w:rPr>
      </w:pPr>
      <w:r>
        <w:rPr>
          <w:rFonts w:ascii="宋体" w:hAnsi="宋体" w:cs="宋体"/>
          <w:b/>
          <w:bCs/>
          <w:color w:val="000000" w:themeColor="text1"/>
          <w:sz w:val="36"/>
          <w14:textFill>
            <w14:solidFill>
              <w14:schemeClr w14:val="tx1"/>
            </w14:solidFill>
          </w14:textFill>
        </w:rPr>
      </w:r>
      <w:r/>
    </w:p>
    <w:p>
      <w:pPr>
        <w:pStyle w:val="994"/>
        <w:rPr>
          <w:rFonts w:ascii="宋体" w:hAnsi="宋体" w:cs="宋体"/>
          <w:b/>
          <w:bCs/>
          <w:color w:val="000000" w:themeColor="text1"/>
          <w:sz w:val="36"/>
          <w14:textFill>
            <w14:solidFill>
              <w14:schemeClr w14:val="tx1"/>
            </w14:solidFill>
          </w14:textFill>
        </w:rPr>
      </w:pPr>
      <w:r>
        <w:rPr>
          <w:rFonts w:ascii="宋体" w:hAnsi="宋体" w:cs="宋体"/>
          <w:b/>
          <w:bCs/>
          <w:color w:val="000000" w:themeColor="text1"/>
          <w:sz w:val="36"/>
          <w14:textFill>
            <w14:solidFill>
              <w14:schemeClr w14:val="tx1"/>
            </w14:solidFill>
          </w14:textFill>
        </w:rPr>
      </w:r>
      <w:r/>
    </w:p>
    <w:p>
      <w:pPr>
        <w:pStyle w:val="994"/>
        <w:rPr>
          <w:rFonts w:ascii="宋体" w:hAnsi="宋体" w:cs="宋体"/>
          <w:b/>
          <w:bCs/>
          <w:color w:val="000000" w:themeColor="text1"/>
          <w:sz w:val="36"/>
          <w14:textFill>
            <w14:solidFill>
              <w14:schemeClr w14:val="tx1"/>
            </w14:solidFill>
          </w14:textFill>
        </w:rPr>
      </w:pPr>
      <w:r>
        <w:rPr>
          <w:rFonts w:ascii="宋体" w:hAnsi="宋体" w:cs="宋体"/>
          <w:b/>
          <w:bCs/>
          <w:color w:val="000000" w:themeColor="text1"/>
          <w:sz w:val="36"/>
          <w14:textFill>
            <w14:solidFill>
              <w14:schemeClr w14:val="tx1"/>
            </w14:solidFill>
          </w14:textFill>
        </w:rPr>
      </w:r>
      <w:r/>
    </w:p>
    <w:p>
      <w:pPr>
        <w:jc w:val="center"/>
        <w:rPr>
          <w:rFonts w:ascii="宋体" w:hAnsi="宋体" w:cs="宋体"/>
          <w:b/>
          <w:bCs/>
          <w:color w:val="000000" w:themeColor="text1"/>
          <w:sz w:val="36"/>
          <w14:textFill>
            <w14:solidFill>
              <w14:schemeClr w14:val="tx1"/>
            </w14:solidFill>
          </w14:textFill>
        </w:rPr>
      </w:pPr>
      <w:r>
        <w:rPr>
          <w:rFonts w:ascii="宋体" w:hAnsi="宋体" w:cs="宋体"/>
          <w:b/>
          <w:bCs/>
          <w:color w:val="000000" w:themeColor="text1"/>
          <w:sz w:val="36"/>
          <w14:textFill>
            <w14:solidFill>
              <w14:schemeClr w14:val="tx1"/>
            </w14:solidFill>
          </w14:textFill>
        </w:rPr>
      </w:r>
      <w:r/>
    </w:p>
    <w:p>
      <w:pPr>
        <w:jc w:val="center"/>
        <w:rPr>
          <w:rFonts w:ascii="宋体" w:hAnsi="宋体" w:cs="宋体"/>
          <w:b/>
          <w:bCs/>
          <w:color w:val="000000" w:themeColor="text1"/>
          <w:sz w:val="36"/>
          <w14:textFill>
            <w14:solidFill>
              <w14:schemeClr w14:val="tx1"/>
            </w14:solidFill>
          </w14:textFill>
        </w:rPr>
      </w:pPr>
      <w:r>
        <w:rPr>
          <w:rFonts w:hint="eastAsia" w:ascii="宋体" w:hAnsi="宋体" w:cs="宋体"/>
          <w:b/>
          <w:bCs/>
          <w:color w:val="000000" w:themeColor="text1"/>
          <w:sz w:val="36"/>
          <w14:textFill>
            <w14:solidFill>
              <w14:schemeClr w14:val="tx1"/>
            </w14:solidFill>
          </w14:textFill>
        </w:rPr>
        <w:t xml:space="preserve">4、</w:t>
      </w:r>
      <w:bookmarkStart w:id="0" w:name="_Hlk81985238"/>
      <w:r>
        <w:rPr>
          <w:rFonts w:hint="eastAsia" w:ascii="宋体" w:hAnsi="宋体" w:cs="宋体"/>
          <w:b/>
          <w:bCs/>
          <w:color w:val="000000" w:themeColor="text1"/>
          <w:sz w:val="36"/>
          <w14:textFill>
            <w14:solidFill>
              <w14:schemeClr w14:val="tx1"/>
            </w14:solidFill>
          </w14:textFill>
        </w:rPr>
        <w:t xml:space="preserve">分项价格表</w:t>
      </w:r>
      <w:r/>
    </w:p>
    <w:p>
      <w:pPr>
        <w:jc w:val="center"/>
        <w:spacing w:line="360" w:lineRule="auto"/>
        <w:rPr>
          <w:rFonts w:ascii="宋体" w:hAnsi="宋体" w:cs="宋体"/>
          <w:color w:val="000000" w:themeColor="text1"/>
          <w:sz w:val="24"/>
          <w14:textFill>
            <w14:solidFill>
              <w14:schemeClr w14:val="tx1"/>
            </w14:solidFill>
          </w14:textFill>
        </w:rPr>
      </w:pPr>
      <w:r>
        <w:rPr>
          <w:rFonts w:hint="eastAsia" w:ascii="宋体" w:hAnsi="宋体" w:cs="宋体"/>
          <w:b/>
          <w:bCs/>
          <w:color w:val="000000" w:themeColor="text1"/>
          <w:sz w:val="36"/>
          <w14:textFill>
            <w14:solidFill>
              <w14:schemeClr w14:val="tx1"/>
            </w14:solidFill>
          </w14:textFill>
        </w:rPr>
        <w:t xml:space="preserve">（具有标价的工程量清单与报价表）</w:t>
      </w:r>
      <w:r/>
    </w:p>
    <w:p>
      <w:pPr>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本次为首次报价</w:t>
      </w:r>
      <w:r/>
    </w:p>
    <w:p>
      <w:p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项目编号：JSZC-320324-JSRL-C</w:t>
      </w:r>
      <w:r>
        <w:rPr>
          <w:rFonts w:hint="eastAsia" w:ascii="宋体" w:hAnsi="宋体" w:cs="宋体"/>
          <w:color w:val="000000" w:themeColor="text1"/>
          <w:sz w:val="24"/>
          <w:lang w:eastAsia="zh-CN"/>
          <w14:textFill>
            <w14:solidFill>
              <w14:schemeClr w14:val="tx1"/>
            </w14:solidFill>
          </w14:textFill>
        </w:rPr>
        <w:t xml:space="preserve">2026-0003</w:t>
      </w:r>
      <w:r>
        <w:rPr>
          <w:rFonts w:hint="eastAsia" w:ascii="宋体" w:hAnsi="宋体" w:cs="宋体"/>
          <w:color w:val="000000" w:themeColor="text1"/>
          <w:sz w:val="24"/>
          <w14:textFill>
            <w14:solidFill>
              <w14:schemeClr w14:val="tx1"/>
            </w14:solidFill>
          </w14:textFill>
        </w:rPr>
        <w:t xml:space="preserve"> </w:t>
      </w:r>
      <w:r/>
    </w:p>
    <w:p>
      <w:pPr>
        <w:spacing w:line="276"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项目名称：</w:t>
      </w:r>
      <w:r>
        <w:rPr>
          <w:rFonts w:hint="eastAsia" w:ascii="宋体" w:hAnsi="宋体" w:cs="宋体"/>
          <w:color w:val="000000" w:themeColor="text1"/>
          <w:sz w:val="24"/>
          <w:lang w:eastAsia="zh-CN"/>
          <w14:textFill>
            <w14:solidFill>
              <w14:schemeClr w14:val="tx1"/>
            </w14:solidFill>
          </w14:textFill>
        </w:rPr>
        <w:t xml:space="preserve">双沟镇魏林安置小区10KV外线工程</w:t>
      </w:r>
      <w:r/>
    </w:p>
    <w:p>
      <w:pPr>
        <w:pStyle w:val="994"/>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pStyle w:val="994"/>
        <w:ind w:left="0"/>
        <w:jc w:val="center"/>
        <w:rPr>
          <w:rFonts w:ascii="宋体" w:hAnsi="宋体" w:cs="宋体"/>
          <w:color w:val="ff0000"/>
        </w:rPr>
      </w:pPr>
      <w:r>
        <w:rPr>
          <w:rFonts w:ascii="宋体" w:hAnsi="宋体" w:cs="宋体"/>
          <w:color w:val="ff0000"/>
        </w:rPr>
      </w:r>
      <w:r/>
    </w:p>
    <w:p>
      <w:pPr>
        <w:pStyle w:val="994"/>
        <w:ind w:left="0"/>
        <w:jc w:val="center"/>
        <w:rPr>
          <w:rFonts w:ascii="宋体" w:hAnsi="宋体" w:cs="宋体"/>
          <w:color w:val="ff0000"/>
        </w:rPr>
      </w:pPr>
      <w:r>
        <w:rPr>
          <w:rFonts w:ascii="宋体" w:hAnsi="宋体" w:cs="宋体"/>
          <w:color w:val="ff0000"/>
        </w:rPr>
      </w:r>
      <w:r/>
    </w:p>
    <w:p>
      <w:pPr>
        <w:pStyle w:val="994"/>
        <w:ind w:left="0"/>
        <w:jc w:val="center"/>
        <w:rPr>
          <w:rFonts w:ascii="宋体" w:hAnsi="宋体" w:cs="宋体"/>
          <w:color w:val="ff0000"/>
        </w:rPr>
      </w:pPr>
      <w:r>
        <w:rPr>
          <w:rFonts w:ascii="宋体" w:hAnsi="宋体" w:cs="宋体"/>
          <w:color w:val="ff0000"/>
        </w:rPr>
      </w:r>
      <w:r/>
    </w:p>
    <w:p>
      <w:pPr>
        <w:pStyle w:val="994"/>
        <w:ind w:left="0"/>
        <w:jc w:val="center"/>
        <w:rPr>
          <w:rFonts w:ascii="宋体" w:hAnsi="宋体" w:cs="宋体"/>
        </w:rPr>
      </w:pPr>
      <w:r>
        <w:rPr>
          <w:rFonts w:hint="eastAsia" w:ascii="宋体" w:hAnsi="宋体" w:cs="宋体"/>
        </w:rPr>
        <w:t xml:space="preserve">【根据《工程量清单》进行编制】</w:t>
      </w:r>
      <w:r/>
    </w:p>
    <w:p>
      <w:pPr>
        <w:spacing w:line="276" w:lineRule="auto"/>
        <w:rPr>
          <w:rFonts w:ascii="宋体" w:hAnsi="宋体" w:cs="宋体"/>
          <w:sz w:val="24"/>
        </w:rPr>
      </w:pPr>
      <w:r>
        <w:rPr>
          <w:rFonts w:ascii="宋体" w:hAnsi="宋体" w:cs="宋体"/>
          <w:sz w:val="24"/>
        </w:rPr>
      </w:r>
      <w:r/>
    </w:p>
    <w:p>
      <w:pPr>
        <w:spacing w:line="276"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spacing w:line="276"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spacing w:line="276"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spacing w:line="276"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ind w:firstLine="2280"/>
        <w:spacing w:line="276"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供应商（电子签章）：</w:t>
      </w:r>
      <w:r/>
    </w:p>
    <w:p>
      <w:pPr>
        <w:spacing w:line="276"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w:t>
      </w:r>
      <w:r/>
    </w:p>
    <w:p>
      <w:pPr>
        <w:spacing w:line="276"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日期：</w:t>
      </w:r>
      <w:bookmarkEnd w:id="0"/>
      <w:r/>
      <w:r/>
    </w:p>
    <w:p>
      <w:pPr>
        <w:spacing w:line="276"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rPr>
          <w:rFonts w:ascii="宋体" w:hAnsi="宋体" w:cs="宋体"/>
          <w:color w:val="000000"/>
          <w:sz w:val="24"/>
        </w:rPr>
      </w:pPr>
      <w:r>
        <w:rPr>
          <w:rFonts w:hint="eastAsia" w:ascii="宋体" w:hAnsi="宋体" w:cs="宋体"/>
          <w:sz w:val="24"/>
        </w:rPr>
        <w:t xml:space="preserve">注：</w:t>
      </w:r>
      <w:r>
        <w:rPr>
          <w:rFonts w:hint="eastAsia" w:ascii="宋体" w:hAnsi="宋体" w:cs="宋体"/>
          <w:color w:val="000000"/>
          <w:sz w:val="24"/>
        </w:rPr>
        <w:t xml:space="preserve">1、如果按单价计算的结果与总价不一致，以总价为准。</w:t>
      </w:r>
      <w:r/>
    </w:p>
    <w:p>
      <w:pPr>
        <w:ind w:firstLine="480"/>
        <w:rPr>
          <w:rFonts w:ascii="宋体" w:hAnsi="宋体" w:cs="宋体"/>
          <w:color w:val="000000"/>
          <w:sz w:val="24"/>
        </w:rPr>
      </w:pPr>
      <w:r>
        <w:rPr>
          <w:rFonts w:hint="eastAsia" w:ascii="宋体" w:hAnsi="宋体" w:cs="宋体"/>
          <w:color w:val="000000"/>
          <w:sz w:val="24"/>
        </w:rPr>
        <w:t xml:space="preserve">2、如果不提供详细分项报价将视为没有实质性响应。</w:t>
      </w:r>
      <w:r/>
    </w:p>
    <w:p>
      <w:pPr>
        <w:ind w:firstLine="480"/>
        <w:rPr>
          <w:rFonts w:ascii="宋体" w:hAnsi="宋体" w:cs="宋体"/>
          <w:sz w:val="24"/>
        </w:rPr>
      </w:pPr>
      <w:r>
        <w:rPr>
          <w:rFonts w:hint="eastAsia" w:ascii="宋体" w:hAnsi="宋体" w:cs="宋体"/>
          <w:color w:val="000000"/>
          <w:sz w:val="24"/>
        </w:rPr>
        <w:t xml:space="preserve">3、供应商对以上数据的真实性负责。</w:t>
      </w:r>
      <w:r/>
    </w:p>
    <w:p>
      <w:pPr>
        <w:ind w:firstLine="482"/>
        <w:spacing w:line="276" w:lineRule="auto"/>
        <w:rPr>
          <w:rFonts w:ascii="宋体" w:hAnsi="宋体" w:cs="宋体"/>
          <w:b/>
          <w:bCs/>
          <w:sz w:val="24"/>
        </w:rPr>
      </w:pPr>
      <w:r>
        <w:rPr>
          <w:rFonts w:hint="eastAsia" w:ascii="宋体" w:hAnsi="宋体" w:cs="宋体"/>
          <w:b/>
          <w:i/>
          <w:sz w:val="24"/>
          <w:u w:val="single"/>
        </w:rPr>
        <w:t xml:space="preserve">采购人或采购代理机构有权将以上内容进行公示。</w:t>
      </w:r>
      <w:r/>
    </w:p>
    <w:p>
      <w:pPr>
        <w:rPr>
          <w:rFonts w:ascii="宋体" w:hAnsi="宋体" w:cs="宋体"/>
          <w:b/>
          <w:bCs/>
          <w:color w:val="000000" w:themeColor="text1"/>
          <w:sz w:val="36"/>
          <w14:textFill>
            <w14:solidFill>
              <w14:schemeClr w14:val="tx1"/>
            </w14:solidFill>
          </w14:textFill>
        </w:rPr>
      </w:pPr>
      <w:r>
        <w:rPr>
          <w:rFonts w:hint="eastAsia" w:ascii="宋体" w:hAnsi="宋体" w:cs="宋体"/>
          <w:b/>
          <w:bCs/>
          <w:color w:val="000000" w:themeColor="text1"/>
          <w:sz w:val="36"/>
          <w14:textFill>
            <w14:solidFill>
              <w14:schemeClr w14:val="tx1"/>
            </w14:solidFill>
          </w14:textFill>
        </w:rPr>
        <w:br w:type="page" w:clear="all"/>
      </w:r>
      <w:r/>
    </w:p>
    <w:p>
      <w:pPr>
        <w:jc w:val="center"/>
        <w:rPr>
          <w:rFonts w:ascii="宋体" w:hAnsi="宋体" w:cs="宋体"/>
          <w:b/>
          <w:bCs/>
          <w:color w:val="000000" w:themeColor="text1"/>
          <w:sz w:val="36"/>
          <w14:textFill>
            <w14:solidFill>
              <w14:schemeClr w14:val="tx1"/>
            </w14:solidFill>
          </w14:textFill>
        </w:rPr>
      </w:pPr>
      <w:r>
        <w:rPr>
          <w:rFonts w:hint="eastAsia" w:ascii="宋体" w:hAnsi="宋体" w:cs="宋体"/>
          <w:b/>
          <w:bCs/>
          <w:color w:val="000000" w:themeColor="text1"/>
          <w:sz w:val="36"/>
          <w14:textFill>
            <w14:solidFill>
              <w14:schemeClr w14:val="tx1"/>
            </w14:solidFill>
          </w14:textFill>
        </w:rPr>
        <w:t xml:space="preserve">5、承包人用于本工程施工的机械设备表</w:t>
      </w:r>
      <w:r/>
    </w:p>
    <w:p>
      <w:p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项目编号：JSZC-320324-JSRL-C</w:t>
      </w:r>
      <w:r>
        <w:rPr>
          <w:rFonts w:hint="eastAsia" w:ascii="宋体" w:hAnsi="宋体" w:cs="宋体"/>
          <w:color w:val="000000" w:themeColor="text1"/>
          <w:sz w:val="24"/>
          <w:lang w:eastAsia="zh-CN"/>
          <w14:textFill>
            <w14:solidFill>
              <w14:schemeClr w14:val="tx1"/>
            </w14:solidFill>
          </w14:textFill>
        </w:rPr>
        <w:t xml:space="preserve">2026-0003</w:t>
      </w:r>
      <w:r>
        <w:rPr>
          <w:rFonts w:hint="eastAsia" w:ascii="宋体" w:hAnsi="宋体" w:cs="宋体"/>
          <w:color w:val="000000" w:themeColor="text1"/>
          <w:sz w:val="24"/>
          <w14:textFill>
            <w14:solidFill>
              <w14:schemeClr w14:val="tx1"/>
            </w14:solidFill>
          </w14:textFill>
        </w:rPr>
        <w:t xml:space="preserve"> </w:t>
      </w:r>
      <w:r/>
    </w:p>
    <w:p>
      <w:p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项目名称：</w:t>
      </w:r>
      <w:r>
        <w:rPr>
          <w:rFonts w:hint="eastAsia" w:ascii="宋体" w:hAnsi="宋体" w:cs="宋体"/>
          <w:color w:val="000000" w:themeColor="text1"/>
          <w:sz w:val="24"/>
          <w:lang w:eastAsia="zh-CN"/>
          <w14:textFill>
            <w14:solidFill>
              <w14:schemeClr w14:val="tx1"/>
            </w14:solidFill>
          </w14:textFill>
        </w:rPr>
        <w:t xml:space="preserve">双沟镇魏林安置小区10KV外线工程</w:t>
      </w:r>
      <w:r/>
    </w:p>
    <w:tbl>
      <w:tblPr>
        <w:tblStyle w:val="1012"/>
        <w:tblW w:w="9150" w:type="dxa"/>
        <w:tblInd w:w="-2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28" w:type="dxa"/>
          <w:top w:w="0" w:type="dxa"/>
          <w:right w:w="28" w:type="dxa"/>
          <w:bottom w:w="0" w:type="dxa"/>
        </w:tblCellMar>
        <w:tblLook w:val="04A0" w:firstRow="1" w:lastRow="0" w:firstColumn="1" w:lastColumn="0" w:noHBand="0" w:noVBand="1"/>
      </w:tblPr>
      <w:tblGrid>
        <w:gridCol w:w="1016"/>
        <w:gridCol w:w="1016"/>
        <w:gridCol w:w="1016"/>
        <w:gridCol w:w="1017"/>
        <w:gridCol w:w="1017"/>
        <w:gridCol w:w="1017"/>
        <w:gridCol w:w="1017"/>
        <w:gridCol w:w="1017"/>
        <w:gridCol w:w="1017"/>
      </w:tblGrid>
      <w:tr>
        <w:trPr>
          <w:trHeight w:val="1006"/>
        </w:trPr>
        <w:tc>
          <w:tcPr>
            <w:tcMar>
              <w:left w:w="28" w:type="dxa"/>
              <w:top w:w="0" w:type="dxa"/>
              <w:right w:w="28" w:type="dxa"/>
              <w:bottom w:w="0" w:type="dxa"/>
            </w:tcMar>
            <w:tcW w:w="1016" w:type="dxa"/>
            <w:vAlign w:val="center"/>
            <w:textDirection w:val="lrTb"/>
            <w:noWrap w:val="false"/>
          </w:tcPr>
          <w:p>
            <w:pPr>
              <w:ind w:right="72"/>
              <w:jc w:val="center"/>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序号</w:t>
            </w:r>
            <w:r/>
          </w:p>
        </w:tc>
        <w:tc>
          <w:tcPr>
            <w:tcMar>
              <w:left w:w="28" w:type="dxa"/>
              <w:top w:w="0" w:type="dxa"/>
              <w:right w:w="28" w:type="dxa"/>
              <w:bottom w:w="0" w:type="dxa"/>
            </w:tcMar>
            <w:tcW w:w="1016" w:type="dxa"/>
            <w:vAlign w:val="center"/>
            <w:textDirection w:val="lrTb"/>
            <w:noWrap w:val="false"/>
          </w:tcPr>
          <w:p>
            <w:pPr>
              <w:ind w:right="72"/>
              <w:jc w:val="center"/>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机械或设备名称</w:t>
            </w:r>
            <w:r/>
          </w:p>
        </w:tc>
        <w:tc>
          <w:tcPr>
            <w:tcMar>
              <w:left w:w="28" w:type="dxa"/>
              <w:top w:w="0" w:type="dxa"/>
              <w:right w:w="28" w:type="dxa"/>
              <w:bottom w:w="0" w:type="dxa"/>
            </w:tcMar>
            <w:tcW w:w="1016" w:type="dxa"/>
            <w:vAlign w:val="center"/>
            <w:textDirection w:val="lrTb"/>
            <w:noWrap w:val="false"/>
          </w:tcPr>
          <w:p>
            <w:pPr>
              <w:ind w:right="72"/>
              <w:jc w:val="center"/>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规格型号</w:t>
            </w:r>
            <w:r/>
          </w:p>
        </w:tc>
        <w:tc>
          <w:tcPr>
            <w:tcMar>
              <w:left w:w="28" w:type="dxa"/>
              <w:top w:w="0" w:type="dxa"/>
              <w:right w:w="28" w:type="dxa"/>
              <w:bottom w:w="0" w:type="dxa"/>
            </w:tcMar>
            <w:tcW w:w="1017" w:type="dxa"/>
            <w:vAlign w:val="center"/>
            <w:textDirection w:val="lrTb"/>
            <w:noWrap w:val="false"/>
          </w:tcPr>
          <w:p>
            <w:pPr>
              <w:ind w:right="72"/>
              <w:jc w:val="center"/>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数量</w:t>
            </w:r>
            <w:r/>
          </w:p>
        </w:tc>
        <w:tc>
          <w:tcPr>
            <w:tcMar>
              <w:left w:w="28" w:type="dxa"/>
              <w:top w:w="0" w:type="dxa"/>
              <w:right w:w="28" w:type="dxa"/>
              <w:bottom w:w="0" w:type="dxa"/>
            </w:tcMar>
            <w:tcW w:w="1017" w:type="dxa"/>
            <w:vAlign w:val="center"/>
            <w:textDirection w:val="lrTb"/>
            <w:noWrap w:val="false"/>
          </w:tcPr>
          <w:p>
            <w:pPr>
              <w:ind w:right="72"/>
              <w:jc w:val="center"/>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产地</w:t>
            </w:r>
            <w:r/>
          </w:p>
        </w:tc>
        <w:tc>
          <w:tcPr>
            <w:tcMar>
              <w:left w:w="28" w:type="dxa"/>
              <w:top w:w="0" w:type="dxa"/>
              <w:right w:w="28" w:type="dxa"/>
              <w:bottom w:w="0" w:type="dxa"/>
            </w:tcMar>
            <w:tcW w:w="1017" w:type="dxa"/>
            <w:vAlign w:val="center"/>
            <w:textDirection w:val="lrTb"/>
            <w:noWrap w:val="false"/>
          </w:tcPr>
          <w:p>
            <w:pPr>
              <w:ind w:right="72"/>
              <w:jc w:val="center"/>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制造年份</w:t>
            </w:r>
            <w:r/>
          </w:p>
        </w:tc>
        <w:tc>
          <w:tcPr>
            <w:tcMar>
              <w:left w:w="28" w:type="dxa"/>
              <w:top w:w="0" w:type="dxa"/>
              <w:right w:w="28" w:type="dxa"/>
              <w:bottom w:w="0" w:type="dxa"/>
            </w:tcMar>
            <w:tcW w:w="1017" w:type="dxa"/>
            <w:vAlign w:val="center"/>
            <w:textDirection w:val="lrTb"/>
            <w:noWrap w:val="false"/>
          </w:tcPr>
          <w:p>
            <w:pPr>
              <w:ind w:right="72"/>
              <w:jc w:val="center"/>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额定功率(kW)</w:t>
            </w:r>
            <w:r/>
          </w:p>
        </w:tc>
        <w:tc>
          <w:tcPr>
            <w:tcMar>
              <w:left w:w="28" w:type="dxa"/>
              <w:top w:w="0" w:type="dxa"/>
              <w:right w:w="28" w:type="dxa"/>
              <w:bottom w:w="0" w:type="dxa"/>
            </w:tcMar>
            <w:tcW w:w="1017" w:type="dxa"/>
            <w:vAlign w:val="center"/>
            <w:textDirection w:val="lrTb"/>
            <w:noWrap w:val="false"/>
          </w:tcPr>
          <w:p>
            <w:pPr>
              <w:ind w:right="72"/>
              <w:jc w:val="center"/>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生产能力</w:t>
            </w:r>
            <w:r/>
          </w:p>
        </w:tc>
        <w:tc>
          <w:tcPr>
            <w:tcMar>
              <w:left w:w="28" w:type="dxa"/>
              <w:top w:w="0" w:type="dxa"/>
              <w:right w:w="28" w:type="dxa"/>
              <w:bottom w:w="0" w:type="dxa"/>
            </w:tcMar>
            <w:tcW w:w="1017" w:type="dxa"/>
            <w:vAlign w:val="center"/>
            <w:textDirection w:val="lrTb"/>
            <w:noWrap w:val="false"/>
          </w:tcPr>
          <w:p>
            <w:pPr>
              <w:ind w:right="72"/>
              <w:jc w:val="center"/>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备注</w:t>
            </w:r>
            <w:r/>
          </w:p>
        </w:tc>
      </w:tr>
      <w:tr>
        <w:trPr>
          <w:trHeight w:val="567"/>
        </w:trPr>
        <w:tc>
          <w:tcPr>
            <w:tcMar>
              <w:left w:w="28" w:type="dxa"/>
              <w:top w:w="0" w:type="dxa"/>
              <w:right w:w="28" w:type="dxa"/>
              <w:bottom w:w="0" w:type="dxa"/>
            </w:tcMar>
            <w:tcW w:w="1016" w:type="dxa"/>
            <w:vAlign w:val="center"/>
            <w:textDirection w:val="lrTb"/>
            <w:noWrap w:val="false"/>
          </w:tcPr>
          <w:p>
            <w:pPr>
              <w:ind w:right="72"/>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 </w:t>
            </w:r>
            <w:r/>
          </w:p>
        </w:tc>
        <w:tc>
          <w:tcPr>
            <w:tcMar>
              <w:left w:w="28" w:type="dxa"/>
              <w:top w:w="0" w:type="dxa"/>
              <w:right w:w="28" w:type="dxa"/>
              <w:bottom w:w="0" w:type="dxa"/>
            </w:tcMar>
            <w:tcW w:w="1016" w:type="dxa"/>
            <w:vAlign w:val="center"/>
            <w:textDirection w:val="lrTb"/>
            <w:noWrap w:val="false"/>
          </w:tcPr>
          <w:p>
            <w:pPr>
              <w:ind w:right="72"/>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 </w:t>
            </w:r>
            <w:r/>
          </w:p>
        </w:tc>
        <w:tc>
          <w:tcPr>
            <w:tcMar>
              <w:left w:w="28" w:type="dxa"/>
              <w:top w:w="0" w:type="dxa"/>
              <w:right w:w="28" w:type="dxa"/>
              <w:bottom w:w="0" w:type="dxa"/>
            </w:tcMar>
            <w:tcW w:w="1016" w:type="dxa"/>
            <w:vAlign w:val="center"/>
            <w:textDirection w:val="lrTb"/>
            <w:noWrap w:val="false"/>
          </w:tcPr>
          <w:p>
            <w:pPr>
              <w:ind w:right="72"/>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 </w:t>
            </w:r>
            <w:r/>
          </w:p>
        </w:tc>
        <w:tc>
          <w:tcPr>
            <w:tcMar>
              <w:left w:w="28" w:type="dxa"/>
              <w:top w:w="0" w:type="dxa"/>
              <w:right w:w="28" w:type="dxa"/>
              <w:bottom w:w="0" w:type="dxa"/>
            </w:tcMar>
            <w:tcW w:w="1017" w:type="dxa"/>
            <w:vAlign w:val="center"/>
            <w:textDirection w:val="lrTb"/>
            <w:noWrap w:val="false"/>
          </w:tcPr>
          <w:p>
            <w:pPr>
              <w:ind w:right="72"/>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 </w:t>
            </w:r>
            <w:r/>
          </w:p>
        </w:tc>
        <w:tc>
          <w:tcPr>
            <w:tcMar>
              <w:left w:w="28" w:type="dxa"/>
              <w:top w:w="0" w:type="dxa"/>
              <w:right w:w="28" w:type="dxa"/>
              <w:bottom w:w="0" w:type="dxa"/>
            </w:tcMar>
            <w:tcW w:w="1017" w:type="dxa"/>
            <w:vAlign w:val="center"/>
            <w:textDirection w:val="lrTb"/>
            <w:noWrap w:val="false"/>
          </w:tcPr>
          <w:p>
            <w:pPr>
              <w:ind w:right="72"/>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 </w:t>
            </w:r>
            <w:r/>
          </w:p>
        </w:tc>
        <w:tc>
          <w:tcPr>
            <w:tcMar>
              <w:left w:w="28" w:type="dxa"/>
              <w:top w:w="0" w:type="dxa"/>
              <w:right w:w="28" w:type="dxa"/>
              <w:bottom w:w="0" w:type="dxa"/>
            </w:tcMar>
            <w:tcW w:w="1017" w:type="dxa"/>
            <w:vAlign w:val="center"/>
            <w:textDirection w:val="lrTb"/>
            <w:noWrap w:val="false"/>
          </w:tcPr>
          <w:p>
            <w:pPr>
              <w:ind w:right="72"/>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 </w:t>
            </w:r>
            <w:r/>
          </w:p>
        </w:tc>
        <w:tc>
          <w:tcPr>
            <w:tcMar>
              <w:left w:w="28" w:type="dxa"/>
              <w:top w:w="0" w:type="dxa"/>
              <w:right w:w="28" w:type="dxa"/>
              <w:bottom w:w="0" w:type="dxa"/>
            </w:tcMar>
            <w:tcW w:w="1017" w:type="dxa"/>
            <w:vAlign w:val="center"/>
            <w:textDirection w:val="lrTb"/>
            <w:noWrap w:val="false"/>
          </w:tcPr>
          <w:p>
            <w:pPr>
              <w:ind w:right="72"/>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 </w:t>
            </w:r>
            <w:r/>
          </w:p>
        </w:tc>
        <w:tc>
          <w:tcPr>
            <w:tcMar>
              <w:left w:w="28" w:type="dxa"/>
              <w:top w:w="0" w:type="dxa"/>
              <w:right w:w="28" w:type="dxa"/>
              <w:bottom w:w="0" w:type="dxa"/>
            </w:tcMar>
            <w:tcW w:w="1017" w:type="dxa"/>
            <w:vAlign w:val="center"/>
            <w:textDirection w:val="lrTb"/>
            <w:noWrap w:val="false"/>
          </w:tcPr>
          <w:p>
            <w:pPr>
              <w:ind w:right="72"/>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 </w:t>
            </w:r>
            <w:r/>
          </w:p>
        </w:tc>
        <w:tc>
          <w:tcPr>
            <w:tcMar>
              <w:left w:w="28" w:type="dxa"/>
              <w:top w:w="0" w:type="dxa"/>
              <w:right w:w="28" w:type="dxa"/>
              <w:bottom w:w="0" w:type="dxa"/>
            </w:tcMar>
            <w:tcW w:w="1017" w:type="dxa"/>
            <w:vAlign w:val="center"/>
            <w:textDirection w:val="lrTb"/>
            <w:noWrap w:val="false"/>
          </w:tcPr>
          <w:p>
            <w:pPr>
              <w:ind w:right="72"/>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 </w:t>
            </w:r>
            <w:r/>
          </w:p>
        </w:tc>
      </w:tr>
      <w:tr>
        <w:trPr>
          <w:trHeight w:val="567"/>
        </w:trPr>
        <w:tc>
          <w:tcPr>
            <w:tcMar>
              <w:left w:w="28" w:type="dxa"/>
              <w:top w:w="0" w:type="dxa"/>
              <w:right w:w="28" w:type="dxa"/>
              <w:bottom w:w="0" w:type="dxa"/>
            </w:tcMar>
            <w:tcW w:w="1016" w:type="dxa"/>
            <w:vAlign w:val="center"/>
            <w:textDirection w:val="lrTb"/>
            <w:noWrap w:val="false"/>
          </w:tcPr>
          <w:p>
            <w:pPr>
              <w:ind w:right="72"/>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 </w:t>
            </w:r>
            <w:r/>
          </w:p>
        </w:tc>
        <w:tc>
          <w:tcPr>
            <w:tcMar>
              <w:left w:w="28" w:type="dxa"/>
              <w:top w:w="0" w:type="dxa"/>
              <w:right w:w="28" w:type="dxa"/>
              <w:bottom w:w="0" w:type="dxa"/>
            </w:tcMar>
            <w:tcW w:w="1016" w:type="dxa"/>
            <w:vAlign w:val="center"/>
            <w:textDirection w:val="lrTb"/>
            <w:noWrap w:val="false"/>
          </w:tcPr>
          <w:p>
            <w:pPr>
              <w:ind w:right="72"/>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 </w:t>
            </w:r>
            <w:r/>
          </w:p>
        </w:tc>
        <w:tc>
          <w:tcPr>
            <w:tcMar>
              <w:left w:w="28" w:type="dxa"/>
              <w:top w:w="0" w:type="dxa"/>
              <w:right w:w="28" w:type="dxa"/>
              <w:bottom w:w="0" w:type="dxa"/>
            </w:tcMar>
            <w:tcW w:w="1016" w:type="dxa"/>
            <w:vAlign w:val="center"/>
            <w:textDirection w:val="lrTb"/>
            <w:noWrap w:val="false"/>
          </w:tcPr>
          <w:p>
            <w:pPr>
              <w:ind w:right="72"/>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 </w:t>
            </w:r>
            <w:r/>
          </w:p>
        </w:tc>
        <w:tc>
          <w:tcPr>
            <w:tcMar>
              <w:left w:w="28" w:type="dxa"/>
              <w:top w:w="0" w:type="dxa"/>
              <w:right w:w="28" w:type="dxa"/>
              <w:bottom w:w="0" w:type="dxa"/>
            </w:tcMar>
            <w:tcW w:w="1017" w:type="dxa"/>
            <w:vAlign w:val="center"/>
            <w:textDirection w:val="lrTb"/>
            <w:noWrap w:val="false"/>
          </w:tcPr>
          <w:p>
            <w:pPr>
              <w:ind w:right="72"/>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 </w:t>
            </w:r>
            <w:r/>
          </w:p>
        </w:tc>
        <w:tc>
          <w:tcPr>
            <w:tcMar>
              <w:left w:w="28" w:type="dxa"/>
              <w:top w:w="0" w:type="dxa"/>
              <w:right w:w="28" w:type="dxa"/>
              <w:bottom w:w="0" w:type="dxa"/>
            </w:tcMar>
            <w:tcW w:w="1017" w:type="dxa"/>
            <w:vAlign w:val="center"/>
            <w:textDirection w:val="lrTb"/>
            <w:noWrap w:val="false"/>
          </w:tcPr>
          <w:p>
            <w:pPr>
              <w:ind w:right="72"/>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 </w:t>
            </w:r>
            <w:r/>
          </w:p>
        </w:tc>
        <w:tc>
          <w:tcPr>
            <w:tcMar>
              <w:left w:w="28" w:type="dxa"/>
              <w:top w:w="0" w:type="dxa"/>
              <w:right w:w="28" w:type="dxa"/>
              <w:bottom w:w="0" w:type="dxa"/>
            </w:tcMar>
            <w:tcW w:w="1017" w:type="dxa"/>
            <w:vAlign w:val="center"/>
            <w:textDirection w:val="lrTb"/>
            <w:noWrap w:val="false"/>
          </w:tcPr>
          <w:p>
            <w:pPr>
              <w:ind w:right="72"/>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 </w:t>
            </w:r>
            <w:r/>
          </w:p>
        </w:tc>
        <w:tc>
          <w:tcPr>
            <w:tcMar>
              <w:left w:w="28" w:type="dxa"/>
              <w:top w:w="0" w:type="dxa"/>
              <w:right w:w="28" w:type="dxa"/>
              <w:bottom w:w="0" w:type="dxa"/>
            </w:tcMar>
            <w:tcW w:w="1017" w:type="dxa"/>
            <w:vAlign w:val="center"/>
            <w:textDirection w:val="lrTb"/>
            <w:noWrap w:val="false"/>
          </w:tcPr>
          <w:p>
            <w:pPr>
              <w:ind w:right="72"/>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 </w:t>
            </w:r>
            <w:r/>
          </w:p>
        </w:tc>
        <w:tc>
          <w:tcPr>
            <w:tcMar>
              <w:left w:w="28" w:type="dxa"/>
              <w:top w:w="0" w:type="dxa"/>
              <w:right w:w="28" w:type="dxa"/>
              <w:bottom w:w="0" w:type="dxa"/>
            </w:tcMar>
            <w:tcW w:w="1017" w:type="dxa"/>
            <w:vAlign w:val="center"/>
            <w:textDirection w:val="lrTb"/>
            <w:noWrap w:val="false"/>
          </w:tcPr>
          <w:p>
            <w:pPr>
              <w:ind w:right="72"/>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 </w:t>
            </w:r>
            <w:r/>
          </w:p>
        </w:tc>
        <w:tc>
          <w:tcPr>
            <w:tcMar>
              <w:left w:w="28" w:type="dxa"/>
              <w:top w:w="0" w:type="dxa"/>
              <w:right w:w="28" w:type="dxa"/>
              <w:bottom w:w="0" w:type="dxa"/>
            </w:tcMar>
            <w:tcW w:w="1017" w:type="dxa"/>
            <w:vAlign w:val="center"/>
            <w:textDirection w:val="lrTb"/>
            <w:noWrap w:val="false"/>
          </w:tcPr>
          <w:p>
            <w:pPr>
              <w:ind w:right="72"/>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 </w:t>
            </w:r>
            <w:r/>
          </w:p>
        </w:tc>
      </w:tr>
      <w:tr>
        <w:trPr>
          <w:trHeight w:val="567"/>
        </w:trPr>
        <w:tc>
          <w:tcPr>
            <w:tcMar>
              <w:left w:w="28" w:type="dxa"/>
              <w:top w:w="0" w:type="dxa"/>
              <w:right w:w="28" w:type="dxa"/>
              <w:bottom w:w="0" w:type="dxa"/>
            </w:tcMar>
            <w:tcW w:w="1016" w:type="dxa"/>
            <w:vAlign w:val="center"/>
            <w:textDirection w:val="lrTb"/>
            <w:noWrap w:val="false"/>
          </w:tcPr>
          <w:p>
            <w:pPr>
              <w:ind w:right="72"/>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 </w:t>
            </w:r>
            <w:r/>
          </w:p>
        </w:tc>
        <w:tc>
          <w:tcPr>
            <w:tcMar>
              <w:left w:w="28" w:type="dxa"/>
              <w:top w:w="0" w:type="dxa"/>
              <w:right w:w="28" w:type="dxa"/>
              <w:bottom w:w="0" w:type="dxa"/>
            </w:tcMar>
            <w:tcW w:w="1016" w:type="dxa"/>
            <w:vAlign w:val="center"/>
            <w:textDirection w:val="lrTb"/>
            <w:noWrap w:val="false"/>
          </w:tcPr>
          <w:p>
            <w:pPr>
              <w:ind w:right="72"/>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 </w:t>
            </w:r>
            <w:r/>
          </w:p>
        </w:tc>
        <w:tc>
          <w:tcPr>
            <w:tcMar>
              <w:left w:w="28" w:type="dxa"/>
              <w:top w:w="0" w:type="dxa"/>
              <w:right w:w="28" w:type="dxa"/>
              <w:bottom w:w="0" w:type="dxa"/>
            </w:tcMar>
            <w:tcW w:w="1016" w:type="dxa"/>
            <w:vAlign w:val="center"/>
            <w:textDirection w:val="lrTb"/>
            <w:noWrap w:val="false"/>
          </w:tcPr>
          <w:p>
            <w:pPr>
              <w:ind w:right="72"/>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 </w:t>
            </w:r>
            <w:r/>
          </w:p>
        </w:tc>
        <w:tc>
          <w:tcPr>
            <w:tcMar>
              <w:left w:w="28" w:type="dxa"/>
              <w:top w:w="0" w:type="dxa"/>
              <w:right w:w="28" w:type="dxa"/>
              <w:bottom w:w="0" w:type="dxa"/>
            </w:tcMar>
            <w:tcW w:w="1017" w:type="dxa"/>
            <w:vAlign w:val="center"/>
            <w:textDirection w:val="lrTb"/>
            <w:noWrap w:val="false"/>
          </w:tcPr>
          <w:p>
            <w:pPr>
              <w:ind w:right="72"/>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 </w:t>
            </w:r>
            <w:r/>
          </w:p>
        </w:tc>
        <w:tc>
          <w:tcPr>
            <w:tcMar>
              <w:left w:w="28" w:type="dxa"/>
              <w:top w:w="0" w:type="dxa"/>
              <w:right w:w="28" w:type="dxa"/>
              <w:bottom w:w="0" w:type="dxa"/>
            </w:tcMar>
            <w:tcW w:w="1017" w:type="dxa"/>
            <w:vAlign w:val="center"/>
            <w:textDirection w:val="lrTb"/>
            <w:noWrap w:val="false"/>
          </w:tcPr>
          <w:p>
            <w:pPr>
              <w:ind w:right="72"/>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 </w:t>
            </w:r>
            <w:r/>
          </w:p>
        </w:tc>
        <w:tc>
          <w:tcPr>
            <w:tcMar>
              <w:left w:w="28" w:type="dxa"/>
              <w:top w:w="0" w:type="dxa"/>
              <w:right w:w="28" w:type="dxa"/>
              <w:bottom w:w="0" w:type="dxa"/>
            </w:tcMar>
            <w:tcW w:w="1017" w:type="dxa"/>
            <w:vAlign w:val="center"/>
            <w:textDirection w:val="lrTb"/>
            <w:noWrap w:val="false"/>
          </w:tcPr>
          <w:p>
            <w:pPr>
              <w:ind w:right="72"/>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 </w:t>
            </w:r>
            <w:r/>
          </w:p>
        </w:tc>
        <w:tc>
          <w:tcPr>
            <w:tcMar>
              <w:left w:w="28" w:type="dxa"/>
              <w:top w:w="0" w:type="dxa"/>
              <w:right w:w="28" w:type="dxa"/>
              <w:bottom w:w="0" w:type="dxa"/>
            </w:tcMar>
            <w:tcW w:w="1017" w:type="dxa"/>
            <w:vAlign w:val="center"/>
            <w:textDirection w:val="lrTb"/>
            <w:noWrap w:val="false"/>
          </w:tcPr>
          <w:p>
            <w:pPr>
              <w:ind w:right="72"/>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 </w:t>
            </w:r>
            <w:r/>
          </w:p>
        </w:tc>
        <w:tc>
          <w:tcPr>
            <w:tcMar>
              <w:left w:w="28" w:type="dxa"/>
              <w:top w:w="0" w:type="dxa"/>
              <w:right w:w="28" w:type="dxa"/>
              <w:bottom w:w="0" w:type="dxa"/>
            </w:tcMar>
            <w:tcW w:w="1017" w:type="dxa"/>
            <w:vAlign w:val="center"/>
            <w:textDirection w:val="lrTb"/>
            <w:noWrap w:val="false"/>
          </w:tcPr>
          <w:p>
            <w:pPr>
              <w:ind w:right="72"/>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 </w:t>
            </w:r>
            <w:r/>
          </w:p>
        </w:tc>
        <w:tc>
          <w:tcPr>
            <w:tcMar>
              <w:left w:w="28" w:type="dxa"/>
              <w:top w:w="0" w:type="dxa"/>
              <w:right w:w="28" w:type="dxa"/>
              <w:bottom w:w="0" w:type="dxa"/>
            </w:tcMar>
            <w:tcW w:w="1017" w:type="dxa"/>
            <w:vAlign w:val="center"/>
            <w:textDirection w:val="lrTb"/>
            <w:noWrap w:val="false"/>
          </w:tcPr>
          <w:p>
            <w:pPr>
              <w:ind w:right="72"/>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 </w:t>
            </w:r>
            <w:r/>
          </w:p>
        </w:tc>
      </w:tr>
      <w:tr>
        <w:trPr>
          <w:trHeight w:val="567"/>
        </w:trPr>
        <w:tc>
          <w:tcPr>
            <w:tcMar>
              <w:left w:w="28" w:type="dxa"/>
              <w:top w:w="0" w:type="dxa"/>
              <w:right w:w="28" w:type="dxa"/>
              <w:bottom w:w="0" w:type="dxa"/>
            </w:tcMar>
            <w:tcW w:w="1016" w:type="dxa"/>
            <w:vAlign w:val="center"/>
            <w:textDirection w:val="lrTb"/>
            <w:noWrap w:val="false"/>
          </w:tcPr>
          <w:p>
            <w:pPr>
              <w:ind w:right="72"/>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 </w:t>
            </w:r>
            <w:r/>
          </w:p>
        </w:tc>
        <w:tc>
          <w:tcPr>
            <w:tcMar>
              <w:left w:w="28" w:type="dxa"/>
              <w:top w:w="0" w:type="dxa"/>
              <w:right w:w="28" w:type="dxa"/>
              <w:bottom w:w="0" w:type="dxa"/>
            </w:tcMar>
            <w:tcW w:w="1016" w:type="dxa"/>
            <w:vAlign w:val="center"/>
            <w:textDirection w:val="lrTb"/>
            <w:noWrap w:val="false"/>
          </w:tcPr>
          <w:p>
            <w:pPr>
              <w:ind w:right="72"/>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 </w:t>
            </w:r>
            <w:r/>
          </w:p>
        </w:tc>
        <w:tc>
          <w:tcPr>
            <w:tcMar>
              <w:left w:w="28" w:type="dxa"/>
              <w:top w:w="0" w:type="dxa"/>
              <w:right w:w="28" w:type="dxa"/>
              <w:bottom w:w="0" w:type="dxa"/>
            </w:tcMar>
            <w:tcW w:w="1016" w:type="dxa"/>
            <w:vAlign w:val="center"/>
            <w:textDirection w:val="lrTb"/>
            <w:noWrap w:val="false"/>
          </w:tcPr>
          <w:p>
            <w:pPr>
              <w:ind w:right="72"/>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 </w:t>
            </w:r>
            <w:r/>
          </w:p>
        </w:tc>
        <w:tc>
          <w:tcPr>
            <w:tcMar>
              <w:left w:w="28" w:type="dxa"/>
              <w:top w:w="0" w:type="dxa"/>
              <w:right w:w="28" w:type="dxa"/>
              <w:bottom w:w="0" w:type="dxa"/>
            </w:tcMar>
            <w:tcW w:w="1017" w:type="dxa"/>
            <w:vAlign w:val="center"/>
            <w:textDirection w:val="lrTb"/>
            <w:noWrap w:val="false"/>
          </w:tcPr>
          <w:p>
            <w:pPr>
              <w:ind w:right="72"/>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 </w:t>
            </w:r>
            <w:r/>
          </w:p>
        </w:tc>
        <w:tc>
          <w:tcPr>
            <w:tcMar>
              <w:left w:w="28" w:type="dxa"/>
              <w:top w:w="0" w:type="dxa"/>
              <w:right w:w="28" w:type="dxa"/>
              <w:bottom w:w="0" w:type="dxa"/>
            </w:tcMar>
            <w:tcW w:w="1017" w:type="dxa"/>
            <w:vAlign w:val="center"/>
            <w:textDirection w:val="lrTb"/>
            <w:noWrap w:val="false"/>
          </w:tcPr>
          <w:p>
            <w:pPr>
              <w:ind w:right="72"/>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 </w:t>
            </w:r>
            <w:r/>
          </w:p>
        </w:tc>
        <w:tc>
          <w:tcPr>
            <w:tcMar>
              <w:left w:w="28" w:type="dxa"/>
              <w:top w:w="0" w:type="dxa"/>
              <w:right w:w="28" w:type="dxa"/>
              <w:bottom w:w="0" w:type="dxa"/>
            </w:tcMar>
            <w:tcW w:w="1017" w:type="dxa"/>
            <w:vAlign w:val="center"/>
            <w:textDirection w:val="lrTb"/>
            <w:noWrap w:val="false"/>
          </w:tcPr>
          <w:p>
            <w:pPr>
              <w:ind w:right="72"/>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 </w:t>
            </w:r>
            <w:r/>
          </w:p>
        </w:tc>
        <w:tc>
          <w:tcPr>
            <w:tcMar>
              <w:left w:w="28" w:type="dxa"/>
              <w:top w:w="0" w:type="dxa"/>
              <w:right w:w="28" w:type="dxa"/>
              <w:bottom w:w="0" w:type="dxa"/>
            </w:tcMar>
            <w:tcW w:w="1017" w:type="dxa"/>
            <w:vAlign w:val="center"/>
            <w:textDirection w:val="lrTb"/>
            <w:noWrap w:val="false"/>
          </w:tcPr>
          <w:p>
            <w:pPr>
              <w:ind w:right="72"/>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 </w:t>
            </w:r>
            <w:r/>
          </w:p>
        </w:tc>
        <w:tc>
          <w:tcPr>
            <w:tcMar>
              <w:left w:w="28" w:type="dxa"/>
              <w:top w:w="0" w:type="dxa"/>
              <w:right w:w="28" w:type="dxa"/>
              <w:bottom w:w="0" w:type="dxa"/>
            </w:tcMar>
            <w:tcW w:w="1017" w:type="dxa"/>
            <w:vAlign w:val="center"/>
            <w:textDirection w:val="lrTb"/>
            <w:noWrap w:val="false"/>
          </w:tcPr>
          <w:p>
            <w:pPr>
              <w:ind w:right="72"/>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 </w:t>
            </w:r>
            <w:r/>
          </w:p>
        </w:tc>
        <w:tc>
          <w:tcPr>
            <w:tcMar>
              <w:left w:w="28" w:type="dxa"/>
              <w:top w:w="0" w:type="dxa"/>
              <w:right w:w="28" w:type="dxa"/>
              <w:bottom w:w="0" w:type="dxa"/>
            </w:tcMar>
            <w:tcW w:w="1017" w:type="dxa"/>
            <w:vAlign w:val="center"/>
            <w:textDirection w:val="lrTb"/>
            <w:noWrap w:val="false"/>
          </w:tcPr>
          <w:p>
            <w:pPr>
              <w:ind w:right="72"/>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 </w:t>
            </w:r>
            <w:r/>
          </w:p>
        </w:tc>
      </w:tr>
      <w:tr>
        <w:trPr>
          <w:trHeight w:val="567"/>
        </w:trPr>
        <w:tc>
          <w:tcPr>
            <w:tcMar>
              <w:left w:w="28" w:type="dxa"/>
              <w:top w:w="0" w:type="dxa"/>
              <w:right w:w="28" w:type="dxa"/>
              <w:bottom w:w="0" w:type="dxa"/>
            </w:tcMar>
            <w:tcW w:w="1016" w:type="dxa"/>
            <w:vAlign w:val="center"/>
            <w:textDirection w:val="lrTb"/>
            <w:noWrap w:val="false"/>
          </w:tcPr>
          <w:p>
            <w:pPr>
              <w:ind w:right="72"/>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 </w:t>
            </w:r>
            <w:r/>
          </w:p>
        </w:tc>
        <w:tc>
          <w:tcPr>
            <w:tcMar>
              <w:left w:w="28" w:type="dxa"/>
              <w:top w:w="0" w:type="dxa"/>
              <w:right w:w="28" w:type="dxa"/>
              <w:bottom w:w="0" w:type="dxa"/>
            </w:tcMar>
            <w:tcW w:w="1016" w:type="dxa"/>
            <w:vAlign w:val="center"/>
            <w:textDirection w:val="lrTb"/>
            <w:noWrap w:val="false"/>
          </w:tcPr>
          <w:p>
            <w:pPr>
              <w:ind w:right="72"/>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 </w:t>
            </w:r>
            <w:r/>
          </w:p>
        </w:tc>
        <w:tc>
          <w:tcPr>
            <w:tcMar>
              <w:left w:w="28" w:type="dxa"/>
              <w:top w:w="0" w:type="dxa"/>
              <w:right w:w="28" w:type="dxa"/>
              <w:bottom w:w="0" w:type="dxa"/>
            </w:tcMar>
            <w:tcW w:w="1016" w:type="dxa"/>
            <w:vAlign w:val="center"/>
            <w:textDirection w:val="lrTb"/>
            <w:noWrap w:val="false"/>
          </w:tcPr>
          <w:p>
            <w:pPr>
              <w:ind w:right="72"/>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 </w:t>
            </w:r>
            <w:r/>
          </w:p>
        </w:tc>
        <w:tc>
          <w:tcPr>
            <w:tcMar>
              <w:left w:w="28" w:type="dxa"/>
              <w:top w:w="0" w:type="dxa"/>
              <w:right w:w="28" w:type="dxa"/>
              <w:bottom w:w="0" w:type="dxa"/>
            </w:tcMar>
            <w:tcW w:w="1017" w:type="dxa"/>
            <w:vAlign w:val="center"/>
            <w:textDirection w:val="lrTb"/>
            <w:noWrap w:val="false"/>
          </w:tcPr>
          <w:p>
            <w:pPr>
              <w:ind w:right="72"/>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 </w:t>
            </w:r>
            <w:r/>
          </w:p>
        </w:tc>
        <w:tc>
          <w:tcPr>
            <w:tcMar>
              <w:left w:w="28" w:type="dxa"/>
              <w:top w:w="0" w:type="dxa"/>
              <w:right w:w="28" w:type="dxa"/>
              <w:bottom w:w="0" w:type="dxa"/>
            </w:tcMar>
            <w:tcW w:w="1017" w:type="dxa"/>
            <w:vAlign w:val="center"/>
            <w:textDirection w:val="lrTb"/>
            <w:noWrap w:val="false"/>
          </w:tcPr>
          <w:p>
            <w:pPr>
              <w:ind w:right="72"/>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 </w:t>
            </w:r>
            <w:r/>
          </w:p>
        </w:tc>
        <w:tc>
          <w:tcPr>
            <w:tcMar>
              <w:left w:w="28" w:type="dxa"/>
              <w:top w:w="0" w:type="dxa"/>
              <w:right w:w="28" w:type="dxa"/>
              <w:bottom w:w="0" w:type="dxa"/>
            </w:tcMar>
            <w:tcW w:w="1017" w:type="dxa"/>
            <w:vAlign w:val="center"/>
            <w:textDirection w:val="lrTb"/>
            <w:noWrap w:val="false"/>
          </w:tcPr>
          <w:p>
            <w:pPr>
              <w:ind w:right="72"/>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 </w:t>
            </w:r>
            <w:r/>
          </w:p>
        </w:tc>
        <w:tc>
          <w:tcPr>
            <w:tcMar>
              <w:left w:w="28" w:type="dxa"/>
              <w:top w:w="0" w:type="dxa"/>
              <w:right w:w="28" w:type="dxa"/>
              <w:bottom w:w="0" w:type="dxa"/>
            </w:tcMar>
            <w:tcW w:w="1017" w:type="dxa"/>
            <w:vAlign w:val="center"/>
            <w:textDirection w:val="lrTb"/>
            <w:noWrap w:val="false"/>
          </w:tcPr>
          <w:p>
            <w:pPr>
              <w:ind w:right="72"/>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 </w:t>
            </w:r>
            <w:r/>
          </w:p>
        </w:tc>
        <w:tc>
          <w:tcPr>
            <w:tcMar>
              <w:left w:w="28" w:type="dxa"/>
              <w:top w:w="0" w:type="dxa"/>
              <w:right w:w="28" w:type="dxa"/>
              <w:bottom w:w="0" w:type="dxa"/>
            </w:tcMar>
            <w:tcW w:w="1017" w:type="dxa"/>
            <w:vAlign w:val="center"/>
            <w:textDirection w:val="lrTb"/>
            <w:noWrap w:val="false"/>
          </w:tcPr>
          <w:p>
            <w:pPr>
              <w:ind w:right="72"/>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 </w:t>
            </w:r>
            <w:r/>
          </w:p>
        </w:tc>
        <w:tc>
          <w:tcPr>
            <w:tcMar>
              <w:left w:w="28" w:type="dxa"/>
              <w:top w:w="0" w:type="dxa"/>
              <w:right w:w="28" w:type="dxa"/>
              <w:bottom w:w="0" w:type="dxa"/>
            </w:tcMar>
            <w:tcW w:w="1017" w:type="dxa"/>
            <w:vAlign w:val="center"/>
            <w:textDirection w:val="lrTb"/>
            <w:noWrap w:val="false"/>
          </w:tcPr>
          <w:p>
            <w:pPr>
              <w:ind w:right="72"/>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 </w:t>
            </w:r>
            <w:r/>
          </w:p>
        </w:tc>
      </w:tr>
      <w:tr>
        <w:trPr>
          <w:trHeight w:val="567"/>
        </w:trPr>
        <w:tc>
          <w:tcPr>
            <w:tcMar>
              <w:left w:w="28" w:type="dxa"/>
              <w:top w:w="0" w:type="dxa"/>
              <w:right w:w="28" w:type="dxa"/>
              <w:bottom w:w="0" w:type="dxa"/>
            </w:tcMar>
            <w:tcW w:w="1016" w:type="dxa"/>
            <w:vAlign w:val="center"/>
            <w:textDirection w:val="lrTb"/>
            <w:noWrap w:val="false"/>
          </w:tcPr>
          <w:p>
            <w:pPr>
              <w:ind w:right="72"/>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 </w:t>
            </w:r>
            <w:r/>
          </w:p>
        </w:tc>
        <w:tc>
          <w:tcPr>
            <w:tcMar>
              <w:left w:w="28" w:type="dxa"/>
              <w:top w:w="0" w:type="dxa"/>
              <w:right w:w="28" w:type="dxa"/>
              <w:bottom w:w="0" w:type="dxa"/>
            </w:tcMar>
            <w:tcW w:w="1016" w:type="dxa"/>
            <w:vAlign w:val="center"/>
            <w:textDirection w:val="lrTb"/>
            <w:noWrap w:val="false"/>
          </w:tcPr>
          <w:p>
            <w:pPr>
              <w:ind w:right="72"/>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 </w:t>
            </w:r>
            <w:r/>
          </w:p>
        </w:tc>
        <w:tc>
          <w:tcPr>
            <w:tcMar>
              <w:left w:w="28" w:type="dxa"/>
              <w:top w:w="0" w:type="dxa"/>
              <w:right w:w="28" w:type="dxa"/>
              <w:bottom w:w="0" w:type="dxa"/>
            </w:tcMar>
            <w:tcW w:w="1016" w:type="dxa"/>
            <w:vAlign w:val="center"/>
            <w:textDirection w:val="lrTb"/>
            <w:noWrap w:val="false"/>
          </w:tcPr>
          <w:p>
            <w:pPr>
              <w:ind w:right="72"/>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 </w:t>
            </w:r>
            <w:r/>
          </w:p>
        </w:tc>
        <w:tc>
          <w:tcPr>
            <w:tcMar>
              <w:left w:w="28" w:type="dxa"/>
              <w:top w:w="0" w:type="dxa"/>
              <w:right w:w="28" w:type="dxa"/>
              <w:bottom w:w="0" w:type="dxa"/>
            </w:tcMar>
            <w:tcW w:w="1017" w:type="dxa"/>
            <w:vAlign w:val="center"/>
            <w:textDirection w:val="lrTb"/>
            <w:noWrap w:val="false"/>
          </w:tcPr>
          <w:p>
            <w:pPr>
              <w:ind w:right="72"/>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 </w:t>
            </w:r>
            <w:r/>
          </w:p>
        </w:tc>
        <w:tc>
          <w:tcPr>
            <w:tcMar>
              <w:left w:w="28" w:type="dxa"/>
              <w:top w:w="0" w:type="dxa"/>
              <w:right w:w="28" w:type="dxa"/>
              <w:bottom w:w="0" w:type="dxa"/>
            </w:tcMar>
            <w:tcW w:w="1017" w:type="dxa"/>
            <w:vAlign w:val="center"/>
            <w:textDirection w:val="lrTb"/>
            <w:noWrap w:val="false"/>
          </w:tcPr>
          <w:p>
            <w:pPr>
              <w:ind w:right="72"/>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 </w:t>
            </w:r>
            <w:r/>
          </w:p>
        </w:tc>
        <w:tc>
          <w:tcPr>
            <w:tcMar>
              <w:left w:w="28" w:type="dxa"/>
              <w:top w:w="0" w:type="dxa"/>
              <w:right w:w="28" w:type="dxa"/>
              <w:bottom w:w="0" w:type="dxa"/>
            </w:tcMar>
            <w:tcW w:w="1017" w:type="dxa"/>
            <w:vAlign w:val="center"/>
            <w:textDirection w:val="lrTb"/>
            <w:noWrap w:val="false"/>
          </w:tcPr>
          <w:p>
            <w:pPr>
              <w:ind w:right="72"/>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 </w:t>
            </w:r>
            <w:r/>
          </w:p>
        </w:tc>
        <w:tc>
          <w:tcPr>
            <w:tcMar>
              <w:left w:w="28" w:type="dxa"/>
              <w:top w:w="0" w:type="dxa"/>
              <w:right w:w="28" w:type="dxa"/>
              <w:bottom w:w="0" w:type="dxa"/>
            </w:tcMar>
            <w:tcW w:w="1017" w:type="dxa"/>
            <w:vAlign w:val="center"/>
            <w:textDirection w:val="lrTb"/>
            <w:noWrap w:val="false"/>
          </w:tcPr>
          <w:p>
            <w:pPr>
              <w:ind w:right="72"/>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 </w:t>
            </w:r>
            <w:r/>
          </w:p>
        </w:tc>
        <w:tc>
          <w:tcPr>
            <w:tcMar>
              <w:left w:w="28" w:type="dxa"/>
              <w:top w:w="0" w:type="dxa"/>
              <w:right w:w="28" w:type="dxa"/>
              <w:bottom w:w="0" w:type="dxa"/>
            </w:tcMar>
            <w:tcW w:w="1017" w:type="dxa"/>
            <w:vAlign w:val="center"/>
            <w:textDirection w:val="lrTb"/>
            <w:noWrap w:val="false"/>
          </w:tcPr>
          <w:p>
            <w:pPr>
              <w:ind w:right="72"/>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 </w:t>
            </w:r>
            <w:r/>
          </w:p>
        </w:tc>
        <w:tc>
          <w:tcPr>
            <w:tcMar>
              <w:left w:w="28" w:type="dxa"/>
              <w:top w:w="0" w:type="dxa"/>
              <w:right w:w="28" w:type="dxa"/>
              <w:bottom w:w="0" w:type="dxa"/>
            </w:tcMar>
            <w:tcW w:w="1017" w:type="dxa"/>
            <w:vAlign w:val="center"/>
            <w:textDirection w:val="lrTb"/>
            <w:noWrap w:val="false"/>
          </w:tcPr>
          <w:p>
            <w:pPr>
              <w:ind w:right="72"/>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 </w:t>
            </w:r>
            <w:r/>
          </w:p>
        </w:tc>
      </w:tr>
      <w:tr>
        <w:trPr>
          <w:trHeight w:val="567"/>
        </w:trPr>
        <w:tc>
          <w:tcPr>
            <w:tcMar>
              <w:left w:w="28" w:type="dxa"/>
              <w:top w:w="0" w:type="dxa"/>
              <w:right w:w="28" w:type="dxa"/>
              <w:bottom w:w="0" w:type="dxa"/>
            </w:tcMar>
            <w:tcW w:w="1016" w:type="dxa"/>
            <w:vAlign w:val="center"/>
            <w:textDirection w:val="lrTb"/>
            <w:noWrap w:val="false"/>
          </w:tcPr>
          <w:p>
            <w:pPr>
              <w:ind w:right="72"/>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 </w:t>
            </w:r>
            <w:r/>
          </w:p>
        </w:tc>
        <w:tc>
          <w:tcPr>
            <w:tcMar>
              <w:left w:w="28" w:type="dxa"/>
              <w:top w:w="0" w:type="dxa"/>
              <w:right w:w="28" w:type="dxa"/>
              <w:bottom w:w="0" w:type="dxa"/>
            </w:tcMar>
            <w:tcW w:w="1016" w:type="dxa"/>
            <w:vAlign w:val="center"/>
            <w:textDirection w:val="lrTb"/>
            <w:noWrap w:val="false"/>
          </w:tcPr>
          <w:p>
            <w:pPr>
              <w:ind w:right="72"/>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 </w:t>
            </w:r>
            <w:r/>
          </w:p>
        </w:tc>
        <w:tc>
          <w:tcPr>
            <w:tcMar>
              <w:left w:w="28" w:type="dxa"/>
              <w:top w:w="0" w:type="dxa"/>
              <w:right w:w="28" w:type="dxa"/>
              <w:bottom w:w="0" w:type="dxa"/>
            </w:tcMar>
            <w:tcW w:w="1016" w:type="dxa"/>
            <w:vAlign w:val="center"/>
            <w:textDirection w:val="lrTb"/>
            <w:noWrap w:val="false"/>
          </w:tcPr>
          <w:p>
            <w:pPr>
              <w:ind w:right="72"/>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 </w:t>
            </w:r>
            <w:r/>
          </w:p>
        </w:tc>
        <w:tc>
          <w:tcPr>
            <w:tcMar>
              <w:left w:w="28" w:type="dxa"/>
              <w:top w:w="0" w:type="dxa"/>
              <w:right w:w="28" w:type="dxa"/>
              <w:bottom w:w="0" w:type="dxa"/>
            </w:tcMar>
            <w:tcW w:w="1017" w:type="dxa"/>
            <w:vAlign w:val="center"/>
            <w:textDirection w:val="lrTb"/>
            <w:noWrap w:val="false"/>
          </w:tcPr>
          <w:p>
            <w:pPr>
              <w:ind w:right="72"/>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 </w:t>
            </w:r>
            <w:r/>
          </w:p>
        </w:tc>
        <w:tc>
          <w:tcPr>
            <w:tcMar>
              <w:left w:w="28" w:type="dxa"/>
              <w:top w:w="0" w:type="dxa"/>
              <w:right w:w="28" w:type="dxa"/>
              <w:bottom w:w="0" w:type="dxa"/>
            </w:tcMar>
            <w:tcW w:w="1017" w:type="dxa"/>
            <w:vAlign w:val="center"/>
            <w:textDirection w:val="lrTb"/>
            <w:noWrap w:val="false"/>
          </w:tcPr>
          <w:p>
            <w:pPr>
              <w:ind w:right="72"/>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 </w:t>
            </w:r>
            <w:r/>
          </w:p>
        </w:tc>
        <w:tc>
          <w:tcPr>
            <w:tcMar>
              <w:left w:w="28" w:type="dxa"/>
              <w:top w:w="0" w:type="dxa"/>
              <w:right w:w="28" w:type="dxa"/>
              <w:bottom w:w="0" w:type="dxa"/>
            </w:tcMar>
            <w:tcW w:w="1017" w:type="dxa"/>
            <w:vAlign w:val="center"/>
            <w:textDirection w:val="lrTb"/>
            <w:noWrap w:val="false"/>
          </w:tcPr>
          <w:p>
            <w:pPr>
              <w:ind w:right="72"/>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 </w:t>
            </w:r>
            <w:r/>
          </w:p>
        </w:tc>
        <w:tc>
          <w:tcPr>
            <w:tcMar>
              <w:left w:w="28" w:type="dxa"/>
              <w:top w:w="0" w:type="dxa"/>
              <w:right w:w="28" w:type="dxa"/>
              <w:bottom w:w="0" w:type="dxa"/>
            </w:tcMar>
            <w:tcW w:w="1017" w:type="dxa"/>
            <w:vAlign w:val="center"/>
            <w:textDirection w:val="lrTb"/>
            <w:noWrap w:val="false"/>
          </w:tcPr>
          <w:p>
            <w:pPr>
              <w:ind w:right="72"/>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 </w:t>
            </w:r>
            <w:r/>
          </w:p>
        </w:tc>
        <w:tc>
          <w:tcPr>
            <w:tcMar>
              <w:left w:w="28" w:type="dxa"/>
              <w:top w:w="0" w:type="dxa"/>
              <w:right w:w="28" w:type="dxa"/>
              <w:bottom w:w="0" w:type="dxa"/>
            </w:tcMar>
            <w:tcW w:w="1017" w:type="dxa"/>
            <w:vAlign w:val="center"/>
            <w:textDirection w:val="lrTb"/>
            <w:noWrap w:val="false"/>
          </w:tcPr>
          <w:p>
            <w:pPr>
              <w:ind w:right="72"/>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 </w:t>
            </w:r>
            <w:r/>
          </w:p>
        </w:tc>
        <w:tc>
          <w:tcPr>
            <w:tcMar>
              <w:left w:w="28" w:type="dxa"/>
              <w:top w:w="0" w:type="dxa"/>
              <w:right w:w="28" w:type="dxa"/>
              <w:bottom w:w="0" w:type="dxa"/>
            </w:tcMar>
            <w:tcW w:w="1017" w:type="dxa"/>
            <w:vAlign w:val="center"/>
            <w:textDirection w:val="lrTb"/>
            <w:noWrap w:val="false"/>
          </w:tcPr>
          <w:p>
            <w:pPr>
              <w:ind w:right="72"/>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 </w:t>
            </w:r>
            <w:r/>
          </w:p>
        </w:tc>
      </w:tr>
    </w:tbl>
    <w:p>
      <w:pPr>
        <w:ind w:firstLine="4072"/>
        <w:spacing w:before="240" w:after="240" w:line="519" w:lineRule="atLeast"/>
        <w:rPr>
          <w:rFonts w:ascii="宋体" w:hAnsi="宋体" w:cs="宋体"/>
          <w:b/>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14:textFill>
            <w14:solidFill>
              <w14:schemeClr w14:val="tx1"/>
            </w14:solidFill>
          </w14:textFill>
        </w:rPr>
        <w:t xml:space="preserve">供应商（电子签章）：</w:t>
      </w:r>
      <w:r/>
    </w:p>
    <w:p>
      <w:pPr>
        <w:ind w:firstLine="4072"/>
        <w:spacing w:before="240" w:after="240" w:line="519"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14:textFill>
            <w14:solidFill>
              <w14:schemeClr w14:val="tx1"/>
            </w14:solidFill>
          </w14:textFill>
        </w:rPr>
        <w:t xml:space="preserve">日期：  </w:t>
      </w:r>
      <w:r/>
    </w:p>
    <w:p>
      <w:pPr>
        <w:jc w:val="left"/>
        <w:spacing w:before="240" w:after="240" w:line="519"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14:textFill>
            <w14:solidFill>
              <w14:schemeClr w14:val="tx1"/>
            </w14:solidFill>
          </w14:textFill>
        </w:rPr>
        <w:t xml:space="preserve">注：1、如果不提供此表将视为没有实质性响应。</w:t>
      </w:r>
      <w:r/>
    </w:p>
    <w:p>
      <w:pPr>
        <w:ind w:firstLine="480"/>
        <w:jc w:val="left"/>
        <w:spacing w:before="240" w:after="240" w:line="519"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2、响应供应商对以上数据的真实性负责。</w:t>
      </w:r>
      <w:r/>
    </w:p>
    <w:p>
      <w:pPr>
        <w:ind w:firstLine="482"/>
        <w:jc w:val="left"/>
        <w:spacing w:before="156" w:after="156" w:line="439" w:lineRule="atLeast"/>
        <w:rPr>
          <w:rFonts w:ascii="宋体" w:hAnsi="宋体" w:cs="宋体"/>
          <w:b/>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14:textFill>
            <w14:solidFill>
              <w14:schemeClr w14:val="tx1"/>
            </w14:solidFill>
          </w14:textFill>
        </w:rPr>
        <w:t xml:space="preserve">采购人或采购代理机构有权将以上内容进行公示。</w:t>
      </w:r>
      <w:r/>
    </w:p>
    <w:p>
      <w:pPr>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br w:type="page" w:clear="all"/>
      </w:r>
      <w:r/>
    </w:p>
    <w:p>
      <w:pPr>
        <w:pStyle w:val="986"/>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jc w:val="center"/>
        <w:rPr>
          <w:rFonts w:ascii="宋体" w:hAnsi="宋体" w:cs="宋体"/>
          <w:b/>
          <w:bCs/>
          <w:color w:val="000000" w:themeColor="text1"/>
          <w:sz w:val="36"/>
          <w14:textFill>
            <w14:solidFill>
              <w14:schemeClr w14:val="tx1"/>
            </w14:solidFill>
          </w14:textFill>
        </w:rPr>
      </w:pPr>
      <w:r>
        <w:rPr>
          <w:rFonts w:hint="eastAsia" w:ascii="宋体" w:hAnsi="宋体" w:cs="宋体"/>
          <w:b/>
          <w:bCs/>
          <w:color w:val="000000" w:themeColor="text1"/>
          <w:sz w:val="36"/>
          <w14:textFill>
            <w14:solidFill>
              <w14:schemeClr w14:val="tx1"/>
            </w14:solidFill>
          </w14:textFill>
        </w:rPr>
        <w:t xml:space="preserve">6、承包人主要施工管理人员表</w:t>
      </w:r>
      <w:r/>
    </w:p>
    <w:tbl>
      <w:tblPr>
        <w:tblStyle w:val="985"/>
        <w:tblW w:w="9146"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738"/>
        <w:gridCol w:w="1326"/>
        <w:gridCol w:w="1066"/>
        <w:gridCol w:w="1066"/>
        <w:gridCol w:w="3950"/>
      </w:tblGrid>
      <w:tr>
        <w:trPr>
          <w:jc w:val="center"/>
          <w:trHeight w:val="454" w:hRule="exact"/>
        </w:trPr>
        <w:tc>
          <w:tcPr>
            <w:tcW w:w="1738" w:type="dxa"/>
            <w:vAlign w:val="center"/>
            <w:textDirection w:val="lrTb"/>
            <w:noWrap w:val="false"/>
          </w:tcPr>
          <w:p>
            <w:pPr>
              <w:pStyle w:val="1034"/>
              <w:ind w:right="72"/>
              <w:jc w:val="center"/>
              <w:keepNext/>
              <w:spacing w:line="440" w:lineRule="exact"/>
              <w:rPr>
                <w:rFonts w:ascii="宋体" w:hAnsi="宋体" w:cs="宋体"/>
                <w:color w:val="000000" w:themeColor="text1"/>
                <w:sz w:val="24"/>
                <w:szCs w:val="21"/>
                <w14:textFill>
                  <w14:solidFill>
                    <w14:schemeClr w14:val="tx1"/>
                  </w14:solidFill>
                </w14:textFill>
              </w:rPr>
            </w:pPr>
            <w:r>
              <w:rPr>
                <w:rFonts w:hint="eastAsia" w:ascii="宋体" w:hAnsi="宋体" w:cs="宋体"/>
                <w:color w:val="000000" w:themeColor="text1"/>
                <w:sz w:val="24"/>
                <w:szCs w:val="21"/>
                <w14:textFill>
                  <w14:solidFill>
                    <w14:schemeClr w14:val="tx1"/>
                  </w14:solidFill>
                </w14:textFill>
              </w:rPr>
              <w:t xml:space="preserve">名    称</w:t>
            </w:r>
            <w:r/>
          </w:p>
        </w:tc>
        <w:tc>
          <w:tcPr>
            <w:tcW w:w="1326" w:type="dxa"/>
            <w:vAlign w:val="center"/>
            <w:textDirection w:val="lrTb"/>
            <w:noWrap w:val="false"/>
          </w:tcPr>
          <w:p>
            <w:pPr>
              <w:pStyle w:val="1034"/>
              <w:ind w:right="72"/>
              <w:jc w:val="center"/>
              <w:keepNext/>
              <w:spacing w:line="440" w:lineRule="exact"/>
              <w:rPr>
                <w:rFonts w:ascii="宋体" w:hAnsi="宋体" w:cs="宋体"/>
                <w:color w:val="000000" w:themeColor="text1"/>
                <w:sz w:val="24"/>
                <w:szCs w:val="21"/>
                <w14:textFill>
                  <w14:solidFill>
                    <w14:schemeClr w14:val="tx1"/>
                  </w14:solidFill>
                </w14:textFill>
              </w:rPr>
            </w:pPr>
            <w:r>
              <w:rPr>
                <w:rFonts w:hint="eastAsia" w:ascii="宋体" w:hAnsi="宋体" w:cs="宋体"/>
                <w:color w:val="000000" w:themeColor="text1"/>
                <w:sz w:val="24"/>
                <w:szCs w:val="21"/>
                <w14:textFill>
                  <w14:solidFill>
                    <w14:schemeClr w14:val="tx1"/>
                  </w14:solidFill>
                </w14:textFill>
              </w:rPr>
              <w:t xml:space="preserve">姓名</w:t>
            </w:r>
            <w:r/>
          </w:p>
        </w:tc>
        <w:tc>
          <w:tcPr>
            <w:tcW w:w="1066" w:type="dxa"/>
            <w:vAlign w:val="center"/>
            <w:textDirection w:val="lrTb"/>
            <w:noWrap w:val="false"/>
          </w:tcPr>
          <w:p>
            <w:pPr>
              <w:pStyle w:val="1034"/>
              <w:ind w:right="72"/>
              <w:jc w:val="center"/>
              <w:keepNext/>
              <w:spacing w:line="440" w:lineRule="exact"/>
              <w:rPr>
                <w:rFonts w:ascii="宋体" w:hAnsi="宋体" w:cs="宋体"/>
                <w:color w:val="000000" w:themeColor="text1"/>
                <w:sz w:val="24"/>
                <w:szCs w:val="21"/>
                <w14:textFill>
                  <w14:solidFill>
                    <w14:schemeClr w14:val="tx1"/>
                  </w14:solidFill>
                </w14:textFill>
              </w:rPr>
            </w:pPr>
            <w:r>
              <w:rPr>
                <w:rFonts w:hint="eastAsia" w:ascii="宋体" w:hAnsi="宋体" w:cs="宋体"/>
                <w:color w:val="000000" w:themeColor="text1"/>
                <w:sz w:val="24"/>
                <w:szCs w:val="21"/>
                <w14:textFill>
                  <w14:solidFill>
                    <w14:schemeClr w14:val="tx1"/>
                  </w14:solidFill>
                </w14:textFill>
              </w:rPr>
              <w:t xml:space="preserve">职务</w:t>
            </w:r>
            <w:r/>
          </w:p>
        </w:tc>
        <w:tc>
          <w:tcPr>
            <w:tcW w:w="1066" w:type="dxa"/>
            <w:vAlign w:val="center"/>
            <w:textDirection w:val="lrTb"/>
            <w:noWrap w:val="false"/>
          </w:tcPr>
          <w:p>
            <w:pPr>
              <w:pStyle w:val="1034"/>
              <w:ind w:right="72"/>
              <w:jc w:val="center"/>
              <w:keepNext/>
              <w:spacing w:line="440" w:lineRule="exact"/>
              <w:rPr>
                <w:rFonts w:ascii="宋体" w:hAnsi="宋体" w:cs="宋体"/>
                <w:color w:val="000000" w:themeColor="text1"/>
                <w:sz w:val="24"/>
                <w:szCs w:val="21"/>
                <w14:textFill>
                  <w14:solidFill>
                    <w14:schemeClr w14:val="tx1"/>
                  </w14:solidFill>
                </w14:textFill>
              </w:rPr>
            </w:pPr>
            <w:r>
              <w:rPr>
                <w:rFonts w:hint="eastAsia" w:ascii="宋体" w:hAnsi="宋体" w:cs="宋体"/>
                <w:color w:val="000000" w:themeColor="text1"/>
                <w:sz w:val="24"/>
                <w:szCs w:val="21"/>
                <w14:textFill>
                  <w14:solidFill>
                    <w14:schemeClr w14:val="tx1"/>
                  </w14:solidFill>
                </w14:textFill>
              </w:rPr>
              <w:t xml:space="preserve">职称</w:t>
            </w:r>
            <w:r/>
          </w:p>
        </w:tc>
        <w:tc>
          <w:tcPr>
            <w:tcW w:w="3950" w:type="dxa"/>
            <w:vAlign w:val="center"/>
            <w:textDirection w:val="lrTb"/>
            <w:noWrap w:val="false"/>
          </w:tcPr>
          <w:p>
            <w:pPr>
              <w:pStyle w:val="1034"/>
              <w:ind w:right="72"/>
              <w:jc w:val="center"/>
              <w:keepNext/>
              <w:spacing w:line="440" w:lineRule="exact"/>
              <w:rPr>
                <w:rFonts w:ascii="宋体" w:hAnsi="宋体" w:cs="宋体"/>
                <w:color w:val="000000" w:themeColor="text1"/>
                <w:sz w:val="24"/>
                <w:szCs w:val="21"/>
                <w14:textFill>
                  <w14:solidFill>
                    <w14:schemeClr w14:val="tx1"/>
                  </w14:solidFill>
                </w14:textFill>
              </w:rPr>
            </w:pPr>
            <w:r>
              <w:rPr>
                <w:rFonts w:hint="eastAsia" w:ascii="宋体" w:hAnsi="宋体" w:cs="宋体"/>
                <w:color w:val="000000" w:themeColor="text1"/>
                <w:sz w:val="24"/>
                <w:szCs w:val="21"/>
                <w14:textFill>
                  <w14:solidFill>
                    <w14:schemeClr w14:val="tx1"/>
                  </w14:solidFill>
                </w14:textFill>
              </w:rPr>
              <w:t xml:space="preserve">主要资历、经验及承担过的项目</w:t>
            </w:r>
            <w:r/>
          </w:p>
        </w:tc>
      </w:tr>
      <w:tr>
        <w:trPr>
          <w:jc w:val="center"/>
          <w:trHeight w:val="454" w:hRule="exact"/>
        </w:trPr>
        <w:tc>
          <w:tcPr>
            <w:gridSpan w:val="5"/>
            <w:tcW w:w="9146" w:type="dxa"/>
            <w:vAlign w:val="center"/>
            <w:textDirection w:val="lrTb"/>
            <w:noWrap w:val="false"/>
          </w:tcPr>
          <w:p>
            <w:pPr>
              <w:pStyle w:val="1034"/>
              <w:ind w:right="72"/>
              <w:keepNext/>
              <w:spacing w:line="440" w:lineRule="exact"/>
              <w:rPr>
                <w:rFonts w:ascii="宋体" w:hAnsi="宋体" w:cs="宋体"/>
                <w:color w:val="000000" w:themeColor="text1"/>
                <w:sz w:val="24"/>
                <w:szCs w:val="21"/>
                <w14:textFill>
                  <w14:solidFill>
                    <w14:schemeClr w14:val="tx1"/>
                  </w14:solidFill>
                </w14:textFill>
              </w:rPr>
            </w:pPr>
            <w:r>
              <w:rPr>
                <w:rFonts w:hint="eastAsia" w:ascii="宋体" w:hAnsi="宋体" w:cs="宋体"/>
                <w:color w:val="000000" w:themeColor="text1"/>
                <w:sz w:val="24"/>
                <w:szCs w:val="21"/>
                <w14:textFill>
                  <w14:solidFill>
                    <w14:schemeClr w14:val="tx1"/>
                  </w14:solidFill>
                </w14:textFill>
              </w:rPr>
              <w:t xml:space="preserve">一、总部人员</w:t>
            </w:r>
            <w:r/>
          </w:p>
        </w:tc>
      </w:tr>
      <w:tr>
        <w:trPr>
          <w:jc w:val="center"/>
          <w:trHeight w:val="454" w:hRule="exact"/>
        </w:trPr>
        <w:tc>
          <w:tcPr>
            <w:tcW w:w="1738" w:type="dxa"/>
            <w:vAlign w:val="center"/>
            <w:textDirection w:val="lrTb"/>
            <w:noWrap w:val="false"/>
          </w:tcPr>
          <w:p>
            <w:pPr>
              <w:pStyle w:val="1034"/>
              <w:ind w:right="72"/>
              <w:keepNext/>
              <w:spacing w:line="440" w:lineRule="exact"/>
              <w:rPr>
                <w:rFonts w:ascii="宋体" w:hAnsi="宋体" w:cs="宋体"/>
                <w:color w:val="000000" w:themeColor="text1"/>
                <w:sz w:val="24"/>
                <w:szCs w:val="21"/>
                <w14:textFill>
                  <w14:solidFill>
                    <w14:schemeClr w14:val="tx1"/>
                  </w14:solidFill>
                </w14:textFill>
              </w:rPr>
            </w:pPr>
            <w:r>
              <w:rPr>
                <w:rFonts w:hint="eastAsia" w:ascii="宋体" w:hAnsi="宋体" w:cs="宋体"/>
                <w:color w:val="000000" w:themeColor="text1"/>
                <w:sz w:val="24"/>
                <w:szCs w:val="21"/>
                <w14:textFill>
                  <w14:solidFill>
                    <w14:schemeClr w14:val="tx1"/>
                  </w14:solidFill>
                </w14:textFill>
              </w:rPr>
              <w:t xml:space="preserve">项目主管</w:t>
            </w:r>
            <w:r/>
          </w:p>
        </w:tc>
        <w:tc>
          <w:tcPr>
            <w:tcW w:w="1326" w:type="dxa"/>
            <w:vAlign w:val="center"/>
            <w:textDirection w:val="lrTb"/>
            <w:noWrap w:val="false"/>
          </w:tcPr>
          <w:p>
            <w:pPr>
              <w:pStyle w:val="1034"/>
              <w:ind w:right="72"/>
              <w:keepNext/>
              <w:spacing w:line="440" w:lineRule="exact"/>
              <w:rPr>
                <w:rFonts w:ascii="宋体" w:hAnsi="宋体" w:cs="宋体"/>
                <w:color w:val="000000" w:themeColor="text1"/>
                <w:sz w:val="24"/>
                <w:szCs w:val="21"/>
                <w14:textFill>
                  <w14:solidFill>
                    <w14:schemeClr w14:val="tx1"/>
                  </w14:solidFill>
                </w14:textFill>
              </w:rPr>
            </w:pPr>
            <w:r>
              <w:rPr>
                <w:rFonts w:ascii="宋体" w:hAnsi="宋体" w:cs="宋体"/>
                <w:color w:val="000000" w:themeColor="text1"/>
                <w:sz w:val="24"/>
                <w:szCs w:val="21"/>
                <w14:textFill>
                  <w14:solidFill>
                    <w14:schemeClr w14:val="tx1"/>
                  </w14:solidFill>
                </w14:textFill>
              </w:rPr>
            </w:r>
            <w:r/>
          </w:p>
        </w:tc>
        <w:tc>
          <w:tcPr>
            <w:tcW w:w="1066" w:type="dxa"/>
            <w:vAlign w:val="center"/>
            <w:textDirection w:val="lrTb"/>
            <w:noWrap w:val="false"/>
          </w:tcPr>
          <w:p>
            <w:pPr>
              <w:pStyle w:val="1034"/>
              <w:ind w:right="72"/>
              <w:keepNext/>
              <w:spacing w:line="440" w:lineRule="exact"/>
              <w:rPr>
                <w:rFonts w:ascii="宋体" w:hAnsi="宋体" w:cs="宋体"/>
                <w:color w:val="000000" w:themeColor="text1"/>
                <w:sz w:val="24"/>
                <w:szCs w:val="21"/>
                <w14:textFill>
                  <w14:solidFill>
                    <w14:schemeClr w14:val="tx1"/>
                  </w14:solidFill>
                </w14:textFill>
              </w:rPr>
            </w:pPr>
            <w:r>
              <w:rPr>
                <w:rFonts w:ascii="宋体" w:hAnsi="宋体" w:cs="宋体"/>
                <w:color w:val="000000" w:themeColor="text1"/>
                <w:sz w:val="24"/>
                <w:szCs w:val="21"/>
                <w14:textFill>
                  <w14:solidFill>
                    <w14:schemeClr w14:val="tx1"/>
                  </w14:solidFill>
                </w14:textFill>
              </w:rPr>
            </w:r>
            <w:r/>
          </w:p>
        </w:tc>
        <w:tc>
          <w:tcPr>
            <w:tcW w:w="1066" w:type="dxa"/>
            <w:vAlign w:val="center"/>
            <w:textDirection w:val="lrTb"/>
            <w:noWrap w:val="false"/>
          </w:tcPr>
          <w:p>
            <w:pPr>
              <w:pStyle w:val="1034"/>
              <w:ind w:right="72"/>
              <w:keepNext/>
              <w:spacing w:line="440" w:lineRule="exact"/>
              <w:rPr>
                <w:rFonts w:ascii="宋体" w:hAnsi="宋体" w:cs="宋体"/>
                <w:color w:val="000000" w:themeColor="text1"/>
                <w:sz w:val="24"/>
                <w:szCs w:val="21"/>
                <w14:textFill>
                  <w14:solidFill>
                    <w14:schemeClr w14:val="tx1"/>
                  </w14:solidFill>
                </w14:textFill>
              </w:rPr>
            </w:pPr>
            <w:r>
              <w:rPr>
                <w:rFonts w:ascii="宋体" w:hAnsi="宋体" w:cs="宋体"/>
                <w:color w:val="000000" w:themeColor="text1"/>
                <w:sz w:val="24"/>
                <w:szCs w:val="21"/>
                <w14:textFill>
                  <w14:solidFill>
                    <w14:schemeClr w14:val="tx1"/>
                  </w14:solidFill>
                </w14:textFill>
              </w:rPr>
            </w:r>
            <w:r/>
          </w:p>
        </w:tc>
        <w:tc>
          <w:tcPr>
            <w:tcW w:w="3950" w:type="dxa"/>
            <w:vAlign w:val="center"/>
            <w:textDirection w:val="lrTb"/>
            <w:noWrap w:val="false"/>
          </w:tcPr>
          <w:p>
            <w:pPr>
              <w:pStyle w:val="1034"/>
              <w:ind w:right="72"/>
              <w:keepNext/>
              <w:spacing w:line="440" w:lineRule="exact"/>
              <w:rPr>
                <w:rFonts w:ascii="宋体" w:hAnsi="宋体" w:cs="宋体"/>
                <w:color w:val="000000" w:themeColor="text1"/>
                <w:sz w:val="24"/>
                <w:szCs w:val="21"/>
                <w14:textFill>
                  <w14:solidFill>
                    <w14:schemeClr w14:val="tx1"/>
                  </w14:solidFill>
                </w14:textFill>
              </w:rPr>
            </w:pPr>
            <w:r>
              <w:rPr>
                <w:rFonts w:ascii="宋体" w:hAnsi="宋体" w:cs="宋体"/>
                <w:color w:val="000000" w:themeColor="text1"/>
                <w:sz w:val="24"/>
                <w:szCs w:val="21"/>
                <w14:textFill>
                  <w14:solidFill>
                    <w14:schemeClr w14:val="tx1"/>
                  </w14:solidFill>
                </w14:textFill>
              </w:rPr>
            </w:r>
            <w:r/>
          </w:p>
        </w:tc>
      </w:tr>
      <w:tr>
        <w:trPr>
          <w:jc w:val="center"/>
          <w:trHeight w:val="454" w:hRule="exact"/>
        </w:trPr>
        <w:tc>
          <w:tcPr>
            <w:tcW w:w="1738" w:type="dxa"/>
            <w:vAlign w:val="center"/>
            <w:textDirection w:val="lrTb"/>
            <w:noWrap w:val="false"/>
          </w:tcPr>
          <w:p>
            <w:pPr>
              <w:pStyle w:val="1034"/>
              <w:ind w:right="72"/>
              <w:keepNext/>
              <w:spacing w:line="440" w:lineRule="exact"/>
              <w:rPr>
                <w:rFonts w:ascii="宋体" w:hAnsi="宋体" w:cs="宋体"/>
                <w:color w:val="000000" w:themeColor="text1"/>
                <w:sz w:val="24"/>
                <w:szCs w:val="21"/>
                <w14:textFill>
                  <w14:solidFill>
                    <w14:schemeClr w14:val="tx1"/>
                  </w14:solidFill>
                </w14:textFill>
              </w:rPr>
            </w:pPr>
            <w:r>
              <w:rPr>
                <w:rFonts w:hint="eastAsia" w:ascii="宋体" w:hAnsi="宋体" w:cs="宋体"/>
                <w:color w:val="000000" w:themeColor="text1"/>
                <w:sz w:val="24"/>
                <w:szCs w:val="21"/>
                <w14:textFill>
                  <w14:solidFill>
                    <w14:schemeClr w14:val="tx1"/>
                  </w14:solidFill>
                </w14:textFill>
              </w:rPr>
              <w:t xml:space="preserve">其他人员</w:t>
            </w:r>
            <w:r/>
          </w:p>
        </w:tc>
        <w:tc>
          <w:tcPr>
            <w:tcW w:w="1326" w:type="dxa"/>
            <w:vAlign w:val="center"/>
            <w:textDirection w:val="lrTb"/>
            <w:noWrap w:val="false"/>
          </w:tcPr>
          <w:p>
            <w:pPr>
              <w:pStyle w:val="1034"/>
              <w:ind w:right="72"/>
              <w:keepNext/>
              <w:spacing w:line="440" w:lineRule="exact"/>
              <w:rPr>
                <w:rFonts w:ascii="宋体" w:hAnsi="宋体" w:cs="宋体"/>
                <w:color w:val="000000" w:themeColor="text1"/>
                <w:sz w:val="24"/>
                <w:szCs w:val="21"/>
                <w14:textFill>
                  <w14:solidFill>
                    <w14:schemeClr w14:val="tx1"/>
                  </w14:solidFill>
                </w14:textFill>
              </w:rPr>
            </w:pPr>
            <w:r>
              <w:rPr>
                <w:rFonts w:ascii="宋体" w:hAnsi="宋体" w:cs="宋体"/>
                <w:color w:val="000000" w:themeColor="text1"/>
                <w:sz w:val="24"/>
                <w:szCs w:val="21"/>
                <w14:textFill>
                  <w14:solidFill>
                    <w14:schemeClr w14:val="tx1"/>
                  </w14:solidFill>
                </w14:textFill>
              </w:rPr>
            </w:r>
            <w:r/>
          </w:p>
        </w:tc>
        <w:tc>
          <w:tcPr>
            <w:tcW w:w="1066" w:type="dxa"/>
            <w:vAlign w:val="center"/>
            <w:textDirection w:val="lrTb"/>
            <w:noWrap w:val="false"/>
          </w:tcPr>
          <w:p>
            <w:pPr>
              <w:pStyle w:val="1034"/>
              <w:ind w:right="72"/>
              <w:keepNext/>
              <w:spacing w:line="440" w:lineRule="exact"/>
              <w:rPr>
                <w:rFonts w:ascii="宋体" w:hAnsi="宋体" w:cs="宋体"/>
                <w:color w:val="000000" w:themeColor="text1"/>
                <w:sz w:val="24"/>
                <w:szCs w:val="21"/>
                <w14:textFill>
                  <w14:solidFill>
                    <w14:schemeClr w14:val="tx1"/>
                  </w14:solidFill>
                </w14:textFill>
              </w:rPr>
            </w:pPr>
            <w:r>
              <w:rPr>
                <w:rFonts w:ascii="宋体" w:hAnsi="宋体" w:cs="宋体"/>
                <w:color w:val="000000" w:themeColor="text1"/>
                <w:sz w:val="24"/>
                <w:szCs w:val="21"/>
                <w14:textFill>
                  <w14:solidFill>
                    <w14:schemeClr w14:val="tx1"/>
                  </w14:solidFill>
                </w14:textFill>
              </w:rPr>
            </w:r>
            <w:r/>
          </w:p>
        </w:tc>
        <w:tc>
          <w:tcPr>
            <w:tcW w:w="1066" w:type="dxa"/>
            <w:vAlign w:val="center"/>
            <w:textDirection w:val="lrTb"/>
            <w:noWrap w:val="false"/>
          </w:tcPr>
          <w:p>
            <w:pPr>
              <w:pStyle w:val="1034"/>
              <w:ind w:right="72"/>
              <w:keepNext/>
              <w:spacing w:line="440" w:lineRule="exact"/>
              <w:rPr>
                <w:rFonts w:ascii="宋体" w:hAnsi="宋体" w:cs="宋体"/>
                <w:color w:val="000000" w:themeColor="text1"/>
                <w:sz w:val="24"/>
                <w:szCs w:val="21"/>
                <w14:textFill>
                  <w14:solidFill>
                    <w14:schemeClr w14:val="tx1"/>
                  </w14:solidFill>
                </w14:textFill>
              </w:rPr>
            </w:pPr>
            <w:r>
              <w:rPr>
                <w:rFonts w:ascii="宋体" w:hAnsi="宋体" w:cs="宋体"/>
                <w:color w:val="000000" w:themeColor="text1"/>
                <w:sz w:val="24"/>
                <w:szCs w:val="21"/>
                <w14:textFill>
                  <w14:solidFill>
                    <w14:schemeClr w14:val="tx1"/>
                  </w14:solidFill>
                </w14:textFill>
              </w:rPr>
            </w:r>
            <w:r/>
          </w:p>
        </w:tc>
        <w:tc>
          <w:tcPr>
            <w:tcW w:w="3950" w:type="dxa"/>
            <w:vAlign w:val="center"/>
            <w:textDirection w:val="lrTb"/>
            <w:noWrap w:val="false"/>
          </w:tcPr>
          <w:p>
            <w:pPr>
              <w:pStyle w:val="1034"/>
              <w:ind w:right="72"/>
              <w:keepNext/>
              <w:spacing w:line="440" w:lineRule="exact"/>
              <w:rPr>
                <w:rFonts w:ascii="宋体" w:hAnsi="宋体" w:cs="宋体"/>
                <w:color w:val="000000" w:themeColor="text1"/>
                <w:sz w:val="24"/>
                <w:szCs w:val="21"/>
                <w14:textFill>
                  <w14:solidFill>
                    <w14:schemeClr w14:val="tx1"/>
                  </w14:solidFill>
                </w14:textFill>
              </w:rPr>
            </w:pPr>
            <w:r>
              <w:rPr>
                <w:rFonts w:ascii="宋体" w:hAnsi="宋体" w:cs="宋体"/>
                <w:color w:val="000000" w:themeColor="text1"/>
                <w:sz w:val="24"/>
                <w:szCs w:val="21"/>
                <w14:textFill>
                  <w14:solidFill>
                    <w14:schemeClr w14:val="tx1"/>
                  </w14:solidFill>
                </w14:textFill>
              </w:rPr>
            </w:r>
            <w:r/>
          </w:p>
        </w:tc>
      </w:tr>
      <w:tr>
        <w:trPr>
          <w:jc w:val="center"/>
          <w:trHeight w:val="454" w:hRule="exact"/>
        </w:trPr>
        <w:tc>
          <w:tcPr>
            <w:gridSpan w:val="5"/>
            <w:tcW w:w="9146" w:type="dxa"/>
            <w:vAlign w:val="center"/>
            <w:textDirection w:val="lrTb"/>
            <w:noWrap w:val="false"/>
          </w:tcPr>
          <w:p>
            <w:pPr>
              <w:pStyle w:val="1034"/>
              <w:ind w:right="72"/>
              <w:keepNext/>
              <w:spacing w:line="440" w:lineRule="exact"/>
              <w:rPr>
                <w:rFonts w:ascii="宋体" w:hAnsi="宋体" w:cs="宋体"/>
                <w:color w:val="000000" w:themeColor="text1"/>
                <w:sz w:val="24"/>
                <w:szCs w:val="21"/>
                <w14:textFill>
                  <w14:solidFill>
                    <w14:schemeClr w14:val="tx1"/>
                  </w14:solidFill>
                </w14:textFill>
              </w:rPr>
            </w:pPr>
            <w:r>
              <w:rPr>
                <w:rFonts w:hint="eastAsia" w:ascii="宋体" w:hAnsi="宋体" w:cs="宋体"/>
                <w:color w:val="000000" w:themeColor="text1"/>
                <w:sz w:val="24"/>
                <w:szCs w:val="21"/>
                <w14:textFill>
                  <w14:solidFill>
                    <w14:schemeClr w14:val="tx1"/>
                  </w14:solidFill>
                </w14:textFill>
              </w:rPr>
              <w:t xml:space="preserve">二、现场人员</w:t>
            </w:r>
            <w:r/>
          </w:p>
        </w:tc>
      </w:tr>
      <w:tr>
        <w:trPr>
          <w:jc w:val="center"/>
          <w:trHeight w:val="454" w:hRule="exact"/>
        </w:trPr>
        <w:tc>
          <w:tcPr>
            <w:tcW w:w="1738" w:type="dxa"/>
            <w:vAlign w:val="center"/>
            <w:textDirection w:val="lrTb"/>
            <w:noWrap w:val="false"/>
          </w:tcPr>
          <w:p>
            <w:pPr>
              <w:pStyle w:val="1034"/>
              <w:ind w:right="72"/>
              <w:keepNext/>
              <w:spacing w:line="440" w:lineRule="exact"/>
              <w:rPr>
                <w:rFonts w:ascii="宋体" w:hAnsi="宋体" w:cs="宋体"/>
                <w:color w:val="000000" w:themeColor="text1"/>
                <w:sz w:val="24"/>
                <w:szCs w:val="21"/>
                <w14:textFill>
                  <w14:solidFill>
                    <w14:schemeClr w14:val="tx1"/>
                  </w14:solidFill>
                </w14:textFill>
              </w:rPr>
            </w:pPr>
            <w:r>
              <w:rPr>
                <w:rFonts w:hint="eastAsia" w:ascii="宋体" w:hAnsi="宋体" w:cs="宋体"/>
                <w:color w:val="000000" w:themeColor="text1"/>
                <w:sz w:val="24"/>
                <w:szCs w:val="21"/>
                <w14:textFill>
                  <w14:solidFill>
                    <w14:schemeClr w14:val="tx1"/>
                  </w14:solidFill>
                </w14:textFill>
              </w:rPr>
              <w:t xml:space="preserve">项目经理</w:t>
            </w:r>
            <w:r/>
          </w:p>
        </w:tc>
        <w:tc>
          <w:tcPr>
            <w:tcW w:w="1326" w:type="dxa"/>
            <w:vAlign w:val="center"/>
            <w:textDirection w:val="lrTb"/>
            <w:noWrap w:val="false"/>
          </w:tcPr>
          <w:p>
            <w:pPr>
              <w:pStyle w:val="1034"/>
              <w:ind w:right="72"/>
              <w:keepNext/>
              <w:spacing w:line="440" w:lineRule="exact"/>
              <w:rPr>
                <w:rFonts w:ascii="宋体" w:hAnsi="宋体" w:cs="宋体"/>
                <w:color w:val="000000" w:themeColor="text1"/>
                <w:sz w:val="24"/>
                <w:szCs w:val="21"/>
                <w14:textFill>
                  <w14:solidFill>
                    <w14:schemeClr w14:val="tx1"/>
                  </w14:solidFill>
                </w14:textFill>
              </w:rPr>
            </w:pPr>
            <w:r>
              <w:rPr>
                <w:rFonts w:ascii="宋体" w:hAnsi="宋体" w:cs="宋体"/>
                <w:color w:val="000000" w:themeColor="text1"/>
                <w:sz w:val="24"/>
                <w:szCs w:val="21"/>
                <w14:textFill>
                  <w14:solidFill>
                    <w14:schemeClr w14:val="tx1"/>
                  </w14:solidFill>
                </w14:textFill>
              </w:rPr>
            </w:r>
            <w:r/>
          </w:p>
        </w:tc>
        <w:tc>
          <w:tcPr>
            <w:tcW w:w="1066" w:type="dxa"/>
            <w:vAlign w:val="center"/>
            <w:textDirection w:val="lrTb"/>
            <w:noWrap w:val="false"/>
          </w:tcPr>
          <w:p>
            <w:pPr>
              <w:pStyle w:val="1034"/>
              <w:ind w:right="72"/>
              <w:keepNext/>
              <w:spacing w:line="440" w:lineRule="exact"/>
              <w:rPr>
                <w:rFonts w:ascii="宋体" w:hAnsi="宋体" w:cs="宋体"/>
                <w:color w:val="000000" w:themeColor="text1"/>
                <w:sz w:val="24"/>
                <w:szCs w:val="21"/>
                <w14:textFill>
                  <w14:solidFill>
                    <w14:schemeClr w14:val="tx1"/>
                  </w14:solidFill>
                </w14:textFill>
              </w:rPr>
            </w:pPr>
            <w:r>
              <w:rPr>
                <w:rFonts w:ascii="宋体" w:hAnsi="宋体" w:cs="宋体"/>
                <w:color w:val="000000" w:themeColor="text1"/>
                <w:sz w:val="24"/>
                <w:szCs w:val="21"/>
                <w14:textFill>
                  <w14:solidFill>
                    <w14:schemeClr w14:val="tx1"/>
                  </w14:solidFill>
                </w14:textFill>
              </w:rPr>
            </w:r>
            <w:r/>
          </w:p>
        </w:tc>
        <w:tc>
          <w:tcPr>
            <w:tcW w:w="1066" w:type="dxa"/>
            <w:vAlign w:val="center"/>
            <w:textDirection w:val="lrTb"/>
            <w:noWrap w:val="false"/>
          </w:tcPr>
          <w:p>
            <w:pPr>
              <w:pStyle w:val="1034"/>
              <w:ind w:right="72"/>
              <w:keepNext/>
              <w:spacing w:line="440" w:lineRule="exact"/>
              <w:rPr>
                <w:rFonts w:ascii="宋体" w:hAnsi="宋体" w:cs="宋体"/>
                <w:color w:val="000000" w:themeColor="text1"/>
                <w:sz w:val="24"/>
                <w:szCs w:val="21"/>
                <w14:textFill>
                  <w14:solidFill>
                    <w14:schemeClr w14:val="tx1"/>
                  </w14:solidFill>
                </w14:textFill>
              </w:rPr>
            </w:pPr>
            <w:r>
              <w:rPr>
                <w:rFonts w:ascii="宋体" w:hAnsi="宋体" w:cs="宋体"/>
                <w:color w:val="000000" w:themeColor="text1"/>
                <w:sz w:val="24"/>
                <w:szCs w:val="21"/>
                <w14:textFill>
                  <w14:solidFill>
                    <w14:schemeClr w14:val="tx1"/>
                  </w14:solidFill>
                </w14:textFill>
              </w:rPr>
            </w:r>
            <w:r/>
          </w:p>
        </w:tc>
        <w:tc>
          <w:tcPr>
            <w:tcW w:w="3950" w:type="dxa"/>
            <w:vAlign w:val="center"/>
            <w:textDirection w:val="lrTb"/>
            <w:noWrap w:val="false"/>
          </w:tcPr>
          <w:p>
            <w:pPr>
              <w:pStyle w:val="1034"/>
              <w:ind w:right="72"/>
              <w:keepNext/>
              <w:spacing w:line="440" w:lineRule="exact"/>
              <w:rPr>
                <w:rFonts w:ascii="宋体" w:hAnsi="宋体" w:cs="宋体"/>
                <w:color w:val="000000" w:themeColor="text1"/>
                <w:sz w:val="24"/>
                <w:szCs w:val="21"/>
                <w14:textFill>
                  <w14:solidFill>
                    <w14:schemeClr w14:val="tx1"/>
                  </w14:solidFill>
                </w14:textFill>
              </w:rPr>
            </w:pPr>
            <w:r>
              <w:rPr>
                <w:rFonts w:ascii="宋体" w:hAnsi="宋体" w:cs="宋体"/>
                <w:color w:val="000000" w:themeColor="text1"/>
                <w:sz w:val="24"/>
                <w:szCs w:val="21"/>
                <w14:textFill>
                  <w14:solidFill>
                    <w14:schemeClr w14:val="tx1"/>
                  </w14:solidFill>
                </w14:textFill>
              </w:rPr>
            </w:r>
            <w:r/>
          </w:p>
        </w:tc>
      </w:tr>
      <w:tr>
        <w:trPr>
          <w:jc w:val="center"/>
          <w:trHeight w:val="454" w:hRule="exact"/>
        </w:trPr>
        <w:tc>
          <w:tcPr>
            <w:tcW w:w="1738" w:type="dxa"/>
            <w:vAlign w:val="center"/>
            <w:textDirection w:val="lrTb"/>
            <w:noWrap w:val="false"/>
          </w:tcPr>
          <w:p>
            <w:pPr>
              <w:pStyle w:val="1034"/>
              <w:ind w:right="72"/>
              <w:keepNext/>
              <w:spacing w:line="440" w:lineRule="exact"/>
              <w:rPr>
                <w:rFonts w:ascii="宋体" w:hAnsi="宋体" w:cs="宋体"/>
                <w:color w:val="000000" w:themeColor="text1"/>
                <w:sz w:val="24"/>
                <w:szCs w:val="21"/>
                <w14:textFill>
                  <w14:solidFill>
                    <w14:schemeClr w14:val="tx1"/>
                  </w14:solidFill>
                </w14:textFill>
              </w:rPr>
            </w:pPr>
            <w:r>
              <w:rPr>
                <w:rFonts w:hint="eastAsia" w:ascii="宋体" w:hAnsi="宋体" w:cs="宋体"/>
                <w:color w:val="000000" w:themeColor="text1"/>
                <w:sz w:val="24"/>
                <w:szCs w:val="21"/>
                <w14:textFill>
                  <w14:solidFill>
                    <w14:schemeClr w14:val="tx1"/>
                  </w14:solidFill>
                </w14:textFill>
              </w:rPr>
              <w:t xml:space="preserve">技术负责人</w:t>
            </w:r>
            <w:r/>
          </w:p>
        </w:tc>
        <w:tc>
          <w:tcPr>
            <w:tcW w:w="1326" w:type="dxa"/>
            <w:vAlign w:val="center"/>
            <w:textDirection w:val="lrTb"/>
            <w:noWrap w:val="false"/>
          </w:tcPr>
          <w:p>
            <w:pPr>
              <w:pStyle w:val="1034"/>
              <w:ind w:right="72"/>
              <w:keepNext/>
              <w:spacing w:line="440" w:lineRule="exact"/>
              <w:rPr>
                <w:rFonts w:ascii="宋体" w:hAnsi="宋体" w:cs="宋体"/>
                <w:color w:val="000000" w:themeColor="text1"/>
                <w:sz w:val="24"/>
                <w:szCs w:val="21"/>
                <w14:textFill>
                  <w14:solidFill>
                    <w14:schemeClr w14:val="tx1"/>
                  </w14:solidFill>
                </w14:textFill>
              </w:rPr>
            </w:pPr>
            <w:r>
              <w:rPr>
                <w:rFonts w:ascii="宋体" w:hAnsi="宋体" w:cs="宋体"/>
                <w:color w:val="000000" w:themeColor="text1"/>
                <w:sz w:val="24"/>
                <w:szCs w:val="21"/>
                <w14:textFill>
                  <w14:solidFill>
                    <w14:schemeClr w14:val="tx1"/>
                  </w14:solidFill>
                </w14:textFill>
              </w:rPr>
            </w:r>
            <w:r/>
          </w:p>
        </w:tc>
        <w:tc>
          <w:tcPr>
            <w:tcW w:w="1066" w:type="dxa"/>
            <w:vAlign w:val="center"/>
            <w:textDirection w:val="lrTb"/>
            <w:noWrap w:val="false"/>
          </w:tcPr>
          <w:p>
            <w:pPr>
              <w:pStyle w:val="1034"/>
              <w:ind w:right="72"/>
              <w:keepNext/>
              <w:spacing w:line="440" w:lineRule="exact"/>
              <w:rPr>
                <w:rFonts w:ascii="宋体" w:hAnsi="宋体" w:cs="宋体"/>
                <w:color w:val="000000" w:themeColor="text1"/>
                <w:sz w:val="24"/>
                <w:szCs w:val="21"/>
                <w14:textFill>
                  <w14:solidFill>
                    <w14:schemeClr w14:val="tx1"/>
                  </w14:solidFill>
                </w14:textFill>
              </w:rPr>
            </w:pPr>
            <w:r>
              <w:rPr>
                <w:rFonts w:ascii="宋体" w:hAnsi="宋体" w:cs="宋体"/>
                <w:color w:val="000000" w:themeColor="text1"/>
                <w:sz w:val="24"/>
                <w:szCs w:val="21"/>
                <w14:textFill>
                  <w14:solidFill>
                    <w14:schemeClr w14:val="tx1"/>
                  </w14:solidFill>
                </w14:textFill>
              </w:rPr>
            </w:r>
            <w:r/>
          </w:p>
        </w:tc>
        <w:tc>
          <w:tcPr>
            <w:tcW w:w="1066" w:type="dxa"/>
            <w:vAlign w:val="center"/>
            <w:textDirection w:val="lrTb"/>
            <w:noWrap w:val="false"/>
          </w:tcPr>
          <w:p>
            <w:pPr>
              <w:pStyle w:val="1034"/>
              <w:ind w:right="72"/>
              <w:keepNext/>
              <w:spacing w:line="440" w:lineRule="exact"/>
              <w:rPr>
                <w:rFonts w:ascii="宋体" w:hAnsi="宋体" w:cs="宋体"/>
                <w:color w:val="000000" w:themeColor="text1"/>
                <w:sz w:val="24"/>
                <w:szCs w:val="21"/>
                <w14:textFill>
                  <w14:solidFill>
                    <w14:schemeClr w14:val="tx1"/>
                  </w14:solidFill>
                </w14:textFill>
              </w:rPr>
            </w:pPr>
            <w:r>
              <w:rPr>
                <w:rFonts w:ascii="宋体" w:hAnsi="宋体" w:cs="宋体"/>
                <w:color w:val="000000" w:themeColor="text1"/>
                <w:sz w:val="24"/>
                <w:szCs w:val="21"/>
                <w14:textFill>
                  <w14:solidFill>
                    <w14:schemeClr w14:val="tx1"/>
                  </w14:solidFill>
                </w14:textFill>
              </w:rPr>
            </w:r>
            <w:r/>
          </w:p>
        </w:tc>
        <w:tc>
          <w:tcPr>
            <w:tcW w:w="3950" w:type="dxa"/>
            <w:vAlign w:val="center"/>
            <w:textDirection w:val="lrTb"/>
            <w:noWrap w:val="false"/>
          </w:tcPr>
          <w:p>
            <w:pPr>
              <w:pStyle w:val="1034"/>
              <w:ind w:right="72"/>
              <w:keepNext/>
              <w:spacing w:line="440" w:lineRule="exact"/>
              <w:rPr>
                <w:rFonts w:ascii="宋体" w:hAnsi="宋体" w:cs="宋体"/>
                <w:color w:val="000000" w:themeColor="text1"/>
                <w:sz w:val="24"/>
                <w:szCs w:val="21"/>
                <w14:textFill>
                  <w14:solidFill>
                    <w14:schemeClr w14:val="tx1"/>
                  </w14:solidFill>
                </w14:textFill>
              </w:rPr>
            </w:pPr>
            <w:r>
              <w:rPr>
                <w:rFonts w:ascii="宋体" w:hAnsi="宋体" w:cs="宋体"/>
                <w:color w:val="000000" w:themeColor="text1"/>
                <w:sz w:val="24"/>
                <w:szCs w:val="21"/>
                <w14:textFill>
                  <w14:solidFill>
                    <w14:schemeClr w14:val="tx1"/>
                  </w14:solidFill>
                </w14:textFill>
              </w:rPr>
            </w:r>
            <w:r/>
          </w:p>
        </w:tc>
      </w:tr>
      <w:tr>
        <w:trPr>
          <w:jc w:val="center"/>
          <w:trHeight w:val="454" w:hRule="exact"/>
        </w:trPr>
        <w:tc>
          <w:tcPr>
            <w:tcW w:w="1738" w:type="dxa"/>
            <w:vAlign w:val="center"/>
            <w:textDirection w:val="lrTb"/>
            <w:noWrap w:val="false"/>
          </w:tcPr>
          <w:p>
            <w:pPr>
              <w:pStyle w:val="1034"/>
              <w:ind w:right="72"/>
              <w:keepNext/>
              <w:spacing w:line="440" w:lineRule="exact"/>
              <w:rPr>
                <w:rFonts w:ascii="宋体" w:hAnsi="宋体" w:cs="宋体"/>
                <w:color w:val="000000" w:themeColor="text1"/>
                <w:sz w:val="24"/>
                <w:szCs w:val="21"/>
                <w14:textFill>
                  <w14:solidFill>
                    <w14:schemeClr w14:val="tx1"/>
                  </w14:solidFill>
                </w14:textFill>
              </w:rPr>
            </w:pPr>
            <w:r>
              <w:rPr>
                <w:rFonts w:hint="eastAsia" w:ascii="宋体" w:hAnsi="宋体" w:cs="宋体"/>
                <w:color w:val="000000" w:themeColor="text1"/>
                <w:sz w:val="24"/>
                <w:szCs w:val="21"/>
                <w14:textFill>
                  <w14:solidFill>
                    <w14:schemeClr w14:val="tx1"/>
                  </w14:solidFill>
                </w14:textFill>
              </w:rPr>
              <w:t xml:space="preserve">造价管理</w:t>
            </w:r>
            <w:r/>
          </w:p>
        </w:tc>
        <w:tc>
          <w:tcPr>
            <w:tcW w:w="1326" w:type="dxa"/>
            <w:vAlign w:val="center"/>
            <w:textDirection w:val="lrTb"/>
            <w:noWrap w:val="false"/>
          </w:tcPr>
          <w:p>
            <w:pPr>
              <w:pStyle w:val="1034"/>
              <w:ind w:right="72"/>
              <w:keepNext/>
              <w:spacing w:line="440" w:lineRule="exact"/>
              <w:rPr>
                <w:rFonts w:ascii="宋体" w:hAnsi="宋体" w:cs="宋体"/>
                <w:color w:val="000000" w:themeColor="text1"/>
                <w:sz w:val="24"/>
                <w:szCs w:val="21"/>
                <w14:textFill>
                  <w14:solidFill>
                    <w14:schemeClr w14:val="tx1"/>
                  </w14:solidFill>
                </w14:textFill>
              </w:rPr>
            </w:pPr>
            <w:r>
              <w:rPr>
                <w:rFonts w:ascii="宋体" w:hAnsi="宋体" w:cs="宋体"/>
                <w:color w:val="000000" w:themeColor="text1"/>
                <w:sz w:val="24"/>
                <w:szCs w:val="21"/>
                <w14:textFill>
                  <w14:solidFill>
                    <w14:schemeClr w14:val="tx1"/>
                  </w14:solidFill>
                </w14:textFill>
              </w:rPr>
            </w:r>
            <w:r/>
          </w:p>
        </w:tc>
        <w:tc>
          <w:tcPr>
            <w:tcW w:w="1066" w:type="dxa"/>
            <w:vAlign w:val="center"/>
            <w:textDirection w:val="lrTb"/>
            <w:noWrap w:val="false"/>
          </w:tcPr>
          <w:p>
            <w:pPr>
              <w:pStyle w:val="1034"/>
              <w:ind w:right="72"/>
              <w:keepNext/>
              <w:spacing w:line="440" w:lineRule="exact"/>
              <w:rPr>
                <w:rFonts w:ascii="宋体" w:hAnsi="宋体" w:cs="宋体"/>
                <w:color w:val="000000" w:themeColor="text1"/>
                <w:sz w:val="24"/>
                <w:szCs w:val="21"/>
                <w14:textFill>
                  <w14:solidFill>
                    <w14:schemeClr w14:val="tx1"/>
                  </w14:solidFill>
                </w14:textFill>
              </w:rPr>
            </w:pPr>
            <w:r>
              <w:rPr>
                <w:rFonts w:ascii="宋体" w:hAnsi="宋体" w:cs="宋体"/>
                <w:color w:val="000000" w:themeColor="text1"/>
                <w:sz w:val="24"/>
                <w:szCs w:val="21"/>
                <w14:textFill>
                  <w14:solidFill>
                    <w14:schemeClr w14:val="tx1"/>
                  </w14:solidFill>
                </w14:textFill>
              </w:rPr>
            </w:r>
            <w:r/>
          </w:p>
        </w:tc>
        <w:tc>
          <w:tcPr>
            <w:tcW w:w="1066" w:type="dxa"/>
            <w:vAlign w:val="center"/>
            <w:textDirection w:val="lrTb"/>
            <w:noWrap w:val="false"/>
          </w:tcPr>
          <w:p>
            <w:pPr>
              <w:pStyle w:val="1034"/>
              <w:ind w:right="72"/>
              <w:keepNext/>
              <w:spacing w:line="440" w:lineRule="exact"/>
              <w:rPr>
                <w:rFonts w:ascii="宋体" w:hAnsi="宋体" w:cs="宋体"/>
                <w:color w:val="000000" w:themeColor="text1"/>
                <w:sz w:val="24"/>
                <w:szCs w:val="21"/>
                <w14:textFill>
                  <w14:solidFill>
                    <w14:schemeClr w14:val="tx1"/>
                  </w14:solidFill>
                </w14:textFill>
              </w:rPr>
            </w:pPr>
            <w:r>
              <w:rPr>
                <w:rFonts w:ascii="宋体" w:hAnsi="宋体" w:cs="宋体"/>
                <w:color w:val="000000" w:themeColor="text1"/>
                <w:sz w:val="24"/>
                <w:szCs w:val="21"/>
                <w14:textFill>
                  <w14:solidFill>
                    <w14:schemeClr w14:val="tx1"/>
                  </w14:solidFill>
                </w14:textFill>
              </w:rPr>
            </w:r>
            <w:r/>
          </w:p>
        </w:tc>
        <w:tc>
          <w:tcPr>
            <w:tcW w:w="3950" w:type="dxa"/>
            <w:vAlign w:val="center"/>
            <w:textDirection w:val="lrTb"/>
            <w:noWrap w:val="false"/>
          </w:tcPr>
          <w:p>
            <w:pPr>
              <w:pStyle w:val="1034"/>
              <w:ind w:right="72"/>
              <w:keepNext/>
              <w:spacing w:line="440" w:lineRule="exact"/>
              <w:rPr>
                <w:rFonts w:ascii="宋体" w:hAnsi="宋体" w:cs="宋体"/>
                <w:color w:val="000000" w:themeColor="text1"/>
                <w:sz w:val="24"/>
                <w:szCs w:val="21"/>
                <w14:textFill>
                  <w14:solidFill>
                    <w14:schemeClr w14:val="tx1"/>
                  </w14:solidFill>
                </w14:textFill>
              </w:rPr>
            </w:pPr>
            <w:r>
              <w:rPr>
                <w:rFonts w:ascii="宋体" w:hAnsi="宋体" w:cs="宋体"/>
                <w:color w:val="000000" w:themeColor="text1"/>
                <w:sz w:val="24"/>
                <w:szCs w:val="21"/>
                <w14:textFill>
                  <w14:solidFill>
                    <w14:schemeClr w14:val="tx1"/>
                  </w14:solidFill>
                </w14:textFill>
              </w:rPr>
            </w:r>
            <w:r/>
          </w:p>
        </w:tc>
      </w:tr>
      <w:tr>
        <w:trPr>
          <w:jc w:val="center"/>
          <w:trHeight w:val="454" w:hRule="exact"/>
        </w:trPr>
        <w:tc>
          <w:tcPr>
            <w:tcW w:w="1738" w:type="dxa"/>
            <w:vAlign w:val="center"/>
            <w:textDirection w:val="lrTb"/>
            <w:noWrap w:val="false"/>
          </w:tcPr>
          <w:p>
            <w:pPr>
              <w:pStyle w:val="1034"/>
              <w:ind w:right="72"/>
              <w:keepNext/>
              <w:spacing w:line="440" w:lineRule="exact"/>
              <w:rPr>
                <w:rFonts w:ascii="宋体" w:hAnsi="宋体" w:cs="宋体"/>
                <w:color w:val="000000" w:themeColor="text1"/>
                <w:sz w:val="24"/>
                <w:szCs w:val="21"/>
                <w14:textFill>
                  <w14:solidFill>
                    <w14:schemeClr w14:val="tx1"/>
                  </w14:solidFill>
                </w14:textFill>
              </w:rPr>
            </w:pPr>
            <w:r>
              <w:rPr>
                <w:rFonts w:hint="eastAsia" w:ascii="宋体" w:hAnsi="宋体" w:cs="宋体"/>
                <w:color w:val="000000" w:themeColor="text1"/>
                <w:sz w:val="24"/>
                <w:szCs w:val="21"/>
                <w14:textFill>
                  <w14:solidFill>
                    <w14:schemeClr w14:val="tx1"/>
                  </w14:solidFill>
                </w14:textFill>
              </w:rPr>
              <w:t xml:space="preserve">质量管理</w:t>
            </w:r>
            <w:r/>
          </w:p>
        </w:tc>
        <w:tc>
          <w:tcPr>
            <w:tcW w:w="1326" w:type="dxa"/>
            <w:vAlign w:val="center"/>
            <w:textDirection w:val="lrTb"/>
            <w:noWrap w:val="false"/>
          </w:tcPr>
          <w:p>
            <w:pPr>
              <w:pStyle w:val="1034"/>
              <w:ind w:right="72"/>
              <w:keepNext/>
              <w:spacing w:line="440" w:lineRule="exact"/>
              <w:rPr>
                <w:rFonts w:ascii="宋体" w:hAnsi="宋体" w:cs="宋体"/>
                <w:color w:val="000000" w:themeColor="text1"/>
                <w:sz w:val="24"/>
                <w:szCs w:val="21"/>
                <w14:textFill>
                  <w14:solidFill>
                    <w14:schemeClr w14:val="tx1"/>
                  </w14:solidFill>
                </w14:textFill>
              </w:rPr>
            </w:pPr>
            <w:r>
              <w:rPr>
                <w:rFonts w:ascii="宋体" w:hAnsi="宋体" w:cs="宋体"/>
                <w:color w:val="000000" w:themeColor="text1"/>
                <w:sz w:val="24"/>
                <w:szCs w:val="21"/>
                <w14:textFill>
                  <w14:solidFill>
                    <w14:schemeClr w14:val="tx1"/>
                  </w14:solidFill>
                </w14:textFill>
              </w:rPr>
            </w:r>
            <w:r/>
          </w:p>
        </w:tc>
        <w:tc>
          <w:tcPr>
            <w:tcW w:w="1066" w:type="dxa"/>
            <w:vAlign w:val="center"/>
            <w:textDirection w:val="lrTb"/>
            <w:noWrap w:val="false"/>
          </w:tcPr>
          <w:p>
            <w:pPr>
              <w:pStyle w:val="1034"/>
              <w:ind w:right="72"/>
              <w:keepNext/>
              <w:spacing w:line="440" w:lineRule="exact"/>
              <w:rPr>
                <w:rFonts w:ascii="宋体" w:hAnsi="宋体" w:cs="宋体"/>
                <w:color w:val="000000" w:themeColor="text1"/>
                <w:sz w:val="24"/>
                <w:szCs w:val="21"/>
                <w14:textFill>
                  <w14:solidFill>
                    <w14:schemeClr w14:val="tx1"/>
                  </w14:solidFill>
                </w14:textFill>
              </w:rPr>
            </w:pPr>
            <w:r>
              <w:rPr>
                <w:rFonts w:ascii="宋体" w:hAnsi="宋体" w:cs="宋体"/>
                <w:color w:val="000000" w:themeColor="text1"/>
                <w:sz w:val="24"/>
                <w:szCs w:val="21"/>
                <w14:textFill>
                  <w14:solidFill>
                    <w14:schemeClr w14:val="tx1"/>
                  </w14:solidFill>
                </w14:textFill>
              </w:rPr>
            </w:r>
            <w:r/>
          </w:p>
        </w:tc>
        <w:tc>
          <w:tcPr>
            <w:tcW w:w="1066" w:type="dxa"/>
            <w:vAlign w:val="center"/>
            <w:textDirection w:val="lrTb"/>
            <w:noWrap w:val="false"/>
          </w:tcPr>
          <w:p>
            <w:pPr>
              <w:pStyle w:val="1034"/>
              <w:ind w:right="72"/>
              <w:keepNext/>
              <w:spacing w:line="440" w:lineRule="exact"/>
              <w:rPr>
                <w:rFonts w:ascii="宋体" w:hAnsi="宋体" w:cs="宋体"/>
                <w:color w:val="000000" w:themeColor="text1"/>
                <w:sz w:val="24"/>
                <w:szCs w:val="21"/>
                <w14:textFill>
                  <w14:solidFill>
                    <w14:schemeClr w14:val="tx1"/>
                  </w14:solidFill>
                </w14:textFill>
              </w:rPr>
            </w:pPr>
            <w:r>
              <w:rPr>
                <w:rFonts w:ascii="宋体" w:hAnsi="宋体" w:cs="宋体"/>
                <w:color w:val="000000" w:themeColor="text1"/>
                <w:sz w:val="24"/>
                <w:szCs w:val="21"/>
                <w14:textFill>
                  <w14:solidFill>
                    <w14:schemeClr w14:val="tx1"/>
                  </w14:solidFill>
                </w14:textFill>
              </w:rPr>
            </w:r>
            <w:r/>
          </w:p>
        </w:tc>
        <w:tc>
          <w:tcPr>
            <w:tcW w:w="3950" w:type="dxa"/>
            <w:vAlign w:val="center"/>
            <w:textDirection w:val="lrTb"/>
            <w:noWrap w:val="false"/>
          </w:tcPr>
          <w:p>
            <w:pPr>
              <w:pStyle w:val="1034"/>
              <w:ind w:right="72"/>
              <w:keepNext/>
              <w:spacing w:line="440" w:lineRule="exact"/>
              <w:rPr>
                <w:rFonts w:ascii="宋体" w:hAnsi="宋体" w:cs="宋体"/>
                <w:color w:val="000000" w:themeColor="text1"/>
                <w:sz w:val="24"/>
                <w:szCs w:val="21"/>
                <w14:textFill>
                  <w14:solidFill>
                    <w14:schemeClr w14:val="tx1"/>
                  </w14:solidFill>
                </w14:textFill>
              </w:rPr>
            </w:pPr>
            <w:r>
              <w:rPr>
                <w:rFonts w:ascii="宋体" w:hAnsi="宋体" w:cs="宋体"/>
                <w:color w:val="000000" w:themeColor="text1"/>
                <w:sz w:val="24"/>
                <w:szCs w:val="21"/>
                <w14:textFill>
                  <w14:solidFill>
                    <w14:schemeClr w14:val="tx1"/>
                  </w14:solidFill>
                </w14:textFill>
              </w:rPr>
            </w:r>
            <w:r/>
          </w:p>
        </w:tc>
      </w:tr>
      <w:tr>
        <w:trPr>
          <w:jc w:val="center"/>
          <w:trHeight w:val="454" w:hRule="exact"/>
        </w:trPr>
        <w:tc>
          <w:tcPr>
            <w:tcW w:w="1738" w:type="dxa"/>
            <w:vAlign w:val="center"/>
            <w:textDirection w:val="lrTb"/>
            <w:noWrap w:val="false"/>
          </w:tcPr>
          <w:p>
            <w:pPr>
              <w:pStyle w:val="1034"/>
              <w:ind w:right="72"/>
              <w:keepNext/>
              <w:spacing w:line="440" w:lineRule="exact"/>
              <w:rPr>
                <w:rFonts w:ascii="宋体" w:hAnsi="宋体" w:cs="宋体"/>
                <w:color w:val="000000" w:themeColor="text1"/>
                <w:sz w:val="24"/>
                <w:szCs w:val="21"/>
                <w14:textFill>
                  <w14:solidFill>
                    <w14:schemeClr w14:val="tx1"/>
                  </w14:solidFill>
                </w14:textFill>
              </w:rPr>
            </w:pPr>
            <w:r>
              <w:rPr>
                <w:rFonts w:hint="eastAsia" w:ascii="宋体" w:hAnsi="宋体" w:cs="宋体"/>
                <w:color w:val="000000" w:themeColor="text1"/>
                <w:sz w:val="24"/>
                <w:szCs w:val="21"/>
                <w14:textFill>
                  <w14:solidFill>
                    <w14:schemeClr w14:val="tx1"/>
                  </w14:solidFill>
                </w14:textFill>
              </w:rPr>
              <w:t xml:space="preserve">材料管理</w:t>
            </w:r>
            <w:r/>
          </w:p>
        </w:tc>
        <w:tc>
          <w:tcPr>
            <w:tcW w:w="1326" w:type="dxa"/>
            <w:vAlign w:val="center"/>
            <w:textDirection w:val="lrTb"/>
            <w:noWrap w:val="false"/>
          </w:tcPr>
          <w:p>
            <w:pPr>
              <w:pStyle w:val="1034"/>
              <w:ind w:right="72"/>
              <w:keepNext/>
              <w:spacing w:line="440" w:lineRule="exact"/>
              <w:rPr>
                <w:rFonts w:ascii="宋体" w:hAnsi="宋体" w:cs="宋体"/>
                <w:color w:val="000000" w:themeColor="text1"/>
                <w:sz w:val="24"/>
                <w:szCs w:val="21"/>
                <w14:textFill>
                  <w14:solidFill>
                    <w14:schemeClr w14:val="tx1"/>
                  </w14:solidFill>
                </w14:textFill>
              </w:rPr>
            </w:pPr>
            <w:r>
              <w:rPr>
                <w:rFonts w:ascii="宋体" w:hAnsi="宋体" w:cs="宋体"/>
                <w:color w:val="000000" w:themeColor="text1"/>
                <w:sz w:val="24"/>
                <w:szCs w:val="21"/>
                <w14:textFill>
                  <w14:solidFill>
                    <w14:schemeClr w14:val="tx1"/>
                  </w14:solidFill>
                </w14:textFill>
              </w:rPr>
            </w:r>
            <w:r/>
          </w:p>
        </w:tc>
        <w:tc>
          <w:tcPr>
            <w:tcW w:w="1066" w:type="dxa"/>
            <w:vAlign w:val="center"/>
            <w:textDirection w:val="lrTb"/>
            <w:noWrap w:val="false"/>
          </w:tcPr>
          <w:p>
            <w:pPr>
              <w:pStyle w:val="1034"/>
              <w:ind w:right="72"/>
              <w:keepNext/>
              <w:spacing w:line="440" w:lineRule="exact"/>
              <w:rPr>
                <w:rFonts w:ascii="宋体" w:hAnsi="宋体" w:cs="宋体"/>
                <w:color w:val="000000" w:themeColor="text1"/>
                <w:sz w:val="24"/>
                <w:szCs w:val="21"/>
                <w14:textFill>
                  <w14:solidFill>
                    <w14:schemeClr w14:val="tx1"/>
                  </w14:solidFill>
                </w14:textFill>
              </w:rPr>
            </w:pPr>
            <w:r>
              <w:rPr>
                <w:rFonts w:ascii="宋体" w:hAnsi="宋体" w:cs="宋体"/>
                <w:color w:val="000000" w:themeColor="text1"/>
                <w:sz w:val="24"/>
                <w:szCs w:val="21"/>
                <w14:textFill>
                  <w14:solidFill>
                    <w14:schemeClr w14:val="tx1"/>
                  </w14:solidFill>
                </w14:textFill>
              </w:rPr>
            </w:r>
            <w:r/>
          </w:p>
        </w:tc>
        <w:tc>
          <w:tcPr>
            <w:tcW w:w="1066" w:type="dxa"/>
            <w:vAlign w:val="center"/>
            <w:textDirection w:val="lrTb"/>
            <w:noWrap w:val="false"/>
          </w:tcPr>
          <w:p>
            <w:pPr>
              <w:pStyle w:val="1034"/>
              <w:ind w:right="72"/>
              <w:keepNext/>
              <w:spacing w:line="440" w:lineRule="exact"/>
              <w:rPr>
                <w:rFonts w:ascii="宋体" w:hAnsi="宋体" w:cs="宋体"/>
                <w:color w:val="000000" w:themeColor="text1"/>
                <w:sz w:val="24"/>
                <w:szCs w:val="21"/>
                <w14:textFill>
                  <w14:solidFill>
                    <w14:schemeClr w14:val="tx1"/>
                  </w14:solidFill>
                </w14:textFill>
              </w:rPr>
            </w:pPr>
            <w:r>
              <w:rPr>
                <w:rFonts w:ascii="宋体" w:hAnsi="宋体" w:cs="宋体"/>
                <w:color w:val="000000" w:themeColor="text1"/>
                <w:sz w:val="24"/>
                <w:szCs w:val="21"/>
                <w14:textFill>
                  <w14:solidFill>
                    <w14:schemeClr w14:val="tx1"/>
                  </w14:solidFill>
                </w14:textFill>
              </w:rPr>
            </w:r>
            <w:r/>
          </w:p>
        </w:tc>
        <w:tc>
          <w:tcPr>
            <w:tcW w:w="3950" w:type="dxa"/>
            <w:vAlign w:val="center"/>
            <w:textDirection w:val="lrTb"/>
            <w:noWrap w:val="false"/>
          </w:tcPr>
          <w:p>
            <w:pPr>
              <w:pStyle w:val="1034"/>
              <w:ind w:right="72"/>
              <w:keepNext/>
              <w:spacing w:line="440" w:lineRule="exact"/>
              <w:rPr>
                <w:rFonts w:ascii="宋体" w:hAnsi="宋体" w:cs="宋体"/>
                <w:color w:val="000000" w:themeColor="text1"/>
                <w:sz w:val="24"/>
                <w:szCs w:val="21"/>
                <w14:textFill>
                  <w14:solidFill>
                    <w14:schemeClr w14:val="tx1"/>
                  </w14:solidFill>
                </w14:textFill>
              </w:rPr>
            </w:pPr>
            <w:r>
              <w:rPr>
                <w:rFonts w:ascii="宋体" w:hAnsi="宋体" w:cs="宋体"/>
                <w:color w:val="000000" w:themeColor="text1"/>
                <w:sz w:val="24"/>
                <w:szCs w:val="21"/>
                <w14:textFill>
                  <w14:solidFill>
                    <w14:schemeClr w14:val="tx1"/>
                  </w14:solidFill>
                </w14:textFill>
              </w:rPr>
            </w:r>
            <w:r/>
          </w:p>
        </w:tc>
      </w:tr>
      <w:tr>
        <w:trPr>
          <w:jc w:val="center"/>
          <w:trHeight w:val="454" w:hRule="exact"/>
        </w:trPr>
        <w:tc>
          <w:tcPr>
            <w:tcW w:w="1738" w:type="dxa"/>
            <w:vAlign w:val="center"/>
            <w:textDirection w:val="lrTb"/>
            <w:noWrap w:val="false"/>
          </w:tcPr>
          <w:p>
            <w:pPr>
              <w:pStyle w:val="1034"/>
              <w:ind w:right="72"/>
              <w:keepNext/>
              <w:spacing w:line="440" w:lineRule="exact"/>
              <w:rPr>
                <w:rFonts w:ascii="宋体" w:hAnsi="宋体" w:cs="宋体"/>
                <w:color w:val="000000" w:themeColor="text1"/>
                <w:sz w:val="24"/>
                <w:szCs w:val="21"/>
                <w14:textFill>
                  <w14:solidFill>
                    <w14:schemeClr w14:val="tx1"/>
                  </w14:solidFill>
                </w14:textFill>
              </w:rPr>
            </w:pPr>
            <w:r>
              <w:rPr>
                <w:rFonts w:hint="eastAsia" w:ascii="宋体" w:hAnsi="宋体" w:cs="宋体"/>
                <w:color w:val="000000" w:themeColor="text1"/>
                <w:sz w:val="24"/>
                <w:szCs w:val="21"/>
                <w14:textFill>
                  <w14:solidFill>
                    <w14:schemeClr w14:val="tx1"/>
                  </w14:solidFill>
                </w14:textFill>
              </w:rPr>
              <w:t xml:space="preserve">安全管理</w:t>
            </w:r>
            <w:r/>
          </w:p>
        </w:tc>
        <w:tc>
          <w:tcPr>
            <w:tcW w:w="1326" w:type="dxa"/>
            <w:vAlign w:val="center"/>
            <w:textDirection w:val="lrTb"/>
            <w:noWrap w:val="false"/>
          </w:tcPr>
          <w:p>
            <w:pPr>
              <w:pStyle w:val="1034"/>
              <w:ind w:right="72"/>
              <w:keepNext/>
              <w:spacing w:line="440" w:lineRule="exact"/>
              <w:rPr>
                <w:rFonts w:ascii="宋体" w:hAnsi="宋体" w:cs="宋体"/>
                <w:color w:val="000000" w:themeColor="text1"/>
                <w:sz w:val="24"/>
                <w:szCs w:val="21"/>
                <w14:textFill>
                  <w14:solidFill>
                    <w14:schemeClr w14:val="tx1"/>
                  </w14:solidFill>
                </w14:textFill>
              </w:rPr>
            </w:pPr>
            <w:r>
              <w:rPr>
                <w:rFonts w:ascii="宋体" w:hAnsi="宋体" w:cs="宋体"/>
                <w:color w:val="000000" w:themeColor="text1"/>
                <w:sz w:val="24"/>
                <w:szCs w:val="21"/>
                <w14:textFill>
                  <w14:solidFill>
                    <w14:schemeClr w14:val="tx1"/>
                  </w14:solidFill>
                </w14:textFill>
              </w:rPr>
            </w:r>
            <w:r/>
          </w:p>
        </w:tc>
        <w:tc>
          <w:tcPr>
            <w:tcW w:w="1066" w:type="dxa"/>
            <w:vAlign w:val="center"/>
            <w:textDirection w:val="lrTb"/>
            <w:noWrap w:val="false"/>
          </w:tcPr>
          <w:p>
            <w:pPr>
              <w:pStyle w:val="1034"/>
              <w:ind w:right="72"/>
              <w:keepNext/>
              <w:spacing w:line="440" w:lineRule="exact"/>
              <w:rPr>
                <w:rFonts w:ascii="宋体" w:hAnsi="宋体" w:cs="宋体"/>
                <w:color w:val="000000" w:themeColor="text1"/>
                <w:sz w:val="24"/>
                <w:szCs w:val="21"/>
                <w14:textFill>
                  <w14:solidFill>
                    <w14:schemeClr w14:val="tx1"/>
                  </w14:solidFill>
                </w14:textFill>
              </w:rPr>
            </w:pPr>
            <w:r>
              <w:rPr>
                <w:rFonts w:ascii="宋体" w:hAnsi="宋体" w:cs="宋体"/>
                <w:color w:val="000000" w:themeColor="text1"/>
                <w:sz w:val="24"/>
                <w:szCs w:val="21"/>
                <w14:textFill>
                  <w14:solidFill>
                    <w14:schemeClr w14:val="tx1"/>
                  </w14:solidFill>
                </w14:textFill>
              </w:rPr>
            </w:r>
            <w:r/>
          </w:p>
        </w:tc>
        <w:tc>
          <w:tcPr>
            <w:tcW w:w="1066" w:type="dxa"/>
            <w:vAlign w:val="center"/>
            <w:textDirection w:val="lrTb"/>
            <w:noWrap w:val="false"/>
          </w:tcPr>
          <w:p>
            <w:pPr>
              <w:pStyle w:val="1034"/>
              <w:ind w:right="72"/>
              <w:keepNext/>
              <w:spacing w:line="440" w:lineRule="exact"/>
              <w:rPr>
                <w:rFonts w:ascii="宋体" w:hAnsi="宋体" w:cs="宋体"/>
                <w:color w:val="000000" w:themeColor="text1"/>
                <w:sz w:val="24"/>
                <w:szCs w:val="21"/>
                <w14:textFill>
                  <w14:solidFill>
                    <w14:schemeClr w14:val="tx1"/>
                  </w14:solidFill>
                </w14:textFill>
              </w:rPr>
            </w:pPr>
            <w:r>
              <w:rPr>
                <w:rFonts w:ascii="宋体" w:hAnsi="宋体" w:cs="宋体"/>
                <w:color w:val="000000" w:themeColor="text1"/>
                <w:sz w:val="24"/>
                <w:szCs w:val="21"/>
                <w14:textFill>
                  <w14:solidFill>
                    <w14:schemeClr w14:val="tx1"/>
                  </w14:solidFill>
                </w14:textFill>
              </w:rPr>
            </w:r>
            <w:r/>
          </w:p>
        </w:tc>
        <w:tc>
          <w:tcPr>
            <w:tcW w:w="3950" w:type="dxa"/>
            <w:vAlign w:val="center"/>
            <w:textDirection w:val="lrTb"/>
            <w:noWrap w:val="false"/>
          </w:tcPr>
          <w:p>
            <w:pPr>
              <w:pStyle w:val="1034"/>
              <w:ind w:right="72"/>
              <w:keepNext/>
              <w:spacing w:line="440" w:lineRule="exact"/>
              <w:rPr>
                <w:rFonts w:ascii="宋体" w:hAnsi="宋体" w:cs="宋体"/>
                <w:color w:val="000000" w:themeColor="text1"/>
                <w:sz w:val="24"/>
                <w:szCs w:val="21"/>
                <w14:textFill>
                  <w14:solidFill>
                    <w14:schemeClr w14:val="tx1"/>
                  </w14:solidFill>
                </w14:textFill>
              </w:rPr>
            </w:pPr>
            <w:r>
              <w:rPr>
                <w:rFonts w:ascii="宋体" w:hAnsi="宋体" w:cs="宋体"/>
                <w:color w:val="000000" w:themeColor="text1"/>
                <w:sz w:val="24"/>
                <w:szCs w:val="21"/>
                <w14:textFill>
                  <w14:solidFill>
                    <w14:schemeClr w14:val="tx1"/>
                  </w14:solidFill>
                </w14:textFill>
              </w:rPr>
            </w:r>
            <w:r/>
          </w:p>
        </w:tc>
      </w:tr>
      <w:tr>
        <w:trPr>
          <w:jc w:val="center"/>
          <w:trHeight w:val="454" w:hRule="exact"/>
        </w:trPr>
        <w:tc>
          <w:tcPr>
            <w:tcW w:w="1738" w:type="dxa"/>
            <w:vAlign w:val="center"/>
            <w:textDirection w:val="lrTb"/>
            <w:noWrap w:val="false"/>
          </w:tcPr>
          <w:p>
            <w:pPr>
              <w:pStyle w:val="1034"/>
              <w:ind w:right="72"/>
              <w:keepNext/>
              <w:spacing w:line="440" w:lineRule="exact"/>
              <w:rPr>
                <w:rFonts w:ascii="宋体" w:hAnsi="宋体" w:cs="宋体"/>
                <w:color w:val="000000" w:themeColor="text1"/>
                <w:sz w:val="24"/>
                <w:szCs w:val="21"/>
                <w14:textFill>
                  <w14:solidFill>
                    <w14:schemeClr w14:val="tx1"/>
                  </w14:solidFill>
                </w14:textFill>
              </w:rPr>
            </w:pPr>
            <w:r>
              <w:rPr>
                <w:rFonts w:hint="eastAsia" w:ascii="宋体" w:hAnsi="宋体" w:cs="宋体"/>
                <w:color w:val="000000" w:themeColor="text1"/>
                <w:sz w:val="24"/>
                <w:szCs w:val="21"/>
                <w14:textFill>
                  <w14:solidFill>
                    <w14:schemeClr w14:val="tx1"/>
                  </w14:solidFill>
                </w14:textFill>
              </w:rPr>
              <w:t xml:space="preserve">其他人员</w:t>
            </w:r>
            <w:r/>
          </w:p>
        </w:tc>
        <w:tc>
          <w:tcPr>
            <w:tcW w:w="1326" w:type="dxa"/>
            <w:vAlign w:val="center"/>
            <w:textDirection w:val="lrTb"/>
            <w:noWrap w:val="false"/>
          </w:tcPr>
          <w:p>
            <w:pPr>
              <w:pStyle w:val="1034"/>
              <w:ind w:right="72"/>
              <w:keepNext/>
              <w:spacing w:line="440" w:lineRule="exact"/>
              <w:rPr>
                <w:rFonts w:ascii="宋体" w:hAnsi="宋体" w:cs="宋体"/>
                <w:color w:val="000000" w:themeColor="text1"/>
                <w:sz w:val="24"/>
                <w:szCs w:val="21"/>
                <w14:textFill>
                  <w14:solidFill>
                    <w14:schemeClr w14:val="tx1"/>
                  </w14:solidFill>
                </w14:textFill>
              </w:rPr>
            </w:pPr>
            <w:r>
              <w:rPr>
                <w:rFonts w:ascii="宋体" w:hAnsi="宋体" w:cs="宋体"/>
                <w:color w:val="000000" w:themeColor="text1"/>
                <w:sz w:val="24"/>
                <w:szCs w:val="21"/>
                <w14:textFill>
                  <w14:solidFill>
                    <w14:schemeClr w14:val="tx1"/>
                  </w14:solidFill>
                </w14:textFill>
              </w:rPr>
            </w:r>
            <w:r/>
          </w:p>
        </w:tc>
        <w:tc>
          <w:tcPr>
            <w:tcW w:w="1066" w:type="dxa"/>
            <w:vAlign w:val="center"/>
            <w:textDirection w:val="lrTb"/>
            <w:noWrap w:val="false"/>
          </w:tcPr>
          <w:p>
            <w:pPr>
              <w:pStyle w:val="1034"/>
              <w:ind w:right="72"/>
              <w:jc w:val="left"/>
              <w:keepNext/>
              <w:spacing w:line="440" w:lineRule="exact"/>
              <w:rPr>
                <w:rFonts w:ascii="宋体" w:hAnsi="宋体" w:cs="宋体"/>
                <w:color w:val="000000" w:themeColor="text1"/>
                <w:sz w:val="24"/>
                <w:szCs w:val="21"/>
                <w14:textFill>
                  <w14:solidFill>
                    <w14:schemeClr w14:val="tx1"/>
                  </w14:solidFill>
                </w14:textFill>
              </w:rPr>
            </w:pPr>
            <w:r>
              <w:rPr>
                <w:rFonts w:ascii="宋体" w:hAnsi="宋体" w:cs="宋体"/>
                <w:color w:val="000000" w:themeColor="text1"/>
                <w:sz w:val="24"/>
                <w:szCs w:val="21"/>
                <w14:textFill>
                  <w14:solidFill>
                    <w14:schemeClr w14:val="tx1"/>
                  </w14:solidFill>
                </w14:textFill>
              </w:rPr>
            </w:r>
            <w:r/>
          </w:p>
        </w:tc>
        <w:tc>
          <w:tcPr>
            <w:tcW w:w="1066" w:type="dxa"/>
            <w:vAlign w:val="center"/>
            <w:textDirection w:val="lrTb"/>
            <w:noWrap w:val="false"/>
          </w:tcPr>
          <w:p>
            <w:pPr>
              <w:pStyle w:val="1034"/>
              <w:ind w:right="72"/>
              <w:keepNext/>
              <w:spacing w:line="440" w:lineRule="exact"/>
              <w:rPr>
                <w:rFonts w:ascii="宋体" w:hAnsi="宋体" w:cs="宋体"/>
                <w:color w:val="000000" w:themeColor="text1"/>
                <w:sz w:val="24"/>
                <w:szCs w:val="21"/>
                <w14:textFill>
                  <w14:solidFill>
                    <w14:schemeClr w14:val="tx1"/>
                  </w14:solidFill>
                </w14:textFill>
              </w:rPr>
            </w:pPr>
            <w:r>
              <w:rPr>
                <w:rFonts w:ascii="宋体" w:hAnsi="宋体" w:cs="宋体"/>
                <w:color w:val="000000" w:themeColor="text1"/>
                <w:sz w:val="24"/>
                <w:szCs w:val="21"/>
                <w14:textFill>
                  <w14:solidFill>
                    <w14:schemeClr w14:val="tx1"/>
                  </w14:solidFill>
                </w14:textFill>
              </w:rPr>
            </w:r>
            <w:r/>
          </w:p>
        </w:tc>
        <w:tc>
          <w:tcPr>
            <w:tcW w:w="3950" w:type="dxa"/>
            <w:vAlign w:val="center"/>
            <w:textDirection w:val="lrTb"/>
            <w:noWrap w:val="false"/>
          </w:tcPr>
          <w:p>
            <w:pPr>
              <w:pStyle w:val="1034"/>
              <w:ind w:right="72"/>
              <w:keepNext/>
              <w:spacing w:line="440" w:lineRule="exact"/>
              <w:rPr>
                <w:rFonts w:ascii="宋体" w:hAnsi="宋体" w:cs="宋体"/>
                <w:color w:val="000000" w:themeColor="text1"/>
                <w:sz w:val="24"/>
                <w:szCs w:val="21"/>
                <w14:textFill>
                  <w14:solidFill>
                    <w14:schemeClr w14:val="tx1"/>
                  </w14:solidFill>
                </w14:textFill>
              </w:rPr>
            </w:pPr>
            <w:r>
              <w:rPr>
                <w:rFonts w:ascii="宋体" w:hAnsi="宋体" w:cs="宋体"/>
                <w:color w:val="000000" w:themeColor="text1"/>
                <w:sz w:val="24"/>
                <w:szCs w:val="21"/>
                <w14:textFill>
                  <w14:solidFill>
                    <w14:schemeClr w14:val="tx1"/>
                  </w14:solidFill>
                </w14:textFill>
              </w:rPr>
            </w:r>
            <w:r/>
          </w:p>
        </w:tc>
      </w:tr>
    </w:tbl>
    <w:p>
      <w:pPr>
        <w:spacing w:line="360" w:lineRule="auto"/>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p>
      <w:pPr>
        <w:jc w:val="left"/>
        <w:spacing w:before="240" w:after="240" w:line="273" w:lineRule="atLeast"/>
        <w:rPr>
          <w:rFonts w:hint="eastAsia" w:ascii="宋体" w:hAnsi="宋体" w:cs="宋体"/>
          <w:b/>
          <w:bCs/>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szCs w:val="24"/>
          <w14:textFill>
            <w14:solidFill>
              <w14:schemeClr w14:val="tx1"/>
            </w14:solidFill>
          </w14:textFill>
        </w:rPr>
        <w:t xml:space="preserve">附:1.项目负责人在本单位签订劳动合同和交纳社会保险证明。(必须提供)</w:t>
      </w:r>
      <w:r/>
    </w:p>
    <w:p>
      <w:pPr>
        <w:ind w:firstLine="482"/>
        <w:jc w:val="left"/>
        <w:spacing w:before="240" w:after="240" w:line="273" w:lineRule="atLeast"/>
        <w:rPr>
          <w:rFonts w:ascii="宋体" w:hAnsi="宋体" w:cs="宋体"/>
          <w:b/>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szCs w:val="24"/>
          <w14:textFill>
            <w14:solidFill>
              <w14:schemeClr w14:val="tx1"/>
            </w14:solidFill>
          </w14:textFill>
        </w:rPr>
        <w:t xml:space="preserve">2.项目负责人无在建工程的承诺书。(必须提供)。</w:t>
      </w:r>
      <w:r/>
    </w:p>
    <w:p>
      <w:pPr>
        <w:pStyle w:val="1027"/>
        <w:rPr>
          <w:rFonts w:eastAsia="宋体" w:cs="宋体"/>
          <w:b/>
          <w:color w:val="000000" w:themeColor="text1"/>
          <w:sz w:val="24"/>
          <w14:textFill>
            <w14:solidFill>
              <w14:schemeClr w14:val="tx1"/>
            </w14:solidFill>
          </w14:textFill>
        </w:rPr>
      </w:pPr>
      <w:r>
        <w:rPr>
          <w:rFonts w:eastAsia="宋体" w:cs="宋体"/>
          <w:b/>
          <w:color w:val="000000" w:themeColor="text1"/>
          <w:sz w:val="24"/>
          <w14:textFill>
            <w14:solidFill>
              <w14:schemeClr w14:val="tx1"/>
            </w14:solidFill>
          </w14:textFill>
        </w:rPr>
      </w:r>
      <w:r/>
    </w:p>
    <w:p>
      <w:pPr>
        <w:pStyle w:val="1028"/>
      </w:pPr>
      <w:r/>
      <w:r/>
    </w:p>
    <w:p>
      <w:pPr>
        <w:ind w:firstLine="4578"/>
        <w:spacing w:before="240" w:after="240" w:line="273"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14:textFill>
            <w14:solidFill>
              <w14:schemeClr w14:val="tx1"/>
            </w14:solidFill>
          </w14:textFill>
        </w:rPr>
        <w:t xml:space="preserve">供应商（电子签章）：</w:t>
      </w:r>
      <w:r/>
    </w:p>
    <w:p>
      <w:pPr>
        <w:ind w:firstLine="4578"/>
        <w:spacing w:before="240" w:after="240" w:line="519"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14:textFill>
            <w14:solidFill>
              <w14:schemeClr w14:val="tx1"/>
            </w14:solidFill>
          </w14:textFill>
        </w:rPr>
        <w:t xml:space="preserve">日期：</w:t>
      </w:r>
      <w:r/>
    </w:p>
    <w:p>
      <w:pPr>
        <w:jc w:val="left"/>
        <w:spacing w:before="240" w:after="240" w:line="360" w:lineRule="auto"/>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14:textFill>
            <w14:solidFill>
              <w14:schemeClr w14:val="tx1"/>
            </w14:solidFill>
          </w14:textFill>
        </w:rPr>
        <w:t xml:space="preserve">注：1、如果不提供此表将视为没有实质性响应。</w:t>
      </w:r>
      <w:r/>
    </w:p>
    <w:p>
      <w:pPr>
        <w:ind w:firstLine="480"/>
        <w:jc w:val="left"/>
        <w:spacing w:before="240" w:after="240" w:line="360" w:lineRule="auto"/>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2、响应供应商对以上数据的真实性负责。</w:t>
      </w:r>
      <w:r/>
    </w:p>
    <w:p>
      <w:pPr>
        <w:ind w:firstLine="482"/>
        <w:jc w:val="left"/>
        <w:spacing w:before="156" w:after="156" w:line="360" w:lineRule="auto"/>
        <w:rPr>
          <w:rFonts w:ascii="宋体" w:hAnsi="宋体" w:cs="宋体"/>
          <w:b/>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14:textFill>
            <w14:solidFill>
              <w14:schemeClr w14:val="tx1"/>
            </w14:solidFill>
          </w14:textFill>
        </w:rPr>
        <w:t xml:space="preserve">采购人或采购代理机构有权将以上内容进行公示。</w:t>
      </w:r>
      <w:r>
        <w:rPr>
          <w:rFonts w:hint="eastAsia" w:ascii="宋体" w:hAnsi="宋体" w:cs="宋体"/>
          <w:b/>
          <w:bCs/>
          <w:color w:val="000000" w:themeColor="text1"/>
          <w:sz w:val="36"/>
          <w14:textFill>
            <w14:solidFill>
              <w14:schemeClr w14:val="tx1"/>
            </w14:solidFill>
          </w14:textFill>
        </w:rPr>
        <w:br w:type="page" w:clear="all"/>
      </w:r>
      <w:r/>
    </w:p>
    <w:p>
      <w:pPr>
        <w:jc w:val="center"/>
        <w:spacing w:line="360" w:lineRule="auto"/>
        <w:rPr>
          <w:rFonts w:ascii="宋体" w:hAnsi="宋体" w:cs="宋体"/>
          <w:b/>
          <w:bCs/>
          <w:color w:val="000000" w:themeColor="text1"/>
          <w:sz w:val="36"/>
          <w14:textFill>
            <w14:solidFill>
              <w14:schemeClr w14:val="tx1"/>
            </w14:solidFill>
          </w14:textFill>
        </w:rPr>
      </w:pPr>
      <w:r>
        <w:rPr>
          <w:rFonts w:hint="eastAsia" w:ascii="宋体" w:hAnsi="宋体" w:cs="宋体"/>
          <w:b/>
          <w:bCs/>
          <w:color w:val="000000" w:themeColor="text1"/>
          <w:sz w:val="36"/>
          <w14:textFill>
            <w14:solidFill>
              <w14:schemeClr w14:val="tx1"/>
            </w14:solidFill>
          </w14:textFill>
        </w:rPr>
        <w:t xml:space="preserve">7、</w:t>
      </w:r>
      <w:bookmarkStart w:id="1" w:name="_Hlk81985343"/>
      <w:r>
        <w:rPr>
          <w:rFonts w:hint="eastAsia" w:ascii="宋体" w:hAnsi="宋体" w:cs="宋体"/>
          <w:b/>
          <w:bCs/>
          <w:color w:val="000000" w:themeColor="text1"/>
          <w:sz w:val="36"/>
          <w14:textFill>
            <w14:solidFill>
              <w14:schemeClr w14:val="tx1"/>
            </w14:solidFill>
          </w14:textFill>
        </w:rPr>
        <w:t xml:space="preserve">偏离表</w:t>
      </w:r>
      <w:r/>
    </w:p>
    <w:p>
      <w:pPr>
        <w:pStyle w:val="1029"/>
        <w:ind w:left="0" w:firstLine="0"/>
        <w:spacing w:before="0" w:after="0" w:line="360" w:lineRule="auto"/>
        <w:rPr>
          <w:rFonts w:ascii="宋体" w:hAnsi="宋体" w:eastAsia="宋体" w:cs="宋体"/>
          <w:b w:val="0"/>
          <w:bCs w:val="0"/>
          <w:color w:val="000000" w:themeColor="text1"/>
          <w:sz w:val="24"/>
          <w:szCs w:val="20"/>
          <w14:textFill>
            <w14:solidFill>
              <w14:schemeClr w14:val="tx1"/>
            </w14:solidFill>
          </w14:textFill>
        </w:rPr>
      </w:pPr>
      <w:r>
        <w:rPr>
          <w:rFonts w:hint="eastAsia" w:ascii="宋体" w:hAnsi="宋体" w:eastAsia="宋体" w:cs="宋体"/>
          <w:b w:val="0"/>
          <w:bCs w:val="0"/>
          <w:color w:val="000000" w:themeColor="text1"/>
          <w:sz w:val="24"/>
          <w14:textFill>
            <w14:solidFill>
              <w14:schemeClr w14:val="tx1"/>
            </w14:solidFill>
          </w14:textFill>
        </w:rPr>
        <w:t xml:space="preserve">项目编号：JSZC-320324-JSRL-C</w:t>
      </w:r>
      <w:r>
        <w:rPr>
          <w:rFonts w:hint="eastAsia" w:ascii="宋体" w:hAnsi="宋体" w:eastAsia="宋体" w:cs="宋体"/>
          <w:b w:val="0"/>
          <w:bCs w:val="0"/>
          <w:color w:val="000000" w:themeColor="text1"/>
          <w:sz w:val="24"/>
          <w:lang w:eastAsia="zh-CN"/>
          <w14:textFill>
            <w14:solidFill>
              <w14:schemeClr w14:val="tx1"/>
            </w14:solidFill>
          </w14:textFill>
        </w:rPr>
        <w:t xml:space="preserve">2026-0003</w:t>
      </w:r>
      <w:r>
        <w:rPr>
          <w:rFonts w:hint="eastAsia" w:ascii="宋体" w:hAnsi="宋体" w:eastAsia="宋体" w:cs="宋体"/>
          <w:b w:val="0"/>
          <w:bCs w:val="0"/>
          <w:color w:val="000000" w:themeColor="text1"/>
          <w:sz w:val="24"/>
          <w14:textFill>
            <w14:solidFill>
              <w14:schemeClr w14:val="tx1"/>
            </w14:solidFill>
          </w14:textFill>
        </w:rPr>
        <w:t xml:space="preserve"> </w:t>
      </w:r>
      <w:r/>
    </w:p>
    <w:p>
      <w:pPr>
        <w:pStyle w:val="1020"/>
        <w:rPr>
          <w:rFonts w:ascii="宋体" w:hAnsi="宋体" w:cs="宋体"/>
        </w:rPr>
      </w:pPr>
      <w:r>
        <w:rPr>
          <w:rFonts w:hint="eastAsia" w:ascii="宋体" w:hAnsi="宋体" w:cs="宋体"/>
          <w:color w:val="000000" w:themeColor="text1"/>
          <w:sz w:val="24"/>
          <w14:textFill>
            <w14:solidFill>
              <w14:schemeClr w14:val="tx1"/>
            </w14:solidFill>
          </w14:textFill>
        </w:rPr>
        <w:t xml:space="preserve">项目名称：</w:t>
      </w:r>
      <w:r>
        <w:rPr>
          <w:rFonts w:hint="eastAsia" w:ascii="宋体" w:hAnsi="宋体" w:cs="宋体"/>
          <w:color w:val="000000" w:themeColor="text1"/>
          <w:sz w:val="24"/>
          <w:lang w:eastAsia="zh-CN"/>
          <w14:textFill>
            <w14:solidFill>
              <w14:schemeClr w14:val="tx1"/>
            </w14:solidFill>
          </w14:textFill>
        </w:rPr>
        <w:t xml:space="preserve">双沟镇魏林安置小区10KV外线工程</w:t>
      </w:r>
      <w:r/>
    </w:p>
    <w:tbl>
      <w:tblPr>
        <w:tblStyle w:val="985"/>
        <w:tblW w:w="87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0"/>
        <w:gridCol w:w="740"/>
        <w:gridCol w:w="3685"/>
        <w:gridCol w:w="1515"/>
        <w:gridCol w:w="1230"/>
        <w:gridCol w:w="770"/>
      </w:tblGrid>
      <w:tr>
        <w:trPr>
          <w:jc w:val="center"/>
          <w:trHeight w:val="414"/>
        </w:trPr>
        <w:tc>
          <w:tcPr>
            <w:tcW w:w="780" w:type="dxa"/>
            <w:vAlign w:val="center"/>
            <w:textDirection w:val="lrTb"/>
            <w:noWrap w:val="false"/>
          </w:tcPr>
          <w:p>
            <w:pPr>
              <w:jc w:val="center"/>
              <w:rPr>
                <w:rFonts w:ascii="宋体" w:hAnsi="宋体" w:cs="宋体"/>
                <w:caps/>
                <w:color w:val="000000" w:themeColor="text1"/>
                <w:sz w:val="24"/>
                <w14:textFill>
                  <w14:solidFill>
                    <w14:schemeClr w14:val="tx1"/>
                  </w14:solidFill>
                </w14:textFill>
              </w:rPr>
            </w:pPr>
            <w:r>
              <w:rPr>
                <w:rFonts w:hint="eastAsia" w:ascii="宋体" w:hAnsi="宋体" w:cs="宋体"/>
                <w:caps/>
                <w:color w:val="000000" w:themeColor="text1"/>
                <w:sz w:val="24"/>
                <w14:textFill>
                  <w14:solidFill>
                    <w14:schemeClr w14:val="tx1"/>
                  </w14:solidFill>
                </w14:textFill>
              </w:rPr>
              <w:t xml:space="preserve">序号</w:t>
            </w:r>
            <w:r/>
          </w:p>
        </w:tc>
        <w:tc>
          <w:tcPr>
            <w:tcW w:w="740" w:type="dxa"/>
            <w:vAlign w:val="center"/>
            <w:textDirection w:val="lrTb"/>
            <w:noWrap w:val="false"/>
          </w:tcPr>
          <w:p>
            <w:pPr>
              <w:jc w:val="center"/>
              <w:rPr>
                <w:rFonts w:ascii="宋体" w:hAnsi="宋体" w:cs="宋体"/>
                <w:caps/>
                <w:color w:val="000000" w:themeColor="text1"/>
                <w:sz w:val="24"/>
                <w14:textFill>
                  <w14:solidFill>
                    <w14:schemeClr w14:val="tx1"/>
                  </w14:solidFill>
                </w14:textFill>
              </w:rPr>
            </w:pPr>
            <w:r>
              <w:rPr>
                <w:rFonts w:hint="eastAsia" w:ascii="宋体" w:hAnsi="宋体" w:cs="宋体"/>
                <w:caps/>
                <w:color w:val="000000" w:themeColor="text1"/>
                <w:sz w:val="24"/>
                <w14:textFill>
                  <w14:solidFill>
                    <w14:schemeClr w14:val="tx1"/>
                  </w14:solidFill>
                </w14:textFill>
              </w:rPr>
              <w:t xml:space="preserve">偏离内容</w:t>
            </w:r>
            <w:r/>
          </w:p>
        </w:tc>
        <w:tc>
          <w:tcPr>
            <w:tcW w:w="3685" w:type="dxa"/>
            <w:vAlign w:val="center"/>
            <w:textDirection w:val="lrTb"/>
            <w:noWrap w:val="false"/>
          </w:tcPr>
          <w:p>
            <w:pPr>
              <w:jc w:val="center"/>
              <w:rPr>
                <w:rFonts w:ascii="宋体" w:hAnsi="宋体" w:cs="宋体"/>
                <w:caps/>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竞争性磋商文件（含竞争性磋商文件的澄清或者修改）的要求</w:t>
            </w:r>
            <w:r/>
          </w:p>
        </w:tc>
        <w:tc>
          <w:tcPr>
            <w:tcW w:w="1515" w:type="dxa"/>
            <w:vAlign w:val="center"/>
            <w:textDirection w:val="lrTb"/>
            <w:noWrap w:val="false"/>
          </w:tcPr>
          <w:p>
            <w:pPr>
              <w:jc w:val="center"/>
              <w:rPr>
                <w:rFonts w:ascii="宋体" w:hAnsi="宋体" w:cs="宋体"/>
                <w:caps/>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首次响应文件中的内容</w:t>
            </w:r>
            <w:r/>
          </w:p>
        </w:tc>
        <w:tc>
          <w:tcPr>
            <w:tcW w:w="1230" w:type="dxa"/>
            <w:vAlign w:val="center"/>
            <w:textDirection w:val="lrTb"/>
            <w:noWrap w:val="false"/>
          </w:tcPr>
          <w:p>
            <w:pPr>
              <w:rPr>
                <w:rFonts w:ascii="宋体" w:hAnsi="宋体" w:cs="宋体"/>
                <w:caps/>
                <w:color w:val="000000" w:themeColor="text1"/>
                <w:sz w:val="24"/>
                <w14:textFill>
                  <w14:solidFill>
                    <w14:schemeClr w14:val="tx1"/>
                  </w14:solidFill>
                </w14:textFill>
              </w:rPr>
            </w:pPr>
            <w:r>
              <w:rPr>
                <w:rFonts w:hint="eastAsia" w:ascii="宋体" w:hAnsi="宋体" w:cs="宋体"/>
                <w:caps/>
                <w:color w:val="000000" w:themeColor="text1"/>
                <w:sz w:val="24"/>
                <w14:textFill>
                  <w14:solidFill>
                    <w14:schemeClr w14:val="tx1"/>
                  </w14:solidFill>
                </w14:textFill>
              </w:rPr>
              <w:t xml:space="preserve">（正/负/无）偏离</w:t>
            </w:r>
            <w:r/>
          </w:p>
        </w:tc>
        <w:tc>
          <w:tcPr>
            <w:tcW w:w="770" w:type="dxa"/>
            <w:vAlign w:val="center"/>
            <w:textDirection w:val="lrTb"/>
            <w:noWrap w:val="false"/>
          </w:tcPr>
          <w:p>
            <w:pPr>
              <w:jc w:val="center"/>
              <w:rPr>
                <w:rFonts w:ascii="宋体" w:hAnsi="宋体" w:cs="宋体"/>
                <w:caps/>
                <w:color w:val="000000" w:themeColor="text1"/>
                <w:sz w:val="24"/>
                <w14:textFill>
                  <w14:solidFill>
                    <w14:schemeClr w14:val="tx1"/>
                  </w14:solidFill>
                </w14:textFill>
              </w:rPr>
            </w:pPr>
            <w:r>
              <w:rPr>
                <w:rFonts w:hint="eastAsia" w:ascii="宋体" w:hAnsi="宋体" w:cs="宋体"/>
                <w:caps/>
                <w:color w:val="000000" w:themeColor="text1"/>
                <w:sz w:val="24"/>
                <w14:textFill>
                  <w14:solidFill>
                    <w14:schemeClr w14:val="tx1"/>
                  </w14:solidFill>
                </w14:textFill>
              </w:rPr>
              <w:t xml:space="preserve">说明</w:t>
            </w:r>
            <w:r/>
          </w:p>
        </w:tc>
      </w:tr>
      <w:tr>
        <w:trPr>
          <w:jc w:val="center"/>
          <w:trHeight w:val="794"/>
        </w:trPr>
        <w:tc>
          <w:tcPr>
            <w:tcW w:w="780" w:type="dxa"/>
            <w:vAlign w:val="center"/>
            <w:textDirection w:val="lrTb"/>
            <w:noWrap w:val="false"/>
          </w:tcPr>
          <w:p>
            <w:pPr>
              <w:jc w:val="center"/>
              <w:rPr>
                <w:rFonts w:ascii="宋体" w:hAnsi="宋体" w:cs="宋体"/>
                <w:caps/>
                <w:color w:val="000000" w:themeColor="text1"/>
                <w:sz w:val="24"/>
                <w14:textFill>
                  <w14:solidFill>
                    <w14:schemeClr w14:val="tx1"/>
                  </w14:solidFill>
                </w14:textFill>
              </w:rPr>
            </w:pPr>
            <w:r>
              <w:rPr>
                <w:rFonts w:ascii="宋体" w:hAnsi="宋体" w:cs="宋体"/>
                <w:caps/>
                <w:color w:val="000000" w:themeColor="text1"/>
                <w:sz w:val="24"/>
                <w14:textFill>
                  <w14:solidFill>
                    <w14:schemeClr w14:val="tx1"/>
                  </w14:solidFill>
                </w14:textFill>
              </w:rPr>
            </w:r>
            <w:r/>
          </w:p>
        </w:tc>
        <w:tc>
          <w:tcPr>
            <w:tcW w:w="740" w:type="dxa"/>
            <w:vAlign w:val="center"/>
            <w:textDirection w:val="lrTb"/>
            <w:noWrap w:val="false"/>
          </w:tcPr>
          <w:p>
            <w:pPr>
              <w:jc w:val="center"/>
              <w:rPr>
                <w:rFonts w:ascii="宋体" w:hAnsi="宋体" w:cs="宋体"/>
                <w:caps/>
                <w:color w:val="000000" w:themeColor="text1"/>
                <w:sz w:val="24"/>
                <w14:textFill>
                  <w14:solidFill>
                    <w14:schemeClr w14:val="tx1"/>
                  </w14:solidFill>
                </w14:textFill>
              </w:rPr>
            </w:pPr>
            <w:r>
              <w:rPr>
                <w:rFonts w:ascii="宋体" w:hAnsi="宋体" w:cs="宋体"/>
                <w:caps/>
                <w:color w:val="000000" w:themeColor="text1"/>
                <w:sz w:val="24"/>
                <w14:textFill>
                  <w14:solidFill>
                    <w14:schemeClr w14:val="tx1"/>
                  </w14:solidFill>
                </w14:textFill>
              </w:rPr>
            </w:r>
            <w:r/>
          </w:p>
        </w:tc>
        <w:tc>
          <w:tcPr>
            <w:tcW w:w="3685" w:type="dxa"/>
            <w:vAlign w:val="center"/>
            <w:textDirection w:val="lrTb"/>
            <w:noWrap w:val="false"/>
          </w:tcPr>
          <w:p>
            <w:pPr>
              <w:jc w:val="center"/>
              <w:rPr>
                <w:rFonts w:ascii="宋体" w:hAnsi="宋体" w:cs="宋体"/>
                <w:caps/>
                <w:color w:val="000000" w:themeColor="text1"/>
                <w:sz w:val="24"/>
                <w14:textFill>
                  <w14:solidFill>
                    <w14:schemeClr w14:val="tx1"/>
                  </w14:solidFill>
                </w14:textFill>
              </w:rPr>
            </w:pPr>
            <w:r>
              <w:rPr>
                <w:rFonts w:ascii="宋体" w:hAnsi="宋体" w:cs="宋体"/>
                <w:caps/>
                <w:color w:val="000000" w:themeColor="text1"/>
                <w:sz w:val="24"/>
                <w14:textFill>
                  <w14:solidFill>
                    <w14:schemeClr w14:val="tx1"/>
                  </w14:solidFill>
                </w14:textFill>
              </w:rPr>
            </w:r>
            <w:r/>
          </w:p>
        </w:tc>
        <w:tc>
          <w:tcPr>
            <w:tcW w:w="1515" w:type="dxa"/>
            <w:vAlign w:val="center"/>
            <w:textDirection w:val="lrTb"/>
            <w:noWrap w:val="false"/>
          </w:tcPr>
          <w:p>
            <w:pPr>
              <w:jc w:val="center"/>
              <w:rPr>
                <w:rFonts w:ascii="宋体" w:hAnsi="宋体" w:cs="宋体"/>
                <w:caps/>
                <w:color w:val="000000" w:themeColor="text1"/>
                <w:sz w:val="24"/>
                <w14:textFill>
                  <w14:solidFill>
                    <w14:schemeClr w14:val="tx1"/>
                  </w14:solidFill>
                </w14:textFill>
              </w:rPr>
            </w:pPr>
            <w:r>
              <w:rPr>
                <w:rFonts w:ascii="宋体" w:hAnsi="宋体" w:cs="宋体"/>
                <w:caps/>
                <w:color w:val="000000" w:themeColor="text1"/>
                <w:sz w:val="24"/>
                <w14:textFill>
                  <w14:solidFill>
                    <w14:schemeClr w14:val="tx1"/>
                  </w14:solidFill>
                </w14:textFill>
              </w:rPr>
            </w:r>
            <w:r/>
          </w:p>
        </w:tc>
        <w:tc>
          <w:tcPr>
            <w:tcW w:w="1230" w:type="dxa"/>
            <w:vAlign w:val="center"/>
            <w:textDirection w:val="lrTb"/>
            <w:noWrap w:val="false"/>
          </w:tcPr>
          <w:p>
            <w:pPr>
              <w:jc w:val="center"/>
              <w:rPr>
                <w:rFonts w:ascii="宋体" w:hAnsi="宋体" w:cs="宋体"/>
                <w:caps/>
                <w:color w:val="000000" w:themeColor="text1"/>
                <w:sz w:val="24"/>
                <w14:textFill>
                  <w14:solidFill>
                    <w14:schemeClr w14:val="tx1"/>
                  </w14:solidFill>
                </w14:textFill>
              </w:rPr>
            </w:pPr>
            <w:r>
              <w:rPr>
                <w:rFonts w:ascii="宋体" w:hAnsi="宋体" w:cs="宋体"/>
                <w:caps/>
                <w:color w:val="000000" w:themeColor="text1"/>
                <w:sz w:val="24"/>
                <w14:textFill>
                  <w14:solidFill>
                    <w14:schemeClr w14:val="tx1"/>
                  </w14:solidFill>
                </w14:textFill>
              </w:rPr>
            </w:r>
            <w:r/>
          </w:p>
        </w:tc>
        <w:tc>
          <w:tcPr>
            <w:tcW w:w="770" w:type="dxa"/>
            <w:vAlign w:val="center"/>
            <w:textDirection w:val="lrTb"/>
            <w:noWrap w:val="false"/>
          </w:tcPr>
          <w:p>
            <w:pPr>
              <w:jc w:val="center"/>
              <w:rPr>
                <w:rFonts w:ascii="宋体" w:hAnsi="宋体" w:cs="宋体"/>
                <w:caps/>
                <w:color w:val="000000" w:themeColor="text1"/>
                <w:sz w:val="24"/>
                <w14:textFill>
                  <w14:solidFill>
                    <w14:schemeClr w14:val="tx1"/>
                  </w14:solidFill>
                </w14:textFill>
              </w:rPr>
            </w:pPr>
            <w:r>
              <w:rPr>
                <w:rFonts w:ascii="宋体" w:hAnsi="宋体" w:cs="宋体"/>
                <w:caps/>
                <w:color w:val="000000" w:themeColor="text1"/>
                <w:sz w:val="24"/>
                <w14:textFill>
                  <w14:solidFill>
                    <w14:schemeClr w14:val="tx1"/>
                  </w14:solidFill>
                </w14:textFill>
              </w:rPr>
            </w:r>
            <w:r/>
          </w:p>
        </w:tc>
      </w:tr>
      <w:tr>
        <w:trPr>
          <w:jc w:val="center"/>
          <w:trHeight w:val="794"/>
        </w:trPr>
        <w:tc>
          <w:tcPr>
            <w:tcW w:w="780" w:type="dxa"/>
            <w:vAlign w:val="center"/>
            <w:textDirection w:val="lrTb"/>
            <w:noWrap w:val="false"/>
          </w:tcPr>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740" w:type="dxa"/>
            <w:vAlign w:val="center"/>
            <w:textDirection w:val="lrTb"/>
            <w:noWrap w:val="false"/>
          </w:tcPr>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3685" w:type="dxa"/>
            <w:vAlign w:val="center"/>
            <w:textDirection w:val="lrTb"/>
            <w:noWrap w:val="false"/>
          </w:tcPr>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1515" w:type="dxa"/>
            <w:vAlign w:val="center"/>
            <w:textDirection w:val="lrTb"/>
            <w:noWrap w:val="false"/>
          </w:tcPr>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1230" w:type="dxa"/>
            <w:vAlign w:val="center"/>
            <w:textDirection w:val="lrTb"/>
            <w:noWrap w:val="false"/>
          </w:tcPr>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770" w:type="dxa"/>
            <w:vAlign w:val="center"/>
            <w:textDirection w:val="lrTb"/>
            <w:noWrap w:val="false"/>
          </w:tcPr>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r>
        <w:trPr>
          <w:jc w:val="center"/>
          <w:trHeight w:val="794"/>
        </w:trPr>
        <w:tc>
          <w:tcPr>
            <w:tcW w:w="780" w:type="dxa"/>
            <w:vAlign w:val="center"/>
            <w:textDirection w:val="lrTb"/>
            <w:noWrap w:val="false"/>
          </w:tcPr>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740" w:type="dxa"/>
            <w:vAlign w:val="center"/>
            <w:textDirection w:val="lrTb"/>
            <w:noWrap w:val="false"/>
          </w:tcPr>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3685" w:type="dxa"/>
            <w:vAlign w:val="center"/>
            <w:textDirection w:val="lrTb"/>
            <w:noWrap w:val="false"/>
          </w:tcPr>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1515" w:type="dxa"/>
            <w:vAlign w:val="center"/>
            <w:textDirection w:val="lrTb"/>
            <w:noWrap w:val="false"/>
          </w:tcPr>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1230" w:type="dxa"/>
            <w:vAlign w:val="center"/>
            <w:textDirection w:val="lrTb"/>
            <w:noWrap w:val="false"/>
          </w:tcPr>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770" w:type="dxa"/>
            <w:vAlign w:val="center"/>
            <w:textDirection w:val="lrTb"/>
            <w:noWrap w:val="false"/>
          </w:tcPr>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r>
        <w:trPr>
          <w:jc w:val="center"/>
          <w:trHeight w:val="794"/>
        </w:trPr>
        <w:tc>
          <w:tcPr>
            <w:tcW w:w="780" w:type="dxa"/>
            <w:vAlign w:val="center"/>
            <w:textDirection w:val="lrTb"/>
            <w:noWrap w:val="false"/>
          </w:tcPr>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740" w:type="dxa"/>
            <w:vAlign w:val="center"/>
            <w:textDirection w:val="lrTb"/>
            <w:noWrap w:val="false"/>
          </w:tcPr>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3685" w:type="dxa"/>
            <w:vAlign w:val="center"/>
            <w:textDirection w:val="lrTb"/>
            <w:noWrap w:val="false"/>
          </w:tcPr>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1515" w:type="dxa"/>
            <w:vAlign w:val="center"/>
            <w:textDirection w:val="lrTb"/>
            <w:noWrap w:val="false"/>
          </w:tcPr>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1230" w:type="dxa"/>
            <w:vAlign w:val="center"/>
            <w:textDirection w:val="lrTb"/>
            <w:noWrap w:val="false"/>
          </w:tcPr>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770" w:type="dxa"/>
            <w:vAlign w:val="center"/>
            <w:textDirection w:val="lrTb"/>
            <w:noWrap w:val="false"/>
          </w:tcPr>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r>
        <w:trPr>
          <w:jc w:val="center"/>
          <w:trHeight w:val="794"/>
        </w:trPr>
        <w:tc>
          <w:tcPr>
            <w:tcW w:w="780" w:type="dxa"/>
            <w:vAlign w:val="center"/>
            <w:textDirection w:val="lrTb"/>
            <w:noWrap w:val="false"/>
          </w:tcPr>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740" w:type="dxa"/>
            <w:vAlign w:val="center"/>
            <w:textDirection w:val="lrTb"/>
            <w:noWrap w:val="false"/>
          </w:tcPr>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3685" w:type="dxa"/>
            <w:vAlign w:val="center"/>
            <w:textDirection w:val="lrTb"/>
            <w:noWrap w:val="false"/>
          </w:tcPr>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1515" w:type="dxa"/>
            <w:vAlign w:val="center"/>
            <w:textDirection w:val="lrTb"/>
            <w:noWrap w:val="false"/>
          </w:tcPr>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1230" w:type="dxa"/>
            <w:vAlign w:val="center"/>
            <w:textDirection w:val="lrTb"/>
            <w:noWrap w:val="false"/>
          </w:tcPr>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770" w:type="dxa"/>
            <w:vAlign w:val="center"/>
            <w:textDirection w:val="lrTb"/>
            <w:noWrap w:val="false"/>
          </w:tcPr>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r>
        <w:trPr>
          <w:jc w:val="center"/>
          <w:trHeight w:val="794"/>
        </w:trPr>
        <w:tc>
          <w:tcPr>
            <w:tcW w:w="780" w:type="dxa"/>
            <w:vAlign w:val="center"/>
            <w:textDirection w:val="lrTb"/>
            <w:noWrap w:val="false"/>
          </w:tcPr>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740" w:type="dxa"/>
            <w:vAlign w:val="center"/>
            <w:textDirection w:val="lrTb"/>
            <w:noWrap w:val="false"/>
          </w:tcPr>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3685" w:type="dxa"/>
            <w:vAlign w:val="center"/>
            <w:textDirection w:val="lrTb"/>
            <w:noWrap w:val="false"/>
          </w:tcPr>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1515" w:type="dxa"/>
            <w:vAlign w:val="center"/>
            <w:textDirection w:val="lrTb"/>
            <w:noWrap w:val="false"/>
          </w:tcPr>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1230" w:type="dxa"/>
            <w:vAlign w:val="center"/>
            <w:textDirection w:val="lrTb"/>
            <w:noWrap w:val="false"/>
          </w:tcPr>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770" w:type="dxa"/>
            <w:vAlign w:val="center"/>
            <w:textDirection w:val="lrTb"/>
            <w:noWrap w:val="false"/>
          </w:tcPr>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r>
        <w:trPr>
          <w:jc w:val="center"/>
          <w:trHeight w:val="794"/>
        </w:trPr>
        <w:tc>
          <w:tcPr>
            <w:tcW w:w="780" w:type="dxa"/>
            <w:vAlign w:val="center"/>
            <w:textDirection w:val="lrTb"/>
            <w:noWrap w:val="false"/>
          </w:tcPr>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740" w:type="dxa"/>
            <w:vAlign w:val="center"/>
            <w:textDirection w:val="lrTb"/>
            <w:noWrap w:val="false"/>
          </w:tcPr>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3685" w:type="dxa"/>
            <w:vAlign w:val="center"/>
            <w:textDirection w:val="lrTb"/>
            <w:noWrap w:val="false"/>
          </w:tcPr>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1515" w:type="dxa"/>
            <w:vAlign w:val="center"/>
            <w:textDirection w:val="lrTb"/>
            <w:noWrap w:val="false"/>
          </w:tcPr>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1230" w:type="dxa"/>
            <w:vAlign w:val="center"/>
            <w:textDirection w:val="lrTb"/>
            <w:noWrap w:val="false"/>
          </w:tcPr>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770" w:type="dxa"/>
            <w:vAlign w:val="center"/>
            <w:textDirection w:val="lrTb"/>
            <w:noWrap w:val="false"/>
          </w:tcPr>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r>
        <w:trPr>
          <w:jc w:val="center"/>
          <w:trHeight w:val="794"/>
        </w:trPr>
        <w:tc>
          <w:tcPr>
            <w:tcW w:w="780" w:type="dxa"/>
            <w:vAlign w:val="center"/>
            <w:textDirection w:val="lrTb"/>
            <w:noWrap w:val="false"/>
          </w:tcPr>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740" w:type="dxa"/>
            <w:vAlign w:val="center"/>
            <w:textDirection w:val="lrTb"/>
            <w:noWrap w:val="false"/>
          </w:tcPr>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3685" w:type="dxa"/>
            <w:vAlign w:val="center"/>
            <w:textDirection w:val="lrTb"/>
            <w:noWrap w:val="false"/>
          </w:tcPr>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1515" w:type="dxa"/>
            <w:vAlign w:val="center"/>
            <w:textDirection w:val="lrTb"/>
            <w:noWrap w:val="false"/>
          </w:tcPr>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1230" w:type="dxa"/>
            <w:vAlign w:val="center"/>
            <w:textDirection w:val="lrTb"/>
            <w:noWrap w:val="false"/>
          </w:tcPr>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770" w:type="dxa"/>
            <w:vAlign w:val="center"/>
            <w:textDirection w:val="lrTb"/>
            <w:noWrap w:val="false"/>
          </w:tcPr>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r>
        <w:trPr>
          <w:jc w:val="center"/>
          <w:trHeight w:val="794"/>
        </w:trPr>
        <w:tc>
          <w:tcPr>
            <w:tcW w:w="780" w:type="dxa"/>
            <w:vAlign w:val="center"/>
            <w:textDirection w:val="lrTb"/>
            <w:noWrap w:val="false"/>
          </w:tcPr>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740" w:type="dxa"/>
            <w:vAlign w:val="center"/>
            <w:textDirection w:val="lrTb"/>
            <w:noWrap w:val="false"/>
          </w:tcPr>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3685" w:type="dxa"/>
            <w:vAlign w:val="center"/>
            <w:textDirection w:val="lrTb"/>
            <w:noWrap w:val="false"/>
          </w:tcPr>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1515" w:type="dxa"/>
            <w:vAlign w:val="center"/>
            <w:textDirection w:val="lrTb"/>
            <w:noWrap w:val="false"/>
          </w:tcPr>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1230" w:type="dxa"/>
            <w:vAlign w:val="center"/>
            <w:textDirection w:val="lrTb"/>
            <w:noWrap w:val="false"/>
          </w:tcPr>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770" w:type="dxa"/>
            <w:vAlign w:val="center"/>
            <w:textDirection w:val="lrTb"/>
            <w:noWrap w:val="false"/>
          </w:tcPr>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bl>
    <w:p>
      <w:pPr>
        <w:rPr>
          <w:rFonts w:ascii="宋体" w:hAnsi="宋体" w:cs="宋体"/>
          <w:color w:val="000000" w:themeColor="text1"/>
          <w:sz w:val="24"/>
          <w:u w:val="single"/>
          <w14:textFill>
            <w14:solidFill>
              <w14:schemeClr w14:val="tx1"/>
            </w14:solidFill>
          </w14:textFill>
        </w:rPr>
      </w:pPr>
      <w:r>
        <w:rPr>
          <w:rFonts w:ascii="宋体" w:hAnsi="宋体" w:cs="宋体"/>
          <w:color w:val="000000" w:themeColor="text1"/>
          <w:sz w:val="24"/>
          <w:u w:val="single"/>
          <w14:textFill>
            <w14:solidFill>
              <w14:schemeClr w14:val="tx1"/>
            </w14:solidFill>
          </w14:textFill>
        </w:rPr>
      </w:r>
      <w:r/>
    </w:p>
    <w:p>
      <w:p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注：供应商的首次响应文件中的内容与竞争性磋商文件（含竞争性磋商文件的澄清或者修改，下同）的要求不同时，逐条列在偏离表中，否则将认为供应商接受竞争性磋商文件的要求。</w:t>
      </w:r>
      <w:r/>
    </w:p>
    <w:p>
      <w:pPr>
        <w:ind w:right="29" w:firstLine="576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供应商（电子签章）：</w:t>
      </w:r>
      <w:r/>
    </w:p>
    <w:p>
      <w:pPr>
        <w:ind w:right="29"/>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w:t>
      </w:r>
      <w:r/>
    </w:p>
    <w:p>
      <w:pPr>
        <w:ind w:right="29" w:firstLine="672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日期：</w:t>
      </w:r>
      <w:bookmarkEnd w:id="1"/>
      <w:r/>
      <w:r/>
    </w:p>
    <w:p>
      <w:pPr>
        <w:pStyle w:val="994"/>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numPr>
          <w:ilvl w:val="0"/>
          <w:numId w:val="2"/>
        </w:numPr>
        <w:ind w:right="29"/>
        <w:jc w:val="center"/>
        <w:spacing w:line="360" w:lineRule="auto"/>
        <w:rPr>
          <w:rFonts w:ascii="宋体" w:hAnsi="宋体" w:cs="宋体"/>
          <w:b/>
          <w:color w:val="000000" w:themeColor="text1"/>
          <w:sz w:val="28"/>
          <w:szCs w:val="28"/>
          <w14:textFill>
            <w14:solidFill>
              <w14:schemeClr w14:val="tx1"/>
            </w14:solidFill>
          </w14:textFill>
        </w:rPr>
      </w:pPr>
      <w:r>
        <w:rPr>
          <w:rFonts w:hint="eastAsia" w:ascii="宋体" w:hAnsi="宋体" w:cs="宋体"/>
          <w:b/>
          <w:color w:val="000000" w:themeColor="text1"/>
          <w:sz w:val="36"/>
          <w14:textFill>
            <w14:solidFill>
              <w14:schemeClr w14:val="tx1"/>
            </w14:solidFill>
          </w14:textFill>
        </w:rPr>
        <w:br w:type="page" w:clear="all"/>
      </w:r>
      <w:r>
        <w:rPr>
          <w:rFonts w:hint="eastAsia" w:ascii="宋体" w:hAnsi="宋体" w:cs="宋体"/>
          <w:b/>
          <w:color w:val="000000" w:themeColor="text1"/>
          <w:sz w:val="28"/>
          <w:szCs w:val="28"/>
          <w14:textFill>
            <w14:solidFill>
              <w14:schemeClr w14:val="tx1"/>
            </w14:solidFill>
          </w14:textFill>
        </w:rPr>
        <w:t xml:space="preserve">拟签订的合同文本</w:t>
      </w:r>
      <w:r/>
    </w:p>
    <w:p>
      <w:pPr>
        <w:ind w:right="29"/>
        <w:jc w:val="center"/>
        <w:spacing w:line="360" w:lineRule="auto"/>
        <w:rPr>
          <w:rFonts w:ascii="宋体" w:hAnsi="宋体" w:cs="宋体"/>
          <w:b/>
          <w:color w:val="000000" w:themeColor="text1"/>
          <w:sz w:val="28"/>
          <w:szCs w:val="28"/>
          <w14:textFill>
            <w14:solidFill>
              <w14:schemeClr w14:val="tx1"/>
            </w14:solidFill>
          </w14:textFill>
        </w:rPr>
      </w:pPr>
      <w:r>
        <w:rPr>
          <w:rFonts w:hint="eastAsia" w:ascii="宋体" w:hAnsi="宋体" w:cs="宋体"/>
          <w:b/>
          <w:color w:val="000000" w:themeColor="text1"/>
          <w:sz w:val="28"/>
          <w:szCs w:val="28"/>
          <w14:textFill>
            <w14:solidFill>
              <w14:schemeClr w14:val="tx1"/>
            </w14:solidFill>
          </w14:textFill>
        </w:rPr>
        <w:t xml:space="preserve">（合同草案条款）</w:t>
      </w:r>
      <w:r/>
    </w:p>
    <w:p>
      <w:pPr>
        <w:spacing w:line="360" w:lineRule="auto"/>
        <w:widowControl/>
        <w:rPr>
          <w:rFonts w:ascii="宋体" w:hAnsi="宋体" w:cs="宋体"/>
          <w:color w:val="000000" w:themeColor="text1"/>
          <w:sz w:val="24"/>
          <w14:textFill>
            <w14:solidFill>
              <w14:schemeClr w14:val="tx1"/>
            </w14:solidFill>
          </w14:textFill>
        </w:rPr>
      </w:pPr>
      <w:r/>
      <w:bookmarkStart w:id="2" w:name="_Toc65317831"/>
      <w:r>
        <w:rPr>
          <w:rFonts w:hint="eastAsia" w:ascii="宋体" w:hAnsi="宋体" w:cs="宋体"/>
          <w:color w:val="000000" w:themeColor="text1"/>
          <w:sz w:val="24"/>
          <w14:textFill>
            <w14:solidFill>
              <w14:schemeClr w14:val="tx1"/>
            </w14:solidFill>
          </w14:textFill>
        </w:rPr>
        <w:t xml:space="preserve">项目名称：</w:t>
      </w:r>
      <w:r>
        <w:rPr>
          <w:rFonts w:hint="eastAsia" w:ascii="宋体" w:hAnsi="宋体" w:cs="宋体"/>
          <w:color w:val="000000" w:themeColor="text1"/>
          <w:sz w:val="24"/>
          <w:lang w:eastAsia="zh-CN"/>
          <w14:textFill>
            <w14:solidFill>
              <w14:schemeClr w14:val="tx1"/>
            </w14:solidFill>
          </w14:textFill>
        </w:rPr>
        <w:t xml:space="preserve">双沟镇魏林安置小区10KV外线工程</w:t>
      </w:r>
      <w:r/>
    </w:p>
    <w:p>
      <w:pPr>
        <w:spacing w:line="360" w:lineRule="auto"/>
        <w:widowControl/>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项目编号： JSZC-320324-JSRL-C</w:t>
      </w:r>
      <w:r>
        <w:rPr>
          <w:rFonts w:hint="eastAsia" w:ascii="宋体" w:hAnsi="宋体" w:cs="宋体"/>
          <w:color w:val="000000" w:themeColor="text1"/>
          <w:sz w:val="24"/>
          <w:lang w:eastAsia="zh-CN"/>
          <w14:textFill>
            <w14:solidFill>
              <w14:schemeClr w14:val="tx1"/>
            </w14:solidFill>
          </w14:textFill>
        </w:rPr>
        <w:t xml:space="preserve">2026-0003</w:t>
      </w:r>
      <w:r/>
    </w:p>
    <w:p>
      <w:pPr>
        <w:pStyle w:val="991"/>
        <w:jc w:val="center"/>
        <w:rPr>
          <w:rFonts w:ascii="宋体" w:hAnsi="宋体" w:cs="宋体"/>
          <w:color w:val="000000" w:themeColor="text1"/>
          <w:sz w:val="72"/>
          <w:szCs w:val="72"/>
          <w14:textFill>
            <w14:solidFill>
              <w14:schemeClr w14:val="tx1"/>
            </w14:solidFill>
          </w14:textFill>
        </w:rPr>
      </w:pPr>
      <w:r>
        <w:rPr>
          <w:rFonts w:ascii="宋体" w:hAnsi="宋体" w:cs="宋体"/>
          <w:color w:val="000000" w:themeColor="text1"/>
          <w:sz w:val="72"/>
          <w:szCs w:val="72"/>
          <w14:textFill>
            <w14:solidFill>
              <w14:schemeClr w14:val="tx1"/>
            </w14:solidFill>
          </w14:textFill>
        </w:rPr>
      </w:r>
      <w:r/>
    </w:p>
    <w:p>
      <w:pPr>
        <w:pStyle w:val="991"/>
        <w:jc w:val="center"/>
        <w:rPr>
          <w:rFonts w:ascii="宋体" w:hAnsi="宋体" w:cs="宋体"/>
          <w:color w:val="000000" w:themeColor="text1"/>
          <w:sz w:val="72"/>
          <w:szCs w:val="72"/>
          <w14:textFill>
            <w14:solidFill>
              <w14:schemeClr w14:val="tx1"/>
            </w14:solidFill>
          </w14:textFill>
        </w:rPr>
      </w:pPr>
      <w:r>
        <w:rPr>
          <w:rFonts w:hint="eastAsia" w:ascii="宋体" w:hAnsi="宋体" w:cs="宋体"/>
          <w:color w:val="000000" w:themeColor="text1"/>
          <w:sz w:val="72"/>
          <w:szCs w:val="72"/>
          <w14:textFill>
            <w14:solidFill>
              <w14:schemeClr w14:val="tx1"/>
            </w14:solidFill>
          </w14:textFill>
        </w:rPr>
        <w:t xml:space="preserve">政</w:t>
      </w:r>
      <w:r/>
    </w:p>
    <w:p>
      <w:pPr>
        <w:pStyle w:val="991"/>
        <w:jc w:val="center"/>
        <w:rPr>
          <w:rFonts w:ascii="宋体" w:hAnsi="宋体" w:cs="宋体"/>
          <w:color w:val="000000" w:themeColor="text1"/>
          <w:sz w:val="72"/>
          <w:szCs w:val="72"/>
          <w14:textFill>
            <w14:solidFill>
              <w14:schemeClr w14:val="tx1"/>
            </w14:solidFill>
          </w14:textFill>
        </w:rPr>
      </w:pPr>
      <w:r>
        <w:rPr>
          <w:rFonts w:hint="eastAsia" w:ascii="宋体" w:hAnsi="宋体" w:cs="宋体"/>
          <w:color w:val="000000" w:themeColor="text1"/>
          <w:sz w:val="72"/>
          <w:szCs w:val="72"/>
          <w14:textFill>
            <w14:solidFill>
              <w14:schemeClr w14:val="tx1"/>
            </w14:solidFill>
          </w14:textFill>
        </w:rPr>
        <w:t xml:space="preserve">府</w:t>
      </w:r>
      <w:r/>
    </w:p>
    <w:p>
      <w:pPr>
        <w:pStyle w:val="991"/>
        <w:jc w:val="center"/>
        <w:rPr>
          <w:rFonts w:ascii="宋体" w:hAnsi="宋体" w:cs="宋体"/>
          <w:color w:val="000000" w:themeColor="text1"/>
          <w:sz w:val="72"/>
          <w:szCs w:val="72"/>
          <w14:textFill>
            <w14:solidFill>
              <w14:schemeClr w14:val="tx1"/>
            </w14:solidFill>
          </w14:textFill>
        </w:rPr>
      </w:pPr>
      <w:r>
        <w:rPr>
          <w:rFonts w:hint="eastAsia" w:ascii="宋体" w:hAnsi="宋体" w:cs="宋体"/>
          <w:color w:val="000000" w:themeColor="text1"/>
          <w:sz w:val="72"/>
          <w:szCs w:val="72"/>
          <w14:textFill>
            <w14:solidFill>
              <w14:schemeClr w14:val="tx1"/>
            </w14:solidFill>
          </w14:textFill>
        </w:rPr>
        <w:t xml:space="preserve">采</w:t>
      </w:r>
      <w:r/>
    </w:p>
    <w:p>
      <w:pPr>
        <w:pStyle w:val="991"/>
        <w:jc w:val="center"/>
        <w:rPr>
          <w:rFonts w:ascii="宋体" w:hAnsi="宋体" w:cs="宋体"/>
          <w:color w:val="000000" w:themeColor="text1"/>
          <w:sz w:val="72"/>
          <w:szCs w:val="72"/>
          <w14:textFill>
            <w14:solidFill>
              <w14:schemeClr w14:val="tx1"/>
            </w14:solidFill>
          </w14:textFill>
        </w:rPr>
      </w:pPr>
      <w:r>
        <w:rPr>
          <w:rFonts w:hint="eastAsia" w:ascii="宋体" w:hAnsi="宋体" w:cs="宋体"/>
          <w:color w:val="000000" w:themeColor="text1"/>
          <w:sz w:val="72"/>
          <w:szCs w:val="72"/>
          <w14:textFill>
            <w14:solidFill>
              <w14:schemeClr w14:val="tx1"/>
            </w14:solidFill>
          </w14:textFill>
        </w:rPr>
        <w:t xml:space="preserve">购</w:t>
      </w:r>
      <w:r/>
    </w:p>
    <w:p>
      <w:pPr>
        <w:pStyle w:val="991"/>
        <w:jc w:val="center"/>
        <w:rPr>
          <w:rFonts w:ascii="宋体" w:hAnsi="宋体" w:cs="宋体"/>
          <w:color w:val="000000" w:themeColor="text1"/>
          <w:sz w:val="72"/>
          <w:szCs w:val="72"/>
          <w14:textFill>
            <w14:solidFill>
              <w14:schemeClr w14:val="tx1"/>
            </w14:solidFill>
          </w14:textFill>
        </w:rPr>
      </w:pPr>
      <w:r>
        <w:rPr>
          <w:rFonts w:hint="eastAsia" w:ascii="宋体" w:hAnsi="宋体" w:cs="宋体"/>
          <w:color w:val="000000" w:themeColor="text1"/>
          <w:sz w:val="72"/>
          <w:szCs w:val="72"/>
          <w14:textFill>
            <w14:solidFill>
              <w14:schemeClr w14:val="tx1"/>
            </w14:solidFill>
          </w14:textFill>
        </w:rPr>
        <w:t xml:space="preserve">合</w:t>
      </w:r>
      <w:r/>
    </w:p>
    <w:p>
      <w:pPr>
        <w:pStyle w:val="991"/>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72"/>
          <w:szCs w:val="72"/>
          <w14:textFill>
            <w14:solidFill>
              <w14:schemeClr w14:val="tx1"/>
            </w14:solidFill>
          </w14:textFill>
        </w:rPr>
        <w:t xml:space="preserve">同</w:t>
      </w:r>
      <w:r/>
    </w:p>
    <w:p>
      <w:pPr>
        <w:ind w:firstLine="360"/>
        <w:spacing w:line="360" w:lineRule="auto"/>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ind w:firstLine="1320"/>
        <w:spacing w:line="360" w:lineRule="auto"/>
        <w:widowControl/>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采  购  人：</w:t>
      </w:r>
      <w:r>
        <w:rPr>
          <w:rFonts w:hint="eastAsia" w:ascii="宋体" w:hAnsi="宋体" w:cs="宋体"/>
          <w:color w:val="000000" w:themeColor="text1"/>
          <w:sz w:val="24"/>
          <w:lang w:eastAsia="zh-CN"/>
          <w14:textFill>
            <w14:solidFill>
              <w14:schemeClr w14:val="tx1"/>
            </w14:solidFill>
          </w14:textFill>
        </w:rPr>
        <w:t xml:space="preserve">睢宁县双沟镇人民政府</w:t>
      </w:r>
      <w:r/>
    </w:p>
    <w:p>
      <w:pPr>
        <w:ind w:firstLine="1320"/>
        <w:spacing w:line="360" w:lineRule="auto"/>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成交供应商：</w:t>
      </w:r>
      <w:r/>
    </w:p>
    <w:p>
      <w:pPr>
        <w:ind w:firstLine="1320"/>
        <w:spacing w:line="360" w:lineRule="auto"/>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合同签订日期：     年     月     日</w:t>
      </w:r>
      <w:r/>
    </w:p>
    <w:p>
      <w:pPr>
        <w:pStyle w:val="1020"/>
        <w:ind w:firstLine="480"/>
        <w:spacing w:line="360" w:lineRule="auto"/>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 xml:space="preserve">友情提醒：采购人与成交、成交供应商应当在成交、成交通知书发出之日起三十日内，按照采购文件确定的事项签订政府采购合同。</w:t>
      </w:r>
      <w:r/>
    </w:p>
    <w:p>
      <w:pPr>
        <w:pStyle w:val="1020"/>
        <w:ind w:firstLine="480"/>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 xml:space="preserve">采购人应当自政府采购合同签订之日起2个工作日内，将政府采购合同在省级以上人民政府财政部门指定的媒体上公告，但政府采购合同中涉及国家秘密、商业秘密的内容除外。</w:t>
      </w:r>
      <w:bookmarkEnd w:id="2"/>
      <w:r/>
      <w:r/>
    </w:p>
    <w:p>
      <w:pPr>
        <w:pStyle w:val="994"/>
        <w:rPr>
          <w:rFonts w:ascii="宋体" w:hAnsi="宋体" w:cs="宋体"/>
          <w:color w:val="000000" w:themeColor="text1"/>
          <w14:textFill>
            <w14:solidFill>
              <w14:schemeClr w14:val="tx1"/>
            </w14:solidFill>
          </w14:textFill>
        </w:rPr>
        <w:sectPr>
          <w:headerReference w:type="default" r:id="rId12"/>
          <w:footerReference w:type="default" r:id="rId16"/>
          <w:footnotePr/>
          <w:endnotePr/>
          <w:type w:val="nextPage"/>
          <w:pgSz w:w="11906" w:h="16838" w:orient="portrait"/>
          <w:pgMar w:top="1440" w:right="1406" w:bottom="1440" w:left="1406" w:header="851" w:footer="992" w:gutter="0"/>
          <w:pgNumType w:start="1"/>
          <w:cols w:num="1" w:sep="0" w:space="1701" w:equalWidth="1"/>
          <w:docGrid w:linePitch="360"/>
        </w:sectPr>
      </w:pPr>
      <w:r>
        <w:rPr>
          <w:rFonts w:ascii="宋体" w:hAnsi="宋体" w:cs="宋体"/>
          <w:color w:val="000000" w:themeColor="text1"/>
          <w14:textFill>
            <w14:solidFill>
              <w14:schemeClr w14:val="tx1"/>
            </w14:solidFill>
          </w14:textFill>
        </w:rPr>
      </w:r>
      <w:r/>
    </w:p>
    <w:p>
      <w:pPr>
        <w:ind w:firstLine="3200"/>
        <w:jc w:val="left"/>
        <w:rPr>
          <w:rFonts w:ascii="宋体" w:hAnsi="宋体" w:cs="宋体"/>
          <w:bCs/>
          <w:color w:val="000000"/>
          <w:sz w:val="32"/>
          <w:szCs w:val="32"/>
        </w:rPr>
      </w:pPr>
      <w:r>
        <w:rPr>
          <w:rFonts w:hint="eastAsia" w:ascii="宋体" w:hAnsi="宋体" w:cs="宋体"/>
          <w:bCs/>
          <w:color w:val="000000"/>
          <w:sz w:val="32"/>
          <w:szCs w:val="32"/>
        </w:rPr>
        <w:t xml:space="preserve">（GF—2017—0201）</w:t>
      </w:r>
      <w:r/>
    </w:p>
    <w:p>
      <w:pPr>
        <w:tabs>
          <w:tab w:val="left" w:pos="4410" w:leader="none"/>
        </w:tabs>
        <w:rPr>
          <w:rFonts w:ascii="宋体" w:hAnsi="宋体" w:cs="宋体"/>
          <w:b/>
          <w:color w:val="000000"/>
          <w:sz w:val="52"/>
          <w:szCs w:val="52"/>
        </w:rPr>
      </w:pPr>
      <w:r>
        <w:rPr>
          <w:rFonts w:ascii="宋体" w:hAnsi="宋体" w:cs="宋体"/>
          <w:b/>
          <w:color w:val="000000"/>
          <w:sz w:val="52"/>
          <w:szCs w:val="52"/>
        </w:rPr>
      </w:r>
      <w:r/>
    </w:p>
    <w:p>
      <w:pPr>
        <w:jc w:val="center"/>
        <w:rPr>
          <w:rFonts w:ascii="宋体" w:hAnsi="宋体" w:cs="宋体"/>
          <w:b/>
          <w:color w:val="000000"/>
          <w:sz w:val="52"/>
          <w:szCs w:val="52"/>
        </w:rPr>
      </w:pPr>
      <w:r>
        <w:rPr>
          <w:rFonts w:ascii="宋体" w:hAnsi="宋体" w:cs="宋体"/>
          <w:b/>
          <w:color w:val="000000"/>
          <w:sz w:val="52"/>
          <w:szCs w:val="52"/>
        </w:rPr>
      </w:r>
      <w:r/>
    </w:p>
    <w:p>
      <w:pPr>
        <w:jc w:val="center"/>
        <w:rPr>
          <w:rFonts w:ascii="宋体" w:hAnsi="宋体" w:cs="宋体"/>
          <w:b/>
          <w:color w:val="000000"/>
          <w:sz w:val="72"/>
          <w:szCs w:val="52"/>
        </w:rPr>
      </w:pPr>
      <w:r>
        <w:rPr>
          <w:rFonts w:hint="eastAsia" w:ascii="宋体" w:hAnsi="宋体" w:cs="宋体"/>
          <w:b/>
          <w:color w:val="000000"/>
          <w:sz w:val="72"/>
          <w:szCs w:val="52"/>
        </w:rPr>
        <w:t xml:space="preserve">建设工程施工合同</w:t>
      </w:r>
      <w:r/>
    </w:p>
    <w:p>
      <w:pPr>
        <w:jc w:val="center"/>
        <w:rPr>
          <w:rFonts w:ascii="宋体" w:hAnsi="宋体" w:cs="宋体"/>
          <w:b/>
          <w:color w:val="000000"/>
          <w:sz w:val="52"/>
          <w:szCs w:val="52"/>
        </w:rPr>
      </w:pPr>
      <w:r>
        <w:rPr>
          <w:rFonts w:ascii="宋体" w:hAnsi="宋体" w:cs="宋体"/>
          <w:b/>
          <w:color w:val="000000"/>
          <w:sz w:val="52"/>
          <w:szCs w:val="52"/>
        </w:rPr>
      </w:r>
      <w:r/>
    </w:p>
    <w:p>
      <w:pPr>
        <w:jc w:val="center"/>
        <w:rPr>
          <w:rFonts w:ascii="宋体" w:hAnsi="宋体" w:cs="宋体"/>
          <w:b/>
          <w:color w:val="000000"/>
          <w:sz w:val="52"/>
          <w:szCs w:val="52"/>
        </w:rPr>
      </w:pPr>
      <w:r>
        <w:rPr>
          <w:rFonts w:hint="eastAsia" w:ascii="宋体" w:hAnsi="宋体" w:cs="宋体"/>
          <w:b/>
          <w:color w:val="000000"/>
          <w:sz w:val="52"/>
          <w:szCs w:val="52"/>
        </w:rPr>
        <w:t xml:space="preserve">（示范文本）</w:t>
      </w:r>
      <w:r/>
    </w:p>
    <w:p>
      <w:pPr>
        <w:jc w:val="center"/>
        <w:rPr>
          <w:rFonts w:ascii="宋体" w:hAnsi="宋体" w:cs="宋体"/>
          <w:b/>
          <w:color w:val="000000"/>
          <w:sz w:val="52"/>
          <w:szCs w:val="52"/>
        </w:rPr>
      </w:pPr>
      <w:r>
        <w:rPr>
          <w:rFonts w:ascii="宋体" w:hAnsi="宋体" w:cs="宋体"/>
          <w:b/>
          <w:color w:val="000000"/>
          <w:sz w:val="52"/>
          <w:szCs w:val="52"/>
        </w:rPr>
      </w:r>
      <w:r/>
    </w:p>
    <w:p>
      <w:pPr>
        <w:jc w:val="center"/>
        <w:rPr>
          <w:rFonts w:ascii="宋体" w:hAnsi="宋体" w:cs="宋体"/>
          <w:b/>
          <w:color w:val="000000"/>
          <w:sz w:val="72"/>
          <w:szCs w:val="72"/>
        </w:rPr>
      </w:pPr>
      <w:r>
        <w:rPr>
          <w:rFonts w:ascii="宋体" w:hAnsi="宋体" w:cs="宋体"/>
          <w:b/>
          <w:color w:val="000000"/>
          <w:sz w:val="72"/>
          <w:szCs w:val="72"/>
        </w:rPr>
      </w:r>
      <w:r/>
    </w:p>
    <w:p>
      <w:pPr>
        <w:jc w:val="center"/>
        <w:rPr>
          <w:rFonts w:ascii="宋体" w:hAnsi="宋体" w:cs="宋体"/>
          <w:b/>
          <w:color w:val="000000"/>
          <w:sz w:val="72"/>
          <w:szCs w:val="72"/>
        </w:rPr>
      </w:pPr>
      <w:r>
        <w:rPr>
          <w:rFonts w:ascii="宋体" w:hAnsi="宋体" w:cs="宋体"/>
          <w:b/>
          <w:color w:val="000000"/>
          <w:sz w:val="72"/>
          <w:szCs w:val="72"/>
        </w:rPr>
      </w:r>
      <w:r/>
    </w:p>
    <w:p>
      <w:pPr>
        <w:rPr>
          <w:rFonts w:ascii="宋体" w:hAnsi="宋体" w:cs="宋体"/>
          <w:b/>
          <w:color w:val="000000"/>
          <w:sz w:val="28"/>
          <w:szCs w:val="28"/>
        </w:rPr>
      </w:pPr>
      <w:r>
        <w:rPr>
          <w:rFonts w:ascii="宋体" w:hAnsi="宋体" w:cs="宋体"/>
          <w:b/>
          <w:color w:val="000000"/>
          <w:sz w:val="28"/>
          <w:szCs w:val="28"/>
        </w:rPr>
      </w:r>
      <w:r/>
    </w:p>
    <w:p>
      <w:pPr>
        <w:rPr>
          <w:rFonts w:ascii="宋体" w:hAnsi="宋体" w:cs="宋体"/>
          <w:b/>
          <w:color w:val="000000"/>
          <w:sz w:val="28"/>
          <w:szCs w:val="28"/>
        </w:rPr>
      </w:pPr>
      <w:r>
        <w:rPr>
          <w:rFonts w:ascii="宋体" w:hAnsi="宋体" w:cs="宋体"/>
          <w:b/>
          <w:color w:val="000000"/>
          <w:sz w:val="28"/>
          <w:szCs w:val="28"/>
        </w:rPr>
      </w:r>
      <w:r/>
    </w:p>
    <w:p>
      <w:pPr>
        <w:rPr>
          <w:rFonts w:ascii="宋体" w:hAnsi="宋体" w:cs="宋体"/>
          <w:b/>
          <w:color w:val="000000"/>
          <w:sz w:val="28"/>
          <w:szCs w:val="28"/>
        </w:rPr>
      </w:pPr>
      <w:r>
        <w:rPr>
          <w:rFonts w:ascii="宋体" w:hAnsi="宋体" w:cs="宋体"/>
          <w:b/>
          <w:color w:val="000000"/>
          <w:sz w:val="28"/>
          <w:szCs w:val="28"/>
        </w:rPr>
      </w:r>
      <w:r/>
    </w:p>
    <w:p>
      <w:pPr>
        <w:ind w:right="2719" w:firstLine="2891"/>
        <w:rPr>
          <w:rFonts w:ascii="宋体" w:hAnsi="宋体" w:cs="宋体"/>
          <w:b/>
          <w:color w:val="000000"/>
          <w:sz w:val="32"/>
          <w:szCs w:val="28"/>
        </w:rPr>
      </w:pPr>
      <w:r>
        <w:rPr>
          <w:rFonts w:hint="eastAsia" w:ascii="宋体" w:hAnsi="宋体" w:cs="宋体"/>
          <w:b/>
          <w:color w:val="000000"/>
          <w:sz w:val="32"/>
          <w:szCs w:val="28"/>
        </w:rPr>
        <w:t xml:space="preserve">住房和城乡建设部制定</w:t>
      </w:r>
      <w:r/>
    </w:p>
    <w:p>
      <w:pPr>
        <w:ind w:right="2719" w:firstLine="2750"/>
        <w:rPr>
          <w:rFonts w:ascii="宋体" w:hAnsi="宋体" w:cs="宋体"/>
          <w:b/>
          <w:color w:val="000000"/>
          <w:sz w:val="32"/>
          <w:szCs w:val="28"/>
        </w:rPr>
      </w:pPr>
      <w:r>
        <w:rPr>
          <w:rFonts w:hint="eastAsia" w:ascii="宋体" w:hAnsi="宋体" w:cs="宋体"/>
          <w:b/>
          <w:color w:val="000000"/>
          <w:sz w:val="32"/>
          <w:szCs w:val="28"/>
        </w:rPr>
        <w:t xml:space="preserve">国家工商行政管理总局</w:t>
      </w:r>
      <w:r/>
    </w:p>
    <w:p>
      <w:pPr>
        <w:spacing w:before="120" w:after="120"/>
        <w:rPr>
          <w:rFonts w:ascii="宋体" w:hAnsi="宋体" w:cs="宋体"/>
          <w:color w:val="000000"/>
          <w:sz w:val="28"/>
          <w:szCs w:val="28"/>
        </w:rPr>
        <w:sectPr>
          <w:footerReference w:type="default" r:id="rId17"/>
          <w:footnotePr/>
          <w:endnotePr/>
          <w:type w:val="nextPage"/>
          <w:pgSz w:w="11906" w:h="16838" w:orient="portrait"/>
          <w:pgMar w:top="1418" w:right="1274" w:bottom="1418" w:left="1276" w:header="851" w:footer="992" w:gutter="0"/>
          <w:cols w:num="1" w:sep="0" w:space="1701" w:equalWidth="1"/>
          <w:docGrid w:linePitch="360"/>
        </w:sectPr>
      </w:pPr>
      <w:r>
        <w:rPr>
          <w:rFonts w:ascii="宋体" w:hAnsi="宋体" w:cs="宋体"/>
          <w:color w:val="000000"/>
          <w:sz w:val="28"/>
          <w:szCs w:val="28"/>
        </w:rPr>
      </w:r>
      <w:r/>
    </w:p>
    <w:p>
      <w:pPr>
        <w:jc w:val="center"/>
        <w:rPr>
          <w:rFonts w:ascii="宋体" w:hAnsi="宋体" w:cs="宋体"/>
          <w:bCs/>
          <w:color w:val="000000" w:themeColor="text1"/>
          <w:sz w:val="48"/>
          <w:szCs w:val="48"/>
          <w14:textFill>
            <w14:solidFill>
              <w14:schemeClr w14:val="tx1"/>
            </w14:solidFill>
          </w14:textFill>
        </w:rPr>
      </w:pPr>
      <w:r/>
      <w:bookmarkStart w:id="3" w:name="_Toc351203652"/>
      <w:r/>
      <w:r/>
    </w:p>
    <w:p>
      <w:pPr>
        <w:pStyle w:val="1030"/>
        <w:jc w:val="center"/>
        <w:rPr>
          <w:rFonts w:ascii="宋体" w:hAnsi="宋体" w:cs="宋体"/>
          <w:color w:val="000000" w:themeColor="text1"/>
          <w:sz w:val="32"/>
          <w:szCs w:val="32"/>
          <w14:textFill>
            <w14:solidFill>
              <w14:schemeClr w14:val="tx1"/>
            </w14:solidFill>
          </w14:textFill>
        </w:rPr>
      </w:pPr>
      <w:r>
        <w:rPr>
          <w:rFonts w:ascii="宋体" w:hAnsi="宋体" w:cs="宋体"/>
          <w:color w:val="000000" w:themeColor="text1"/>
          <w:sz w:val="32"/>
          <w:szCs w:val="32"/>
          <w14:textFill>
            <w14:solidFill>
              <w14:schemeClr w14:val="tx1"/>
            </w14:solidFill>
          </w14:textFill>
        </w:rPr>
      </w:r>
      <w:r/>
    </w:p>
    <w:p>
      <w:pPr>
        <w:pStyle w:val="1030"/>
        <w:jc w:val="center"/>
        <w:rPr>
          <w:rFonts w:ascii="宋体" w:hAnsi="宋体" w:cs="宋体"/>
          <w:color w:val="000000" w:themeColor="text1"/>
          <w:sz w:val="32"/>
          <w:szCs w:val="32"/>
          <w14:textFill>
            <w14:solidFill>
              <w14:schemeClr w14:val="tx1"/>
            </w14:solidFill>
          </w14:textFill>
        </w:rPr>
      </w:pPr>
      <w:r/>
      <w:bookmarkStart w:id="4" w:name="_Toc526760851"/>
      <w:r>
        <w:rPr>
          <w:rFonts w:hint="eastAsia" w:ascii="宋体" w:hAnsi="宋体" w:cs="宋体"/>
          <w:b/>
          <w:bCs/>
          <w:color w:val="000000" w:themeColor="text1"/>
          <w:sz w:val="32"/>
          <w:szCs w:val="44"/>
          <w14:textFill>
            <w14:solidFill>
              <w14:schemeClr w14:val="tx1"/>
            </w14:solidFill>
          </w14:textFill>
        </w:rPr>
        <w:t xml:space="preserve">第一部分 合同协议书</w:t>
      </w:r>
      <w:bookmarkEnd w:id="4"/>
      <w:r/>
      <w:r/>
    </w:p>
    <w:p>
      <w:pPr>
        <w:pStyle w:val="1030"/>
        <w:tabs>
          <w:tab w:val="left" w:pos="7836" w:leader="none"/>
        </w:tabs>
        <w:rPr>
          <w:rFonts w:ascii="宋体" w:hAnsi="宋体" w:cs="宋体"/>
          <w:b/>
          <w:color w:val="000000" w:themeColor="text1"/>
          <w:u w:val="single"/>
          <w14:textFill>
            <w14:solidFill>
              <w14:schemeClr w14:val="tx1"/>
            </w14:solidFill>
          </w14:textFill>
        </w:rPr>
      </w:pPr>
      <w:r>
        <w:rPr>
          <w:rFonts w:hint="eastAsia" w:ascii="宋体" w:hAnsi="宋体" w:cs="宋体"/>
          <w:b/>
          <w:color w:val="000000" w:themeColor="text1"/>
          <w14:textFill>
            <w14:solidFill>
              <w14:schemeClr w14:val="tx1"/>
            </w14:solidFill>
          </w14:textFill>
        </w:rPr>
        <w:t xml:space="preserve">发包人（全称）：</w:t>
      </w:r>
      <w:r>
        <w:rPr>
          <w:rFonts w:hint="eastAsia" w:ascii="宋体" w:hAnsi="宋体" w:cs="宋体"/>
          <w:b/>
          <w:bCs/>
          <w:color w:val="000000" w:themeColor="text1"/>
          <w:u w:val="single"/>
          <w:lang w:eastAsia="zh-CN"/>
          <w14:textFill>
            <w14:solidFill>
              <w14:schemeClr w14:val="tx1"/>
            </w14:solidFill>
          </w14:textFill>
        </w:rPr>
        <w:t xml:space="preserve">睢宁县双沟镇人民政府</w:t>
      </w:r>
      <w:r>
        <w:rPr>
          <w:rFonts w:hint="eastAsia" w:ascii="宋体" w:hAnsi="宋体" w:cs="宋体"/>
          <w:bCs/>
          <w:color w:val="000000" w:themeColor="text1"/>
          <w14:textFill>
            <w14:solidFill>
              <w14:schemeClr w14:val="tx1"/>
            </w14:solidFill>
          </w14:textFill>
        </w:rPr>
        <w:tab/>
      </w:r>
      <w:r/>
    </w:p>
    <w:p>
      <w:pPr>
        <w:pStyle w:val="1030"/>
        <w:rPr>
          <w:rFonts w:ascii="宋体" w:hAnsi="宋体" w:cs="宋体"/>
          <w:b/>
          <w:color w:val="000000" w:themeColor="text1"/>
          <w:u w:val="single"/>
          <w14:textFill>
            <w14:solidFill>
              <w14:schemeClr w14:val="tx1"/>
            </w14:solidFill>
          </w14:textFill>
        </w:rPr>
      </w:pPr>
      <w:r>
        <w:rPr>
          <w:rFonts w:hint="eastAsia" w:ascii="宋体" w:hAnsi="宋体" w:cs="宋体"/>
          <w:b/>
          <w:color w:val="000000" w:themeColor="text1"/>
          <w14:textFill>
            <w14:solidFill>
              <w14:schemeClr w14:val="tx1"/>
            </w14:solidFill>
          </w14:textFill>
        </w:rPr>
        <w:t xml:space="preserve">承包人（全称）：</w:t>
      </w:r>
      <w:r>
        <w:rPr>
          <w:rFonts w:hint="eastAsia" w:ascii="宋体" w:hAnsi="宋体" w:cs="宋体"/>
          <w:b/>
          <w:color w:val="000000" w:themeColor="text1"/>
          <w:u w:val="single"/>
          <w14:textFill>
            <w14:solidFill>
              <w14:schemeClr w14:val="tx1"/>
            </w14:solidFill>
          </w14:textFill>
        </w:rPr>
        <w:t xml:space="preserve">                      </w:t>
      </w:r>
      <w:r/>
    </w:p>
    <w:p>
      <w:pPr>
        <w:pStyle w:val="1030"/>
        <w:ind w:firstLine="48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根据《中华人民共和国民法典》及有关法律规定，遵循平等、自愿、公平和诚实信用的原则，双方就</w:t>
      </w:r>
      <w:r>
        <w:rPr>
          <w:rFonts w:hint="eastAsia" w:ascii="宋体" w:hAnsi="宋体" w:cs="宋体"/>
          <w:b/>
          <w:bCs/>
          <w:color w:val="000000" w:themeColor="text1"/>
          <w:u w:val="single"/>
          <w:lang w:eastAsia="zh-CN"/>
          <w14:textFill>
            <w14:solidFill>
              <w14:schemeClr w14:val="tx1"/>
            </w14:solidFill>
          </w14:textFill>
        </w:rPr>
        <w:t xml:space="preserve">双沟镇魏林安置小区10KV外线工程</w:t>
      </w:r>
      <w:r>
        <w:rPr>
          <w:rFonts w:hint="eastAsia" w:ascii="宋体" w:hAnsi="宋体" w:cs="宋体"/>
          <w:color w:val="000000" w:themeColor="text1"/>
          <w14:textFill>
            <w14:solidFill>
              <w14:schemeClr w14:val="tx1"/>
            </w14:solidFill>
          </w14:textFill>
        </w:rPr>
        <w:t xml:space="preserve">施工及有关事项协商一致，共同达成如下协议：</w:t>
      </w:r>
      <w:r/>
    </w:p>
    <w:p>
      <w:pPr>
        <w:pStyle w:val="1222"/>
        <w:spacing w:before="120" w:after="120"/>
        <w:rPr>
          <w:rFonts w:ascii="宋体" w:hAnsi="宋体" w:eastAsia="宋体" w:cs="宋体"/>
          <w:bCs w:val="0"/>
          <w:color w:val="000000" w:themeColor="text1"/>
          <w:sz w:val="24"/>
          <w:szCs w:val="24"/>
          <w14:textFill>
            <w14:solidFill>
              <w14:schemeClr w14:val="tx1"/>
            </w14:solidFill>
          </w14:textFill>
        </w:rPr>
      </w:pPr>
      <w:r/>
      <w:bookmarkStart w:id="5" w:name="_Toc351203481"/>
      <w:r>
        <w:rPr>
          <w:rFonts w:hint="eastAsia" w:ascii="宋体" w:hAnsi="宋体" w:eastAsia="宋体" w:cs="宋体"/>
          <w:color w:val="000000" w:themeColor="text1"/>
          <w:sz w:val="24"/>
          <w:szCs w:val="24"/>
          <w14:textFill>
            <w14:solidFill>
              <w14:schemeClr w14:val="tx1"/>
            </w14:solidFill>
          </w14:textFill>
        </w:rPr>
        <w:t xml:space="preserve">一、工程概况</w:t>
      </w:r>
      <w:bookmarkEnd w:id="5"/>
      <w:r/>
      <w:r/>
    </w:p>
    <w:p>
      <w:pPr>
        <w:pStyle w:val="1030"/>
        <w:ind w:firstLine="480"/>
        <w:rPr>
          <w:rFonts w:ascii="宋体" w:hAnsi="宋体" w:cs="宋体"/>
          <w:color w:val="000000" w:themeColor="text1"/>
          <w:u w:val="single"/>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1.工程名称</w:t>
      </w:r>
      <w:r>
        <w:rPr>
          <w:rFonts w:hint="eastAsia" w:ascii="宋体" w:hAnsi="宋体" w:cs="宋体"/>
          <w:color w:val="000000" w:themeColor="text1"/>
          <w14:textFill>
            <w14:solidFill>
              <w14:schemeClr w14:val="tx1"/>
            </w14:solidFill>
          </w14:textFill>
        </w:rPr>
        <w:t xml:space="preserve">：</w:t>
      </w:r>
      <w:r>
        <w:rPr>
          <w:rFonts w:hint="eastAsia" w:ascii="宋体" w:hAnsi="宋体" w:cs="宋体"/>
          <w:b/>
          <w:bCs/>
          <w:color w:val="000000" w:themeColor="text1"/>
          <w:u w:val="single"/>
          <w:lang w:eastAsia="zh-CN"/>
          <w14:textFill>
            <w14:solidFill>
              <w14:schemeClr w14:val="tx1"/>
            </w14:solidFill>
          </w14:textFill>
        </w:rPr>
        <w:t xml:space="preserve">双沟镇魏林安置小区10KV外线工程</w:t>
      </w:r>
      <w:r/>
    </w:p>
    <w:p>
      <w:pPr>
        <w:pStyle w:val="1030"/>
        <w:ind w:firstLine="480"/>
        <w:rPr>
          <w:rFonts w:ascii="宋体" w:hAnsi="宋体" w:cs="宋体"/>
          <w:b/>
          <w:bCs/>
          <w:color w:val="000000" w:themeColor="text1"/>
          <w:u w:val="single"/>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2.工程地点：</w:t>
      </w:r>
      <w:r>
        <w:rPr>
          <w:rFonts w:hint="eastAsia" w:ascii="宋体" w:hAnsi="宋体" w:cs="宋体"/>
          <w:b/>
          <w:bCs/>
          <w:color w:val="000000" w:themeColor="text1"/>
          <w:u w:val="single"/>
          <w14:textFill>
            <w14:solidFill>
              <w14:schemeClr w14:val="tx1"/>
            </w14:solidFill>
          </w14:textFill>
        </w:rPr>
        <w:t xml:space="preserve">睢宁县双沟镇</w:t>
      </w:r>
      <w:r/>
    </w:p>
    <w:p>
      <w:pPr>
        <w:pStyle w:val="1030"/>
        <w:ind w:firstLine="480"/>
        <w:rPr>
          <w:rFonts w:ascii="宋体" w:hAnsi="宋体" w:cs="宋体"/>
          <w:b/>
          <w:bCs/>
          <w:color w:val="000000" w:themeColor="text1"/>
          <w:u w:val="single"/>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3、工程立项批准文号：</w:t>
      </w:r>
      <w:r>
        <w:rPr>
          <w:rFonts w:hint="eastAsia" w:ascii="宋体" w:hAnsi="宋体" w:cs="宋体"/>
          <w:bCs/>
          <w:color w:val="000000" w:themeColor="text1"/>
          <w:u w:val="single"/>
          <w14:textFill>
            <w14:solidFill>
              <w14:schemeClr w14:val="tx1"/>
            </w14:solidFill>
          </w14:textFill>
        </w:rPr>
        <w:t xml:space="preserve">   /     </w:t>
      </w:r>
      <w:r/>
    </w:p>
    <w:p>
      <w:pPr>
        <w:pStyle w:val="1030"/>
        <w:ind w:firstLine="480"/>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4、资金来源：</w:t>
      </w:r>
      <w:r>
        <w:rPr>
          <w:rFonts w:hint="eastAsia" w:ascii="宋体" w:hAnsi="宋体" w:cs="宋体"/>
          <w:b/>
          <w:bCs/>
          <w:color w:val="000000" w:themeColor="text1"/>
          <w:u w:val="single"/>
          <w14:textFill>
            <w14:solidFill>
              <w14:schemeClr w14:val="tx1"/>
            </w14:solidFill>
          </w14:textFill>
        </w:rPr>
        <w:t xml:space="preserve">财政资金，已落实</w:t>
      </w:r>
      <w:r/>
    </w:p>
    <w:p>
      <w:pPr>
        <w:pStyle w:val="1030"/>
        <w:ind w:firstLine="482"/>
        <w:rPr>
          <w:rFonts w:ascii="宋体" w:hAnsi="宋体" w:cs="宋体"/>
          <w:b/>
          <w:bCs/>
          <w:color w:val="000000" w:themeColor="text1"/>
          <w:u w:val="single"/>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3.工程内容：</w:t>
      </w:r>
      <w:r>
        <w:rPr>
          <w:rFonts w:hint="eastAsia" w:ascii="宋体" w:hAnsi="宋体" w:cs="宋体"/>
          <w:b/>
          <w:color w:val="000000" w:themeColor="text1"/>
          <w:u w:val="single"/>
          <w:lang w:eastAsia="zh-CN"/>
          <w14:textFill>
            <w14:solidFill>
              <w14:schemeClr w14:val="tx1"/>
            </w14:solidFill>
          </w14:textFill>
        </w:rPr>
        <w:t xml:space="preserve">双沟镇魏林安置小区10KV外线工程</w:t>
      </w:r>
      <w:r>
        <w:rPr>
          <w:rFonts w:hint="eastAsia" w:ascii="宋体" w:hAnsi="宋体" w:cs="宋体"/>
          <w:b/>
          <w:color w:val="000000" w:themeColor="text1"/>
          <w:u w:val="single"/>
          <w14:textFill>
            <w14:solidFill>
              <w14:schemeClr w14:val="tx1"/>
            </w14:solidFill>
          </w14:textFill>
        </w:rPr>
        <w:t xml:space="preserve">，详见磋商文件《采购需求》和图纸以及工程量清单所含全部内容。</w:t>
      </w:r>
      <w:r/>
    </w:p>
    <w:p>
      <w:pPr>
        <w:pStyle w:val="1030"/>
        <w:ind w:firstLine="480"/>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6、承包方式：包工包料</w:t>
      </w:r>
      <w:r/>
    </w:p>
    <w:p>
      <w:pPr>
        <w:pStyle w:val="1031"/>
        <w:rPr>
          <w:rFonts w:eastAsia="宋体" w:cs="宋体"/>
          <w:color w:val="000000" w:themeColor="text1"/>
          <w14:textFill>
            <w14:solidFill>
              <w14:schemeClr w14:val="tx1"/>
            </w14:solidFill>
          </w14:textFill>
        </w:rPr>
      </w:pPr>
      <w:r>
        <w:rPr>
          <w:rFonts w:eastAsia="宋体" w:cs="宋体"/>
          <w:color w:val="000000" w:themeColor="text1"/>
          <w14:textFill>
            <w14:solidFill>
              <w14:schemeClr w14:val="tx1"/>
            </w14:solidFill>
          </w14:textFill>
        </w:rPr>
      </w:r>
      <w:r/>
    </w:p>
    <w:p>
      <w:pPr>
        <w:pStyle w:val="1222"/>
        <w:spacing w:before="0" w:after="0"/>
        <w:rPr>
          <w:rFonts w:ascii="宋体" w:hAnsi="宋体" w:eastAsia="宋体" w:cs="宋体"/>
          <w:color w:val="000000" w:themeColor="text1"/>
          <w:sz w:val="24"/>
          <w:szCs w:val="24"/>
          <w14:textFill>
            <w14:solidFill>
              <w14:schemeClr w14:val="tx1"/>
            </w14:solidFill>
          </w14:textFill>
        </w:rPr>
      </w:pPr>
      <w:r/>
      <w:bookmarkStart w:id="6" w:name="_Toc351203482"/>
      <w:r>
        <w:rPr>
          <w:rFonts w:hint="eastAsia" w:ascii="宋体" w:hAnsi="宋体" w:eastAsia="宋体" w:cs="宋体"/>
          <w:color w:val="000000" w:themeColor="text1"/>
          <w:sz w:val="24"/>
          <w:szCs w:val="24"/>
          <w14:textFill>
            <w14:solidFill>
              <w14:schemeClr w14:val="tx1"/>
            </w14:solidFill>
          </w14:textFill>
        </w:rPr>
        <w:t xml:space="preserve">二、合同工期</w:t>
      </w:r>
      <w:bookmarkEnd w:id="6"/>
      <w:r/>
      <w:r/>
    </w:p>
    <w:p>
      <w:pPr>
        <w:pStyle w:val="1030"/>
        <w:ind w:firstLine="459"/>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计划开工日期：</w:t>
      </w:r>
      <w:r>
        <w:rPr>
          <w:rFonts w:hint="eastAsia" w:ascii="宋体" w:hAnsi="宋体" w:cs="宋体"/>
          <w:color w:val="000000" w:themeColor="text1"/>
          <w:u w:val="single"/>
          <w14:textFill>
            <w14:solidFill>
              <w14:schemeClr w14:val="tx1"/>
            </w14:solidFill>
          </w14:textFill>
        </w:rPr>
        <w:t xml:space="preserve">     </w:t>
      </w:r>
      <w:r>
        <w:rPr>
          <w:rFonts w:hint="eastAsia" w:ascii="宋体" w:hAnsi="宋体" w:cs="宋体"/>
          <w:color w:val="000000" w:themeColor="text1"/>
          <w14:textFill>
            <w14:solidFill>
              <w14:schemeClr w14:val="tx1"/>
            </w14:solidFill>
          </w14:textFill>
        </w:rPr>
        <w:t xml:space="preserve">年</w:t>
      </w:r>
      <w:r>
        <w:rPr>
          <w:rFonts w:hint="eastAsia" w:ascii="宋体" w:hAnsi="宋体" w:cs="宋体"/>
          <w:color w:val="000000" w:themeColor="text1"/>
          <w:u w:val="single"/>
          <w14:textFill>
            <w14:solidFill>
              <w14:schemeClr w14:val="tx1"/>
            </w14:solidFill>
          </w14:textFill>
        </w:rPr>
        <w:t xml:space="preserve">     </w:t>
      </w:r>
      <w:r>
        <w:rPr>
          <w:rFonts w:hint="eastAsia" w:ascii="宋体" w:hAnsi="宋体" w:cs="宋体"/>
          <w:color w:val="000000" w:themeColor="text1"/>
          <w14:textFill>
            <w14:solidFill>
              <w14:schemeClr w14:val="tx1"/>
            </w14:solidFill>
          </w14:textFill>
        </w:rPr>
        <w:t xml:space="preserve">月</w:t>
      </w:r>
      <w:r>
        <w:rPr>
          <w:rFonts w:hint="eastAsia" w:ascii="宋体" w:hAnsi="宋体" w:cs="宋体"/>
          <w:color w:val="000000" w:themeColor="text1"/>
          <w:u w:val="single"/>
          <w14:textFill>
            <w14:solidFill>
              <w14:schemeClr w14:val="tx1"/>
            </w14:solidFill>
          </w14:textFill>
        </w:rPr>
        <w:t xml:space="preserve">     </w:t>
      </w:r>
      <w:r>
        <w:rPr>
          <w:rFonts w:hint="eastAsia" w:ascii="宋体" w:hAnsi="宋体" w:cs="宋体"/>
          <w:color w:val="000000" w:themeColor="text1"/>
          <w14:textFill>
            <w14:solidFill>
              <w14:schemeClr w14:val="tx1"/>
            </w14:solidFill>
          </w14:textFill>
        </w:rPr>
        <w:t xml:space="preserve">日。</w:t>
      </w:r>
      <w:r/>
    </w:p>
    <w:p>
      <w:pPr>
        <w:pStyle w:val="1030"/>
        <w:ind w:firstLine="459"/>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计划竣工日期：</w:t>
      </w:r>
      <w:r>
        <w:rPr>
          <w:rFonts w:hint="eastAsia" w:ascii="宋体" w:hAnsi="宋体" w:cs="宋体"/>
          <w:color w:val="000000" w:themeColor="text1"/>
          <w:u w:val="single"/>
          <w14:textFill>
            <w14:solidFill>
              <w14:schemeClr w14:val="tx1"/>
            </w14:solidFill>
          </w14:textFill>
        </w:rPr>
        <w:t xml:space="preserve">     </w:t>
      </w:r>
      <w:r>
        <w:rPr>
          <w:rFonts w:hint="eastAsia" w:ascii="宋体" w:hAnsi="宋体" w:cs="宋体"/>
          <w:color w:val="000000" w:themeColor="text1"/>
          <w14:textFill>
            <w14:solidFill>
              <w14:schemeClr w14:val="tx1"/>
            </w14:solidFill>
          </w14:textFill>
        </w:rPr>
        <w:t xml:space="preserve">年</w:t>
      </w:r>
      <w:r>
        <w:rPr>
          <w:rFonts w:hint="eastAsia" w:ascii="宋体" w:hAnsi="宋体" w:cs="宋体"/>
          <w:color w:val="000000" w:themeColor="text1"/>
          <w:u w:val="single"/>
          <w14:textFill>
            <w14:solidFill>
              <w14:schemeClr w14:val="tx1"/>
            </w14:solidFill>
          </w14:textFill>
        </w:rPr>
        <w:t xml:space="preserve">     </w:t>
      </w:r>
      <w:r>
        <w:rPr>
          <w:rFonts w:hint="eastAsia" w:ascii="宋体" w:hAnsi="宋体" w:cs="宋体"/>
          <w:color w:val="000000" w:themeColor="text1"/>
          <w14:textFill>
            <w14:solidFill>
              <w14:schemeClr w14:val="tx1"/>
            </w14:solidFill>
          </w14:textFill>
        </w:rPr>
        <w:t xml:space="preserve">月</w:t>
      </w:r>
      <w:r>
        <w:rPr>
          <w:rFonts w:hint="eastAsia" w:ascii="宋体" w:hAnsi="宋体" w:cs="宋体"/>
          <w:color w:val="000000" w:themeColor="text1"/>
          <w:u w:val="single"/>
          <w14:textFill>
            <w14:solidFill>
              <w14:schemeClr w14:val="tx1"/>
            </w14:solidFill>
          </w14:textFill>
        </w:rPr>
        <w:t xml:space="preserve">     </w:t>
      </w:r>
      <w:r>
        <w:rPr>
          <w:rFonts w:hint="eastAsia" w:ascii="宋体" w:hAnsi="宋体" w:cs="宋体"/>
          <w:color w:val="000000" w:themeColor="text1"/>
          <w14:textFill>
            <w14:solidFill>
              <w14:schemeClr w14:val="tx1"/>
            </w14:solidFill>
          </w14:textFill>
        </w:rPr>
        <w:t xml:space="preserve">日。</w:t>
      </w:r>
      <w:r/>
    </w:p>
    <w:p>
      <w:pPr>
        <w:pStyle w:val="1030"/>
        <w:ind w:firstLine="48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工期总日历天数：</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u w:val="single"/>
          <w:lang w:val="en-US" w:eastAsia="zh-CN"/>
          <w14:textFill>
            <w14:solidFill>
              <w14:schemeClr w14:val="tx1"/>
            </w14:solidFill>
          </w14:textFill>
        </w:rPr>
        <w:t xml:space="preserve">60</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14:textFill>
            <w14:solidFill>
              <w14:schemeClr w14:val="tx1"/>
            </w14:solidFill>
          </w14:textFill>
        </w:rPr>
        <w:t xml:space="preserve">天。工期总日历天数与根据前述计划开竣工日期计算的工期天数不一致的，以工期总日历天数为准。</w:t>
      </w:r>
      <w:r/>
    </w:p>
    <w:p>
      <w:pPr>
        <w:pStyle w:val="1222"/>
        <w:spacing w:before="0" w:after="0"/>
        <w:rPr>
          <w:rFonts w:ascii="宋体" w:hAnsi="宋体" w:eastAsia="宋体" w:cs="宋体"/>
          <w:color w:val="000000" w:themeColor="text1"/>
          <w:sz w:val="24"/>
          <w:szCs w:val="24"/>
          <w14:textFill>
            <w14:solidFill>
              <w14:schemeClr w14:val="tx1"/>
            </w14:solidFill>
          </w14:textFill>
        </w:rPr>
      </w:pPr>
      <w:r/>
      <w:bookmarkStart w:id="7" w:name="_Toc351203483"/>
      <w:r>
        <w:rPr>
          <w:rFonts w:hint="eastAsia" w:ascii="宋体" w:hAnsi="宋体" w:eastAsia="宋体" w:cs="宋体"/>
          <w:color w:val="000000" w:themeColor="text1"/>
          <w:sz w:val="24"/>
          <w:szCs w:val="24"/>
          <w14:textFill>
            <w14:solidFill>
              <w14:schemeClr w14:val="tx1"/>
            </w14:solidFill>
          </w14:textFill>
        </w:rPr>
        <w:t xml:space="preserve">三、质量标准</w:t>
      </w:r>
      <w:bookmarkEnd w:id="7"/>
      <w:r/>
      <w:r/>
    </w:p>
    <w:p>
      <w:pPr>
        <w:pStyle w:val="1030"/>
        <w:ind w:firstLine="459"/>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工程质量符合</w:t>
      </w:r>
      <w:r>
        <w:rPr>
          <w:rFonts w:hint="eastAsia" w:ascii="宋体" w:hAnsi="宋体" w:cs="宋体"/>
          <w:color w:val="000000" w:themeColor="text1"/>
          <w:u w:val="single"/>
          <w14:textFill>
            <w14:solidFill>
              <w14:schemeClr w14:val="tx1"/>
            </w14:solidFill>
          </w14:textFill>
        </w:rPr>
        <w:t xml:space="preserve"> 合格</w:t>
      </w:r>
      <w:r>
        <w:rPr>
          <w:rFonts w:hint="eastAsia" w:ascii="宋体" w:hAnsi="宋体" w:cs="宋体"/>
          <w:color w:val="000000" w:themeColor="text1"/>
          <w14:textFill>
            <w14:solidFill>
              <w14:schemeClr w14:val="tx1"/>
            </w14:solidFill>
          </w14:textFill>
        </w:rPr>
        <w:t xml:space="preserve">标准。</w:t>
      </w:r>
      <w:r/>
    </w:p>
    <w:p>
      <w:pPr>
        <w:pStyle w:val="1222"/>
        <w:spacing w:before="120" w:after="120"/>
        <w:rPr>
          <w:rFonts w:ascii="宋体" w:hAnsi="宋体" w:eastAsia="宋体" w:cs="宋体"/>
          <w:color w:val="000000" w:themeColor="text1"/>
          <w:sz w:val="24"/>
          <w:szCs w:val="24"/>
          <w14:textFill>
            <w14:solidFill>
              <w14:schemeClr w14:val="tx1"/>
            </w14:solidFill>
          </w14:textFill>
        </w:rPr>
      </w:pPr>
      <w:r/>
      <w:bookmarkStart w:id="8" w:name="_Toc351203484"/>
      <w:r>
        <w:rPr>
          <w:rFonts w:hint="eastAsia" w:ascii="宋体" w:hAnsi="宋体" w:eastAsia="宋体" w:cs="宋体"/>
          <w:color w:val="000000" w:themeColor="text1"/>
          <w:sz w:val="24"/>
          <w:szCs w:val="24"/>
          <w14:textFill>
            <w14:solidFill>
              <w14:schemeClr w14:val="tx1"/>
            </w14:solidFill>
          </w14:textFill>
        </w:rPr>
        <w:t xml:space="preserve">四、签约合同价</w:t>
      </w:r>
      <w:bookmarkEnd w:id="8"/>
      <w:r/>
      <w:r/>
    </w:p>
    <w:p>
      <w:pPr>
        <w:pStyle w:val="1030"/>
        <w:ind w:firstLine="48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1.签约合同价为：</w:t>
      </w:r>
      <w:r/>
    </w:p>
    <w:p>
      <w:pPr>
        <w:pStyle w:val="1030"/>
        <w:ind w:firstLine="6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人民币（大写）</w:t>
      </w:r>
      <w:r>
        <w:rPr>
          <w:rFonts w:hint="eastAsia" w:ascii="宋体" w:hAnsi="宋体" w:cs="宋体"/>
          <w:color w:val="000000" w:themeColor="text1"/>
          <w:u w:val="single"/>
          <w14:textFill>
            <w14:solidFill>
              <w14:schemeClr w14:val="tx1"/>
            </w14:solidFill>
          </w14:textFill>
        </w:rPr>
        <w:t xml:space="preserve">                </w:t>
      </w:r>
      <w:r>
        <w:rPr>
          <w:rFonts w:hint="eastAsia" w:ascii="宋体" w:hAnsi="宋体" w:cs="宋体"/>
          <w:color w:val="000000" w:themeColor="text1"/>
          <w14:textFill>
            <w14:solidFill>
              <w14:schemeClr w14:val="tx1"/>
            </w14:solidFill>
          </w14:textFill>
        </w:rPr>
        <w:t xml:space="preserve">(¥</w:t>
      </w:r>
      <w:r>
        <w:rPr>
          <w:rFonts w:hint="eastAsia" w:ascii="宋体" w:hAnsi="宋体" w:cs="宋体"/>
          <w:color w:val="000000" w:themeColor="text1"/>
          <w:u w:val="single"/>
          <w14:textFill>
            <w14:solidFill>
              <w14:schemeClr w14:val="tx1"/>
            </w14:solidFill>
          </w14:textFill>
        </w:rPr>
        <w:t xml:space="preserve">           </w:t>
      </w:r>
      <w:r>
        <w:rPr>
          <w:rFonts w:hint="eastAsia" w:ascii="宋体" w:hAnsi="宋体" w:cs="宋体"/>
          <w:color w:val="000000" w:themeColor="text1"/>
          <w14:textFill>
            <w14:solidFill>
              <w14:schemeClr w14:val="tx1"/>
            </w14:solidFill>
          </w14:textFill>
        </w:rPr>
        <w:t xml:space="preserve">元)；</w:t>
      </w:r>
      <w:r/>
    </w:p>
    <w:p>
      <w:pPr>
        <w:pStyle w:val="1034"/>
        <w:ind w:firstLine="48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2.合同价格形式：</w:t>
      </w:r>
      <w:r>
        <w:rPr>
          <w:rFonts w:hint="eastAsia" w:ascii="宋体" w:hAnsi="宋体" w:cs="宋体"/>
          <w:color w:val="000000" w:themeColor="text1"/>
          <w:sz w:val="24"/>
          <w:u w:val="single"/>
          <w14:textFill>
            <w14:solidFill>
              <w14:schemeClr w14:val="tx1"/>
            </w14:solidFill>
          </w14:textFill>
        </w:rPr>
        <w:t xml:space="preserve">固定单价合同。</w:t>
      </w:r>
      <w:r/>
    </w:p>
    <w:p>
      <w:pPr>
        <w:pStyle w:val="1222"/>
        <w:spacing w:before="120" w:after="120"/>
        <w:rPr>
          <w:rFonts w:ascii="宋体" w:hAnsi="宋体" w:eastAsia="宋体" w:cs="宋体"/>
          <w:color w:val="000000" w:themeColor="text1"/>
          <w:sz w:val="24"/>
          <w:szCs w:val="24"/>
          <w14:textFill>
            <w14:solidFill>
              <w14:schemeClr w14:val="tx1"/>
            </w14:solidFill>
          </w14:textFill>
        </w:rPr>
      </w:pPr>
      <w:r/>
      <w:bookmarkStart w:id="9" w:name="_Toc351203485"/>
      <w:r>
        <w:rPr>
          <w:rFonts w:hint="eastAsia" w:ascii="宋体" w:hAnsi="宋体" w:eastAsia="宋体" w:cs="宋体"/>
          <w:color w:val="000000" w:themeColor="text1"/>
          <w:sz w:val="24"/>
          <w:szCs w:val="24"/>
          <w14:textFill>
            <w14:solidFill>
              <w14:schemeClr w14:val="tx1"/>
            </w14:solidFill>
          </w14:textFill>
        </w:rPr>
        <w:t xml:space="preserve">五、</w:t>
      </w:r>
      <w:bookmarkEnd w:id="9"/>
      <w:r>
        <w:rPr>
          <w:rFonts w:hint="eastAsia" w:ascii="宋体" w:hAnsi="宋体" w:eastAsia="宋体" w:cs="宋体"/>
          <w:color w:val="000000" w:themeColor="text1"/>
          <w:sz w:val="24"/>
          <w:szCs w:val="24"/>
          <w14:textFill>
            <w14:solidFill>
              <w14:schemeClr w14:val="tx1"/>
            </w14:solidFill>
          </w14:textFill>
        </w:rPr>
        <w:t xml:space="preserve">项目经理</w:t>
      </w:r>
      <w:r/>
    </w:p>
    <w:p>
      <w:pPr>
        <w:pStyle w:val="1030"/>
        <w:ind w:firstLine="48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承包人项目经理：</w:t>
      </w:r>
      <w:r>
        <w:rPr>
          <w:rFonts w:hint="eastAsia" w:ascii="宋体" w:hAnsi="宋体" w:cs="宋体"/>
          <w:color w:val="000000" w:themeColor="text1"/>
          <w:u w:val="single"/>
          <w14:textFill>
            <w14:solidFill>
              <w14:schemeClr w14:val="tx1"/>
            </w14:solidFill>
          </w14:textFill>
        </w:rPr>
        <w:t xml:space="preserve">     </w:t>
      </w:r>
      <w:r>
        <w:rPr>
          <w:rFonts w:hint="eastAsia" w:ascii="宋体" w:hAnsi="宋体" w:cs="宋体"/>
          <w:color w:val="000000" w:themeColor="text1"/>
          <w14:textFill>
            <w14:solidFill>
              <w14:schemeClr w14:val="tx1"/>
            </w14:solidFill>
          </w14:textFill>
        </w:rPr>
        <w:t xml:space="preserve">。</w:t>
      </w:r>
      <w:r/>
    </w:p>
    <w:p>
      <w:pPr>
        <w:pStyle w:val="1222"/>
        <w:spacing w:before="120" w:after="120"/>
        <w:rPr>
          <w:rFonts w:ascii="宋体" w:hAnsi="宋体" w:eastAsia="宋体" w:cs="宋体"/>
          <w:color w:val="000000" w:themeColor="text1"/>
          <w:sz w:val="24"/>
          <w:szCs w:val="24"/>
          <w14:textFill>
            <w14:solidFill>
              <w14:schemeClr w14:val="tx1"/>
            </w14:solidFill>
          </w14:textFill>
        </w:rPr>
      </w:pPr>
      <w:r/>
      <w:bookmarkStart w:id="10" w:name="_Toc351203486"/>
      <w:r>
        <w:rPr>
          <w:rFonts w:hint="eastAsia" w:ascii="宋体" w:hAnsi="宋体" w:eastAsia="宋体" w:cs="宋体"/>
          <w:color w:val="000000" w:themeColor="text1"/>
          <w:sz w:val="24"/>
          <w:szCs w:val="24"/>
          <w14:textFill>
            <w14:solidFill>
              <w14:schemeClr w14:val="tx1"/>
            </w14:solidFill>
          </w14:textFill>
        </w:rPr>
        <w:t xml:space="preserve">六、合同文件构成</w:t>
      </w:r>
      <w:bookmarkEnd w:id="10"/>
      <w:r/>
      <w:r/>
    </w:p>
    <w:p>
      <w:pPr>
        <w:pStyle w:val="1030"/>
        <w:ind w:firstLine="480"/>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本协议书与下列文件一起构成合同文件：</w:t>
      </w:r>
      <w:r/>
    </w:p>
    <w:p>
      <w:pPr>
        <w:pStyle w:val="1030"/>
        <w:ind w:firstLine="48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（1）成交通知书（如果有）；</w:t>
      </w:r>
      <w:r/>
    </w:p>
    <w:p>
      <w:pPr>
        <w:pStyle w:val="1030"/>
        <w:ind w:firstLine="48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（2）最终报价表（如果有）； </w:t>
      </w:r>
      <w:r/>
    </w:p>
    <w:p>
      <w:pPr>
        <w:pStyle w:val="1030"/>
        <w:ind w:firstLine="48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（3）专用合同条款及其附件；</w:t>
      </w:r>
      <w:r/>
    </w:p>
    <w:p>
      <w:pPr>
        <w:pStyle w:val="1030"/>
        <w:ind w:firstLine="48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（4）通用合同条款；</w:t>
      </w:r>
      <w:r/>
    </w:p>
    <w:p>
      <w:pPr>
        <w:pStyle w:val="1030"/>
        <w:ind w:firstLine="48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（5）技术标准和要求；</w:t>
      </w:r>
      <w:r/>
    </w:p>
    <w:p>
      <w:pPr>
        <w:pStyle w:val="1030"/>
        <w:ind w:firstLine="48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（6）图纸；</w:t>
      </w:r>
      <w:r/>
    </w:p>
    <w:p>
      <w:pPr>
        <w:pStyle w:val="1030"/>
        <w:ind w:firstLine="48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（7）已标价工程量清单或预算书；</w:t>
      </w:r>
      <w:r/>
    </w:p>
    <w:p>
      <w:pPr>
        <w:pStyle w:val="1030"/>
        <w:ind w:firstLine="48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（8）其他合同文件。</w:t>
      </w:r>
      <w:r/>
    </w:p>
    <w:p>
      <w:pPr>
        <w:pStyle w:val="1030"/>
        <w:ind w:firstLine="48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在合同订立及履行过程中形成的与合同有关的文件均构成合同文件组成部分。</w:t>
      </w:r>
      <w:r/>
    </w:p>
    <w:p>
      <w:pPr>
        <w:pStyle w:val="1030"/>
        <w:ind w:firstLine="48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上述各项合同文件包括合同当事人就该项合同文件所作出的补充和修改，属于同一类内容的文件，应以最新签署的为准。专用合同条款及其附件须经合同当事人签字或盖章。</w:t>
      </w:r>
      <w:r/>
    </w:p>
    <w:p>
      <w:pPr>
        <w:pStyle w:val="1222"/>
        <w:spacing w:before="120" w:after="120"/>
        <w:rPr>
          <w:rFonts w:ascii="宋体" w:hAnsi="宋体" w:eastAsia="宋体" w:cs="宋体"/>
          <w:color w:val="000000" w:themeColor="text1"/>
          <w:sz w:val="24"/>
          <w:szCs w:val="24"/>
          <w14:textFill>
            <w14:solidFill>
              <w14:schemeClr w14:val="tx1"/>
            </w14:solidFill>
          </w14:textFill>
        </w:rPr>
      </w:pPr>
      <w:r/>
      <w:bookmarkStart w:id="11" w:name="_Toc351203487"/>
      <w:r>
        <w:rPr>
          <w:rFonts w:hint="eastAsia" w:ascii="宋体" w:hAnsi="宋体" w:eastAsia="宋体" w:cs="宋体"/>
          <w:color w:val="000000" w:themeColor="text1"/>
          <w:sz w:val="24"/>
          <w:szCs w:val="24"/>
          <w14:textFill>
            <w14:solidFill>
              <w14:schemeClr w14:val="tx1"/>
            </w14:solidFill>
          </w14:textFill>
        </w:rPr>
        <w:t xml:space="preserve">七、承诺</w:t>
      </w:r>
      <w:bookmarkEnd w:id="11"/>
      <w:r/>
      <w:r/>
    </w:p>
    <w:p>
      <w:pPr>
        <w:pStyle w:val="1030"/>
        <w:ind w:firstLine="480"/>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1.发包人承诺按照法律规定履行项目审批手续、筹集工程建设资金并按照合同约定的期限和方式支付合同价款。</w:t>
      </w:r>
      <w:r/>
    </w:p>
    <w:p>
      <w:pPr>
        <w:pStyle w:val="1030"/>
        <w:ind w:firstLine="480"/>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2.承包人承诺按照法律规定及合同约定组织完成工程施工，确保工程质量和安全，不进行转包及违法分包，并在缺陷责任期及保修期内承担相应的工程维修责任。</w:t>
      </w:r>
      <w:r/>
    </w:p>
    <w:p>
      <w:pPr>
        <w:pStyle w:val="1030"/>
        <w:ind w:firstLine="480"/>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3.发包人和承包人通过招响应形式签订合同的，双方理解并承诺不再就同一工程另行签订与合同实质性内容相背离的协议。</w:t>
      </w:r>
      <w:r/>
    </w:p>
    <w:p>
      <w:pPr>
        <w:pStyle w:val="1222"/>
        <w:spacing w:before="120" w:after="120"/>
        <w:rPr>
          <w:rFonts w:ascii="宋体" w:hAnsi="宋体" w:eastAsia="宋体" w:cs="宋体"/>
          <w:color w:val="000000" w:themeColor="text1"/>
          <w:sz w:val="24"/>
          <w:szCs w:val="24"/>
          <w14:textFill>
            <w14:solidFill>
              <w14:schemeClr w14:val="tx1"/>
            </w14:solidFill>
          </w14:textFill>
        </w:rPr>
      </w:pPr>
      <w:r/>
      <w:bookmarkStart w:id="12" w:name="_Toc351203488"/>
      <w:r>
        <w:rPr>
          <w:rFonts w:hint="eastAsia" w:ascii="宋体" w:hAnsi="宋体" w:eastAsia="宋体" w:cs="宋体"/>
          <w:color w:val="000000" w:themeColor="text1"/>
          <w:sz w:val="24"/>
          <w:szCs w:val="24"/>
          <w14:textFill>
            <w14:solidFill>
              <w14:schemeClr w14:val="tx1"/>
            </w14:solidFill>
          </w14:textFill>
        </w:rPr>
        <w:t xml:space="preserve">八、词语含义</w:t>
      </w:r>
      <w:bookmarkEnd w:id="12"/>
      <w:r/>
      <w:r/>
    </w:p>
    <w:p>
      <w:pPr>
        <w:pStyle w:val="1030"/>
        <w:ind w:firstLine="480"/>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本协议书中词语含义与第二部分通用合同条款中赋予的含义相同。</w:t>
      </w:r>
      <w:r/>
    </w:p>
    <w:p>
      <w:pPr>
        <w:pStyle w:val="1222"/>
        <w:spacing w:before="120" w:after="120"/>
        <w:rPr>
          <w:rFonts w:ascii="宋体" w:hAnsi="宋体" w:eastAsia="宋体" w:cs="宋体"/>
          <w:color w:val="000000" w:themeColor="text1"/>
          <w:sz w:val="24"/>
          <w:szCs w:val="24"/>
          <w14:textFill>
            <w14:solidFill>
              <w14:schemeClr w14:val="tx1"/>
            </w14:solidFill>
          </w14:textFill>
        </w:rPr>
      </w:pPr>
      <w:r/>
      <w:bookmarkStart w:id="13" w:name="_Toc351203489"/>
      <w:r>
        <w:rPr>
          <w:rFonts w:hint="eastAsia" w:ascii="宋体" w:hAnsi="宋体" w:eastAsia="宋体" w:cs="宋体"/>
          <w:color w:val="000000" w:themeColor="text1"/>
          <w:sz w:val="24"/>
          <w:szCs w:val="24"/>
          <w14:textFill>
            <w14:solidFill>
              <w14:schemeClr w14:val="tx1"/>
            </w14:solidFill>
          </w14:textFill>
        </w:rPr>
        <w:t xml:space="preserve">九、签订时间</w:t>
      </w:r>
      <w:bookmarkEnd w:id="13"/>
      <w:r/>
      <w:r/>
    </w:p>
    <w:p>
      <w:pPr>
        <w:pStyle w:val="1030"/>
        <w:ind w:firstLine="480"/>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本合同于</w:t>
      </w:r>
      <w:r>
        <w:rPr>
          <w:rFonts w:hint="eastAsia" w:ascii="宋体" w:hAnsi="宋体" w:cs="宋体"/>
          <w:bCs/>
          <w:color w:val="000000" w:themeColor="text1"/>
          <w:u w:val="single"/>
          <w14:textFill>
            <w14:solidFill>
              <w14:schemeClr w14:val="tx1"/>
            </w14:solidFill>
          </w14:textFill>
        </w:rPr>
        <w:t xml:space="preserve">    </w:t>
      </w:r>
      <w:r>
        <w:rPr>
          <w:rFonts w:hint="eastAsia" w:ascii="宋体" w:hAnsi="宋体" w:cs="宋体"/>
          <w:bCs/>
          <w:color w:val="000000" w:themeColor="text1"/>
          <w14:textFill>
            <w14:solidFill>
              <w14:schemeClr w14:val="tx1"/>
            </w14:solidFill>
          </w14:textFill>
        </w:rPr>
        <w:t xml:space="preserve">年</w:t>
      </w:r>
      <w:r>
        <w:rPr>
          <w:rFonts w:hint="eastAsia" w:ascii="宋体" w:hAnsi="宋体" w:cs="宋体"/>
          <w:bCs/>
          <w:color w:val="000000" w:themeColor="text1"/>
          <w:u w:val="single"/>
          <w14:textFill>
            <w14:solidFill>
              <w14:schemeClr w14:val="tx1"/>
            </w14:solidFill>
          </w14:textFill>
        </w:rPr>
        <w:t xml:space="preserve">    </w:t>
      </w:r>
      <w:r>
        <w:rPr>
          <w:rFonts w:hint="eastAsia" w:ascii="宋体" w:hAnsi="宋体" w:cs="宋体"/>
          <w:bCs/>
          <w:color w:val="000000" w:themeColor="text1"/>
          <w14:textFill>
            <w14:solidFill>
              <w14:schemeClr w14:val="tx1"/>
            </w14:solidFill>
          </w14:textFill>
        </w:rPr>
        <w:t xml:space="preserve">月</w:t>
      </w:r>
      <w:r>
        <w:rPr>
          <w:rFonts w:hint="eastAsia" w:ascii="宋体" w:hAnsi="宋体" w:cs="宋体"/>
          <w:bCs/>
          <w:color w:val="000000" w:themeColor="text1"/>
          <w:u w:val="single"/>
          <w14:textFill>
            <w14:solidFill>
              <w14:schemeClr w14:val="tx1"/>
            </w14:solidFill>
          </w14:textFill>
        </w:rPr>
        <w:t xml:space="preserve">    </w:t>
      </w:r>
      <w:r>
        <w:rPr>
          <w:rFonts w:hint="eastAsia" w:ascii="宋体" w:hAnsi="宋体" w:cs="宋体"/>
          <w:bCs/>
          <w:color w:val="000000" w:themeColor="text1"/>
          <w14:textFill>
            <w14:solidFill>
              <w14:schemeClr w14:val="tx1"/>
            </w14:solidFill>
          </w14:textFill>
        </w:rPr>
        <w:t xml:space="preserve">日签订。</w:t>
      </w:r>
      <w:r/>
    </w:p>
    <w:p>
      <w:pPr>
        <w:pStyle w:val="1222"/>
        <w:spacing w:before="120" w:after="120"/>
        <w:tabs>
          <w:tab w:val="left" w:pos="6128" w:leader="none"/>
        </w:tabs>
        <w:rPr>
          <w:rFonts w:ascii="宋体" w:hAnsi="宋体" w:eastAsia="宋体" w:cs="宋体"/>
          <w:color w:val="000000" w:themeColor="text1"/>
          <w:sz w:val="24"/>
          <w:szCs w:val="24"/>
          <w14:textFill>
            <w14:solidFill>
              <w14:schemeClr w14:val="tx1"/>
            </w14:solidFill>
          </w14:textFill>
        </w:rPr>
      </w:pPr>
      <w:r/>
      <w:bookmarkStart w:id="14" w:name="_Toc351203490"/>
      <w:r>
        <w:rPr>
          <w:rFonts w:hint="eastAsia" w:ascii="宋体" w:hAnsi="宋体" w:eastAsia="宋体" w:cs="宋体"/>
          <w:color w:val="000000" w:themeColor="text1"/>
          <w:sz w:val="24"/>
          <w:szCs w:val="24"/>
          <w14:textFill>
            <w14:solidFill>
              <w14:schemeClr w14:val="tx1"/>
            </w14:solidFill>
          </w14:textFill>
        </w:rPr>
        <w:t xml:space="preserve">十、签订地点</w:t>
      </w:r>
      <w:bookmarkEnd w:id="14"/>
      <w:r>
        <w:rPr>
          <w:rFonts w:hint="eastAsia" w:ascii="宋体" w:hAnsi="宋体" w:eastAsia="宋体" w:cs="宋体"/>
          <w:color w:val="000000" w:themeColor="text1"/>
          <w:sz w:val="24"/>
          <w:szCs w:val="24"/>
          <w14:textFill>
            <w14:solidFill>
              <w14:schemeClr w14:val="tx1"/>
            </w14:solidFill>
          </w14:textFill>
        </w:rPr>
        <w:tab/>
      </w:r>
      <w:r/>
    </w:p>
    <w:p>
      <w:pPr>
        <w:pStyle w:val="1030"/>
        <w:ind w:firstLine="480"/>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本合同在</w:t>
      </w:r>
      <w:r>
        <w:rPr>
          <w:rFonts w:hint="eastAsia" w:ascii="宋体" w:hAnsi="宋体" w:cs="宋体"/>
          <w:bCs/>
          <w:color w:val="000000" w:themeColor="text1"/>
          <w:u w:val="single"/>
          <w14:textFill>
            <w14:solidFill>
              <w14:schemeClr w14:val="tx1"/>
            </w14:solidFill>
          </w14:textFill>
        </w:rPr>
        <w:t xml:space="preserve">               </w:t>
      </w:r>
      <w:r>
        <w:rPr>
          <w:rFonts w:hint="eastAsia" w:ascii="宋体" w:hAnsi="宋体" w:cs="宋体"/>
          <w:bCs/>
          <w:color w:val="000000" w:themeColor="text1"/>
          <w14:textFill>
            <w14:solidFill>
              <w14:schemeClr w14:val="tx1"/>
            </w14:solidFill>
          </w14:textFill>
        </w:rPr>
        <w:t xml:space="preserve">签订。</w:t>
      </w:r>
      <w:r/>
    </w:p>
    <w:p>
      <w:pPr>
        <w:pStyle w:val="1222"/>
        <w:spacing w:before="120" w:after="120"/>
        <w:rPr>
          <w:rFonts w:ascii="宋体" w:hAnsi="宋体" w:eastAsia="宋体" w:cs="宋体"/>
          <w:color w:val="000000" w:themeColor="text1"/>
          <w:sz w:val="24"/>
          <w:szCs w:val="24"/>
          <w14:textFill>
            <w14:solidFill>
              <w14:schemeClr w14:val="tx1"/>
            </w14:solidFill>
          </w14:textFill>
        </w:rPr>
      </w:pPr>
      <w:r/>
      <w:bookmarkStart w:id="15" w:name="_Toc351203491"/>
      <w:r>
        <w:rPr>
          <w:rFonts w:hint="eastAsia" w:ascii="宋体" w:hAnsi="宋体" w:eastAsia="宋体" w:cs="宋体"/>
          <w:color w:val="000000" w:themeColor="text1"/>
          <w:sz w:val="24"/>
          <w:szCs w:val="24"/>
          <w14:textFill>
            <w14:solidFill>
              <w14:schemeClr w14:val="tx1"/>
            </w14:solidFill>
          </w14:textFill>
        </w:rPr>
        <w:t xml:space="preserve">十一、补充协议</w:t>
      </w:r>
      <w:bookmarkEnd w:id="15"/>
      <w:r/>
      <w:r/>
    </w:p>
    <w:p>
      <w:pPr>
        <w:pStyle w:val="1030"/>
        <w:ind w:firstLine="480"/>
        <w:rPr>
          <w:rFonts w:ascii="宋体" w:hAnsi="宋体" w:cs="宋体"/>
          <w:b/>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合同未尽事宜，合同当事人另行签订补充协议，补充协议是合同的组成部分。</w:t>
      </w:r>
      <w:r/>
    </w:p>
    <w:p>
      <w:pPr>
        <w:pStyle w:val="1222"/>
        <w:spacing w:before="120" w:after="120"/>
        <w:rPr>
          <w:rFonts w:ascii="宋体" w:hAnsi="宋体" w:eastAsia="宋体" w:cs="宋体"/>
          <w:color w:val="000000" w:themeColor="text1"/>
          <w:sz w:val="24"/>
          <w:szCs w:val="24"/>
          <w14:textFill>
            <w14:solidFill>
              <w14:schemeClr w14:val="tx1"/>
            </w14:solidFill>
          </w14:textFill>
        </w:rPr>
      </w:pPr>
      <w:r/>
      <w:bookmarkStart w:id="16" w:name="_Toc351203492"/>
      <w:r>
        <w:rPr>
          <w:rFonts w:hint="eastAsia" w:ascii="宋体" w:hAnsi="宋体" w:eastAsia="宋体" w:cs="宋体"/>
          <w:color w:val="000000" w:themeColor="text1"/>
          <w:sz w:val="24"/>
          <w:szCs w:val="24"/>
          <w14:textFill>
            <w14:solidFill>
              <w14:schemeClr w14:val="tx1"/>
            </w14:solidFill>
          </w14:textFill>
        </w:rPr>
        <w:t xml:space="preserve">十二、合同生效</w:t>
      </w:r>
      <w:bookmarkEnd w:id="16"/>
      <w:r/>
      <w:r/>
    </w:p>
    <w:p>
      <w:pPr>
        <w:pStyle w:val="1030"/>
        <w:ind w:firstLine="480"/>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本合同自</w:t>
      </w:r>
      <w:r>
        <w:rPr>
          <w:rFonts w:hint="eastAsia" w:ascii="宋体" w:hAnsi="宋体" w:cs="宋体"/>
          <w:bCs/>
          <w:color w:val="000000" w:themeColor="text1"/>
          <w:u w:val="single"/>
          <w14:textFill>
            <w14:solidFill>
              <w14:schemeClr w14:val="tx1"/>
            </w14:solidFill>
          </w14:textFill>
        </w:rPr>
        <w:t xml:space="preserve">    合同签订之日起     </w:t>
      </w:r>
      <w:r>
        <w:rPr>
          <w:rFonts w:hint="eastAsia" w:ascii="宋体" w:hAnsi="宋体" w:cs="宋体"/>
          <w:bCs/>
          <w:color w:val="000000" w:themeColor="text1"/>
          <w14:textFill>
            <w14:solidFill>
              <w14:schemeClr w14:val="tx1"/>
            </w14:solidFill>
          </w14:textFill>
        </w:rPr>
        <w:t xml:space="preserve">生效。</w:t>
      </w:r>
      <w:r/>
    </w:p>
    <w:p>
      <w:pPr>
        <w:pStyle w:val="1222"/>
        <w:spacing w:before="120" w:after="120"/>
        <w:rPr>
          <w:rFonts w:ascii="宋体" w:hAnsi="宋体" w:eastAsia="宋体" w:cs="宋体"/>
          <w:color w:val="000000" w:themeColor="text1"/>
          <w:sz w:val="24"/>
          <w:szCs w:val="24"/>
          <w14:textFill>
            <w14:solidFill>
              <w14:schemeClr w14:val="tx1"/>
            </w14:solidFill>
          </w14:textFill>
        </w:rPr>
      </w:pPr>
      <w:r/>
      <w:bookmarkStart w:id="17" w:name="_Toc351203493"/>
      <w:r>
        <w:rPr>
          <w:rFonts w:hint="eastAsia" w:ascii="宋体" w:hAnsi="宋体" w:eastAsia="宋体" w:cs="宋体"/>
          <w:color w:val="000000" w:themeColor="text1"/>
          <w:sz w:val="24"/>
          <w:szCs w:val="24"/>
          <w14:textFill>
            <w14:solidFill>
              <w14:schemeClr w14:val="tx1"/>
            </w14:solidFill>
          </w14:textFill>
        </w:rPr>
        <w:t xml:space="preserve">十三、合同份数</w:t>
      </w:r>
      <w:bookmarkEnd w:id="17"/>
      <w:r/>
      <w:r/>
    </w:p>
    <w:p>
      <w:pPr>
        <w:pStyle w:val="1030"/>
        <w:ind w:firstLine="480"/>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本合同一式</w:t>
      </w:r>
      <w:r>
        <w:rPr>
          <w:rFonts w:hint="eastAsia" w:ascii="宋体" w:hAnsi="宋体" w:cs="宋体"/>
          <w:bCs/>
          <w:color w:val="000000" w:themeColor="text1"/>
          <w:u w:val="single"/>
          <w14:textFill>
            <w14:solidFill>
              <w14:schemeClr w14:val="tx1"/>
            </w14:solidFill>
          </w14:textFill>
        </w:rPr>
        <w:t xml:space="preserve">    </w:t>
      </w:r>
      <w:r>
        <w:rPr>
          <w:rFonts w:hint="eastAsia" w:ascii="宋体" w:hAnsi="宋体" w:cs="宋体"/>
          <w:bCs/>
          <w:color w:val="000000" w:themeColor="text1"/>
          <w14:textFill>
            <w14:solidFill>
              <w14:schemeClr w14:val="tx1"/>
            </w14:solidFill>
          </w14:textFill>
        </w:rPr>
        <w:t xml:space="preserve">份，均具有同等法律效力，发包人执</w:t>
      </w:r>
      <w:r>
        <w:rPr>
          <w:rFonts w:hint="eastAsia" w:ascii="宋体" w:hAnsi="宋体" w:cs="宋体"/>
          <w:bCs/>
          <w:color w:val="000000" w:themeColor="text1"/>
          <w:u w:val="single"/>
          <w14:textFill>
            <w14:solidFill>
              <w14:schemeClr w14:val="tx1"/>
            </w14:solidFill>
          </w14:textFill>
        </w:rPr>
        <w:t xml:space="preserve">    </w:t>
      </w:r>
      <w:r>
        <w:rPr>
          <w:rFonts w:hint="eastAsia" w:ascii="宋体" w:hAnsi="宋体" w:cs="宋体"/>
          <w:bCs/>
          <w:color w:val="000000" w:themeColor="text1"/>
          <w14:textFill>
            <w14:solidFill>
              <w14:schemeClr w14:val="tx1"/>
            </w14:solidFill>
          </w14:textFill>
        </w:rPr>
        <w:t xml:space="preserve">份，承包人执</w:t>
      </w:r>
      <w:r>
        <w:rPr>
          <w:rFonts w:hint="eastAsia" w:ascii="宋体" w:hAnsi="宋体" w:cs="宋体"/>
          <w:bCs/>
          <w:color w:val="000000" w:themeColor="text1"/>
          <w:u w:val="single"/>
          <w14:textFill>
            <w14:solidFill>
              <w14:schemeClr w14:val="tx1"/>
            </w14:solidFill>
          </w14:textFill>
        </w:rPr>
        <w:t xml:space="preserve">    </w:t>
      </w:r>
      <w:r>
        <w:rPr>
          <w:rFonts w:hint="eastAsia" w:ascii="宋体" w:hAnsi="宋体" w:cs="宋体"/>
          <w:bCs/>
          <w:color w:val="000000" w:themeColor="text1"/>
          <w14:textFill>
            <w14:solidFill>
              <w14:schemeClr w14:val="tx1"/>
            </w14:solidFill>
          </w14:textFill>
        </w:rPr>
        <w:t xml:space="preserve">份。</w:t>
      </w:r>
      <w:r/>
    </w:p>
    <w:p>
      <w:pPr>
        <w:pStyle w:val="1030"/>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pStyle w:val="103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发包人：  (公章)             承包人：  (公章)</w:t>
      </w:r>
      <w:r/>
    </w:p>
    <w:p>
      <w:pPr>
        <w:pStyle w:val="1030"/>
        <w:rPr>
          <w:rFonts w:ascii="宋体" w:hAnsi="宋体" w:cs="宋体"/>
          <w:color w:val="000000" w:themeColor="text1"/>
          <w:u w:val="single"/>
          <w14:textFill>
            <w14:solidFill>
              <w14:schemeClr w14:val="tx1"/>
            </w14:solidFill>
          </w14:textFill>
        </w:rPr>
      </w:pPr>
      <w:r>
        <w:rPr>
          <w:rFonts w:ascii="宋体" w:hAnsi="宋体" w:cs="宋体"/>
          <w:color w:val="000000" w:themeColor="text1"/>
          <w:u w:val="single"/>
          <w14:textFill>
            <w14:solidFill>
              <w14:schemeClr w14:val="tx1"/>
            </w14:solidFill>
          </w14:textFill>
        </w:rPr>
      </w:r>
      <w:r/>
    </w:p>
    <w:p>
      <w:pPr>
        <w:pStyle w:val="103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法定代表人或其委托代理人：  法定代表人或其委托代理人：</w:t>
      </w:r>
      <w:r/>
    </w:p>
    <w:p>
      <w:pPr>
        <w:pStyle w:val="103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（签字）                    （签字）</w:t>
      </w:r>
      <w:r/>
    </w:p>
    <w:p>
      <w:pPr>
        <w:pStyle w:val="1030"/>
        <w:rPr>
          <w:rFonts w:ascii="宋体" w:hAnsi="宋体" w:cs="宋体"/>
          <w:color w:val="000000" w:themeColor="text1"/>
          <w:u w:val="single"/>
          <w14:textFill>
            <w14:solidFill>
              <w14:schemeClr w14:val="tx1"/>
            </w14:solidFill>
          </w14:textFill>
        </w:rPr>
      </w:pPr>
      <w:r>
        <w:rPr>
          <w:rFonts w:ascii="宋体" w:hAnsi="宋体" w:cs="宋体"/>
          <w:color w:val="000000" w:themeColor="text1"/>
          <w:u w:val="single"/>
          <w14:textFill>
            <w14:solidFill>
              <w14:schemeClr w14:val="tx1"/>
            </w14:solidFill>
          </w14:textFill>
        </w:rPr>
      </w:r>
      <w:r/>
    </w:p>
    <w:p>
      <w:pPr>
        <w:pStyle w:val="1030"/>
        <w:tabs>
          <w:tab w:val="left" w:pos="4410" w:leader="none"/>
        </w:tabs>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组织机构代码：</w:t>
      </w:r>
      <w:r>
        <w:rPr>
          <w:rFonts w:hint="eastAsia" w:ascii="宋体" w:hAnsi="宋体" w:cs="宋体"/>
          <w:color w:val="000000" w:themeColor="text1"/>
          <w:u w:val="single"/>
          <w14:textFill>
            <w14:solidFill>
              <w14:schemeClr w14:val="tx1"/>
            </w14:solidFill>
          </w14:textFill>
        </w:rPr>
        <w:t xml:space="preserve">            </w:t>
      </w:r>
      <w:r>
        <w:rPr>
          <w:rFonts w:hint="eastAsia" w:ascii="宋体" w:hAnsi="宋体" w:cs="宋体"/>
          <w:color w:val="000000" w:themeColor="text1"/>
          <w14:textFill>
            <w14:solidFill>
              <w14:schemeClr w14:val="tx1"/>
            </w14:solidFill>
          </w14:textFill>
        </w:rPr>
        <w:t xml:space="preserve">组织机构代码：</w:t>
      </w:r>
      <w:r>
        <w:rPr>
          <w:rFonts w:hint="eastAsia" w:ascii="宋体" w:hAnsi="宋体" w:cs="宋体"/>
          <w:color w:val="000000" w:themeColor="text1"/>
          <w:u w:val="single"/>
          <w14:textFill>
            <w14:solidFill>
              <w14:schemeClr w14:val="tx1"/>
            </w14:solidFill>
          </w14:textFill>
        </w:rPr>
        <w:t xml:space="preserve">            </w:t>
      </w:r>
      <w:r/>
    </w:p>
    <w:p>
      <w:pPr>
        <w:pStyle w:val="103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地  址：</w:t>
      </w:r>
      <w:r>
        <w:rPr>
          <w:rFonts w:hint="eastAsia" w:ascii="宋体" w:hAnsi="宋体" w:cs="宋体"/>
          <w:color w:val="000000" w:themeColor="text1"/>
          <w:u w:val="single"/>
          <w14:textFill>
            <w14:solidFill>
              <w14:schemeClr w14:val="tx1"/>
            </w14:solidFill>
          </w14:textFill>
        </w:rPr>
        <w:t xml:space="preserve">                  </w:t>
      </w:r>
      <w:r>
        <w:rPr>
          <w:rFonts w:hint="eastAsia" w:ascii="宋体" w:hAnsi="宋体" w:cs="宋体"/>
          <w:color w:val="000000" w:themeColor="text1"/>
          <w14:textFill>
            <w14:solidFill>
              <w14:schemeClr w14:val="tx1"/>
            </w14:solidFill>
          </w14:textFill>
        </w:rPr>
        <w:t xml:space="preserve">地  址：</w:t>
      </w:r>
      <w:r>
        <w:rPr>
          <w:rFonts w:hint="eastAsia" w:ascii="宋体" w:hAnsi="宋体" w:cs="宋体"/>
          <w:color w:val="000000" w:themeColor="text1"/>
          <w:u w:val="single"/>
          <w14:textFill>
            <w14:solidFill>
              <w14:schemeClr w14:val="tx1"/>
            </w14:solidFill>
          </w14:textFill>
        </w:rPr>
        <w:t xml:space="preserve">                  </w:t>
      </w:r>
      <w:r/>
    </w:p>
    <w:p>
      <w:pPr>
        <w:pStyle w:val="103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邮政编码：</w:t>
      </w:r>
      <w:r>
        <w:rPr>
          <w:rFonts w:hint="eastAsia" w:ascii="宋体" w:hAnsi="宋体" w:cs="宋体"/>
          <w:color w:val="000000" w:themeColor="text1"/>
          <w:u w:val="single"/>
          <w14:textFill>
            <w14:solidFill>
              <w14:schemeClr w14:val="tx1"/>
            </w14:solidFill>
          </w14:textFill>
        </w:rPr>
        <w:t xml:space="preserve">                </w:t>
      </w:r>
      <w:r>
        <w:rPr>
          <w:rFonts w:hint="eastAsia" w:ascii="宋体" w:hAnsi="宋体" w:cs="宋体"/>
          <w:color w:val="000000" w:themeColor="text1"/>
          <w14:textFill>
            <w14:solidFill>
              <w14:schemeClr w14:val="tx1"/>
            </w14:solidFill>
          </w14:textFill>
        </w:rPr>
        <w:t xml:space="preserve">邮政编码：</w:t>
      </w:r>
      <w:r>
        <w:rPr>
          <w:rFonts w:hint="eastAsia" w:ascii="宋体" w:hAnsi="宋体" w:cs="宋体"/>
          <w:color w:val="000000" w:themeColor="text1"/>
          <w:u w:val="single"/>
          <w14:textFill>
            <w14:solidFill>
              <w14:schemeClr w14:val="tx1"/>
            </w14:solidFill>
          </w14:textFill>
        </w:rPr>
        <w:t xml:space="preserve">                </w:t>
      </w:r>
      <w:r/>
    </w:p>
    <w:p>
      <w:pPr>
        <w:pStyle w:val="103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法定代表人：</w:t>
      </w:r>
      <w:r>
        <w:rPr>
          <w:rFonts w:hint="eastAsia" w:ascii="宋体" w:hAnsi="宋体" w:cs="宋体"/>
          <w:color w:val="000000" w:themeColor="text1"/>
          <w:u w:val="single"/>
          <w14:textFill>
            <w14:solidFill>
              <w14:schemeClr w14:val="tx1"/>
            </w14:solidFill>
          </w14:textFill>
        </w:rPr>
        <w:t xml:space="preserve">              </w:t>
      </w:r>
      <w:r>
        <w:rPr>
          <w:rFonts w:hint="eastAsia" w:ascii="宋体" w:hAnsi="宋体" w:cs="宋体"/>
          <w:color w:val="000000" w:themeColor="text1"/>
          <w14:textFill>
            <w14:solidFill>
              <w14:schemeClr w14:val="tx1"/>
            </w14:solidFill>
          </w14:textFill>
        </w:rPr>
        <w:t xml:space="preserve">法定代表人：</w:t>
      </w:r>
      <w:r>
        <w:rPr>
          <w:rFonts w:hint="eastAsia" w:ascii="宋体" w:hAnsi="宋体" w:cs="宋体"/>
          <w:color w:val="000000" w:themeColor="text1"/>
          <w:u w:val="single"/>
          <w14:textFill>
            <w14:solidFill>
              <w14:schemeClr w14:val="tx1"/>
            </w14:solidFill>
          </w14:textFill>
        </w:rPr>
        <w:t xml:space="preserve">              </w:t>
      </w:r>
      <w:r/>
    </w:p>
    <w:p>
      <w:pPr>
        <w:pStyle w:val="103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委托代理人：</w:t>
      </w:r>
      <w:r>
        <w:rPr>
          <w:rFonts w:hint="eastAsia" w:ascii="宋体" w:hAnsi="宋体" w:cs="宋体"/>
          <w:color w:val="000000" w:themeColor="text1"/>
          <w:u w:val="single"/>
          <w14:textFill>
            <w14:solidFill>
              <w14:schemeClr w14:val="tx1"/>
            </w14:solidFill>
          </w14:textFill>
        </w:rPr>
        <w:t xml:space="preserve">              </w:t>
      </w:r>
      <w:r>
        <w:rPr>
          <w:rFonts w:hint="eastAsia" w:ascii="宋体" w:hAnsi="宋体" w:cs="宋体"/>
          <w:color w:val="000000" w:themeColor="text1"/>
          <w14:textFill>
            <w14:solidFill>
              <w14:schemeClr w14:val="tx1"/>
            </w14:solidFill>
          </w14:textFill>
        </w:rPr>
        <w:t xml:space="preserve">委托代理人：</w:t>
      </w:r>
      <w:r>
        <w:rPr>
          <w:rFonts w:hint="eastAsia" w:ascii="宋体" w:hAnsi="宋体" w:cs="宋体"/>
          <w:color w:val="000000" w:themeColor="text1"/>
          <w:u w:val="single"/>
          <w14:textFill>
            <w14:solidFill>
              <w14:schemeClr w14:val="tx1"/>
            </w14:solidFill>
          </w14:textFill>
        </w:rPr>
        <w:t xml:space="preserve">              </w:t>
      </w:r>
      <w:r/>
    </w:p>
    <w:p>
      <w:pPr>
        <w:pStyle w:val="103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电  话：</w:t>
      </w:r>
      <w:r>
        <w:rPr>
          <w:rFonts w:hint="eastAsia" w:ascii="宋体" w:hAnsi="宋体" w:cs="宋体"/>
          <w:color w:val="000000" w:themeColor="text1"/>
          <w:u w:val="single"/>
          <w14:textFill>
            <w14:solidFill>
              <w14:schemeClr w14:val="tx1"/>
            </w14:solidFill>
          </w14:textFill>
        </w:rPr>
        <w:t xml:space="preserve">                  </w:t>
      </w:r>
      <w:r>
        <w:rPr>
          <w:rFonts w:hint="eastAsia" w:ascii="宋体" w:hAnsi="宋体" w:cs="宋体"/>
          <w:color w:val="000000" w:themeColor="text1"/>
          <w14:textFill>
            <w14:solidFill>
              <w14:schemeClr w14:val="tx1"/>
            </w14:solidFill>
          </w14:textFill>
        </w:rPr>
        <w:t xml:space="preserve">电  话：</w:t>
      </w:r>
      <w:r>
        <w:rPr>
          <w:rFonts w:hint="eastAsia" w:ascii="宋体" w:hAnsi="宋体" w:cs="宋体"/>
          <w:color w:val="000000" w:themeColor="text1"/>
          <w:u w:val="single"/>
          <w14:textFill>
            <w14:solidFill>
              <w14:schemeClr w14:val="tx1"/>
            </w14:solidFill>
          </w14:textFill>
        </w:rPr>
        <w:t xml:space="preserve">                  </w:t>
      </w:r>
      <w:r/>
    </w:p>
    <w:p>
      <w:pPr>
        <w:pStyle w:val="103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传  真：</w:t>
      </w:r>
      <w:r>
        <w:rPr>
          <w:rFonts w:hint="eastAsia" w:ascii="宋体" w:hAnsi="宋体" w:cs="宋体"/>
          <w:color w:val="000000" w:themeColor="text1"/>
          <w:u w:val="single"/>
          <w14:textFill>
            <w14:solidFill>
              <w14:schemeClr w14:val="tx1"/>
            </w14:solidFill>
          </w14:textFill>
        </w:rPr>
        <w:t xml:space="preserve">                  </w:t>
      </w:r>
      <w:r>
        <w:rPr>
          <w:rFonts w:hint="eastAsia" w:ascii="宋体" w:hAnsi="宋体" w:cs="宋体"/>
          <w:color w:val="000000" w:themeColor="text1"/>
          <w14:textFill>
            <w14:solidFill>
              <w14:schemeClr w14:val="tx1"/>
            </w14:solidFill>
          </w14:textFill>
        </w:rPr>
        <w:t xml:space="preserve">传  真：</w:t>
      </w:r>
      <w:r>
        <w:rPr>
          <w:rFonts w:hint="eastAsia" w:ascii="宋体" w:hAnsi="宋体" w:cs="宋体"/>
          <w:color w:val="000000" w:themeColor="text1"/>
          <w:u w:val="single"/>
          <w14:textFill>
            <w14:solidFill>
              <w14:schemeClr w14:val="tx1"/>
            </w14:solidFill>
          </w14:textFill>
        </w:rPr>
        <w:t xml:space="preserve">                  </w:t>
      </w:r>
      <w:r/>
    </w:p>
    <w:p>
      <w:pPr>
        <w:pStyle w:val="103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电子信箱：</w:t>
      </w:r>
      <w:r>
        <w:rPr>
          <w:rFonts w:hint="eastAsia" w:ascii="宋体" w:hAnsi="宋体" w:cs="宋体"/>
          <w:color w:val="000000" w:themeColor="text1"/>
          <w:u w:val="single"/>
          <w14:textFill>
            <w14:solidFill>
              <w14:schemeClr w14:val="tx1"/>
            </w14:solidFill>
          </w14:textFill>
        </w:rPr>
        <w:t xml:space="preserve">                </w:t>
      </w:r>
      <w:r>
        <w:rPr>
          <w:rFonts w:hint="eastAsia" w:ascii="宋体" w:hAnsi="宋体" w:cs="宋体"/>
          <w:color w:val="000000" w:themeColor="text1"/>
          <w14:textFill>
            <w14:solidFill>
              <w14:schemeClr w14:val="tx1"/>
            </w14:solidFill>
          </w14:textFill>
        </w:rPr>
        <w:t xml:space="preserve">电子信箱：</w:t>
      </w:r>
      <w:r>
        <w:rPr>
          <w:rFonts w:hint="eastAsia" w:ascii="宋体" w:hAnsi="宋体" w:cs="宋体"/>
          <w:color w:val="000000" w:themeColor="text1"/>
          <w:u w:val="single"/>
          <w14:textFill>
            <w14:solidFill>
              <w14:schemeClr w14:val="tx1"/>
            </w14:solidFill>
          </w14:textFill>
        </w:rPr>
        <w:t xml:space="preserve">                </w:t>
      </w:r>
      <w:r/>
    </w:p>
    <w:p>
      <w:pPr>
        <w:pStyle w:val="103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开户银行：</w:t>
      </w:r>
      <w:r>
        <w:rPr>
          <w:rFonts w:hint="eastAsia" w:ascii="宋体" w:hAnsi="宋体" w:cs="宋体"/>
          <w:color w:val="000000" w:themeColor="text1"/>
          <w:u w:val="single"/>
          <w14:textFill>
            <w14:solidFill>
              <w14:schemeClr w14:val="tx1"/>
            </w14:solidFill>
          </w14:textFill>
        </w:rPr>
        <w:t xml:space="preserve">                </w:t>
      </w:r>
      <w:r>
        <w:rPr>
          <w:rFonts w:hint="eastAsia" w:ascii="宋体" w:hAnsi="宋体" w:cs="宋体"/>
          <w:color w:val="000000" w:themeColor="text1"/>
          <w14:textFill>
            <w14:solidFill>
              <w14:schemeClr w14:val="tx1"/>
            </w14:solidFill>
          </w14:textFill>
        </w:rPr>
        <w:t xml:space="preserve">开户银行：</w:t>
      </w:r>
      <w:r>
        <w:rPr>
          <w:rFonts w:hint="eastAsia" w:ascii="宋体" w:hAnsi="宋体" w:cs="宋体"/>
          <w:color w:val="000000" w:themeColor="text1"/>
          <w:u w:val="single"/>
          <w14:textFill>
            <w14:solidFill>
              <w14:schemeClr w14:val="tx1"/>
            </w14:solidFill>
          </w14:textFill>
        </w:rPr>
        <w:t xml:space="preserve">                </w:t>
      </w:r>
      <w:r/>
    </w:p>
    <w:p>
      <w:pPr>
        <w:pStyle w:val="103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账  号：</w:t>
      </w:r>
      <w:r>
        <w:rPr>
          <w:rFonts w:hint="eastAsia" w:ascii="宋体" w:hAnsi="宋体" w:cs="宋体"/>
          <w:color w:val="000000" w:themeColor="text1"/>
          <w:u w:val="single"/>
          <w14:textFill>
            <w14:solidFill>
              <w14:schemeClr w14:val="tx1"/>
            </w14:solidFill>
          </w14:textFill>
        </w:rPr>
        <w:t xml:space="preserve">                  </w:t>
      </w:r>
      <w:r>
        <w:rPr>
          <w:rFonts w:hint="eastAsia" w:ascii="宋体" w:hAnsi="宋体" w:cs="宋体"/>
          <w:color w:val="000000" w:themeColor="text1"/>
          <w14:textFill>
            <w14:solidFill>
              <w14:schemeClr w14:val="tx1"/>
            </w14:solidFill>
          </w14:textFill>
        </w:rPr>
        <w:t xml:space="preserve">账  号：</w:t>
      </w:r>
      <w:r>
        <w:rPr>
          <w:rFonts w:hint="eastAsia" w:ascii="宋体" w:hAnsi="宋体" w:cs="宋体"/>
          <w:color w:val="000000" w:themeColor="text1"/>
          <w:u w:val="single"/>
          <w14:textFill>
            <w14:solidFill>
              <w14:schemeClr w14:val="tx1"/>
            </w14:solidFill>
          </w14:textFill>
        </w:rPr>
        <w:t xml:space="preserve">                  </w:t>
      </w:r>
      <w:r/>
    </w:p>
    <w:p>
      <w:pPr>
        <w:pStyle w:val="1030"/>
        <w:ind w:right="-36" w:firstLine="604"/>
        <w:tabs>
          <w:tab w:val="left" w:pos="0" w:leader="none"/>
        </w:tabs>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pStyle w:val="1030"/>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pStyle w:val="1030"/>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pStyle w:val="1030"/>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pStyle w:val="1223"/>
        <w:jc w:val="center"/>
        <w:rPr>
          <w:rFonts w:ascii="宋体" w:hAnsi="宋体" w:eastAsia="宋体" w:cs="宋体"/>
          <w:color w:val="000000" w:themeColor="text1"/>
          <w:sz w:val="44"/>
          <w:szCs w:val="44"/>
          <w14:textFill>
            <w14:solidFill>
              <w14:schemeClr w14:val="tx1"/>
            </w14:solidFill>
          </w14:textFill>
        </w:rPr>
      </w:pPr>
      <w:r/>
      <w:bookmarkStart w:id="18" w:name="_Toc526760852"/>
      <w:r>
        <w:rPr>
          <w:rFonts w:hint="eastAsia" w:ascii="宋体" w:hAnsi="宋体" w:eastAsia="宋体" w:cs="宋体"/>
          <w:color w:val="000000" w:themeColor="text1"/>
          <w:sz w:val="32"/>
          <w:szCs w:val="44"/>
          <w14:textFill>
            <w14:solidFill>
              <w14:schemeClr w14:val="tx1"/>
            </w14:solidFill>
          </w14:textFill>
        </w:rPr>
        <w:t xml:space="preserve">第二部分 通用合同条款</w:t>
      </w:r>
      <w:bookmarkEnd w:id="18"/>
      <w:r/>
      <w:r/>
    </w:p>
    <w:p>
      <w:pPr>
        <w:pStyle w:val="1030"/>
        <w:ind w:firstLine="482"/>
        <w:jc w:val="center"/>
        <w:rPr>
          <w:rFonts w:ascii="宋体" w:hAnsi="宋体" w:cs="宋体"/>
          <w:b/>
          <w:color w:val="000000" w:themeColor="text1"/>
          <w14:textFill>
            <w14:solidFill>
              <w14:schemeClr w14:val="tx1"/>
            </w14:solidFill>
          </w14:textFill>
        </w:rPr>
      </w:pPr>
      <w:r>
        <w:rPr>
          <w:rFonts w:hint="eastAsia" w:ascii="宋体" w:hAnsi="宋体" w:cs="宋体"/>
          <w:b/>
          <w:color w:val="000000" w:themeColor="text1"/>
          <w14:textFill>
            <w14:solidFill>
              <w14:schemeClr w14:val="tx1"/>
            </w14:solidFill>
          </w14:textFill>
        </w:rPr>
        <w:t xml:space="preserve">采用《建设工程施工合同（示范文本）》（GF—2017—0201）</w:t>
      </w:r>
      <w:r/>
    </w:p>
    <w:p>
      <w:pPr>
        <w:pStyle w:val="1030"/>
        <w:ind w:firstLine="482"/>
        <w:jc w:val="center"/>
        <w:rPr>
          <w:rFonts w:ascii="宋体" w:hAnsi="宋体" w:cs="宋体"/>
          <w:color w:val="000000" w:themeColor="text1"/>
          <w14:textFill>
            <w14:solidFill>
              <w14:schemeClr w14:val="tx1"/>
            </w14:solidFill>
          </w14:textFill>
        </w:rPr>
      </w:pPr>
      <w:r>
        <w:rPr>
          <w:rFonts w:hint="eastAsia" w:ascii="宋体" w:hAnsi="宋体" w:cs="宋体"/>
          <w:b/>
          <w:color w:val="000000" w:themeColor="text1"/>
          <w:u w:val="single"/>
          <w14:textFill>
            <w14:solidFill>
              <w14:schemeClr w14:val="tx1"/>
            </w14:solidFill>
          </w14:textFill>
        </w:rPr>
        <w:t xml:space="preserve">此部分在正式签订合同时应不加修改的、完整的装订在合同中。</w:t>
      </w:r>
      <w:r/>
    </w:p>
    <w:p>
      <w:pPr>
        <w:pStyle w:val="1030"/>
        <w:ind w:right="-36" w:firstLine="604"/>
        <w:tabs>
          <w:tab w:val="left" w:pos="0" w:leader="none"/>
        </w:tabs>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pStyle w:val="1031"/>
        <w:rPr>
          <w:rFonts w:eastAsia="宋体" w:cs="宋体"/>
          <w:color w:val="000000" w:themeColor="text1"/>
          <w14:textFill>
            <w14:solidFill>
              <w14:schemeClr w14:val="tx1"/>
            </w14:solidFill>
          </w14:textFill>
        </w:rPr>
      </w:pPr>
      <w:r>
        <w:rPr>
          <w:rFonts w:eastAsia="宋体" w:cs="宋体"/>
          <w:color w:val="000000" w:themeColor="text1"/>
          <w14:textFill>
            <w14:solidFill>
              <w14:schemeClr w14:val="tx1"/>
            </w14:solidFill>
          </w14:textFill>
        </w:rPr>
      </w:r>
      <w:r/>
    </w:p>
    <w:p>
      <w:pPr>
        <w:pStyle w:val="1032"/>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r>
      <w:r/>
    </w:p>
    <w:p>
      <w:pPr>
        <w:pStyle w:val="1019"/>
        <w:rPr>
          <w:rFonts w:eastAsia="宋体" w:cs="宋体"/>
          <w:color w:val="000000" w:themeColor="text1"/>
          <w14:textFill>
            <w14:solidFill>
              <w14:schemeClr w14:val="tx1"/>
            </w14:solidFill>
          </w14:textFill>
        </w:rPr>
      </w:pPr>
      <w:r>
        <w:rPr>
          <w:rFonts w:eastAsia="宋体" w:cs="宋体"/>
          <w:color w:val="000000" w:themeColor="text1"/>
          <w14:textFill>
            <w14:solidFill>
              <w14:schemeClr w14:val="tx1"/>
            </w14:solidFill>
          </w14:textFill>
        </w:rPr>
      </w:r>
      <w:r/>
    </w:p>
    <w:p>
      <w:pPr>
        <w:pStyle w:val="1025"/>
        <w:rPr>
          <w:rFonts w:eastAsia="宋体" w:cs="宋体"/>
          <w:color w:val="000000" w:themeColor="text1"/>
          <w14:textFill>
            <w14:solidFill>
              <w14:schemeClr w14:val="tx1"/>
            </w14:solidFill>
          </w14:textFill>
        </w:rPr>
      </w:pPr>
      <w:r>
        <w:rPr>
          <w:rFonts w:eastAsia="宋体" w:cs="宋体"/>
          <w:color w:val="000000" w:themeColor="text1"/>
          <w14:textFill>
            <w14:solidFill>
              <w14:schemeClr w14:val="tx1"/>
            </w14:solidFill>
          </w14:textFill>
        </w:rPr>
      </w:r>
      <w:r/>
    </w:p>
    <w:p>
      <w:pPr>
        <w:pStyle w:val="1017"/>
        <w:rPr>
          <w:rFonts w:ascii="宋体" w:eastAsia="宋体" w:cs="宋体"/>
          <w:color w:val="000000" w:themeColor="text1"/>
          <w14:textFill>
            <w14:solidFill>
              <w14:schemeClr w14:val="tx1"/>
            </w14:solidFill>
          </w14:textFill>
        </w:rPr>
      </w:pPr>
      <w:r>
        <w:rPr>
          <w:rFonts w:ascii="宋体" w:eastAsia="宋体" w:cs="宋体"/>
          <w:color w:val="000000" w:themeColor="text1"/>
          <w14:textFill>
            <w14:solidFill>
              <w14:schemeClr w14:val="tx1"/>
            </w14:solidFill>
          </w14:textFill>
        </w:rPr>
      </w:r>
      <w:r/>
    </w:p>
    <w:p>
      <w:pPr>
        <w:pStyle w:val="1026"/>
        <w:rPr>
          <w:rFonts w:hint="default" w:hAnsi="宋体" w:cs="宋体"/>
          <w:color w:val="000000" w:themeColor="text1"/>
          <w14:textFill>
            <w14:solidFill>
              <w14:schemeClr w14:val="tx1"/>
            </w14:solidFill>
          </w14:textFill>
        </w:rPr>
      </w:pPr>
      <w:r>
        <w:rPr>
          <w:rFonts w:hint="default" w:hAnsi="宋体" w:cs="宋体"/>
          <w:color w:val="000000" w:themeColor="text1"/>
          <w14:textFill>
            <w14:solidFill>
              <w14:schemeClr w14:val="tx1"/>
            </w14:solidFill>
          </w14:textFill>
        </w:rPr>
      </w:r>
      <w:r/>
    </w:p>
    <w:p>
      <w:pP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pStyle w:val="1027"/>
        <w:rPr>
          <w:rFonts w:eastAsia="宋体" w:cs="宋体"/>
          <w:color w:val="000000" w:themeColor="text1"/>
          <w14:textFill>
            <w14:solidFill>
              <w14:schemeClr w14:val="tx1"/>
            </w14:solidFill>
          </w14:textFill>
        </w:rPr>
      </w:pPr>
      <w:r>
        <w:rPr>
          <w:rFonts w:eastAsia="宋体" w:cs="宋体"/>
          <w:color w:val="000000" w:themeColor="text1"/>
          <w14:textFill>
            <w14:solidFill>
              <w14:schemeClr w14:val="tx1"/>
            </w14:solidFill>
          </w14:textFill>
        </w:rPr>
      </w:r>
      <w:r/>
    </w:p>
    <w:p>
      <w:pPr>
        <w:pStyle w:val="1028"/>
        <w:rPr>
          <w:rFonts w:hAnsi="宋体" w:eastAsia="宋体" w:cs="宋体"/>
          <w:color w:val="000000" w:themeColor="text1"/>
          <w14:textFill>
            <w14:solidFill>
              <w14:schemeClr w14:val="tx1"/>
            </w14:solidFill>
          </w14:textFill>
        </w:rPr>
      </w:pPr>
      <w:r>
        <w:rPr>
          <w:rFonts w:hAnsi="宋体" w:eastAsia="宋体" w:cs="宋体"/>
          <w:color w:val="000000" w:themeColor="text1"/>
          <w14:textFill>
            <w14:solidFill>
              <w14:schemeClr w14:val="tx1"/>
            </w14:solidFill>
          </w14:textFill>
        </w:rPr>
      </w:r>
      <w:r/>
    </w:p>
    <w:p>
      <w:pPr>
        <w:pStyle w:val="1028"/>
        <w:rPr>
          <w:rFonts w:hAnsi="宋体" w:eastAsia="宋体" w:cs="宋体"/>
          <w:color w:val="000000" w:themeColor="text1"/>
          <w14:textFill>
            <w14:solidFill>
              <w14:schemeClr w14:val="tx1"/>
            </w14:solidFill>
          </w14:textFill>
        </w:rPr>
      </w:pPr>
      <w:r>
        <w:rPr>
          <w:rFonts w:hAnsi="宋体" w:eastAsia="宋体" w:cs="宋体"/>
          <w:color w:val="000000" w:themeColor="text1"/>
          <w14:textFill>
            <w14:solidFill>
              <w14:schemeClr w14:val="tx1"/>
            </w14:solidFill>
          </w14:textFill>
        </w:rPr>
      </w:r>
      <w:r/>
    </w:p>
    <w:p>
      <w:pPr>
        <w:pStyle w:val="1028"/>
        <w:rPr>
          <w:rFonts w:hAnsi="宋体" w:eastAsia="宋体" w:cs="宋体"/>
          <w:color w:val="000000" w:themeColor="text1"/>
          <w14:textFill>
            <w14:solidFill>
              <w14:schemeClr w14:val="tx1"/>
            </w14:solidFill>
          </w14:textFill>
        </w:rPr>
      </w:pPr>
      <w:r>
        <w:rPr>
          <w:rFonts w:hAnsi="宋体" w:eastAsia="宋体" w:cs="宋体"/>
          <w:color w:val="000000" w:themeColor="text1"/>
          <w14:textFill>
            <w14:solidFill>
              <w14:schemeClr w14:val="tx1"/>
            </w14:solidFill>
          </w14:textFill>
        </w:rPr>
      </w:r>
      <w:r/>
    </w:p>
    <w:p>
      <w:pPr>
        <w:pStyle w:val="1028"/>
        <w:rPr>
          <w:rFonts w:hAnsi="宋体" w:eastAsia="宋体" w:cs="宋体"/>
          <w:color w:val="000000" w:themeColor="text1"/>
          <w14:textFill>
            <w14:solidFill>
              <w14:schemeClr w14:val="tx1"/>
            </w14:solidFill>
          </w14:textFill>
        </w:rPr>
      </w:pPr>
      <w:r>
        <w:rPr>
          <w:rFonts w:hAnsi="宋体" w:eastAsia="宋体" w:cs="宋体"/>
          <w:color w:val="000000" w:themeColor="text1"/>
          <w14:textFill>
            <w14:solidFill>
              <w14:schemeClr w14:val="tx1"/>
            </w14:solidFill>
          </w14:textFill>
        </w:rPr>
      </w:r>
      <w:r/>
    </w:p>
    <w:p>
      <w:pPr>
        <w:pStyle w:val="1028"/>
        <w:rPr>
          <w:rFonts w:hAnsi="宋体" w:eastAsia="宋体" w:cs="宋体"/>
          <w:color w:val="000000" w:themeColor="text1"/>
          <w14:textFill>
            <w14:solidFill>
              <w14:schemeClr w14:val="tx1"/>
            </w14:solidFill>
          </w14:textFill>
        </w:rPr>
      </w:pPr>
      <w:r>
        <w:rPr>
          <w:rFonts w:hAnsi="宋体" w:eastAsia="宋体" w:cs="宋体"/>
          <w:color w:val="000000" w:themeColor="text1"/>
          <w14:textFill>
            <w14:solidFill>
              <w14:schemeClr w14:val="tx1"/>
            </w14:solidFill>
          </w14:textFill>
        </w:rPr>
      </w:r>
      <w:r/>
    </w:p>
    <w:p>
      <w:pPr>
        <w:pStyle w:val="1028"/>
        <w:rPr>
          <w:rFonts w:hAnsi="宋体" w:eastAsia="宋体" w:cs="宋体"/>
          <w:color w:val="000000" w:themeColor="text1"/>
          <w14:textFill>
            <w14:solidFill>
              <w14:schemeClr w14:val="tx1"/>
            </w14:solidFill>
          </w14:textFill>
        </w:rPr>
      </w:pPr>
      <w:r>
        <w:rPr>
          <w:rFonts w:hAnsi="宋体" w:eastAsia="宋体" w:cs="宋体"/>
          <w:color w:val="000000" w:themeColor="text1"/>
          <w14:textFill>
            <w14:solidFill>
              <w14:schemeClr w14:val="tx1"/>
            </w14:solidFill>
          </w14:textFill>
        </w:rPr>
      </w:r>
      <w:r/>
    </w:p>
    <w:p>
      <w:pPr>
        <w:pStyle w:val="1028"/>
        <w:rPr>
          <w:rFonts w:hAnsi="宋体" w:eastAsia="宋体" w:cs="宋体"/>
          <w:color w:val="000000" w:themeColor="text1"/>
          <w14:textFill>
            <w14:solidFill>
              <w14:schemeClr w14:val="tx1"/>
            </w14:solidFill>
          </w14:textFill>
        </w:rPr>
      </w:pPr>
      <w:r>
        <w:rPr>
          <w:rFonts w:hAnsi="宋体" w:eastAsia="宋体" w:cs="宋体"/>
          <w:color w:val="000000" w:themeColor="text1"/>
          <w14:textFill>
            <w14:solidFill>
              <w14:schemeClr w14:val="tx1"/>
            </w14:solidFill>
          </w14:textFill>
        </w:rPr>
      </w:r>
      <w:r/>
    </w:p>
    <w:p>
      <w:pPr>
        <w:pStyle w:val="977"/>
        <w:jc w:val="center"/>
        <w:rPr>
          <w:rFonts w:ascii="宋体" w:hAnsi="宋体" w:eastAsia="宋体" w:cs="宋体"/>
          <w:b/>
          <w:color w:val="000000" w:themeColor="text1"/>
          <w:sz w:val="28"/>
          <w:szCs w:val="44"/>
          <w14:textFill>
            <w14:solidFill>
              <w14:schemeClr w14:val="tx1"/>
            </w14:solidFill>
          </w14:textFill>
        </w:rPr>
      </w:pPr>
      <w:r>
        <w:rPr>
          <w:rFonts w:ascii="宋体" w:hAnsi="宋体" w:eastAsia="宋体" w:cs="宋体"/>
          <w:b/>
          <w:color w:val="000000" w:themeColor="text1"/>
          <w:sz w:val="28"/>
          <w:szCs w:val="44"/>
          <w14:textFill>
            <w14:solidFill>
              <w14:schemeClr w14:val="tx1"/>
            </w14:solidFill>
          </w14:textFill>
        </w:rPr>
      </w:r>
      <w:r/>
    </w:p>
    <w:p>
      <w:pPr>
        <w:pStyle w:val="977"/>
        <w:jc w:val="center"/>
        <w:rPr>
          <w:rFonts w:ascii="宋体" w:hAnsi="宋体" w:eastAsia="宋体" w:cs="宋体"/>
          <w:b/>
          <w:color w:val="000000" w:themeColor="text1"/>
          <w:sz w:val="28"/>
          <w:szCs w:val="44"/>
          <w14:textFill>
            <w14:solidFill>
              <w14:schemeClr w14:val="tx1"/>
            </w14:solidFill>
          </w14:textFill>
        </w:rPr>
      </w:pPr>
      <w:r>
        <w:rPr>
          <w:rFonts w:ascii="宋体" w:hAnsi="宋体" w:eastAsia="宋体" w:cs="宋体"/>
          <w:b/>
          <w:color w:val="000000" w:themeColor="text1"/>
          <w:sz w:val="28"/>
          <w:szCs w:val="44"/>
          <w14:textFill>
            <w14:solidFill>
              <w14:schemeClr w14:val="tx1"/>
            </w14:solidFill>
          </w14:textFill>
        </w:rPr>
      </w:r>
      <w:r/>
    </w:p>
    <w:p>
      <w:r/>
      <w:r/>
    </w:p>
    <w:p>
      <w:pPr>
        <w:pStyle w:val="977"/>
        <w:rPr>
          <w:rFonts w:ascii="宋体" w:hAnsi="宋体" w:eastAsia="宋体" w:cs="宋体"/>
          <w:b/>
          <w:color w:val="000000" w:themeColor="text1"/>
          <w:sz w:val="28"/>
          <w:szCs w:val="44"/>
          <w14:textFill>
            <w14:solidFill>
              <w14:schemeClr w14:val="tx1"/>
            </w14:solidFill>
          </w14:textFill>
        </w:rPr>
      </w:pPr>
      <w:r>
        <w:rPr>
          <w:rFonts w:ascii="宋体" w:hAnsi="宋体" w:eastAsia="宋体" w:cs="宋体"/>
          <w:b/>
          <w:color w:val="000000" w:themeColor="text1"/>
          <w:sz w:val="28"/>
          <w:szCs w:val="44"/>
          <w14:textFill>
            <w14:solidFill>
              <w14:schemeClr w14:val="tx1"/>
            </w14:solidFill>
          </w14:textFill>
        </w:rPr>
      </w:r>
      <w:r/>
    </w:p>
    <w:p>
      <w:pPr>
        <w:rPr>
          <w:rFonts w:ascii="宋体" w:hAnsi="宋体" w:cs="宋体"/>
          <w:b/>
          <w:color w:val="000000" w:themeColor="text1"/>
          <w:sz w:val="28"/>
          <w:szCs w:val="44"/>
          <w14:textFill>
            <w14:solidFill>
              <w14:schemeClr w14:val="tx1"/>
            </w14:solidFill>
          </w14:textFill>
        </w:rPr>
      </w:pPr>
      <w:r>
        <w:rPr>
          <w:rFonts w:hint="eastAsia" w:ascii="宋体" w:hAnsi="宋体" w:cs="宋体"/>
          <w:b/>
          <w:color w:val="000000" w:themeColor="text1"/>
          <w:sz w:val="28"/>
          <w:szCs w:val="44"/>
          <w14:textFill>
            <w14:solidFill>
              <w14:schemeClr w14:val="tx1"/>
            </w14:solidFill>
          </w14:textFill>
        </w:rPr>
        <w:br w:type="page" w:clear="all"/>
      </w:r>
      <w:r/>
    </w:p>
    <w:p>
      <w:pPr>
        <w:pStyle w:val="977"/>
        <w:jc w:val="center"/>
        <w:rPr>
          <w:rFonts w:ascii="宋体" w:hAnsi="宋体" w:eastAsia="宋体" w:cs="宋体"/>
          <w:b/>
          <w:color w:val="000000" w:themeColor="text1"/>
          <w:sz w:val="28"/>
          <w:szCs w:val="44"/>
          <w14:textFill>
            <w14:solidFill>
              <w14:schemeClr w14:val="tx1"/>
            </w14:solidFill>
          </w14:textFill>
        </w:rPr>
      </w:pPr>
      <w:r>
        <w:rPr>
          <w:rFonts w:hint="eastAsia" w:ascii="宋体" w:hAnsi="宋体" w:eastAsia="宋体" w:cs="宋体"/>
          <w:b/>
          <w:color w:val="000000" w:themeColor="text1"/>
          <w:sz w:val="28"/>
          <w:szCs w:val="44"/>
          <w14:textFill>
            <w14:solidFill>
              <w14:schemeClr w14:val="tx1"/>
            </w14:solidFill>
          </w14:textFill>
        </w:rPr>
        <w:t xml:space="preserve">第三部分专用合同条款</w:t>
      </w:r>
      <w:r/>
    </w:p>
    <w:p>
      <w:pPr>
        <w:pStyle w:val="978"/>
        <w:spacing w:before="0" w:after="0" w:line="360" w:lineRule="auto"/>
        <w:rPr>
          <w:rFonts w:ascii="宋体" w:hAnsi="宋体" w:eastAsia="宋体" w:cs="宋体"/>
          <w:b w:val="0"/>
          <w:color w:val="000000" w:themeColor="text1"/>
          <w:sz w:val="24"/>
          <w:szCs w:val="24"/>
          <w14:textFill>
            <w14:solidFill>
              <w14:schemeClr w14:val="tx1"/>
            </w14:solidFill>
          </w14:textFill>
        </w:rPr>
      </w:pPr>
      <w:r/>
      <w:bookmarkStart w:id="19" w:name="_Toc351203633"/>
      <w:r>
        <w:rPr>
          <w:rFonts w:hint="eastAsia" w:ascii="宋体" w:hAnsi="宋体" w:eastAsia="宋体" w:cs="宋体"/>
          <w:b w:val="0"/>
          <w:color w:val="000000" w:themeColor="text1"/>
          <w:sz w:val="24"/>
          <w:szCs w:val="24"/>
          <w14:textFill>
            <w14:solidFill>
              <w14:schemeClr w14:val="tx1"/>
            </w14:solidFill>
          </w14:textFill>
        </w:rPr>
        <w:t xml:space="preserve">1</w:t>
      </w:r>
      <w:bookmarkStart w:id="20" w:name="_Toc296891196"/>
      <w:r/>
      <w:bookmarkStart w:id="21" w:name="_Toc296503156"/>
      <w:r/>
      <w:bookmarkStart w:id="22" w:name="_Toc292559361"/>
      <w:r/>
      <w:bookmarkStart w:id="23" w:name="_Toc296890984"/>
      <w:r/>
      <w:bookmarkStart w:id="24" w:name="_Toc297048342"/>
      <w:r/>
      <w:bookmarkStart w:id="25" w:name="_Toc296346657"/>
      <w:r/>
      <w:bookmarkStart w:id="26" w:name="_Toc292559866"/>
      <w:r/>
      <w:bookmarkStart w:id="27" w:name="_Toc297120456"/>
      <w:r/>
      <w:bookmarkStart w:id="28" w:name="_Toc296944495"/>
      <w:r/>
      <w:bookmarkStart w:id="29" w:name="_Toc296347155"/>
      <w:r>
        <w:rPr>
          <w:rFonts w:hint="eastAsia" w:ascii="宋体" w:hAnsi="宋体" w:eastAsia="宋体" w:cs="宋体"/>
          <w:b w:val="0"/>
          <w:color w:val="000000" w:themeColor="text1"/>
          <w:sz w:val="24"/>
          <w:szCs w:val="24"/>
          <w14:textFill>
            <w14:solidFill>
              <w14:schemeClr w14:val="tx1"/>
            </w14:solidFill>
          </w14:textFill>
        </w:rPr>
        <w:t xml:space="preserve">. 一般约定</w:t>
      </w:r>
      <w:bookmarkEnd w:id="19"/>
      <w:r/>
      <w:bookmarkEnd w:id="20"/>
      <w:r/>
      <w:bookmarkEnd w:id="21"/>
      <w:r/>
      <w:bookmarkEnd w:id="22"/>
      <w:r/>
      <w:bookmarkEnd w:id="23"/>
      <w:r/>
      <w:bookmarkEnd w:id="24"/>
      <w:r/>
      <w:bookmarkEnd w:id="25"/>
      <w:r/>
      <w:bookmarkEnd w:id="26"/>
      <w:r/>
      <w:bookmarkEnd w:id="27"/>
      <w:r/>
      <w:bookmarkEnd w:id="28"/>
      <w:r/>
      <w:bookmarkEnd w:id="29"/>
      <w:r/>
      <w:r/>
    </w:p>
    <w:p>
      <w:pPr>
        <w:ind w:firstLine="480"/>
        <w:spacing w:line="360" w:lineRule="auto"/>
        <w:rPr>
          <w:rFonts w:ascii="宋体" w:hAnsi="宋体" w:cs="宋体"/>
          <w:color w:val="000000" w:themeColor="text1"/>
          <w:sz w:val="24"/>
          <w14:textFill>
            <w14:solidFill>
              <w14:schemeClr w14:val="tx1"/>
            </w14:solidFill>
          </w14:textFill>
        </w:rPr>
        <w:outlineLvl w:val="0"/>
      </w:pPr>
      <w:r>
        <w:rPr>
          <w:rFonts w:hint="eastAsia" w:ascii="宋体" w:hAnsi="宋体" w:cs="宋体"/>
          <w:color w:val="000000" w:themeColor="text1"/>
          <w:sz w:val="24"/>
          <w14:textFill>
            <w14:solidFill>
              <w14:schemeClr w14:val="tx1"/>
            </w14:solidFill>
          </w14:textFill>
        </w:rPr>
        <w:t xml:space="preserve">1.1 词语定义</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1.1.1合同</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1.1.1.10其他合同文件包括：</w:t>
      </w:r>
      <w:r>
        <w:rPr>
          <w:rFonts w:hint="eastAsia" w:ascii="宋体" w:hAnsi="宋体" w:cs="宋体"/>
          <w:color w:val="000000" w:themeColor="text1"/>
          <w:sz w:val="24"/>
          <w:u w:val="single"/>
          <w14:textFill>
            <w14:solidFill>
              <w14:schemeClr w14:val="tx1"/>
            </w14:solidFill>
          </w14:textFill>
        </w:rPr>
        <w:t xml:space="preserve">履行合同过程中双方书面确认的会议纪要、签证、设计变更等资料。</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1.1.2 合同当事人及其他相关方</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1.1.2.4监理人：</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名    称：</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资质类别和等级：</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联系电话：</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电子信箱：</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通信地址：</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1.1.2.5 设计人：</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名    称：</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资质类别和等级：</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联系电话：</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电子信箱：</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通信地址：</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1.1.3 工程和设备</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1.1.3.7 作为施工现场组成部分的其他场所包括：</w:t>
      </w:r>
      <w:r>
        <w:rPr>
          <w:rFonts w:hint="eastAsia" w:ascii="宋体" w:hAnsi="宋体" w:cs="宋体"/>
          <w:color w:val="000000" w:themeColor="text1"/>
          <w:sz w:val="24"/>
          <w:u w:val="single"/>
          <w14:textFill>
            <w14:solidFill>
              <w14:schemeClr w14:val="tx1"/>
            </w14:solidFill>
          </w14:textFill>
        </w:rPr>
        <w:t xml:space="preserve">现场临时办公及施工场地。</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1.1.3.9 永久占地包括：</w:t>
      </w:r>
      <w:r>
        <w:rPr>
          <w:rFonts w:hint="eastAsia" w:ascii="宋体" w:hAnsi="宋体" w:cs="宋体"/>
          <w:color w:val="000000" w:themeColor="text1"/>
          <w:sz w:val="24"/>
          <w:u w:val="single"/>
          <w14:textFill>
            <w14:solidFill>
              <w14:schemeClr w14:val="tx1"/>
            </w14:solidFill>
          </w14:textFill>
        </w:rPr>
        <w:t xml:space="preserve">按施工图设计确定。 </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1.1.3.10 临时占地包括：</w:t>
      </w:r>
      <w:r>
        <w:rPr>
          <w:rFonts w:hint="eastAsia" w:ascii="宋体" w:hAnsi="宋体" w:cs="宋体"/>
          <w:color w:val="000000" w:themeColor="text1"/>
          <w:sz w:val="24"/>
          <w:u w:val="single"/>
          <w14:textFill>
            <w14:solidFill>
              <w14:schemeClr w14:val="tx1"/>
            </w14:solidFill>
          </w14:textFill>
        </w:rPr>
        <w:t xml:space="preserve">合同履行中确定。  </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1.3法律 </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适用于合同的其他规范性文件：</w:t>
      </w:r>
      <w:r>
        <w:rPr>
          <w:rFonts w:hint="eastAsia" w:ascii="宋体" w:hAnsi="宋体" w:cs="宋体"/>
          <w:color w:val="000000" w:themeColor="text1"/>
          <w:sz w:val="24"/>
          <w:u w:val="single"/>
          <w14:textFill>
            <w14:solidFill>
              <w14:schemeClr w14:val="tx1"/>
            </w14:solidFill>
          </w14:textFill>
        </w:rPr>
        <w:t xml:space="preserve">《中华人民共和国民法典》、《中华人民共和国建筑法》、《中华人民共和国招标投标法》、《中华人民共和国安全生产法》、《建设工程质量管理条例》、其他有关法律、法规及江苏省、徐州市现行的相关管理条例、规定。</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1.4 标准和规范</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1.4.1适用于工程的标准规范包括：</w:t>
      </w:r>
      <w:r>
        <w:rPr>
          <w:rFonts w:hint="eastAsia" w:ascii="宋体" w:hAnsi="宋体" w:cs="宋体"/>
          <w:color w:val="000000" w:themeColor="text1"/>
          <w:sz w:val="24"/>
          <w:u w:val="single"/>
          <w14:textFill>
            <w14:solidFill>
              <w14:schemeClr w14:val="tx1"/>
            </w14:solidFill>
          </w14:textFill>
        </w:rPr>
        <w:t xml:space="preserve">现行国家及江苏省、徐州市的有关标准及其他适用于本工程的技术标准、规范等。</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1.4.2 发包人提供国外标准、规范的名称：</w:t>
      </w:r>
      <w:r>
        <w:rPr>
          <w:rFonts w:hint="eastAsia" w:ascii="宋体" w:hAnsi="宋体" w:cs="宋体"/>
          <w:color w:val="000000" w:themeColor="text1"/>
          <w:sz w:val="24"/>
          <w:u w:val="single"/>
          <w14:textFill>
            <w14:solidFill>
              <w14:schemeClr w14:val="tx1"/>
            </w14:solidFill>
          </w14:textFill>
        </w:rPr>
        <w:t xml:space="preserve">  /  </w:t>
      </w:r>
      <w:r>
        <w:rPr>
          <w:rFonts w:hint="eastAsia" w:ascii="宋体" w:hAnsi="宋体" w:cs="宋体"/>
          <w:color w:val="000000" w:themeColor="text1"/>
          <w:sz w:val="24"/>
          <w14:textFill>
            <w14:solidFill>
              <w14:schemeClr w14:val="tx1"/>
            </w14:solidFill>
          </w14:textFill>
        </w:rPr>
        <w:t xml:space="preserve">；</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发包人提供国外标准、规范的份数：</w:t>
      </w:r>
      <w:r>
        <w:rPr>
          <w:rFonts w:hint="eastAsia" w:ascii="宋体" w:hAnsi="宋体" w:cs="宋体"/>
          <w:color w:val="000000" w:themeColor="text1"/>
          <w:sz w:val="24"/>
          <w:u w:val="single"/>
          <w14:textFill>
            <w14:solidFill>
              <w14:schemeClr w14:val="tx1"/>
            </w14:solidFill>
          </w14:textFill>
        </w:rPr>
        <w:t xml:space="preserve">   /    </w:t>
      </w:r>
      <w:r>
        <w:rPr>
          <w:rFonts w:hint="eastAsia" w:ascii="宋体" w:hAnsi="宋体" w:cs="宋体"/>
          <w:color w:val="000000" w:themeColor="text1"/>
          <w:sz w:val="24"/>
          <w14:textFill>
            <w14:solidFill>
              <w14:schemeClr w14:val="tx1"/>
            </w14:solidFill>
          </w14:textFill>
        </w:rPr>
        <w:t xml:space="preserve">；</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发包人提供国外标准、规范的名称：</w:t>
      </w:r>
      <w:r>
        <w:rPr>
          <w:rFonts w:hint="eastAsia" w:ascii="宋体" w:hAnsi="宋体" w:cs="宋体"/>
          <w:color w:val="000000" w:themeColor="text1"/>
          <w:sz w:val="24"/>
          <w:u w:val="single"/>
          <w14:textFill>
            <w14:solidFill>
              <w14:schemeClr w14:val="tx1"/>
            </w14:solidFill>
          </w14:textFill>
        </w:rPr>
        <w:t xml:space="preserve">     /     </w:t>
      </w:r>
      <w:r>
        <w:rPr>
          <w:rFonts w:hint="eastAsia" w:ascii="宋体" w:hAnsi="宋体" w:cs="宋体"/>
          <w:color w:val="000000" w:themeColor="text1"/>
          <w:sz w:val="24"/>
          <w14:textFill>
            <w14:solidFill>
              <w14:schemeClr w14:val="tx1"/>
            </w14:solidFill>
          </w14:textFill>
        </w:rPr>
        <w:t xml:space="preserve">。</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1.4.3发包人对工程的技术标准和功能要求的特殊要求：</w:t>
      </w:r>
      <w:r>
        <w:rPr>
          <w:rFonts w:hint="eastAsia" w:ascii="宋体" w:hAnsi="宋体" w:cs="宋体"/>
          <w:color w:val="000000" w:themeColor="text1"/>
          <w:sz w:val="24"/>
          <w:u w:val="single"/>
          <w14:textFill>
            <w14:solidFill>
              <w14:schemeClr w14:val="tx1"/>
            </w14:solidFill>
          </w14:textFill>
        </w:rPr>
        <w:t xml:space="preserve">符合有关行业主管部门及发包人的要求</w:t>
      </w:r>
      <w:r/>
    </w:p>
    <w:p>
      <w:pPr>
        <w:ind w:firstLine="480"/>
        <w:spacing w:line="360" w:lineRule="auto"/>
        <w:rPr>
          <w:rFonts w:ascii="宋体" w:hAnsi="宋体" w:cs="宋体"/>
          <w:color w:val="000000" w:themeColor="text1"/>
          <w:sz w:val="24"/>
          <w14:textFill>
            <w14:solidFill>
              <w14:schemeClr w14:val="tx1"/>
            </w14:solidFill>
          </w14:textFill>
        </w:rPr>
        <w:outlineLvl w:val="0"/>
      </w:pPr>
      <w:r>
        <w:rPr>
          <w:rFonts w:hint="eastAsia" w:ascii="宋体" w:hAnsi="宋体" w:cs="宋体"/>
          <w:color w:val="000000" w:themeColor="text1"/>
          <w:sz w:val="24"/>
          <w14:textFill>
            <w14:solidFill>
              <w14:schemeClr w14:val="tx1"/>
            </w14:solidFill>
          </w14:textFill>
        </w:rPr>
        <w:t xml:space="preserve">1.5 合同文件的优先顺序</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合同文件组成及优先顺序为：</w:t>
      </w:r>
      <w:r>
        <w:rPr>
          <w:rFonts w:hint="eastAsia" w:ascii="宋体" w:hAnsi="宋体" w:cs="宋体"/>
          <w:color w:val="000000" w:themeColor="text1"/>
          <w:sz w:val="24"/>
          <w:u w:val="single"/>
          <w14:textFill>
            <w14:solidFill>
              <w14:schemeClr w14:val="tx1"/>
            </w14:solidFill>
          </w14:textFill>
        </w:rPr>
        <w:t xml:space="preserve">（1）本合同协议书；（2）成交通知书；（3）响应文件及其附件；（4）本合同专用条款；（5）本合同通用条款；（6）标准、规范及有关技术文件；（7）图纸；（8）工程量清单；（9）工程报价单或预算书；（10）双方有关工程的洽商、变更等书面协议或文件视为本合同的组成部分。</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上述各项合同文件包括合同当事人就该项合同文件所作出的补充和修改，属于同一类内容的文件，应以最新签署的为准。</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在合同订立及履行过程中形成的与合同有关的文件如会议纪要、工程变更、工程洽商、签证、通知、信函、数据电文等均构成合同文件组成部分，并根据其性质确定优先解释顺序。</w:t>
      </w:r>
      <w:r/>
    </w:p>
    <w:p>
      <w:pPr>
        <w:ind w:firstLine="480"/>
        <w:spacing w:line="360" w:lineRule="auto"/>
        <w:rPr>
          <w:rFonts w:ascii="宋体" w:hAnsi="宋体" w:cs="宋体"/>
          <w:color w:val="000000" w:themeColor="text1"/>
          <w:sz w:val="24"/>
          <w14:textFill>
            <w14:solidFill>
              <w14:schemeClr w14:val="tx1"/>
            </w14:solidFill>
          </w14:textFill>
        </w:rPr>
        <w:outlineLvl w:val="0"/>
      </w:pPr>
      <w:r>
        <w:rPr>
          <w:rFonts w:hint="eastAsia" w:ascii="宋体" w:hAnsi="宋体" w:cs="宋体"/>
          <w:color w:val="000000" w:themeColor="text1"/>
          <w:sz w:val="24"/>
          <w14:textFill>
            <w14:solidFill>
              <w14:schemeClr w14:val="tx1"/>
            </w14:solidFill>
          </w14:textFill>
        </w:rPr>
        <w:t xml:space="preserve">1.6 图纸和承包人文件</w:t>
      </w:r>
      <w:r>
        <w:rPr>
          <w:rFonts w:hint="eastAsia" w:ascii="宋体" w:hAnsi="宋体" w:cs="宋体"/>
          <w:color w:val="000000" w:themeColor="text1"/>
          <w:sz w:val="24"/>
          <w14:textFill>
            <w14:solidFill>
              <w14:schemeClr w14:val="tx1"/>
            </w14:solidFill>
          </w14:textFill>
        </w:rPr>
        <w:tab/>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1.6.1 图纸的提供</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发包人向承包人提供图纸的期限：</w:t>
      </w:r>
      <w:r>
        <w:rPr>
          <w:rFonts w:hint="eastAsia" w:ascii="宋体" w:hAnsi="宋体" w:cs="宋体"/>
          <w:color w:val="000000" w:themeColor="text1"/>
          <w:sz w:val="24"/>
          <w:u w:val="single"/>
          <w14:textFill>
            <w14:solidFill>
              <w14:schemeClr w14:val="tx1"/>
            </w14:solidFill>
          </w14:textFill>
        </w:rPr>
        <w:t xml:space="preserve">开工前7天；</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发包人向承包人提供图纸的数量：</w:t>
      </w:r>
      <w:r>
        <w:rPr>
          <w:rFonts w:hint="eastAsia" w:ascii="宋体" w:hAnsi="宋体" w:cs="宋体"/>
          <w:color w:val="000000" w:themeColor="text1"/>
          <w:sz w:val="24"/>
          <w:u w:val="single"/>
          <w14:textFill>
            <w14:solidFill>
              <w14:schemeClr w14:val="tx1"/>
            </w14:solidFill>
          </w14:textFill>
        </w:rPr>
        <w:t xml:space="preserve">贰套，如承包人需增加施工图纸，由发包人与设计院联系，出图费用由承包人自行承担。设计文件和图纸由发包人统一提供，承包人不得直接接收设计单位提供的设计文件和图纸；</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承包人收到设计文件和图纸后，要根据技术标准、设计规范、标准设计图、通用图和有关规定，对设计文件和图纸认真审查。发现其他问题，承包人必须及时以书面形式报告发包人，经发包人审批后执行。否则，因设计文件和图纸差错造成的损失，由承包人承担。</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发包人向承包人提供图纸的内容：</w:t>
      </w:r>
      <w:r>
        <w:rPr>
          <w:rFonts w:hint="eastAsia" w:ascii="宋体" w:hAnsi="宋体" w:cs="宋体"/>
          <w:color w:val="000000" w:themeColor="text1"/>
          <w:sz w:val="24"/>
          <w:u w:val="single"/>
          <w14:textFill>
            <w14:solidFill>
              <w14:schemeClr w14:val="tx1"/>
            </w14:solidFill>
          </w14:textFill>
        </w:rPr>
        <w:t xml:space="preserve">全套施工图纸。 </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1.6.4 承包人文件</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需要由承包人提供的文件，包括：</w:t>
      </w:r>
      <w:r>
        <w:rPr>
          <w:rFonts w:hint="eastAsia" w:ascii="宋体" w:hAnsi="宋体" w:cs="宋体"/>
          <w:color w:val="000000" w:themeColor="text1"/>
          <w:sz w:val="24"/>
          <w:u w:val="single"/>
          <w14:textFill>
            <w14:solidFill>
              <w14:schemeClr w14:val="tx1"/>
            </w14:solidFill>
          </w14:textFill>
        </w:rPr>
        <w:t xml:space="preserve">①按GB/T50502、本合同第二部分 通用合同条款7.1和7.2编制施工组织设计、施工措施计划、施工方案、交通导改方案、扬尘污染防止措施报监理人审核和发包人确认；</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②由承包人办理的许可和批准的办理结果书面报送监理人审核和发包人确认、留存； </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③拟制施工人员名册（动态），并与为其办理工伤保险的有效证明一起报送监理人审核和发包人确认；</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④承包人项目管理机构、职责及施工现场人员安排的报告（其内容执行通用条款3.3）和主要施工管理人员与承包人之间的劳动关系证明和缴纳社会保险的有效证明，报送监理人审核和发包人确认；</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⑤特殊工种作业人员资格证明报送监理人审核和发包人确认；</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⑥项目经理的姓名、职称、注册建造师的编号、联系方式、授权范围等事项，和与承包人之间的正式聘用劳动合同、承包人为其缴纳社会保险的有效证明，一起报送监理人审核和发包人确认；</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⑦工程质量管理体系及措施文件、质量检查制度、质量控制文件，报送监理人审核和发包人确认；</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⑧工程安全管理体系及措施文件、安全检查制度、安全控制文件，报送监理人审核和发包人确认；</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⑨发包人管理需要的其他文件；</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⑩上述文件如发包人因管理需增加时，承包人有义务按发包人提出的形式、格式、数量、时间等要求提供 ；</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承包人提供的文件的期限为：</w:t>
      </w:r>
      <w:r>
        <w:rPr>
          <w:rFonts w:hint="eastAsia" w:ascii="宋体" w:hAnsi="宋体" w:cs="宋体"/>
          <w:color w:val="000000" w:themeColor="text1"/>
          <w:sz w:val="24"/>
          <w:u w:val="single"/>
          <w14:textFill>
            <w14:solidFill>
              <w14:schemeClr w14:val="tx1"/>
            </w14:solidFill>
          </w14:textFill>
        </w:rPr>
        <w:t xml:space="preserve">合同签字后7日内；  </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承包人提供的文件的数量为：</w:t>
      </w:r>
      <w:r>
        <w:rPr>
          <w:rFonts w:hint="eastAsia" w:ascii="宋体" w:hAnsi="宋体" w:cs="宋体"/>
          <w:color w:val="000000" w:themeColor="text1"/>
          <w:sz w:val="24"/>
          <w:u w:val="single"/>
          <w14:textFill>
            <w14:solidFill>
              <w14:schemeClr w14:val="tx1"/>
            </w14:solidFill>
          </w14:textFill>
        </w:rPr>
        <w:t xml:space="preserve">纸质版肆套，电子版一套； </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承包人提供的文件的形式为：</w:t>
      </w:r>
      <w:r>
        <w:rPr>
          <w:rFonts w:hint="eastAsia" w:ascii="宋体" w:hAnsi="宋体" w:cs="宋体"/>
          <w:color w:val="000000" w:themeColor="text1"/>
          <w:sz w:val="24"/>
          <w:u w:val="single"/>
          <w14:textFill>
            <w14:solidFill>
              <w14:schemeClr w14:val="tx1"/>
            </w14:solidFill>
          </w14:textFill>
        </w:rPr>
        <w:t xml:space="preserve">纸质版，电子版； </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发包人审批承包人文件的期限：</w:t>
      </w:r>
      <w:r>
        <w:rPr>
          <w:rFonts w:hint="eastAsia" w:ascii="宋体" w:hAnsi="宋体" w:cs="宋体"/>
          <w:color w:val="000000" w:themeColor="text1"/>
          <w:sz w:val="24"/>
          <w:u w:val="single"/>
          <w14:textFill>
            <w14:solidFill>
              <w14:schemeClr w14:val="tx1"/>
            </w14:solidFill>
          </w14:textFill>
        </w:rPr>
        <w:t xml:space="preserve">7个工作日内。 </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1.6.5 现场图纸准备</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关于现场图纸准备的约定：</w:t>
      </w:r>
      <w:r>
        <w:rPr>
          <w:rFonts w:hint="eastAsia" w:ascii="宋体" w:hAnsi="宋体" w:cs="宋体"/>
          <w:color w:val="000000" w:themeColor="text1"/>
          <w:sz w:val="24"/>
          <w:u w:val="single"/>
          <w14:textFill>
            <w14:solidFill>
              <w14:schemeClr w14:val="tx1"/>
            </w14:solidFill>
          </w14:textFill>
        </w:rPr>
        <w:t xml:space="preserve">提供全套施工图二套，如承包人需增加图纸份数，发包人可代为复制，复制费用由承包人承担。</w:t>
      </w:r>
      <w:r/>
    </w:p>
    <w:p>
      <w:pPr>
        <w:ind w:firstLine="480"/>
        <w:spacing w:line="360" w:lineRule="auto"/>
        <w:rPr>
          <w:rFonts w:ascii="宋体" w:hAnsi="宋体" w:cs="宋体"/>
          <w:color w:val="000000" w:themeColor="text1"/>
          <w:sz w:val="24"/>
          <w14:textFill>
            <w14:solidFill>
              <w14:schemeClr w14:val="tx1"/>
            </w14:solidFill>
          </w14:textFill>
        </w:rPr>
        <w:outlineLvl w:val="0"/>
      </w:pPr>
      <w:r>
        <w:rPr>
          <w:rFonts w:hint="eastAsia" w:ascii="宋体" w:hAnsi="宋体" w:cs="宋体"/>
          <w:color w:val="000000" w:themeColor="text1"/>
          <w:sz w:val="24"/>
          <w14:textFill>
            <w14:solidFill>
              <w14:schemeClr w14:val="tx1"/>
            </w14:solidFill>
          </w14:textFill>
        </w:rPr>
        <w:t xml:space="preserve">1.7 联络</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1.7.1发包人和承包人应当在</w:t>
      </w:r>
      <w:r>
        <w:rPr>
          <w:rFonts w:hint="eastAsia" w:ascii="宋体" w:hAnsi="宋体" w:cs="宋体"/>
          <w:color w:val="000000" w:themeColor="text1"/>
          <w:sz w:val="24"/>
          <w:u w:val="single"/>
          <w14:textFill>
            <w14:solidFill>
              <w14:schemeClr w14:val="tx1"/>
            </w14:solidFill>
          </w14:textFill>
        </w:rPr>
        <w:t xml:space="preserve"> 五 </w:t>
      </w:r>
      <w:r>
        <w:rPr>
          <w:rFonts w:hint="eastAsia" w:ascii="宋体" w:hAnsi="宋体" w:cs="宋体"/>
          <w:color w:val="000000" w:themeColor="text1"/>
          <w:sz w:val="24"/>
          <w14:textFill>
            <w14:solidFill>
              <w14:schemeClr w14:val="tx1"/>
            </w14:solidFill>
          </w14:textFill>
        </w:rPr>
        <w:t xml:space="preserve">天内将与合同有关的通知、批准、证明、证书、指示、指令、要求、请求、同意、意见、确定和决定等书面函件送达对方当事人。</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1.7.2 发包人接收文件的地点：</w:t>
      </w:r>
      <w:r>
        <w:rPr>
          <w:rFonts w:hint="eastAsia" w:ascii="宋体" w:hAnsi="宋体" w:cs="宋体"/>
          <w:color w:val="000000" w:themeColor="text1"/>
          <w:sz w:val="24"/>
          <w:u w:val="single"/>
          <w14:textFill>
            <w14:solidFill>
              <w14:schemeClr w14:val="tx1"/>
            </w14:solidFill>
          </w14:textFill>
        </w:rPr>
        <w:t xml:space="preserve">发包人指定地点；  </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发包人指定的接收人为：</w:t>
      </w:r>
      <w:r>
        <w:rPr>
          <w:rFonts w:hint="eastAsia" w:ascii="宋体" w:hAnsi="宋体" w:cs="宋体"/>
          <w:color w:val="000000" w:themeColor="text1"/>
          <w:sz w:val="24"/>
          <w:u w:val="single"/>
          <w14:textFill>
            <w14:solidFill>
              <w14:schemeClr w14:val="tx1"/>
            </w14:solidFill>
          </w14:textFill>
        </w:rPr>
        <w:t xml:space="preserve">发包人派驻现场代表；  </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承包人接收文件的地点：</w:t>
      </w:r>
      <w:r>
        <w:rPr>
          <w:rFonts w:hint="eastAsia" w:ascii="宋体" w:hAnsi="宋体" w:cs="宋体"/>
          <w:color w:val="000000" w:themeColor="text1"/>
          <w:sz w:val="24"/>
          <w:u w:val="single"/>
          <w14:textFill>
            <w14:solidFill>
              <w14:schemeClr w14:val="tx1"/>
            </w14:solidFill>
          </w14:textFill>
        </w:rPr>
        <w:t xml:space="preserve">施工现场办公室；  </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承包人指定的接收人为：</w:t>
      </w:r>
      <w:r>
        <w:rPr>
          <w:rFonts w:hint="eastAsia" w:ascii="宋体" w:hAnsi="宋体" w:cs="宋体"/>
          <w:color w:val="000000" w:themeColor="text1"/>
          <w:sz w:val="24"/>
          <w:u w:val="single"/>
          <w14:textFill>
            <w14:solidFill>
              <w14:schemeClr w14:val="tx1"/>
            </w14:solidFill>
          </w14:textFill>
        </w:rPr>
        <w:t xml:space="preserve">项目经理； </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监理人接收文件的地点：</w:t>
      </w:r>
      <w:r>
        <w:rPr>
          <w:rFonts w:hint="eastAsia" w:ascii="宋体" w:hAnsi="宋体" w:cs="宋体"/>
          <w:color w:val="000000" w:themeColor="text1"/>
          <w:sz w:val="24"/>
          <w:u w:val="single"/>
          <w14:textFill>
            <w14:solidFill>
              <w14:schemeClr w14:val="tx1"/>
            </w14:solidFill>
          </w14:textFill>
        </w:rPr>
        <w:t xml:space="preserve">监理人施工现场办公室；  </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监理人指定的接收人为：</w:t>
      </w:r>
      <w:r>
        <w:rPr>
          <w:rFonts w:hint="eastAsia" w:ascii="宋体" w:hAnsi="宋体" w:cs="宋体"/>
          <w:color w:val="000000" w:themeColor="text1"/>
          <w:sz w:val="24"/>
          <w:u w:val="single"/>
          <w14:textFill>
            <w14:solidFill>
              <w14:schemeClr w14:val="tx1"/>
            </w14:solidFill>
          </w14:textFill>
        </w:rPr>
        <w:t xml:space="preserve">总监或总监代表。 </w:t>
      </w:r>
      <w:r/>
    </w:p>
    <w:p>
      <w:pPr>
        <w:ind w:firstLine="480"/>
        <w:spacing w:line="360" w:lineRule="auto"/>
        <w:rPr>
          <w:rFonts w:ascii="宋体" w:hAnsi="宋体" w:cs="宋体"/>
          <w:color w:val="000000" w:themeColor="text1"/>
          <w:sz w:val="24"/>
          <w14:textFill>
            <w14:solidFill>
              <w14:schemeClr w14:val="tx1"/>
            </w14:solidFill>
          </w14:textFill>
        </w:rPr>
        <w:outlineLvl w:val="0"/>
      </w:pPr>
      <w:r>
        <w:rPr>
          <w:rFonts w:hint="eastAsia" w:ascii="宋体" w:hAnsi="宋体" w:cs="宋体"/>
          <w:color w:val="000000" w:themeColor="text1"/>
          <w:sz w:val="24"/>
          <w14:textFill>
            <w14:solidFill>
              <w14:schemeClr w14:val="tx1"/>
            </w14:solidFill>
          </w14:textFill>
        </w:rPr>
        <w:t xml:space="preserve">1.10 交通运输</w:t>
      </w:r>
      <w:r/>
    </w:p>
    <w:p>
      <w:pPr>
        <w:ind w:firstLine="480"/>
        <w:spacing w:line="360" w:lineRule="auto"/>
        <w:rPr>
          <w:rFonts w:ascii="宋体" w:hAnsi="宋体" w:cs="宋体"/>
          <w:color w:val="000000" w:themeColor="text1"/>
          <w:sz w:val="24"/>
          <w14:textFill>
            <w14:solidFill>
              <w14:schemeClr w14:val="tx1"/>
            </w14:solidFill>
          </w14:textFill>
        </w:rPr>
        <w:outlineLvl w:val="0"/>
      </w:pPr>
      <w:r>
        <w:rPr>
          <w:rFonts w:hint="eastAsia" w:ascii="宋体" w:hAnsi="宋体" w:cs="宋体"/>
          <w:color w:val="000000" w:themeColor="text1"/>
          <w:sz w:val="24"/>
          <w14:textFill>
            <w14:solidFill>
              <w14:schemeClr w14:val="tx1"/>
            </w14:solidFill>
          </w14:textFill>
        </w:rPr>
        <w:t xml:space="preserve">1</w:t>
      </w:r>
      <w:bookmarkStart w:id="30" w:name="_Toc304295521"/>
      <w:r/>
      <w:bookmarkStart w:id="31" w:name="_Toc312677986"/>
      <w:r/>
      <w:bookmarkStart w:id="32" w:name="_Toc300934943"/>
      <w:r/>
      <w:bookmarkStart w:id="33" w:name="_Toc318581155"/>
      <w:r/>
      <w:bookmarkStart w:id="34" w:name="_Toc303539100"/>
      <w:r>
        <w:rPr>
          <w:rFonts w:hint="eastAsia" w:ascii="宋体" w:hAnsi="宋体" w:cs="宋体"/>
          <w:color w:val="000000" w:themeColor="text1"/>
          <w:sz w:val="24"/>
          <w14:textFill>
            <w14:solidFill>
              <w14:schemeClr w14:val="tx1"/>
            </w14:solidFill>
          </w14:textFill>
        </w:rPr>
        <w:t xml:space="preserve">.10.1 出入现场的权利</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关于出入现场的权利的约定：</w:t>
      </w:r>
      <w:r>
        <w:rPr>
          <w:rFonts w:hint="eastAsia" w:ascii="宋体" w:hAnsi="宋体" w:cs="宋体"/>
          <w:color w:val="000000" w:themeColor="text1"/>
          <w:sz w:val="24"/>
          <w:u w:val="single"/>
          <w14:textFill>
            <w14:solidFill>
              <w14:schemeClr w14:val="tx1"/>
            </w14:solidFill>
          </w14:textFill>
        </w:rPr>
        <w:t xml:space="preserve">发包人享有无条件出入施工现场的权利，由承包人按发包人要求负责取得出入施工现场所需的批准手续和全部权利，以及取得因施工所需修建道路、桥梁以及其他基础设施的权利，并承担相关手续费用和建设费用。</w:t>
      </w:r>
      <w:bookmarkEnd w:id="30"/>
      <w:r/>
      <w:bookmarkEnd w:id="31"/>
      <w:r/>
      <w:bookmarkEnd w:id="32"/>
      <w:r/>
      <w:bookmarkEnd w:id="33"/>
      <w:r/>
      <w:bookmarkEnd w:id="34"/>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w:t>
      </w:r>
      <w:bookmarkStart w:id="35" w:name="_Toc303539101"/>
      <w:r/>
      <w:bookmarkStart w:id="36" w:name="_Toc312677987"/>
      <w:r/>
      <w:bookmarkStart w:id="37" w:name="_Toc300934944"/>
      <w:r/>
      <w:bookmarkStart w:id="38" w:name="_Toc318581156"/>
      <w:r/>
      <w:bookmarkStart w:id="39" w:name="_Toc304295522"/>
      <w:r>
        <w:rPr>
          <w:rFonts w:hint="eastAsia" w:ascii="宋体" w:hAnsi="宋体" w:cs="宋体"/>
          <w:color w:val="000000" w:themeColor="text1"/>
          <w:sz w:val="24"/>
          <w14:textFill>
            <w14:solidFill>
              <w14:schemeClr w14:val="tx1"/>
            </w14:solidFill>
          </w14:textFill>
        </w:rPr>
        <w:t xml:space="preserve">.10.3 场内交通</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关于场外交通和场内交通的边界的约定：</w:t>
      </w:r>
      <w:r>
        <w:rPr>
          <w:rFonts w:hint="eastAsia" w:ascii="宋体" w:hAnsi="宋体" w:cs="宋体"/>
          <w:color w:val="000000" w:themeColor="text1"/>
          <w:sz w:val="24"/>
          <w:u w:val="single"/>
          <w14:textFill>
            <w14:solidFill>
              <w14:schemeClr w14:val="tx1"/>
            </w14:solidFill>
          </w14:textFill>
        </w:rPr>
        <w:t xml:space="preserve">以现场实际施工条件为准。为保证道</w:t>
      </w:r>
      <w:r/>
    </w:p>
    <w:p>
      <w:pPr>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路交通安全及运输畅通,当施工期间，承包人必须与交通和公安部门协商，采取足够的交通疏导措施；承包人制定运输计划时，应避开现有道路上在高峰时的运输。所需费用包含在响应报价内。</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关于发包人向承包人免费提供满足工程施工需要的场内道路和交通设施的约定：</w:t>
      </w:r>
      <w:bookmarkEnd w:id="35"/>
      <w:r/>
      <w:bookmarkEnd w:id="36"/>
      <w:r/>
      <w:bookmarkEnd w:id="37"/>
      <w:r/>
      <w:bookmarkEnd w:id="38"/>
      <w:r/>
      <w:bookmarkEnd w:id="39"/>
      <w:r/>
      <w:bookmarkStart w:id="40" w:name="_Toc318581157"/>
      <w:r>
        <w:rPr>
          <w:rFonts w:hint="eastAsia" w:ascii="宋体" w:hAnsi="宋体" w:cs="宋体"/>
          <w:color w:val="000000" w:themeColor="text1"/>
          <w:sz w:val="24"/>
          <w:u w:val="single"/>
          <w14:textFill>
            <w14:solidFill>
              <w14:schemeClr w14:val="tx1"/>
            </w14:solidFill>
          </w14:textFill>
        </w:rPr>
        <w:t xml:space="preserve">以响应时场地现状为准。承包人应负责修建、维修、养护和管理施工所需的临时道路和交通设施，并承担相应费用。承包人修建的临时道路和交通设施应免费提供给发包人、监理人和其他承包人使用。 </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1.10.4超大件和超重件的运输</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运输超大件或超重件所需的道路和桥梁临时加固改造费用和其他有关费用由</w:t>
      </w:r>
      <w:r>
        <w:rPr>
          <w:rFonts w:hint="eastAsia" w:ascii="宋体" w:hAnsi="宋体" w:cs="宋体"/>
          <w:color w:val="000000" w:themeColor="text1"/>
          <w:sz w:val="24"/>
          <w:u w:val="single"/>
          <w14:textFill>
            <w14:solidFill>
              <w14:schemeClr w14:val="tx1"/>
            </w14:solidFill>
          </w14:textFill>
        </w:rPr>
        <w:t xml:space="preserve">承包人 </w:t>
      </w:r>
      <w:r>
        <w:rPr>
          <w:rFonts w:hint="eastAsia" w:ascii="宋体" w:hAnsi="宋体" w:cs="宋体"/>
          <w:color w:val="000000" w:themeColor="text1"/>
          <w:sz w:val="24"/>
          <w14:textFill>
            <w14:solidFill>
              <w14:schemeClr w14:val="tx1"/>
            </w14:solidFill>
          </w14:textFill>
        </w:rPr>
        <w:t xml:space="preserve">承担。</w:t>
      </w:r>
      <w:bookmarkEnd w:id="40"/>
      <w:r/>
      <w:r/>
    </w:p>
    <w:p>
      <w:pPr>
        <w:ind w:firstLine="480"/>
        <w:spacing w:line="360" w:lineRule="auto"/>
        <w:rPr>
          <w:rFonts w:ascii="宋体" w:hAnsi="宋体" w:cs="宋体"/>
          <w:color w:val="000000" w:themeColor="text1"/>
          <w:sz w:val="24"/>
          <w14:textFill>
            <w14:solidFill>
              <w14:schemeClr w14:val="tx1"/>
            </w14:solidFill>
          </w14:textFill>
        </w:rPr>
        <w:outlineLvl w:val="0"/>
      </w:pPr>
      <w:r>
        <w:rPr>
          <w:rFonts w:hint="eastAsia" w:ascii="宋体" w:hAnsi="宋体" w:cs="宋体"/>
          <w:color w:val="000000" w:themeColor="text1"/>
          <w:sz w:val="24"/>
          <w14:textFill>
            <w14:solidFill>
              <w14:schemeClr w14:val="tx1"/>
            </w14:solidFill>
          </w14:textFill>
        </w:rPr>
        <w:t xml:space="preserve">1.11 知识产权</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cs="宋体"/>
          <w:color w:val="000000" w:themeColor="text1"/>
          <w:sz w:val="24"/>
          <w:u w:val="single"/>
          <w14:textFill>
            <w14:solidFill>
              <w14:schemeClr w14:val="tx1"/>
            </w14:solidFill>
          </w14:textFill>
        </w:rPr>
        <w:t xml:space="preserve">执行通用条款。 </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关于发包人提供的上述文件的使用限制的要求：</w:t>
      </w:r>
      <w:r>
        <w:rPr>
          <w:rFonts w:hint="eastAsia" w:ascii="宋体" w:hAnsi="宋体" w:cs="宋体"/>
          <w:color w:val="000000" w:themeColor="text1"/>
          <w:sz w:val="24"/>
          <w:u w:val="single"/>
          <w14:textFill>
            <w14:solidFill>
              <w14:schemeClr w14:val="tx1"/>
            </w14:solidFill>
          </w14:textFill>
        </w:rPr>
        <w:t xml:space="preserve">执行通用条款。</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1.11.2 关于承包人为实施工程所编制文件的著作权的归属：</w:t>
      </w:r>
      <w:r>
        <w:rPr>
          <w:rFonts w:hint="eastAsia" w:ascii="宋体" w:hAnsi="宋体" w:cs="宋体"/>
          <w:color w:val="000000" w:themeColor="text1"/>
          <w:sz w:val="24"/>
          <w:u w:val="single"/>
          <w14:textFill>
            <w14:solidFill>
              <w14:schemeClr w14:val="tx1"/>
            </w14:solidFill>
          </w14:textFill>
        </w:rPr>
        <w:t xml:space="preserve">执行通用条款。</w:t>
      </w:r>
      <w:r/>
    </w:p>
    <w:p>
      <w:p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关于承包人提供的上述文件的使用限制的要求：</w:t>
      </w:r>
      <w:r>
        <w:rPr>
          <w:rFonts w:hint="eastAsia" w:ascii="宋体" w:hAnsi="宋体" w:cs="宋体"/>
          <w:color w:val="000000" w:themeColor="text1"/>
          <w:sz w:val="24"/>
          <w:u w:val="single"/>
          <w14:textFill>
            <w14:solidFill>
              <w14:schemeClr w14:val="tx1"/>
            </w14:solidFill>
          </w14:textFill>
        </w:rPr>
        <w:t xml:space="preserve">执行通用条款。</w:t>
      </w:r>
      <w:r/>
    </w:p>
    <w:p>
      <w:pPr>
        <w:ind w:firstLine="480"/>
        <w:spacing w:line="360" w:lineRule="auto"/>
        <w:rPr>
          <w:rFonts w:ascii="宋体" w:hAnsi="宋体" w:cs="宋体"/>
          <w:color w:val="000000" w:themeColor="text1"/>
          <w:sz w:val="24"/>
          <w14:textFill>
            <w14:solidFill>
              <w14:schemeClr w14:val="tx1"/>
            </w14:solidFill>
          </w14:textFill>
        </w:rPr>
        <w:outlineLvl w:val="0"/>
      </w:pPr>
      <w:r>
        <w:rPr>
          <w:rFonts w:hint="eastAsia" w:ascii="宋体" w:hAnsi="宋体" w:cs="宋体"/>
          <w:color w:val="000000" w:themeColor="text1"/>
          <w:sz w:val="24"/>
          <w14:textFill>
            <w14:solidFill>
              <w14:schemeClr w14:val="tx1"/>
            </w14:solidFill>
          </w14:textFill>
        </w:rPr>
        <w:t xml:space="preserve">1.11.4 承包人在施工过程中所采用的专利、专有技术、技术秘密的使用费的承担方式：</w:t>
      </w:r>
      <w:r>
        <w:rPr>
          <w:rFonts w:hint="eastAsia" w:ascii="宋体" w:hAnsi="宋体" w:cs="宋体"/>
          <w:color w:val="000000" w:themeColor="text1"/>
          <w:sz w:val="24"/>
          <w:u w:val="single"/>
          <w14:textFill>
            <w14:solidFill>
              <w14:schemeClr w14:val="tx1"/>
            </w14:solidFill>
          </w14:textFill>
        </w:rPr>
        <w:t xml:space="preserve">执行通用条款。</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1.13工程量清单错误的修正</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出现工程量清单错误时，是否调整合同价格：</w:t>
      </w:r>
      <w:r>
        <w:rPr>
          <w:rFonts w:hint="eastAsia" w:ascii="宋体" w:hAnsi="宋体" w:cs="宋体"/>
          <w:color w:val="000000" w:themeColor="text1"/>
          <w:sz w:val="24"/>
          <w:u w:val="single"/>
          <w14:textFill>
            <w14:solidFill>
              <w14:schemeClr w14:val="tx1"/>
            </w14:solidFill>
          </w14:textFill>
        </w:rPr>
        <w:t xml:space="preserve">调整。</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允许调整合同价格的工程量偏差范围：</w:t>
      </w:r>
      <w:r>
        <w:rPr>
          <w:rFonts w:hint="eastAsia" w:ascii="宋体" w:hAnsi="宋体" w:cs="宋体"/>
          <w:color w:val="000000" w:themeColor="text1"/>
          <w:sz w:val="24"/>
          <w:u w:val="single"/>
          <w14:textFill>
            <w14:solidFill>
              <w14:schemeClr w14:val="tx1"/>
            </w14:solidFill>
          </w14:textFill>
        </w:rPr>
        <w:t xml:space="preserve">执行磋商文件；</w:t>
      </w:r>
      <w:r/>
    </w:p>
    <w:p>
      <w:pPr>
        <w:pStyle w:val="978"/>
        <w:spacing w:before="0" w:after="0" w:line="360" w:lineRule="auto"/>
        <w:rPr>
          <w:rFonts w:ascii="宋体" w:hAnsi="宋体" w:eastAsia="宋体" w:cs="宋体"/>
          <w:b w:val="0"/>
          <w:color w:val="000000" w:themeColor="text1"/>
          <w:sz w:val="24"/>
          <w:szCs w:val="24"/>
          <w14:textFill>
            <w14:solidFill>
              <w14:schemeClr w14:val="tx1"/>
            </w14:solidFill>
          </w14:textFill>
        </w:rPr>
      </w:pPr>
      <w:r/>
      <w:bookmarkStart w:id="41" w:name="_Toc351203634"/>
      <w:r>
        <w:rPr>
          <w:rFonts w:hint="eastAsia" w:ascii="宋体" w:hAnsi="宋体" w:eastAsia="宋体" w:cs="宋体"/>
          <w:b w:val="0"/>
          <w:color w:val="000000" w:themeColor="text1"/>
          <w:sz w:val="24"/>
          <w:szCs w:val="24"/>
          <w14:textFill>
            <w14:solidFill>
              <w14:schemeClr w14:val="tx1"/>
            </w14:solidFill>
          </w14:textFill>
        </w:rPr>
        <w:t xml:space="preserve">2</w:t>
      </w:r>
      <w:bookmarkStart w:id="42" w:name="_Toc292559362"/>
      <w:r/>
      <w:bookmarkStart w:id="43" w:name="_Toc296890985"/>
      <w:r/>
      <w:bookmarkStart w:id="44" w:name="_Toc297048343"/>
      <w:r/>
      <w:bookmarkStart w:id="45" w:name="_Toc296347156"/>
      <w:r/>
      <w:bookmarkStart w:id="46" w:name="_Toc292559867"/>
      <w:r/>
      <w:bookmarkStart w:id="47" w:name="_Toc297120457"/>
      <w:r/>
      <w:bookmarkStart w:id="48" w:name="_Toc296346658"/>
      <w:r/>
      <w:bookmarkStart w:id="49" w:name="_Toc296891197"/>
      <w:r/>
      <w:bookmarkStart w:id="50" w:name="_Toc296503157"/>
      <w:r/>
      <w:bookmarkStart w:id="51" w:name="_Toc296944496"/>
      <w:r>
        <w:rPr>
          <w:rFonts w:hint="eastAsia" w:ascii="宋体" w:hAnsi="宋体" w:eastAsia="宋体" w:cs="宋体"/>
          <w:b w:val="0"/>
          <w:color w:val="000000" w:themeColor="text1"/>
          <w:sz w:val="24"/>
          <w:szCs w:val="24"/>
          <w14:textFill>
            <w14:solidFill>
              <w14:schemeClr w14:val="tx1"/>
            </w14:solidFill>
          </w14:textFill>
        </w:rPr>
        <w:t xml:space="preserve">. 发包人</w:t>
      </w:r>
      <w:bookmarkEnd w:id="41"/>
      <w:r/>
      <w:bookmarkEnd w:id="42"/>
      <w:r/>
      <w:bookmarkEnd w:id="43"/>
      <w:r/>
      <w:bookmarkEnd w:id="44"/>
      <w:r/>
      <w:bookmarkEnd w:id="45"/>
      <w:r/>
      <w:bookmarkEnd w:id="46"/>
      <w:r/>
      <w:bookmarkEnd w:id="47"/>
      <w:r/>
      <w:bookmarkEnd w:id="48"/>
      <w:r/>
      <w:bookmarkEnd w:id="49"/>
      <w:r/>
      <w:bookmarkEnd w:id="50"/>
      <w:r/>
      <w:bookmarkEnd w:id="51"/>
      <w:r/>
      <w:r/>
    </w:p>
    <w:p>
      <w:pPr>
        <w:ind w:firstLine="480"/>
        <w:spacing w:line="360" w:lineRule="auto"/>
        <w:rPr>
          <w:rFonts w:ascii="宋体" w:hAnsi="宋体" w:cs="宋体"/>
          <w:color w:val="000000" w:themeColor="text1"/>
          <w:sz w:val="24"/>
          <w14:textFill>
            <w14:solidFill>
              <w14:schemeClr w14:val="tx1"/>
            </w14:solidFill>
          </w14:textFill>
        </w:rPr>
        <w:outlineLvl w:val="0"/>
      </w:pPr>
      <w:r>
        <w:rPr>
          <w:rFonts w:hint="eastAsia" w:ascii="宋体" w:hAnsi="宋体" w:cs="宋体"/>
          <w:color w:val="000000" w:themeColor="text1"/>
          <w:sz w:val="24"/>
          <w14:textFill>
            <w14:solidFill>
              <w14:schemeClr w14:val="tx1"/>
            </w14:solidFill>
          </w14:textFill>
        </w:rPr>
        <w:t xml:space="preserve">2.2 发包人代表</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发包人代表：</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姓    名：</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身份证号：</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职    务：</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联系电话：</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电子信箱：</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通信地址：</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发包人对发包人代表的授权范围如下：</w:t>
      </w:r>
      <w:r>
        <w:rPr>
          <w:rFonts w:hint="eastAsia" w:ascii="宋体" w:hAnsi="宋体" w:cs="宋体"/>
          <w:color w:val="000000" w:themeColor="text1"/>
          <w:sz w:val="24"/>
          <w:u w:val="single"/>
          <w14:textFill>
            <w14:solidFill>
              <w14:schemeClr w14:val="tx1"/>
            </w14:solidFill>
          </w14:textFill>
        </w:rPr>
        <w:t xml:space="preserve">协助外部环境的协调与配合,主持工程的竣工验收；负责组织工程质量、进度、安全的检查监督；经发包人授权签署与工程投资有关的各种施工技术变更、施工技术方案和图纸会审纪要等；签字确认经监理工程师核准的分项工程量，并报发包人核准。</w:t>
      </w:r>
      <w:r/>
    </w:p>
    <w:p>
      <w:pPr>
        <w:ind w:firstLine="480"/>
        <w:spacing w:line="360" w:lineRule="auto"/>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需要取得发包人批准才能行使的职权：</w:t>
      </w:r>
      <w:r/>
    </w:p>
    <w:p>
      <w:pPr>
        <w:ind w:firstLine="480"/>
        <w:spacing w:line="360" w:lineRule="auto"/>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u w:val="single"/>
          <w14:textFill>
            <w14:solidFill>
              <w14:schemeClr w14:val="tx1"/>
            </w14:solidFill>
          </w14:textFill>
        </w:rPr>
        <w:t xml:space="preserve">(1)批准改变工程质量验收的标准；(2)批准延长工期；(3)批准涉及到对合同总价有影响的变更或指示；(4)批准工程索赔；(5)批准施工程序的重大变更；(6)批准重要部位的设计变更；(7)确定工程变更估价。</w:t>
      </w:r>
      <w:r/>
    </w:p>
    <w:p>
      <w:pPr>
        <w:ind w:firstLine="480"/>
        <w:spacing w:line="360" w:lineRule="auto"/>
        <w:rPr>
          <w:rFonts w:ascii="宋体" w:hAnsi="宋体" w:cs="宋体"/>
          <w:color w:val="000000" w:themeColor="text1"/>
          <w:sz w:val="24"/>
          <w14:textFill>
            <w14:solidFill>
              <w14:schemeClr w14:val="tx1"/>
            </w14:solidFill>
          </w14:textFill>
        </w:rPr>
        <w:outlineLvl w:val="0"/>
      </w:pPr>
      <w:r>
        <w:rPr>
          <w:rFonts w:hint="eastAsia" w:ascii="宋体" w:hAnsi="宋体" w:cs="宋体"/>
          <w:color w:val="000000" w:themeColor="text1"/>
          <w:sz w:val="24"/>
          <w14:textFill>
            <w14:solidFill>
              <w14:schemeClr w14:val="tx1"/>
            </w14:solidFill>
          </w14:textFill>
        </w:rPr>
        <w:t xml:space="preserve">2.4 施工现场、施工条件和基础资料的提供</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2.4.1 提供施工现场</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关于发包人移交施工现场的期限要求：</w:t>
      </w:r>
      <w:r>
        <w:rPr>
          <w:rFonts w:hint="eastAsia" w:ascii="宋体" w:hAnsi="宋体" w:cs="宋体"/>
          <w:color w:val="000000" w:themeColor="text1"/>
          <w:sz w:val="24"/>
          <w:u w:val="single"/>
          <w14:textFill>
            <w14:solidFill>
              <w14:schemeClr w14:val="tx1"/>
            </w14:solidFill>
          </w14:textFill>
        </w:rPr>
        <w:t xml:space="preserve">开工通知载明的开工日期7日内</w:t>
      </w:r>
      <w:r>
        <w:rPr>
          <w:rFonts w:hint="eastAsia" w:ascii="宋体" w:hAnsi="宋体" w:cs="宋体"/>
          <w:color w:val="000000" w:themeColor="text1"/>
          <w:sz w:val="24"/>
          <w14:textFill>
            <w14:solidFill>
              <w14:schemeClr w14:val="tx1"/>
            </w14:solidFill>
          </w14:textFill>
        </w:rPr>
        <w:t xml:space="preserve">。</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2.4.2 提供施工条件</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关于发包人应负责提供施工所需要的条件，包括：</w:t>
      </w:r>
      <w:r>
        <w:rPr>
          <w:rFonts w:hint="eastAsia" w:ascii="宋体" w:hAnsi="宋体" w:cs="宋体"/>
          <w:color w:val="000000" w:themeColor="text1"/>
          <w:sz w:val="24"/>
          <w:u w:val="single"/>
          <w14:textFill>
            <w14:solidFill>
              <w14:schemeClr w14:val="tx1"/>
            </w14:solidFill>
          </w14:textFill>
        </w:rPr>
        <w:t xml:space="preserve">发包人不提供电源、水源，施工用水用电由承包人自费解决，且施工</w:t>
      </w:r>
      <w:r>
        <w:rPr>
          <w:rFonts w:hint="eastAsia" w:ascii="宋体" w:hAnsi="宋体" w:cs="宋体"/>
          <w:color w:val="000000" w:themeColor="text1"/>
          <w:sz w:val="24"/>
          <w:u w:val="single"/>
          <w14:textFill>
            <w14:solidFill>
              <w14:schemeClr w14:val="tx1"/>
            </w14:solidFill>
          </w14:textFill>
        </w:rPr>
        <w:t xml:space="preserve">用电设备线路的安装由承包人负责实施，安装费、线路、设备购置费及施工过程中发生的所有电费，无论承包人是否在响应报价中单独列支，发包人均认为此项费用包含在响应报价中，由承包人直接缴纳。施工各用水点的管路安装、布置由承包人负责实施，其安装费、管材、设备购置费及施工过程中发生的所有水费，无论承包人是否在响应报价中单独列支，发包人均认为此项费用包含在响应报价中。由承包人直接缴纳。承包人的实际用水费用（含分摊的水费损耗费用）由其自行缴纳（或与总包单位协商）。承包人逾期缴纳及其滞纳金，发包人有权从承包人工程款中直接扣除。</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2.4.3提供基础资料</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在办理施工安全技术措施审查前，组织工程监理单位、施工总承包单位共同拟定文明施工现场创建目标、规划和措施。工程项目开工前，建设单位、监理单位、施工单位应在办理安全技术措施审查的同时，签署工程文明施工管理目标。</w:t>
      </w:r>
      <w:r/>
    </w:p>
    <w:p>
      <w:pPr>
        <w:ind w:firstLine="480"/>
        <w:spacing w:line="360" w:lineRule="auto"/>
        <w:rPr>
          <w:rFonts w:ascii="宋体" w:hAnsi="宋体" w:cs="宋体"/>
          <w:color w:val="000000" w:themeColor="text1"/>
          <w:sz w:val="24"/>
          <w14:textFill>
            <w14:solidFill>
              <w14:schemeClr w14:val="tx1"/>
            </w14:solidFill>
          </w14:textFill>
        </w:rPr>
        <w:outlineLvl w:val="0"/>
      </w:pPr>
      <w:r>
        <w:rPr>
          <w:rFonts w:hint="eastAsia" w:ascii="宋体" w:hAnsi="宋体" w:cs="宋体"/>
          <w:color w:val="000000" w:themeColor="text1"/>
          <w:sz w:val="24"/>
          <w14:textFill>
            <w14:solidFill>
              <w14:schemeClr w14:val="tx1"/>
            </w14:solidFill>
          </w14:textFill>
        </w:rPr>
        <w:t xml:space="preserve">2.5 资金来源证明及支付担保</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发包人提供资金来源证明的期限要求：</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发包人是否提供支付担保：</w:t>
      </w:r>
      <w:r>
        <w:rPr>
          <w:rFonts w:hint="eastAsia" w:ascii="宋体" w:hAnsi="宋体" w:cs="宋体"/>
          <w:color w:val="000000" w:themeColor="text1"/>
          <w:sz w:val="24"/>
          <w:u w:val="single"/>
          <w14:textFill>
            <w14:solidFill>
              <w14:schemeClr w14:val="tx1"/>
            </w14:solidFill>
          </w14:textFill>
        </w:rPr>
        <w:t xml:space="preserve">否。  </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发包人提供支付担保的形式： </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w:t>
      </w:r>
      <w:r/>
    </w:p>
    <w:p>
      <w:pPr>
        <w:pStyle w:val="978"/>
        <w:spacing w:before="0" w:after="0" w:line="360" w:lineRule="auto"/>
        <w:rPr>
          <w:rFonts w:ascii="宋体" w:hAnsi="宋体" w:eastAsia="宋体" w:cs="宋体"/>
          <w:b w:val="0"/>
          <w:color w:val="000000" w:themeColor="text1"/>
          <w:sz w:val="24"/>
          <w:szCs w:val="24"/>
          <w14:textFill>
            <w14:solidFill>
              <w14:schemeClr w14:val="tx1"/>
            </w14:solidFill>
          </w14:textFill>
        </w:rPr>
      </w:pPr>
      <w:r/>
      <w:bookmarkStart w:id="52" w:name="_Toc351203635"/>
      <w:r>
        <w:rPr>
          <w:rFonts w:hint="eastAsia" w:ascii="宋体" w:hAnsi="宋体" w:eastAsia="宋体" w:cs="宋体"/>
          <w:b w:val="0"/>
          <w:color w:val="000000" w:themeColor="text1"/>
          <w:sz w:val="24"/>
          <w:szCs w:val="24"/>
          <w14:textFill>
            <w14:solidFill>
              <w14:schemeClr w14:val="tx1"/>
            </w14:solidFill>
          </w14:textFill>
        </w:rPr>
        <w:t xml:space="preserve">3</w:t>
      </w:r>
      <w:bookmarkStart w:id="53" w:name="_Toc297048344"/>
      <w:r/>
      <w:bookmarkStart w:id="54" w:name="_Toc296891198"/>
      <w:r/>
      <w:bookmarkStart w:id="55" w:name="_Toc292559363"/>
      <w:r/>
      <w:bookmarkStart w:id="56" w:name="_Toc296890986"/>
      <w:r/>
      <w:bookmarkStart w:id="57" w:name="_Toc292559868"/>
      <w:r/>
      <w:bookmarkStart w:id="58" w:name="_Toc297120458"/>
      <w:r/>
      <w:bookmarkStart w:id="59" w:name="_Toc296346659"/>
      <w:r/>
      <w:bookmarkStart w:id="60" w:name="_Toc296347157"/>
      <w:r/>
      <w:bookmarkStart w:id="61" w:name="_Toc296503158"/>
      <w:r/>
      <w:bookmarkStart w:id="62" w:name="_Toc296944497"/>
      <w:r>
        <w:rPr>
          <w:rFonts w:hint="eastAsia" w:ascii="宋体" w:hAnsi="宋体" w:eastAsia="宋体" w:cs="宋体"/>
          <w:b w:val="0"/>
          <w:color w:val="000000" w:themeColor="text1"/>
          <w:sz w:val="24"/>
          <w:szCs w:val="24"/>
          <w14:textFill>
            <w14:solidFill>
              <w14:schemeClr w14:val="tx1"/>
            </w14:solidFill>
          </w14:textFill>
        </w:rPr>
        <w:t xml:space="preserve">. 承包人</w:t>
      </w:r>
      <w:bookmarkEnd w:id="52"/>
      <w:r/>
      <w:bookmarkEnd w:id="53"/>
      <w:r/>
      <w:bookmarkEnd w:id="54"/>
      <w:r/>
      <w:bookmarkEnd w:id="55"/>
      <w:r/>
      <w:bookmarkEnd w:id="56"/>
      <w:r/>
      <w:bookmarkEnd w:id="57"/>
      <w:r/>
      <w:bookmarkEnd w:id="58"/>
      <w:r/>
      <w:bookmarkEnd w:id="59"/>
      <w:r/>
      <w:bookmarkEnd w:id="60"/>
      <w:r/>
      <w:bookmarkEnd w:id="61"/>
      <w:r/>
      <w:bookmarkEnd w:id="62"/>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3.1 承包人的一般义务</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承包人提交的竣工资料的内容：</w:t>
      </w:r>
      <w:r>
        <w:rPr>
          <w:rFonts w:hint="eastAsia" w:ascii="宋体" w:hAnsi="宋体" w:cs="宋体"/>
          <w:color w:val="000000" w:themeColor="text1"/>
          <w:sz w:val="24"/>
          <w:u w:val="single"/>
          <w14:textFill>
            <w14:solidFill>
              <w14:schemeClr w14:val="tx1"/>
            </w14:solidFill>
          </w14:textFill>
        </w:rPr>
        <w:t xml:space="preserve">承包人按照《建设工程文件归档整理规范》及江苏省相关法规、规范标准及本合同要求绘制竣工图及完整的工程技术档案、工程质量保修书、及有关工程使用、维护的说明。</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承包人需要提交的竣工资料套数：</w:t>
      </w:r>
      <w:r>
        <w:rPr>
          <w:rFonts w:hint="eastAsia" w:ascii="宋体" w:hAnsi="宋体" w:cs="宋体"/>
          <w:color w:val="000000" w:themeColor="text1"/>
          <w:sz w:val="24"/>
          <w:u w:val="single"/>
          <w14:textFill>
            <w14:solidFill>
              <w14:schemeClr w14:val="tx1"/>
            </w14:solidFill>
          </w14:textFill>
        </w:rPr>
        <w:t xml:space="preserve">①满足行政主管部门要求且符合属地建设工程档案归档规范要求及属地城建档案馆要求；②向发包人提交盖承包人公章和工程竣工资料专用章的纸质版资料竣工图叁套，竣工资料肆套、电子文档资料一套。</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承包人提交的竣工资料的费用承担：</w:t>
      </w:r>
      <w:r>
        <w:rPr>
          <w:rFonts w:hint="eastAsia" w:ascii="宋体" w:hAnsi="宋体" w:cs="宋体"/>
          <w:color w:val="000000" w:themeColor="text1"/>
          <w:sz w:val="24"/>
          <w:u w:val="single"/>
          <w14:textFill>
            <w14:solidFill>
              <w14:schemeClr w14:val="tx1"/>
            </w14:solidFill>
          </w14:textFill>
        </w:rPr>
        <w:t xml:space="preserve">由承包人承担。</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承包人提交的竣工资料移交时间：</w:t>
      </w:r>
      <w:r>
        <w:rPr>
          <w:rFonts w:hint="eastAsia" w:ascii="宋体" w:hAnsi="宋体" w:cs="宋体"/>
          <w:color w:val="000000" w:themeColor="text1"/>
          <w:sz w:val="24"/>
          <w:u w:val="single"/>
          <w14:textFill>
            <w14:solidFill>
              <w14:schemeClr w14:val="tx1"/>
            </w14:solidFill>
          </w14:textFill>
        </w:rPr>
        <w:t xml:space="preserve">工程竣工验收合格之日起28日内完成移交，若逾期提交，发包人有权暂停支付工程款。 </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承包人提交的竣工资料形式要求：</w:t>
      </w:r>
      <w:r>
        <w:rPr>
          <w:rFonts w:hint="eastAsia" w:ascii="宋体" w:hAnsi="宋体" w:cs="宋体"/>
          <w:color w:val="000000" w:themeColor="text1"/>
          <w:sz w:val="24"/>
          <w:u w:val="single"/>
          <w14:textFill>
            <w14:solidFill>
              <w14:schemeClr w14:val="tx1"/>
            </w14:solidFill>
          </w14:textFill>
        </w:rPr>
        <w:t xml:space="preserve">立卷、装订成册的纸质文档和电子文档。</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承包人应履行的其他义务：</w:t>
      </w:r>
      <w:r/>
    </w:p>
    <w:p>
      <w:pPr>
        <w:pStyle w:val="1221"/>
        <w:ind w:firstLine="460"/>
        <w:spacing w:line="360" w:lineRule="auto"/>
        <w:rPr>
          <w:rFonts w:ascii="宋体" w:hAnsi="宋体" w:cs="宋体"/>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u w:val="single"/>
          <w14:textFill>
            <w14:solidFill>
              <w14:schemeClr w14:val="tx1"/>
            </w14:solidFill>
          </w14:textFill>
        </w:rPr>
        <w:t xml:space="preserve">(1) 办理合同备案及相关手续，并缴纳相关费用；</w:t>
      </w:r>
      <w:r/>
    </w:p>
    <w:p>
      <w:pPr>
        <w:pStyle w:val="1221"/>
        <w:ind w:firstLine="460"/>
        <w:spacing w:line="360" w:lineRule="auto"/>
        <w:rPr>
          <w:rFonts w:ascii="宋体" w:hAnsi="宋体" w:cs="宋体"/>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u w:val="single"/>
          <w14:textFill>
            <w14:solidFill>
              <w14:schemeClr w14:val="tx1"/>
            </w14:solidFill>
          </w14:textFill>
        </w:rPr>
        <w:t xml:space="preserve">(2) 应提供计划、报表的名称及完成时间：按月提供，每月25日后30日之前提供当月完成进度及下月施工计划。</w:t>
      </w:r>
      <w:r/>
    </w:p>
    <w:p>
      <w:pPr>
        <w:pStyle w:val="1221"/>
        <w:ind w:firstLine="460"/>
        <w:spacing w:line="360" w:lineRule="auto"/>
        <w:rPr>
          <w:rFonts w:ascii="宋体" w:hAnsi="宋体" w:cs="宋体"/>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u w:val="single"/>
          <w14:textFill>
            <w14:solidFill>
              <w14:schemeClr w14:val="tx1"/>
            </w14:solidFill>
          </w14:textFill>
        </w:rPr>
        <w:t xml:space="preserve">(3) 承担施工安全保卫工作及非夜间施工照明的责任和要求：由承包人按建设行政管理部门和相关部门的要求自行承担，并设置明显警示标志和专职人员维护公共安全。</w:t>
      </w:r>
      <w:r/>
    </w:p>
    <w:p>
      <w:pPr>
        <w:pStyle w:val="1221"/>
        <w:ind w:firstLine="460"/>
        <w:spacing w:line="360" w:lineRule="auto"/>
        <w:rPr>
          <w:rFonts w:ascii="宋体" w:hAnsi="宋体" w:cs="宋体"/>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u w:val="single"/>
          <w14:textFill>
            <w14:solidFill>
              <w14:schemeClr w14:val="tx1"/>
            </w14:solidFill>
          </w14:textFill>
        </w:rPr>
        <w:t xml:space="preserve">(4) 向发包人提供的办公和生活房屋及设施的要求：发包人驻施工现场管理人员必要的办公用房及设施由承包人负责免费提供。</w:t>
      </w:r>
      <w:r/>
    </w:p>
    <w:p>
      <w:pPr>
        <w:pStyle w:val="1221"/>
        <w:ind w:firstLine="460"/>
        <w:spacing w:line="360" w:lineRule="auto"/>
        <w:rPr>
          <w:rFonts w:ascii="宋体" w:hAnsi="宋体" w:cs="宋体"/>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u w:val="single"/>
          <w14:textFill>
            <w14:solidFill>
              <w14:schemeClr w14:val="tx1"/>
            </w14:solidFill>
          </w14:textFill>
        </w:rPr>
        <w:t xml:space="preserve">(5) 需承包人办理的有关施工场地交通、环卫和施工噪音管理等手续：由承包人负责承担，费用也由承包方承担。</w:t>
      </w:r>
      <w:r/>
    </w:p>
    <w:p>
      <w:pPr>
        <w:pStyle w:val="1221"/>
        <w:ind w:firstLine="460"/>
        <w:spacing w:line="360" w:lineRule="auto"/>
        <w:rPr>
          <w:rFonts w:ascii="宋体" w:hAnsi="宋体" w:cs="宋体"/>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u w:val="single"/>
          <w14:textFill>
            <w14:solidFill>
              <w14:schemeClr w14:val="tx1"/>
            </w14:solidFill>
          </w14:textFill>
        </w:rPr>
        <w:t xml:space="preserve">(6) 已完工程成品保护的特殊要求及费用承担：由承包人负责承担。</w:t>
      </w:r>
      <w:r/>
    </w:p>
    <w:p>
      <w:pPr>
        <w:pStyle w:val="1221"/>
        <w:ind w:firstLine="460"/>
        <w:spacing w:line="360" w:lineRule="auto"/>
        <w:rPr>
          <w:rFonts w:ascii="宋体" w:hAnsi="宋体" w:cs="宋体"/>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u w:val="single"/>
          <w14:textFill>
            <w14:solidFill>
              <w14:schemeClr w14:val="tx1"/>
            </w14:solidFill>
          </w14:textFill>
        </w:rPr>
        <w:t xml:space="preserve">(7) 施工场地周围地下管线和邻近建筑物、构筑物（含文物保护建筑）、古树名木的保护要求及费用承担：承包人在施工时发现地下管线、文物时，应停止施工并及时报告监理工程师和发包人，在会同有关单位部门共同研究方案后再实施，费用由承包人在响应报价中自行考虑。</w:t>
      </w:r>
      <w:r/>
    </w:p>
    <w:p>
      <w:pPr>
        <w:pStyle w:val="1221"/>
        <w:ind w:firstLine="460"/>
        <w:spacing w:line="360" w:lineRule="auto"/>
        <w:rPr>
          <w:rFonts w:ascii="宋体" w:hAnsi="宋体" w:cs="宋体"/>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u w:val="single"/>
          <w14:textFill>
            <w14:solidFill>
              <w14:schemeClr w14:val="tx1"/>
            </w14:solidFill>
          </w14:textFill>
        </w:rPr>
        <w:t xml:space="preserve">(8) 施工场地清洁卫生和要求：应按建设行政主管部门和相关部门的规定办理，所需费用由承包人负担。</w:t>
      </w:r>
      <w:r/>
    </w:p>
    <w:p>
      <w:pPr>
        <w:pStyle w:val="1221"/>
        <w:ind w:firstLine="460"/>
        <w:spacing w:line="360" w:lineRule="auto"/>
        <w:rPr>
          <w:rFonts w:ascii="宋体" w:hAnsi="宋体" w:cs="宋体"/>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u w:val="single"/>
          <w14:textFill>
            <w14:solidFill>
              <w14:schemeClr w14:val="tx1"/>
            </w14:solidFill>
          </w14:textFill>
        </w:rPr>
        <w:t xml:space="preserve">(9) 承包人负责在需要的时间和地点，自费提供和维护有灯光、护板、格栅警告信号和警卫，以及对工程进行保护或为公众提供安全和方便。承包人负责在工程施工整个过程中施工现场在承包范围内全部人员的安全。发包人不承担承包人或其内部班组雇用工人或其他人员的伤亡赔偿或补偿责任。承包人在施工现场的安全管理、教育和安全事故的责任由承包人承担。因承包人未履行上述义务给发包方造成的损失及财产损失的，承包方应负全部的赔偿责任。</w:t>
      </w:r>
      <w:r/>
    </w:p>
    <w:p>
      <w:pPr>
        <w:pStyle w:val="1221"/>
        <w:ind w:firstLine="460"/>
        <w:spacing w:line="360" w:lineRule="auto"/>
        <w:rPr>
          <w:rFonts w:ascii="宋体" w:hAnsi="宋体" w:cs="宋体"/>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u w:val="single"/>
          <w14:textFill>
            <w14:solidFill>
              <w14:schemeClr w14:val="tx1"/>
            </w14:solidFill>
          </w14:textFill>
        </w:rPr>
        <w:t xml:space="preserve">(10) 地方关系由承包人负责协调，费用包含在合同价款中。</w:t>
      </w:r>
      <w:r/>
    </w:p>
    <w:p>
      <w:pPr>
        <w:pStyle w:val="1221"/>
        <w:ind w:firstLine="460"/>
        <w:spacing w:line="360" w:lineRule="auto"/>
        <w:rPr>
          <w:rFonts w:ascii="宋体" w:hAnsi="宋体" w:cs="宋体"/>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u w:val="single"/>
          <w14:textFill>
            <w14:solidFill>
              <w14:schemeClr w14:val="tx1"/>
            </w14:solidFill>
          </w14:textFill>
        </w:rPr>
        <w:t xml:space="preserve">(11) 承包人对工程建设期间扬尘治理工作负主体责任。应制定施工现场扬尘污染防治专项方案，按照承包工程范围做好扬尘污染防治措施的落实。方案必须符合我市“徐空气提升办【2018】11号”和“徐城管发【2018】55号”关于扬尘管控的相关规定要求。</w:t>
      </w:r>
      <w:r/>
    </w:p>
    <w:p>
      <w:pPr>
        <w:pStyle w:val="1221"/>
        <w:ind w:firstLine="460"/>
        <w:spacing w:line="360" w:lineRule="auto"/>
        <w:rPr>
          <w:rFonts w:ascii="宋体" w:hAnsi="宋体" w:cs="宋体"/>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u w:val="single"/>
          <w14:textFill>
            <w14:solidFill>
              <w14:schemeClr w14:val="tx1"/>
            </w14:solidFill>
          </w14:textFill>
        </w:rPr>
        <w:t xml:space="preserve">（12）符合徐州市有关部门规定的标准化施工现场要求，同时应满足市政、市容等相关主管部门的有关规定。施工工地一律实行封闭施工、防尘网覆盖、定时洒水，控制扬尘污染等安全文明施工措施。承包人违反规定所造成的损失和处罚由承包人承担。交工后一周内彻底清洁完毕撤离现场。</w:t>
      </w:r>
      <w:r/>
    </w:p>
    <w:p>
      <w:pPr>
        <w:pStyle w:val="1221"/>
        <w:ind w:firstLine="460"/>
        <w:spacing w:line="360" w:lineRule="auto"/>
        <w:rPr>
          <w:rFonts w:ascii="宋体" w:hAnsi="宋体" w:cs="宋体"/>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u w:val="single"/>
          <w14:textFill>
            <w14:solidFill>
              <w14:schemeClr w14:val="tx1"/>
            </w14:solidFill>
          </w14:textFill>
        </w:rPr>
        <w:t xml:space="preserve">（13）对于在招投标、施工期间出台新的清单规范、计价定额及费用定额，本工程均不执行。</w:t>
      </w:r>
      <w:r/>
    </w:p>
    <w:p>
      <w:pPr>
        <w:pStyle w:val="1221"/>
        <w:ind w:firstLine="460"/>
        <w:spacing w:line="360" w:lineRule="auto"/>
        <w:rPr>
          <w:rFonts w:ascii="宋体" w:hAnsi="宋体" w:cs="宋体"/>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u w:val="single"/>
          <w14:textFill>
            <w14:solidFill>
              <w14:schemeClr w14:val="tx1"/>
            </w14:solidFill>
          </w14:textFill>
        </w:rPr>
        <w:t xml:space="preserve">（14）承包人勘查现场后已经在施工组织设计中体现：1、承包人与现场其他施工企业保持有序、顺利施工的措施方案；2、现场分段施工的措施方案；3、现场开辟新临时通道的方案，且承包人必须考虑完成以上3点所要增加的一切费用。发包人在临时设施费用中为承包人综合考虑了以上费用，承包人自主报价，结算时发包人人不再支付与以上3点关联的任何费用。  </w:t>
      </w:r>
      <w:r/>
    </w:p>
    <w:p>
      <w:pPr>
        <w:pStyle w:val="1221"/>
        <w:ind w:firstLine="460"/>
        <w:spacing w:line="360" w:lineRule="auto"/>
        <w:rPr>
          <w:rFonts w:ascii="宋体" w:hAnsi="宋体" w:cs="宋体"/>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u w:val="single"/>
          <w14:textFill>
            <w14:solidFill>
              <w14:schemeClr w14:val="tx1"/>
            </w14:solidFill>
          </w14:textFill>
        </w:rPr>
        <w:t xml:space="preserve">（15）承包人需采取措施保护地下管网线，费用由承包人负责，如工程施工损坏地下管线的，由承包人承担责任。发包人向承包人提交工程地质和地下管网线资料不全的，由承包人自行探明。施工过程中，承包人如发现施工场地周围可能存在资料中未反映的地下管网线的，应立即停止施工并向发包人及相关单位书面报告，待确认安全后方可施工，否则，因施工损坏地下管网线的，由承包人承担责任。所发生的费用均由承包人承担。</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处理施工场地周围地下管线和邻近建筑物、构筑物的保护工作，承包人应采取一切必要措施，妥善地保护公用管线，避免在施工期间造成损坏。一旦公用管线发生损坏事故，承包人必须立即通知监理，并上报发包人，并应立即通知有关管线单位，组织力量抢修，公用管线的修复工作应使有关管线单位满意。没有有关部门的书面批准及工程师的签证，承包人不能临时或永久性的封断管线。如果某管线由于本工程原因要永久性的封断，承包人的竣工图上需明确表明。由于承包人操作不当而导致公用管线损坏而发生的所有费用（包括修复），由承</w:t>
      </w:r>
      <w:r>
        <w:rPr>
          <w:rFonts w:hint="eastAsia" w:ascii="宋体" w:hAnsi="宋体" w:cs="宋体"/>
          <w:color w:val="000000" w:themeColor="text1"/>
          <w:sz w:val="24"/>
          <w:u w:val="single"/>
          <w14:textFill>
            <w14:solidFill>
              <w14:schemeClr w14:val="tx1"/>
            </w14:solidFill>
          </w14:textFill>
        </w:rPr>
        <w:t xml:space="preserve">包人自己负担。即使承包人所采取的保护措施已得到工程师的批准，发包人也不为此而承担额外增加的费用。若承包人对在施工中损坏的公用管线，不采取任何修复措施，或修复工作不能使有关管线单位满意，则发包人将指派他人进行修复工作，由此发生的费用，发包人将从应支付给承包人的款项中扣除。承包人应了解邻近建、构筑物的基础，结构状况，采取合理的施工方法和有效的加固措施，避免邻近构筑物发生沉降、开裂和倒塌。承包人应把对邻近建、构筑物的保护措施方法列入施工组织设计，在工程施工期间，应在构筑物四周设置检测点，严密注视邻近构筑物的位移和</w:t>
      </w:r>
      <w:r>
        <w:rPr>
          <w:rFonts w:hint="eastAsia" w:ascii="宋体" w:hAnsi="宋体" w:cs="宋体"/>
          <w:color w:val="000000" w:themeColor="text1"/>
          <w:sz w:val="24"/>
          <w:u w:val="single"/>
          <w14:textFill>
            <w14:solidFill>
              <w14:schemeClr w14:val="tx1"/>
            </w14:solidFill>
          </w14:textFill>
        </w:rPr>
        <w:t xml:space="preserve">沉降。承包人在施工过程中造成对邻近构筑物损坏，应由承包人负责加以修复和赔偿，直到有关部门满意，即使承包人所采取的对邻近构筑物的保护措施已得到工程师批准，承包人仍负有全部责任。承包人应承担被损毁的邻近构筑物的修复费用及由此造成的一切损失。若承包人对在施工损坏的邻近构筑物不加以修复赔偿，则工程师将指派他人进行修复，由此发生的修复和赔偿费用，发包人从应支付给承包人的款项中扣除。除非得到主管部门的许可，承包人不得随便砍伐，迁移和破坏树木。塔吊等机械设备覆盖范围内的安全保护费用由承包人负责，产生的费用均由承包人承担。</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16）承包人必须对工程现场施工人员全部实行实名制考勤管理，签订劳动合同，设立工资存储专户，按照工程进度和工人实名制登记信息，按月足额由银行代发工资。对发包人支付的工程款，承包人应优先用于支付工人劳动报酬；承包人如有拖欠、克扣工人劳动报酬的行为，发包人有权在承包人工程款中扣除相应款项，同时承包人还应赔偿因此给发包人造成的一切损失。发生农民工群访事件的（5人以上），每次向发包人支付5万元的违约金。</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3.2 项目经理</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3.2.1 项目经理：</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姓    名：</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身份证号：</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建造师执业资格等级：</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建造师注册证书号：</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建造师执业印章号：</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安全生产考核合格证书号：</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联系电话：</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电子信箱：</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通信地址：</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w:t>
      </w:r>
      <w:r/>
    </w:p>
    <w:p>
      <w:pPr>
        <w:ind w:firstLine="36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承包人对项目经理的授权范围如下：</w:t>
      </w:r>
      <w:r>
        <w:rPr>
          <w:rFonts w:hint="eastAsia" w:ascii="宋体" w:hAnsi="宋体" w:cs="宋体"/>
          <w:color w:val="000000" w:themeColor="text1"/>
          <w:sz w:val="24"/>
          <w:u w:val="single"/>
          <w14:textFill>
            <w14:solidFill>
              <w14:schemeClr w14:val="tx1"/>
            </w14:solidFill>
          </w14:textFill>
        </w:rPr>
        <w:t xml:space="preserve">对工程质量、安全、进度和文明施工全面负责，并完成承包人应做的各项工作。</w:t>
      </w:r>
      <w:r/>
    </w:p>
    <w:p>
      <w:pPr>
        <w:ind w:firstLine="482"/>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3.2.2关于项目经理每月在施工现场的时间要求：</w:t>
      </w:r>
      <w:r>
        <w:rPr>
          <w:rFonts w:hint="eastAsia" w:ascii="宋体" w:hAnsi="宋体" w:cs="宋体"/>
          <w:color w:val="000000" w:themeColor="text1"/>
          <w:sz w:val="24"/>
          <w:u w:val="single"/>
          <w14:textFill>
            <w14:solidFill>
              <w14:schemeClr w14:val="tx1"/>
            </w14:solidFill>
          </w14:textFill>
        </w:rPr>
        <w:t xml:space="preserve">项目经理必须亲临施工现场组织本工程项目的施工，必须严格遵循现行的有关法律、法规，切实履行自己的权利和义务。项目实施期间，项目经理应全程驻守，现场办公，离开施工现场应向发包人驻工地代表请假。项目经理每月驻守工地时间不得低于24天，每天必须不少于8小时在现场组织施工，项目经理擅离职守，每发现一次，将向发包人支付5000元违约金。</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项目经理未经批准，擅自离开施工现场的违约责任：</w:t>
      </w:r>
      <w:r>
        <w:rPr>
          <w:rFonts w:hint="eastAsia" w:ascii="宋体" w:hAnsi="宋体" w:cs="宋体"/>
          <w:color w:val="000000" w:themeColor="text1"/>
          <w:sz w:val="24"/>
          <w:u w:val="single"/>
          <w14:textFill>
            <w14:solidFill>
              <w14:schemeClr w14:val="tx1"/>
            </w14:solidFill>
          </w14:textFill>
        </w:rPr>
        <w:t xml:space="preserve">项目经理擅离职守，每发现一次，将向发包人支付5000元违约金。</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3.2.3 </w:t>
      </w:r>
      <w:r>
        <w:rPr>
          <w:rFonts w:hint="eastAsia" w:ascii="宋体" w:hAnsi="宋体" w:cs="宋体"/>
          <w:color w:val="000000" w:themeColor="text1"/>
          <w:sz w:val="24"/>
          <w:u w:val="single"/>
          <w14:textFill>
            <w14:solidFill>
              <w14:schemeClr w14:val="tx1"/>
            </w14:solidFill>
          </w14:textFill>
        </w:rPr>
        <w:t xml:space="preserve">项目经理及项目部其他主要组成人员（施工员、质量员、安全员等）应与承包人承诺的名单一致，并保持稳定，不应无故不到位或被替换。以上人员的变更，必须经发包人同意。未征得发包人同意撤换项目经理，需向发包人支付10000元违约金，且发包人有权单方面取消或终止合同，由此造成的一切损失均由承包人承担。</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3.2.4 承包人无正当理由拒绝更换项目经理的违约责任：</w:t>
      </w:r>
      <w:r>
        <w:rPr>
          <w:rFonts w:hint="eastAsia" w:ascii="宋体" w:hAnsi="宋体" w:cs="宋体"/>
          <w:color w:val="000000" w:themeColor="text1"/>
          <w:sz w:val="24"/>
          <w:u w:val="single"/>
          <w14:textFill>
            <w14:solidFill>
              <w14:schemeClr w14:val="tx1"/>
            </w14:solidFill>
          </w14:textFill>
        </w:rPr>
        <w:t xml:space="preserve">发包人要求撤换不能胜任本职工作、行为不端或玩忽职守的承包人项目经理，承包人应予以撤换，同时委派经发包人与监理人同意的新的项目经理。承包人无正当理由拒绝更换项目经理，向发包人支付50000元违约金，并承担由此给发包人造成的一切损失。</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如承包人拒绝执行发包人的合理指令，发包人有权另行委托第三方执行指令，视情节轻，承包人向发包人支付1000-3000元/次的违约金，且执行指令的费用由承包人支付；若承包人拒绝支付，则发包人有权从承包人工程款中扣除。</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3.3 承包人人员</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3.3.1 承包人提交项目管理机构及施工现场管理人员安排报告的期限：</w:t>
      </w:r>
      <w:r>
        <w:rPr>
          <w:rFonts w:hint="eastAsia" w:ascii="宋体" w:hAnsi="宋体" w:cs="宋体"/>
          <w:color w:val="000000" w:themeColor="text1"/>
          <w:sz w:val="24"/>
          <w:u w:val="single"/>
          <w14:textFill>
            <w14:solidFill>
              <w14:schemeClr w14:val="tx1"/>
            </w14:solidFill>
          </w14:textFill>
        </w:rPr>
        <w:t xml:space="preserve">合同生效后7天内按照响应文件的项目管理机构及施工现场管理人员提交。 </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3.3.3 承包人无正当理由拒绝撤换主要施工管理人员的违约责任：</w:t>
      </w:r>
      <w:r>
        <w:rPr>
          <w:rFonts w:hint="eastAsia" w:ascii="宋体" w:hAnsi="宋体" w:cs="宋体"/>
          <w:color w:val="000000" w:themeColor="text1"/>
          <w:sz w:val="24"/>
          <w:u w:val="single"/>
          <w14:textFill>
            <w14:solidFill>
              <w14:schemeClr w14:val="tx1"/>
            </w14:solidFill>
          </w14:textFill>
        </w:rPr>
        <w:t xml:space="preserve">发包人要求撤换不能胜任本职工作、行为不端或玩忽职守的承包人技术负责人、质量负责人、安全负责人等其他项目部主要成员，承包人应予以撤换，同时委派经发包人与监理人同意的新的技术负责人、质量负责人、安全负责人等其他项目部主要成员。承包人无正当理由拒绝更换的，向发包人支付10000元/人.次的违约金，由此给发包人造成的一切损失及后果由承包人承担。</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3.3.4 承包人主要施工管理人员离开施工现场的批准要求：</w:t>
      </w:r>
      <w:r>
        <w:rPr>
          <w:rFonts w:hint="eastAsia" w:ascii="宋体" w:hAnsi="宋体" w:cs="宋体"/>
          <w:color w:val="000000" w:themeColor="text1"/>
          <w:sz w:val="24"/>
          <w:u w:val="single"/>
          <w14:textFill>
            <w14:solidFill>
              <w14:schemeClr w14:val="tx1"/>
            </w14:solidFill>
          </w14:textFill>
        </w:rPr>
        <w:t xml:space="preserve">主要施工管理人员，必须严格遵循现行的有关法律、法规，切实履行自己的权利和义务。项目实施期间，应全程驻守，现场办公，离开施工现场应向发包人驻工地代表请假。施工管理人员擅自离开施工现场，每人次向发包人支付2000元违约金。</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3.3.5承包人擅自更换主要施工管理人员的违约责任：</w:t>
      </w:r>
      <w:r>
        <w:rPr>
          <w:rFonts w:hint="eastAsia" w:ascii="宋体" w:hAnsi="宋体" w:cs="宋体"/>
          <w:color w:val="000000" w:themeColor="text1"/>
          <w:sz w:val="24"/>
          <w:u w:val="single"/>
          <w14:textFill>
            <w14:solidFill>
              <w14:schemeClr w14:val="tx1"/>
            </w14:solidFill>
          </w14:textFill>
        </w:rPr>
        <w:t xml:space="preserve"> 擅自</w:t>
      </w:r>
      <w:r>
        <w:rPr>
          <w:rFonts w:hint="eastAsia" w:ascii="宋体" w:hAnsi="宋体" w:cs="宋体"/>
          <w:bCs/>
          <w:color w:val="000000" w:themeColor="text1"/>
          <w:sz w:val="24"/>
          <w:u w:val="single"/>
          <w14:textFill>
            <w14:solidFill>
              <w14:schemeClr w14:val="tx1"/>
            </w14:solidFill>
          </w14:textFill>
        </w:rPr>
        <w:t xml:space="preserve">撤换技术负责人、质量负责人、安全负责人等其他项目部主要成员每人次向发包人支付10000</w:t>
      </w:r>
      <w:r>
        <w:rPr>
          <w:rFonts w:hint="eastAsia" w:ascii="宋体" w:hAnsi="宋体" w:cs="宋体"/>
          <w:color w:val="000000" w:themeColor="text1"/>
          <w:sz w:val="24"/>
          <w:u w:val="single"/>
          <w14:textFill>
            <w14:solidFill>
              <w14:schemeClr w14:val="tx1"/>
            </w14:solidFill>
          </w14:textFill>
        </w:rPr>
        <w:t xml:space="preserve">元/人.次的</w:t>
      </w:r>
      <w:r>
        <w:rPr>
          <w:rFonts w:hint="eastAsia" w:ascii="宋体" w:hAnsi="宋体" w:cs="宋体"/>
          <w:bCs/>
          <w:color w:val="000000" w:themeColor="text1"/>
          <w:sz w:val="24"/>
          <w:u w:val="single"/>
          <w14:textFill>
            <w14:solidFill>
              <w14:schemeClr w14:val="tx1"/>
            </w14:solidFill>
          </w14:textFill>
        </w:rPr>
        <w:t xml:space="preserve">违约金。</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3.5 分包</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3.5.1 分包的一般约定</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禁止分包的工程包括：</w:t>
      </w:r>
      <w:r>
        <w:rPr>
          <w:rFonts w:hint="eastAsia" w:ascii="宋体" w:hAnsi="宋体" w:cs="宋体"/>
          <w:color w:val="000000" w:themeColor="text1"/>
          <w:sz w:val="24"/>
          <w:u w:val="single"/>
          <w14:textFill>
            <w14:solidFill>
              <w14:schemeClr w14:val="tx1"/>
            </w14:solidFill>
          </w14:textFill>
        </w:rPr>
        <w:t xml:space="preserve"> 本工程禁止分包。  </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主体结构、关键性工作的范围：</w:t>
      </w:r>
      <w:r>
        <w:rPr>
          <w:rFonts w:hint="eastAsia" w:ascii="宋体" w:hAnsi="宋体" w:cs="宋体"/>
          <w:color w:val="000000" w:themeColor="text1"/>
          <w:sz w:val="24"/>
          <w:u w:val="single"/>
          <w14:textFill>
            <w14:solidFill>
              <w14:schemeClr w14:val="tx1"/>
            </w14:solidFill>
          </w14:textFill>
        </w:rPr>
        <w:t xml:space="preserve"> /  </w:t>
      </w:r>
      <w:r>
        <w:rPr>
          <w:rFonts w:hint="eastAsia" w:ascii="宋体" w:hAnsi="宋体" w:cs="宋体"/>
          <w:color w:val="000000" w:themeColor="text1"/>
          <w:sz w:val="24"/>
          <w14:textFill>
            <w14:solidFill>
              <w14:schemeClr w14:val="tx1"/>
            </w14:solidFill>
          </w14:textFill>
        </w:rPr>
        <w:t xml:space="preserve">。</w:t>
      </w:r>
      <w:r/>
    </w:p>
    <w:p>
      <w:p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3.5.2分包的确定</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允许分包的专业工程包括：</w:t>
      </w:r>
      <w:r>
        <w:rPr>
          <w:rFonts w:hint="eastAsia" w:ascii="宋体" w:hAnsi="宋体" w:cs="宋体"/>
          <w:color w:val="000000" w:themeColor="text1"/>
          <w:sz w:val="24"/>
          <w:u w:val="single"/>
          <w14:textFill>
            <w14:solidFill>
              <w14:schemeClr w14:val="tx1"/>
            </w14:solidFill>
          </w14:textFill>
        </w:rPr>
        <w:t xml:space="preserve">执行国家相关法律、法规规定。</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其他关于分包的约定：</w:t>
      </w:r>
      <w:r>
        <w:rPr>
          <w:rFonts w:hint="eastAsia" w:ascii="宋体" w:hAnsi="宋体" w:cs="宋体"/>
          <w:color w:val="000000" w:themeColor="text1"/>
          <w:sz w:val="24"/>
          <w:u w:val="single"/>
          <w14:textFill>
            <w14:solidFill>
              <w14:schemeClr w14:val="tx1"/>
            </w14:solidFill>
          </w14:textFill>
        </w:rPr>
        <w:t xml:space="preserve">除通用合同条款的约定外，分包还应遵循以下约定：(1)未经发包人和监理人同意，承包人不得将其他非主体、非关键性工作分包给第三人；未经发包人和监理人审批同意的分包工程和分包人，发包人有权拒绝验收分包工程和支付相应款项，由此引起的费用增加和(或)延误的工期由承包人承担。(2)承包人应保障分包工作不得再次分包。</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3.5.4 分包合同价款</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关于分包合同价款支付的约定：</w:t>
      </w:r>
      <w:r>
        <w:rPr>
          <w:rFonts w:hint="eastAsia" w:ascii="宋体" w:hAnsi="宋体" w:cs="宋体"/>
          <w:color w:val="000000" w:themeColor="text1"/>
          <w:sz w:val="24"/>
          <w:u w:val="single"/>
          <w14:textFill>
            <w14:solidFill>
              <w14:schemeClr w14:val="tx1"/>
            </w14:solidFill>
          </w14:textFill>
        </w:rPr>
        <w:t xml:space="preserve"> / </w:t>
      </w:r>
      <w:r>
        <w:rPr>
          <w:rFonts w:hint="eastAsia" w:ascii="宋体" w:hAnsi="宋体" w:cs="宋体"/>
          <w:color w:val="000000" w:themeColor="text1"/>
          <w:sz w:val="24"/>
          <w14:textFill>
            <w14:solidFill>
              <w14:schemeClr w14:val="tx1"/>
            </w14:solidFill>
          </w14:textFill>
        </w:rPr>
        <w:t xml:space="preserve">。</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3.6 工程照管与成品、半成品保护</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承包人负责照管工程及工程相关的材料、工程设备的起始时间：</w:t>
      </w:r>
      <w:r>
        <w:rPr>
          <w:rFonts w:hint="eastAsia" w:ascii="宋体" w:hAnsi="宋体" w:cs="宋体"/>
          <w:color w:val="000000" w:themeColor="text1"/>
          <w:sz w:val="24"/>
          <w:u w:val="single"/>
          <w14:textFill>
            <w14:solidFill>
              <w14:schemeClr w14:val="tx1"/>
            </w14:solidFill>
          </w14:textFill>
        </w:rPr>
        <w:t xml:space="preserve">工程施工开始至竣工验收合格并办理完工程移交手续止。设备、人员进场至工程移交/接收证书签发前由承包人负责照管，费用由承包人承担。承包人负责采取有效措施对已完成工程成品的保护，费用由承包人承担。保护期间发生的损坏承包人予以修理并承担因此产生的一切损失和费用。损坏其他单位所承担的施工内容，由承包人负责赔偿或修复，并承担因此产生的一切损失费用。承包人拒绝赔偿或修复的，发包人有权另行委托施工单位进行修复，所需费用从承包人工程款中直接扣除，承包人不得有任何异议。</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3.7 履约担保</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承包人是否提供履约担保：</w:t>
      </w:r>
      <w:r>
        <w:rPr>
          <w:rFonts w:hint="eastAsia" w:ascii="宋体" w:hAnsi="宋体" w:cs="宋体"/>
          <w:color w:val="000000" w:themeColor="text1"/>
          <w:sz w:val="24"/>
          <w:u w:val="single"/>
          <w14:textFill>
            <w14:solidFill>
              <w14:schemeClr w14:val="tx1"/>
            </w14:solidFill>
          </w14:textFill>
        </w:rPr>
        <w:t xml:space="preserve">无。 </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承包人提供履约担保的形式、金额及期限：</w:t>
      </w:r>
      <w:r>
        <w:rPr>
          <w:rFonts w:hint="eastAsia" w:ascii="宋体" w:hAnsi="宋体" w:cs="宋体"/>
          <w:color w:val="000000" w:themeColor="text1"/>
          <w:sz w:val="24"/>
          <w:u w:val="single"/>
          <w14:textFill>
            <w14:solidFill>
              <w14:schemeClr w14:val="tx1"/>
            </w14:solidFill>
          </w14:textFill>
        </w:rPr>
        <w:t xml:space="preserve">/</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履约保证金的返还：</w:t>
      </w:r>
      <w:r>
        <w:rPr>
          <w:rFonts w:hint="eastAsia" w:ascii="宋体" w:hAnsi="宋体" w:cs="宋体"/>
          <w:color w:val="000000" w:themeColor="text1"/>
          <w:sz w:val="24"/>
          <w:u w:val="single"/>
          <w14:textFill>
            <w14:solidFill>
              <w14:schemeClr w14:val="tx1"/>
            </w14:solidFill>
          </w14:textFill>
        </w:rPr>
        <w:t xml:space="preserve">/</w:t>
      </w:r>
      <w:r/>
    </w:p>
    <w:p>
      <w:pPr>
        <w:pStyle w:val="978"/>
        <w:spacing w:before="0" w:after="0" w:line="360" w:lineRule="auto"/>
        <w:rPr>
          <w:rFonts w:ascii="宋体" w:hAnsi="宋体" w:eastAsia="宋体" w:cs="宋体"/>
          <w:b w:val="0"/>
          <w:color w:val="000000" w:themeColor="text1"/>
          <w:sz w:val="24"/>
          <w:szCs w:val="24"/>
          <w14:textFill>
            <w14:solidFill>
              <w14:schemeClr w14:val="tx1"/>
            </w14:solidFill>
          </w14:textFill>
        </w:rPr>
      </w:pPr>
      <w:r/>
      <w:bookmarkStart w:id="63" w:name="_Toc351203636"/>
      <w:r>
        <w:rPr>
          <w:rFonts w:hint="eastAsia" w:ascii="宋体" w:hAnsi="宋体" w:eastAsia="宋体" w:cs="宋体"/>
          <w:b w:val="0"/>
          <w:color w:val="000000" w:themeColor="text1"/>
          <w:sz w:val="24"/>
          <w:szCs w:val="24"/>
          <w14:textFill>
            <w14:solidFill>
              <w14:schemeClr w14:val="tx1"/>
            </w14:solidFill>
          </w14:textFill>
        </w:rPr>
        <w:t xml:space="preserve">4</w:t>
      </w:r>
      <w:bookmarkStart w:id="64" w:name="_Toc296503162"/>
      <w:r/>
      <w:bookmarkStart w:id="65" w:name="_Toc297048348"/>
      <w:r/>
      <w:bookmarkStart w:id="66" w:name="_Toc296891202"/>
      <w:r/>
      <w:bookmarkStart w:id="67" w:name="_Toc296890990"/>
      <w:r/>
      <w:bookmarkStart w:id="68" w:name="_Toc297120462"/>
      <w:r/>
      <w:bookmarkStart w:id="69" w:name="_Toc292559871"/>
      <w:r/>
      <w:bookmarkStart w:id="70" w:name="_Toc296347161"/>
      <w:r/>
      <w:bookmarkStart w:id="71" w:name="_Toc267251413"/>
      <w:r/>
      <w:bookmarkStart w:id="72" w:name="_Toc296346663"/>
      <w:r/>
      <w:bookmarkStart w:id="73" w:name="_Toc296944501"/>
      <w:r/>
      <w:bookmarkStart w:id="74" w:name="_Toc292559366"/>
      <w:r>
        <w:rPr>
          <w:rFonts w:hint="eastAsia" w:ascii="宋体" w:hAnsi="宋体" w:eastAsia="宋体" w:cs="宋体"/>
          <w:b w:val="0"/>
          <w:color w:val="000000" w:themeColor="text1"/>
          <w:sz w:val="24"/>
          <w:szCs w:val="24"/>
          <w14:textFill>
            <w14:solidFill>
              <w14:schemeClr w14:val="tx1"/>
            </w14:solidFill>
          </w14:textFill>
        </w:rPr>
        <w:t xml:space="preserve">. 监</w:t>
      </w:r>
      <w:bookmarkEnd w:id="64"/>
      <w:r/>
      <w:bookmarkEnd w:id="65"/>
      <w:r/>
      <w:bookmarkEnd w:id="66"/>
      <w:r/>
      <w:bookmarkEnd w:id="67"/>
      <w:r/>
      <w:bookmarkEnd w:id="68"/>
      <w:r/>
      <w:bookmarkEnd w:id="69"/>
      <w:r/>
      <w:bookmarkEnd w:id="70"/>
      <w:r/>
      <w:bookmarkEnd w:id="71"/>
      <w:r/>
      <w:bookmarkEnd w:id="72"/>
      <w:r/>
      <w:bookmarkEnd w:id="73"/>
      <w:r/>
      <w:bookmarkEnd w:id="74"/>
      <w:r>
        <w:rPr>
          <w:rFonts w:hint="eastAsia" w:ascii="宋体" w:hAnsi="宋体" w:eastAsia="宋体" w:cs="宋体"/>
          <w:b w:val="0"/>
          <w:color w:val="000000" w:themeColor="text1"/>
          <w:sz w:val="24"/>
          <w:szCs w:val="24"/>
          <w14:textFill>
            <w14:solidFill>
              <w14:schemeClr w14:val="tx1"/>
            </w14:solidFill>
          </w14:textFill>
        </w:rPr>
        <w:t xml:space="preserve">理人</w:t>
      </w:r>
      <w:bookmarkEnd w:id="63"/>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4.1监理人的一般规定</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关于监理人的监理内容：</w:t>
      </w:r>
      <w:r>
        <w:rPr>
          <w:rFonts w:hint="eastAsia" w:ascii="宋体" w:hAnsi="宋体" w:cs="宋体"/>
          <w:color w:val="000000" w:themeColor="text1"/>
          <w:sz w:val="24"/>
          <w:u w:val="single"/>
          <w14:textFill>
            <w14:solidFill>
              <w14:schemeClr w14:val="tx1"/>
            </w14:solidFill>
          </w14:textFill>
        </w:rPr>
        <w:t xml:space="preserve">施工图设计范围内（含变更）工程施工的安全、质量、进度、文明施工、扬尘防治、成本控制。</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关于监理人的监理权限：</w:t>
      </w:r>
      <w:r>
        <w:rPr>
          <w:rFonts w:hint="eastAsia" w:ascii="宋体" w:hAnsi="宋体" w:cs="宋体"/>
          <w:color w:val="000000" w:themeColor="text1"/>
          <w:sz w:val="24"/>
          <w:u w:val="single"/>
          <w14:textFill>
            <w14:solidFill>
              <w14:schemeClr w14:val="tx1"/>
            </w14:solidFill>
          </w14:textFill>
        </w:rPr>
        <w:t xml:space="preserve">对工程建设实施全面监督和管理，但不得修改本施工合同、减轻或免除合同约定的承包人的任何责任与义务，任何增加工程造价的签证均需获得发包人同意。</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发生紧急情况，是指可能造成人员伤亡，或危及本工程或邻近的财产而需立即采取行动，监理工程师有权在向发包人汇报的同时发布处理紧急情况所必需的指令，承包人应予以执行。  </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关于监理人在施工现场的办公场所、生活场所的提供和费用承担的约定：</w:t>
      </w:r>
      <w:r>
        <w:rPr>
          <w:rFonts w:hint="eastAsia" w:ascii="宋体" w:hAnsi="宋体" w:cs="宋体"/>
          <w:color w:val="000000" w:themeColor="text1"/>
          <w:sz w:val="24"/>
          <w:u w:val="single"/>
          <w14:textFill>
            <w14:solidFill>
              <w14:schemeClr w14:val="tx1"/>
            </w14:solidFill>
          </w14:textFill>
        </w:rPr>
        <w:t xml:space="preserve">由承包人承担。</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（1）职责范围</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施工全过程监理，包括“三控二管一协调以及安全管理”，即施工过程中的质量、进度、投资控制，合同、信息等方面的管理及安全文明生产管理 ；协调各方面与工程有关的关系；负责施工组织设计、单项施工技术方案的审核和图纸会审纪要的签发；负责主持分部分项工程验收及工程竣工预验收，定期的现场施工调度会；参加发包人主持的竣工验收工作；竣工后保修阶段的服务以及发包人赋予的其他有关权利。 </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（2）工程变更和签证授权</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涉及设计变更和签证单的签字，监理人的总监工程师签字后应在24小时内送交委托人工地代表核准。其中，涉及到费用增加的签证单，监理人应在签字前通知委托人的工地代表，确认是否需要征得委托人同意，否则，因监理人签证所发生的增加费用，委托人将不予认可。</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w:t>
      </w:r>
      <w:r>
        <w:rPr>
          <w:rFonts w:hint="eastAsia" w:ascii="宋体" w:hAnsi="宋体" w:cs="宋体"/>
          <w:color w:val="000000" w:themeColor="text1"/>
          <w:sz w:val="24"/>
          <w:u w:val="single"/>
          <w14:textFill>
            <w14:solidFill>
              <w14:schemeClr w14:val="tx1"/>
            </w14:solidFill>
          </w14:textFill>
        </w:rPr>
        <w:t xml:space="preserve">监理人在征得委托人代表同意的前提下，有权要求承包人调换其人员。</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4.2 监理人员</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总监理工程师：</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姓    名：</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职    务：</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监理工程师执业资格证书号：</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联系电话：</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电子信箱：</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通信地址：</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关于监理人的其他约定：</w:t>
      </w:r>
      <w:r>
        <w:rPr>
          <w:rFonts w:hint="eastAsia" w:ascii="宋体" w:hAnsi="宋体" w:cs="宋体"/>
          <w:color w:val="000000" w:themeColor="text1"/>
          <w:sz w:val="24"/>
          <w:u w:val="single"/>
          <w14:textFill>
            <w14:solidFill>
              <w14:schemeClr w14:val="tx1"/>
            </w14:solidFill>
          </w14:textFill>
        </w:rPr>
        <w:t xml:space="preserve">详见本工程监理合同（发包人在承包人进场时提供）。</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4.4 商定或确定</w:t>
      </w:r>
      <w:r/>
    </w:p>
    <w:p>
      <w:pPr>
        <w:ind w:firstLine="480"/>
        <w:spacing w:line="360" w:lineRule="auto"/>
        <w:rPr>
          <w:rFonts w:ascii="宋体" w:hAnsi="宋体" w:cs="宋体"/>
          <w:color w:val="000000" w:themeColor="text1"/>
          <w:sz w:val="24"/>
          <w14:textFill>
            <w14:solidFill>
              <w14:schemeClr w14:val="tx1"/>
            </w14:solidFill>
          </w14:textFill>
        </w:rPr>
      </w:pPr>
      <w:r/>
      <w:bookmarkStart w:id="75" w:name="_Toc267251418"/>
      <w:r>
        <w:rPr>
          <w:rFonts w:hint="eastAsia" w:ascii="宋体" w:hAnsi="宋体" w:cs="宋体"/>
          <w:color w:val="000000" w:themeColor="text1"/>
          <w:sz w:val="24"/>
          <w14:textFill>
            <w14:solidFill>
              <w14:schemeClr w14:val="tx1"/>
            </w14:solidFill>
          </w14:textFill>
        </w:rPr>
        <w:t xml:space="preserve">在发包人和承包人不能通过协商达成一致意见时，发包人授权监理人对以下事项进行确定：</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w:t>
      </w:r>
      <w:r>
        <w:rPr>
          <w:rFonts w:hint="eastAsia" w:ascii="宋体" w:hAnsi="宋体" w:cs="宋体"/>
          <w:color w:val="000000" w:themeColor="text1"/>
          <w:sz w:val="24"/>
          <w:u w:val="single"/>
          <w14:textFill>
            <w14:solidFill>
              <w14:schemeClr w14:val="tx1"/>
            </w14:solidFill>
          </w14:textFill>
        </w:rPr>
        <w:t xml:space="preserve"> 总监理工程师在对合同内涉及费用变化的任何事项进行商定或确定时，必须取得发包人的书面确认，否则无效。</w:t>
      </w:r>
      <w:r/>
    </w:p>
    <w:p>
      <w:pPr>
        <w:pStyle w:val="978"/>
        <w:spacing w:before="0" w:after="0" w:line="360" w:lineRule="auto"/>
        <w:rPr>
          <w:rFonts w:ascii="宋体" w:hAnsi="宋体" w:eastAsia="宋体" w:cs="宋体"/>
          <w:b w:val="0"/>
          <w:color w:val="000000" w:themeColor="text1"/>
          <w:sz w:val="24"/>
          <w:szCs w:val="24"/>
          <w14:textFill>
            <w14:solidFill>
              <w14:schemeClr w14:val="tx1"/>
            </w14:solidFill>
          </w14:textFill>
        </w:rPr>
      </w:pPr>
      <w:r/>
      <w:bookmarkStart w:id="76" w:name="_Toc351203637"/>
      <w:r>
        <w:rPr>
          <w:rFonts w:hint="eastAsia" w:ascii="宋体" w:hAnsi="宋体" w:eastAsia="宋体" w:cs="宋体"/>
          <w:b w:val="0"/>
          <w:color w:val="000000" w:themeColor="text1"/>
          <w:sz w:val="24"/>
          <w:szCs w:val="24"/>
          <w14:textFill>
            <w14:solidFill>
              <w14:schemeClr w14:val="tx1"/>
            </w14:solidFill>
          </w14:textFill>
        </w:rPr>
        <w:t xml:space="preserve">5</w:t>
      </w:r>
      <w:bookmarkEnd w:id="75"/>
      <w:r/>
      <w:bookmarkStart w:id="77" w:name="_Toc292559367"/>
      <w:r/>
      <w:bookmarkStart w:id="78" w:name="_Toc292559872"/>
      <w:r/>
      <w:bookmarkStart w:id="79" w:name="_Toc297048349"/>
      <w:r/>
      <w:bookmarkStart w:id="80" w:name="_Toc296503163"/>
      <w:r/>
      <w:bookmarkStart w:id="81" w:name="_Toc296346664"/>
      <w:r/>
      <w:bookmarkStart w:id="82" w:name="_Toc296944502"/>
      <w:r/>
      <w:bookmarkStart w:id="83" w:name="_Toc297120463"/>
      <w:r/>
      <w:bookmarkStart w:id="84" w:name="_Toc296891203"/>
      <w:r/>
      <w:bookmarkStart w:id="85" w:name="_Toc296347162"/>
      <w:r/>
      <w:bookmarkStart w:id="86" w:name="_Toc296890991"/>
      <w:r>
        <w:rPr>
          <w:rFonts w:hint="eastAsia" w:ascii="宋体" w:hAnsi="宋体" w:eastAsia="宋体" w:cs="宋体"/>
          <w:b w:val="0"/>
          <w:color w:val="000000" w:themeColor="text1"/>
          <w:sz w:val="24"/>
          <w:szCs w:val="24"/>
          <w14:textFill>
            <w14:solidFill>
              <w14:schemeClr w14:val="tx1"/>
            </w14:solidFill>
          </w14:textFill>
        </w:rPr>
        <w:t xml:space="preserve">. 工程质量</w:t>
      </w:r>
      <w:bookmarkEnd w:id="76"/>
      <w:r/>
      <w:r/>
    </w:p>
    <w:p>
      <w:pPr>
        <w:ind w:firstLine="480"/>
        <w:spacing w:line="360" w:lineRule="auto"/>
        <w:rPr>
          <w:rFonts w:ascii="宋体" w:hAnsi="宋体" w:cs="宋体"/>
          <w:color w:val="000000" w:themeColor="text1"/>
          <w:sz w:val="24"/>
          <w14:textFill>
            <w14:solidFill>
              <w14:schemeClr w14:val="tx1"/>
            </w14:solidFill>
          </w14:textFill>
        </w:rPr>
        <w:outlineLvl w:val="0"/>
      </w:pPr>
      <w:r>
        <w:rPr>
          <w:rFonts w:hint="eastAsia" w:ascii="宋体" w:hAnsi="宋体" w:cs="宋体"/>
          <w:color w:val="000000" w:themeColor="text1"/>
          <w:sz w:val="24"/>
          <w14:textFill>
            <w14:solidFill>
              <w14:schemeClr w14:val="tx1"/>
            </w14:solidFill>
          </w14:textFill>
        </w:rPr>
        <w:t xml:space="preserve">5.1质量要求</w:t>
      </w:r>
      <w:r/>
    </w:p>
    <w:p>
      <w:pPr>
        <w:pStyle w:val="1221"/>
        <w:ind w:firstLine="460"/>
        <w:spacing w:line="360" w:lineRule="auto"/>
        <w:rPr>
          <w:rFonts w:ascii="宋体" w:hAnsi="宋体" w:cs="宋体"/>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5</w:t>
      </w:r>
      <w:bookmarkStart w:id="87" w:name="_Toc318581164"/>
      <w:r/>
      <w:bookmarkStart w:id="88" w:name="_Toc312677997"/>
      <w:r/>
      <w:bookmarkStart w:id="89" w:name="_Toc303539106"/>
      <w:r/>
      <w:bookmarkStart w:id="90" w:name="_Toc304295527"/>
      <w:r/>
      <w:bookmarkStart w:id="91" w:name="_Toc300934949"/>
      <w:r/>
      <w:bookmarkStart w:id="92" w:name="_Toc297216155"/>
      <w:r/>
      <w:bookmarkStart w:id="93" w:name="_Toc297123496"/>
      <w:r>
        <w:rPr>
          <w:rFonts w:hint="eastAsia" w:ascii="宋体" w:hAnsi="宋体" w:cs="宋体"/>
          <w:color w:val="000000" w:themeColor="text1"/>
          <w:sz w:val="24"/>
          <w:szCs w:val="24"/>
          <w14:textFill>
            <w14:solidFill>
              <w14:schemeClr w14:val="tx1"/>
            </w14:solidFill>
          </w14:textFill>
        </w:rPr>
        <w:t xml:space="preserve">.1.1 特殊质量标准和要求：</w:t>
      </w:r>
      <w:r>
        <w:rPr>
          <w:rFonts w:hint="eastAsia" w:ascii="宋体" w:hAnsi="宋体" w:cs="宋体"/>
          <w:color w:val="000000" w:themeColor="text1"/>
          <w:sz w:val="24"/>
          <w:szCs w:val="24"/>
          <w:u w:val="single"/>
          <w14:textFill>
            <w14:solidFill>
              <w14:schemeClr w14:val="tx1"/>
            </w14:solidFill>
          </w14:textFill>
        </w:rPr>
        <w:t xml:space="preserve">严格按照《</w:t>
      </w:r>
      <w:r>
        <w:rPr>
          <w:rFonts w:hint="eastAsia" w:ascii="宋体" w:hAnsi="宋体" w:cs="宋体"/>
          <w:color w:val="000000" w:themeColor="text1"/>
          <w:sz w:val="24"/>
          <w:szCs w:val="24"/>
          <w:u w:val="single"/>
          <w:lang w:eastAsia="zh-CN"/>
          <w14:textFill>
            <w14:solidFill>
              <w14:schemeClr w14:val="tx1"/>
            </w14:solidFill>
          </w14:textFill>
        </w:rPr>
        <w:t xml:space="preserve">市政公用工程</w:t>
      </w:r>
      <w:r>
        <w:rPr>
          <w:rFonts w:hint="eastAsia" w:ascii="宋体" w:hAnsi="宋体" w:cs="宋体"/>
          <w:color w:val="000000" w:themeColor="text1"/>
          <w:sz w:val="24"/>
          <w:szCs w:val="24"/>
          <w:u w:val="single"/>
          <w14:textFill>
            <w14:solidFill>
              <w14:schemeClr w14:val="tx1"/>
            </w14:solidFill>
          </w14:textFill>
        </w:rPr>
        <w:t xml:space="preserve">施工质量验收统一标准》GB50300-2001执行。对不符合国家现行质量验收标准及图纸要求，所发生的一切责任和费用以及由此给发包人造成的经济损失由承包人承担。</w:t>
      </w:r>
      <w:r/>
    </w:p>
    <w:p>
      <w:pPr>
        <w:pStyle w:val="1221"/>
        <w:ind w:firstLine="460"/>
        <w:spacing w:line="360" w:lineRule="auto"/>
        <w:rPr>
          <w:rFonts w:ascii="宋体" w:hAnsi="宋体" w:cs="宋体"/>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u w:val="single"/>
          <w14:textFill>
            <w14:solidFill>
              <w14:schemeClr w14:val="tx1"/>
            </w14:solidFill>
          </w14:textFill>
        </w:rPr>
        <w:t xml:space="preserve">①承包人必须按发包人批准的施工组织设计、分项工程及关键部位的专项施工方案施工，现场放线后，须经监理、发包人专业工程师复核后才能施工，严把工序报验关。</w:t>
      </w:r>
      <w:r/>
    </w:p>
    <w:p>
      <w:pPr>
        <w:pStyle w:val="1221"/>
        <w:ind w:firstLine="460"/>
        <w:spacing w:line="360" w:lineRule="auto"/>
        <w:rPr>
          <w:rFonts w:ascii="宋体" w:hAnsi="宋体" w:cs="宋体"/>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u w:val="single"/>
          <w14:textFill>
            <w14:solidFill>
              <w14:schemeClr w14:val="tx1"/>
            </w14:solidFill>
          </w14:textFill>
        </w:rPr>
        <w:t xml:space="preserve">②现场钢筋成形场地必须硬化，避免钢筋污染。</w:t>
      </w:r>
      <w:r/>
    </w:p>
    <w:p>
      <w:pPr>
        <w:pStyle w:val="1221"/>
        <w:ind w:firstLine="460"/>
        <w:spacing w:line="360" w:lineRule="auto"/>
        <w:rPr>
          <w:rFonts w:ascii="宋体" w:hAnsi="宋体" w:cs="宋体"/>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u w:val="single"/>
          <w14:textFill>
            <w14:solidFill>
              <w14:schemeClr w14:val="tx1"/>
            </w14:solidFill>
          </w14:textFill>
        </w:rPr>
        <w:t xml:space="preserve">③施工过程中若出现质量事故，承包人必须立即上报监理及发包人，发包人视情况严重性上报质监、行业监管部门，查明原因，要求承包人停工整改，工期不得顺延，同时承包人须承担1-5万元的违约金，承包人须赔偿发包人由此造成的一切经济损失，直至清退出场。</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关于工程奖项的约定：</w:t>
      </w:r>
      <w:r>
        <w:rPr>
          <w:rFonts w:hint="eastAsia" w:ascii="宋体" w:hAnsi="宋体" w:cs="宋体"/>
          <w:color w:val="000000" w:themeColor="text1"/>
          <w:sz w:val="24"/>
          <w:u w:val="single"/>
          <w14:textFill>
            <w14:solidFill>
              <w14:schemeClr w14:val="tx1"/>
            </w14:solidFill>
          </w14:textFill>
        </w:rPr>
        <w:t xml:space="preserve">     /     </w:t>
      </w:r>
      <w:r>
        <w:rPr>
          <w:rFonts w:hint="eastAsia" w:ascii="宋体" w:hAnsi="宋体" w:cs="宋体"/>
          <w:color w:val="000000" w:themeColor="text1"/>
          <w:sz w:val="24"/>
          <w14:textFill>
            <w14:solidFill>
              <w14:schemeClr w14:val="tx1"/>
            </w14:solidFill>
          </w14:textFill>
        </w:rPr>
        <w:t xml:space="preserve">。</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5.3 隐蔽工程检查</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承包人提前通知监理人隐蔽工程检查的期限的约定：工程具备隐蔽条件或达到专用条款约定的中间验收部位，承包人进行自检，并在隐蔽或中间验收前48小时前以书面形式通知发</w:t>
      </w:r>
      <w:r>
        <w:rPr>
          <w:rFonts w:hint="eastAsia" w:ascii="宋体" w:hAnsi="宋体" w:cs="宋体"/>
          <w:color w:val="000000" w:themeColor="text1"/>
          <w:sz w:val="24"/>
          <w:u w:val="single"/>
          <w14:textFill>
            <w14:solidFill>
              <w14:schemeClr w14:val="tx1"/>
            </w14:solidFill>
          </w14:textFill>
        </w:rPr>
        <w:t xml:space="preserve">包人代表和监理工程师参加验收。通知包括隐蔽和中间验收的内容、 验收时间和 地点。承包人准备验收记录，验收合格，发包人代表及监理工程师在验收记录上签字后，方可进行隐蔽和继续施工。如果承包人不通知发包人代表和监理工程师参加验收而自行隐蔽，发包人代表和监理工程师有权要求承包人进行剥离或开孔，且不论最终验收结果如何，发包人均不承担损失和顺延工期。验收不合格，承包人在限定时间内整改并重新组织验收，承包人承担因此发生的全部费用，工期不予顺延。承包人不服从质量管理的，业主有权清退其出场，承包人并赔偿因此而造成的一切损失。</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监理人不能按时进行检查时，应提前</w:t>
      </w:r>
      <w:r>
        <w:rPr>
          <w:rFonts w:hint="eastAsia" w:ascii="宋体" w:hAnsi="宋体" w:cs="宋体"/>
          <w:color w:val="000000" w:themeColor="text1"/>
          <w:sz w:val="24"/>
          <w:u w:val="single"/>
          <w14:textFill>
            <w14:solidFill>
              <w14:schemeClr w14:val="tx1"/>
            </w14:solidFill>
          </w14:textFill>
        </w:rPr>
        <w:t xml:space="preserve"> 24 </w:t>
      </w:r>
      <w:r>
        <w:rPr>
          <w:rFonts w:hint="eastAsia" w:ascii="宋体" w:hAnsi="宋体" w:cs="宋体"/>
          <w:color w:val="000000" w:themeColor="text1"/>
          <w:sz w:val="24"/>
          <w14:textFill>
            <w14:solidFill>
              <w14:schemeClr w14:val="tx1"/>
            </w14:solidFill>
          </w14:textFill>
        </w:rPr>
        <w:t xml:space="preserve">小时提交书面延期要求。</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关于延期最长不得超过：</w:t>
      </w:r>
      <w:r>
        <w:rPr>
          <w:rFonts w:hint="eastAsia" w:ascii="宋体" w:hAnsi="宋体" w:cs="宋体"/>
          <w:color w:val="000000" w:themeColor="text1"/>
          <w:sz w:val="24"/>
          <w:u w:val="single"/>
          <w14:textFill>
            <w14:solidFill>
              <w14:schemeClr w14:val="tx1"/>
            </w14:solidFill>
          </w14:textFill>
        </w:rPr>
        <w:t xml:space="preserve">48</w:t>
      </w:r>
      <w:r>
        <w:rPr>
          <w:rFonts w:hint="eastAsia" w:ascii="宋体" w:hAnsi="宋体" w:cs="宋体"/>
          <w:color w:val="000000" w:themeColor="text1"/>
          <w:sz w:val="24"/>
          <w14:textFill>
            <w14:solidFill>
              <w14:schemeClr w14:val="tx1"/>
            </w14:solidFill>
          </w14:textFill>
        </w:rPr>
        <w:t xml:space="preserve">小时。</w:t>
      </w:r>
      <w:r/>
    </w:p>
    <w:p>
      <w:pPr>
        <w:pStyle w:val="978"/>
        <w:spacing w:before="0" w:after="0" w:line="360" w:lineRule="auto"/>
        <w:rPr>
          <w:rFonts w:ascii="宋体" w:hAnsi="宋体" w:eastAsia="宋体" w:cs="宋体"/>
          <w:b w:val="0"/>
          <w:color w:val="000000" w:themeColor="text1"/>
          <w:sz w:val="24"/>
          <w:szCs w:val="24"/>
          <w14:textFill>
            <w14:solidFill>
              <w14:schemeClr w14:val="tx1"/>
            </w14:solidFill>
          </w14:textFill>
        </w:rPr>
      </w:pPr>
      <w:r/>
      <w:bookmarkStart w:id="94" w:name="_Toc351203638"/>
      <w:r>
        <w:rPr>
          <w:rFonts w:hint="eastAsia" w:ascii="宋体" w:hAnsi="宋体" w:eastAsia="宋体" w:cs="宋体"/>
          <w:b w:val="0"/>
          <w:color w:val="000000" w:themeColor="text1"/>
          <w:sz w:val="24"/>
          <w:szCs w:val="24"/>
          <w14:textFill>
            <w14:solidFill>
              <w14:schemeClr w14:val="tx1"/>
            </w14:solidFill>
          </w14:textFill>
        </w:rPr>
        <w:t xml:space="preserve">6. 安全文明施工与环境保护</w:t>
      </w:r>
      <w:bookmarkEnd w:id="94"/>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6.1安全文明施工</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扬尘治理按徐建价2018年1号文执行，2号文计取。</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6.1.1 项目安全生产的达标目标及相应事项的定：</w:t>
      </w:r>
      <w:r>
        <w:rPr>
          <w:rFonts w:hint="eastAsia" w:ascii="宋体" w:hAnsi="宋体" w:cs="宋体"/>
          <w:color w:val="000000" w:themeColor="text1"/>
          <w:sz w:val="24"/>
          <w:u w:val="single"/>
          <w14:textFill>
            <w14:solidFill>
              <w14:schemeClr w14:val="tx1"/>
            </w14:solidFill>
          </w14:textFill>
        </w:rPr>
        <w:t xml:space="preserve">达标目标为《建筑施工安全检查标准》及相关规范标准，其安全文明施工费用已经含在合同价款（即成交价）内；</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开工通知载明的开工日期 5 天前提交安全技术措施或专项施工方案、安全生产责任制度、治安保卫制度及安全生产教育培训制度；在施工和维修整个工程期间，承包人应于工程地点明显位置，日间设置具有警示作用的装置，夜间设置照明装置，在施工现场出入口设置监控装置，或加防护设施，费用由承包人承担。对于工地附近公私建筑、路面、沟渠、街道上下的水电及通讯管线、私有林木植物及人民生命财产者的安全均应采取防范措施。安全防护费已含在合同价款内。</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1）本工程在整个施工期间杜绝一切人身伤亡和重大质量安全事故，如发生上述事故，则视为承包人违约，承包人应接受政府相关部门处罚，承担因事故造成的一切损失和责任，并向发包人承担违约责任。</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2）承包人应服从发包人、监理对施工现场安全施工方面的监管。如发包人或监理发现承包人工作中的安全措施/设施不符合国家、地方、行业及本合同的有关规定，承包人应向发包人承担 2000 元/次的违约金，并在发包人要求期限内整改，发包人有权上报主管部门。 </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3）在本合同实施过程中，承包人应对现场施工人员及现场其他第三人的安全、现场施工秩序、工程保护、环境保护、消防、用电安全等负责，并就工地照明、防护标志和警示信号设置、门卫人员配置等作出具体安排，充分考虑施工的特殊性，确保安全生产无事故，并承担相关的责任和损失。</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4）消防设备:在施工期间，承包人应按需要提供灭火器、沙桶和其它有效的消防设备</w:t>
      </w:r>
      <w:r>
        <w:rPr>
          <w:rFonts w:hint="eastAsia" w:ascii="宋体" w:hAnsi="宋体" w:cs="宋体"/>
          <w:b/>
          <w:color w:val="000000" w:themeColor="text1"/>
          <w:sz w:val="24"/>
          <w:u w:val="single"/>
          <w14:textFill>
            <w14:solidFill>
              <w14:schemeClr w14:val="tx1"/>
            </w14:solidFill>
          </w14:textFill>
        </w:rPr>
        <w:t xml:space="preserve">，</w:t>
      </w:r>
      <w:r>
        <w:rPr>
          <w:rFonts w:hint="eastAsia" w:ascii="宋体" w:hAnsi="宋体" w:cs="宋体"/>
          <w:bCs/>
          <w:color w:val="000000" w:themeColor="text1"/>
          <w:sz w:val="24"/>
          <w:u w:val="single"/>
          <w14:textFill>
            <w14:solidFill>
              <w14:schemeClr w14:val="tx1"/>
            </w14:solidFill>
          </w14:textFill>
        </w:rPr>
        <w:t xml:space="preserve">应符合当地政府法规及其它由工程师规定的要求。</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5）承包人负责在工程施工至竣工前及保修过程中施工现场全部承包方及相应工作人员的安全。发包人不承担承包人及其分包单位雇工或其他人员的伤亡赔偿或补偿责任。</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6）承包人在施工现场的安全管理、教育和安全事故的责任皆由承包人自行承担。</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7）承包人违反安全施工的有关规定，其责任及所发生的一切费用由承包人自行承担。</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8）符合徐州市有关部门规定的标准化施工现场要求，同时应满足市政、市容等相关主管部门的有关规定。并接受总包方及发包方的管理，承包人违反规定所造成的损失和处罚由承包人承担。交工后一周内彻底清洁完毕撤离现场。本工程要求施工期间做好防尘降尘措施，每条道路均配备水车、冲洗设备。 </w:t>
      </w:r>
      <w:r/>
    </w:p>
    <w:p>
      <w:pPr>
        <w:ind w:firstLine="480"/>
        <w:spacing w:line="360" w:lineRule="auto"/>
        <w:rPr>
          <w:rFonts w:ascii="宋体" w:hAnsi="宋体" w:cs="宋体"/>
          <w:bCs/>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9）其他事项执行通用条款。   </w:t>
      </w:r>
      <w:r/>
    </w:p>
    <w:p>
      <w:pPr>
        <w:ind w:firstLine="480"/>
        <w:spacing w:line="360" w:lineRule="auto"/>
        <w:rPr>
          <w:rFonts w:ascii="宋体" w:hAnsi="宋体" w:cs="宋体"/>
          <w:bCs/>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6.1.2关于治安保卫的特别约定：</w:t>
      </w:r>
      <w:r>
        <w:rPr>
          <w:rFonts w:hint="eastAsia" w:ascii="宋体" w:hAnsi="宋体" w:cs="宋体"/>
          <w:bCs/>
          <w:color w:val="000000" w:themeColor="text1"/>
          <w:sz w:val="24"/>
          <w:u w:val="single"/>
          <w14:textFill>
            <w14:solidFill>
              <w14:schemeClr w14:val="tx1"/>
            </w14:solidFill>
          </w14:textFill>
        </w:rPr>
        <w:t xml:space="preserve"> 执行通用条款，并根据发包人和监理人批准的施工组织设计和工程的具体情况采取相应的防护措施承担施工安全保卫工作及夜间施工照明的责任，费用由承包方负责。</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关于编制施工场地治安管理计划的约定：</w:t>
      </w:r>
      <w:r>
        <w:rPr>
          <w:rFonts w:hint="eastAsia" w:ascii="宋体" w:hAnsi="宋体" w:cs="宋体"/>
          <w:color w:val="000000" w:themeColor="text1"/>
          <w:sz w:val="24"/>
          <w:u w:val="single"/>
          <w14:textFill>
            <w14:solidFill>
              <w14:schemeClr w14:val="tx1"/>
            </w14:solidFill>
          </w14:textFill>
        </w:rPr>
        <w:t xml:space="preserve">承包人编制，开工通知载明的开工日期7天前提交施工场地治安管理计划。</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6.1.3 文明施工</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合同当事人对文明施工的要求：</w:t>
      </w:r>
      <w:r>
        <w:rPr>
          <w:rFonts w:hint="eastAsia" w:ascii="宋体" w:hAnsi="宋体" w:cs="宋体"/>
          <w:color w:val="000000" w:themeColor="text1"/>
          <w:sz w:val="24"/>
          <w:u w:val="single"/>
          <w14:textFill>
            <w14:solidFill>
              <w14:schemeClr w14:val="tx1"/>
            </w14:solidFill>
          </w14:textFill>
        </w:rPr>
        <w:t xml:space="preserve">符合徐州市有关部门规定的标准化施工现场要求，同时应满足市政、市容等相关主管部门的有关规定。  </w:t>
      </w:r>
      <w:r/>
    </w:p>
    <w:p>
      <w:pPr>
        <w:ind w:firstLine="480"/>
        <w:spacing w:line="360" w:lineRule="auto"/>
        <w:rPr>
          <w:rFonts w:ascii="宋体" w:hAnsi="宋体" w:cs="宋体"/>
          <w:bCs/>
          <w:color w:val="000000" w:themeColor="text1"/>
          <w:sz w:val="24"/>
          <w:u w:val="single"/>
          <w14:textFill>
            <w14:solidFill>
              <w14:schemeClr w14:val="tx1"/>
            </w14:solidFill>
          </w14:textFill>
        </w:rPr>
      </w:pPr>
      <w:r>
        <w:rPr>
          <w:rFonts w:hint="eastAsia" w:ascii="宋体" w:hAnsi="宋体" w:cs="宋体"/>
          <w:bCs/>
          <w:color w:val="000000" w:themeColor="text1"/>
          <w:sz w:val="24"/>
          <w:u w:val="single"/>
          <w14:textFill>
            <w14:solidFill>
              <w14:schemeClr w14:val="tx1"/>
            </w14:solidFill>
          </w14:textFill>
        </w:rPr>
        <w:t xml:space="preserve">①承包人按当地有关主管部门的规定办理相关手续，并承担相应费用，同时以书面形式通知发包人，承担施工过程中因自身原因造成的罚款。</w:t>
      </w:r>
      <w:r/>
    </w:p>
    <w:p>
      <w:pPr>
        <w:ind w:firstLine="480"/>
        <w:spacing w:line="360" w:lineRule="auto"/>
        <w:rPr>
          <w:rFonts w:ascii="宋体" w:hAnsi="宋体" w:cs="宋体"/>
          <w:bCs/>
          <w:color w:val="000000" w:themeColor="text1"/>
          <w:sz w:val="24"/>
          <w:u w:val="single"/>
          <w14:textFill>
            <w14:solidFill>
              <w14:schemeClr w14:val="tx1"/>
            </w14:solidFill>
          </w14:textFill>
        </w:rPr>
      </w:pPr>
      <w:r>
        <w:rPr>
          <w:rFonts w:hint="eastAsia" w:ascii="宋体" w:hAnsi="宋体" w:cs="宋体"/>
          <w:bCs/>
          <w:color w:val="000000" w:themeColor="text1"/>
          <w:sz w:val="24"/>
          <w:u w:val="single"/>
          <w14:textFill>
            <w14:solidFill>
              <w14:schemeClr w14:val="tx1"/>
            </w14:solidFill>
          </w14:textFill>
        </w:rPr>
        <w:t xml:space="preserve">②承包人应遵守环境保护、和清洁卫生方面的法律、法规、规定以及发包人《建设工程安全文明施工管理办法》的规定，所发生的费用由承包人承担。</w:t>
      </w:r>
      <w:r/>
    </w:p>
    <w:p>
      <w:pPr>
        <w:ind w:firstLine="480"/>
        <w:spacing w:line="360" w:lineRule="auto"/>
        <w:rPr>
          <w:rFonts w:ascii="宋体" w:hAnsi="宋体" w:cs="宋体"/>
          <w:bCs/>
          <w:color w:val="000000" w:themeColor="text1"/>
          <w:sz w:val="24"/>
          <w:u w:val="single"/>
          <w14:textFill>
            <w14:solidFill>
              <w14:schemeClr w14:val="tx1"/>
            </w14:solidFill>
          </w14:textFill>
        </w:rPr>
      </w:pPr>
      <w:r>
        <w:rPr>
          <w:rFonts w:hint="eastAsia" w:ascii="宋体" w:hAnsi="宋体" w:cs="宋体"/>
          <w:bCs/>
          <w:color w:val="000000" w:themeColor="text1"/>
          <w:sz w:val="24"/>
          <w:u w:val="single"/>
          <w14:textFill>
            <w14:solidFill>
              <w14:schemeClr w14:val="tx1"/>
            </w14:solidFill>
          </w14:textFill>
        </w:rPr>
        <w:t xml:space="preserve">③承包人对施工现场的各种粉尘、废水、废气、固体废物和振动、噪声等采取必要的控制措施，及时进行处理并承担相关费用。</w:t>
      </w:r>
      <w:r/>
    </w:p>
    <w:p>
      <w:pPr>
        <w:ind w:firstLine="480"/>
        <w:spacing w:line="360" w:lineRule="auto"/>
        <w:rPr>
          <w:rFonts w:ascii="宋体" w:hAnsi="宋体" w:cs="宋体"/>
          <w:bCs/>
          <w:color w:val="000000" w:themeColor="text1"/>
          <w:sz w:val="24"/>
          <w:u w:val="single"/>
          <w14:textFill>
            <w14:solidFill>
              <w14:schemeClr w14:val="tx1"/>
            </w14:solidFill>
          </w14:textFill>
        </w:rPr>
      </w:pPr>
      <w:r>
        <w:rPr>
          <w:rFonts w:hint="eastAsia" w:ascii="宋体" w:hAnsi="宋体" w:cs="宋体"/>
          <w:bCs/>
          <w:color w:val="000000" w:themeColor="text1"/>
          <w:sz w:val="24"/>
          <w:u w:val="single"/>
          <w14:textFill>
            <w14:solidFill>
              <w14:schemeClr w14:val="tx1"/>
            </w14:solidFill>
          </w14:textFill>
        </w:rPr>
        <w:t xml:space="preserve">④承包人在施工过程中不得将施工范围内的建筑垃圾搬运或投放至施工范围外的其他场地上，一旦发生且承包人不清理或清理不干净，发包人有权委托其它单位或个人清理，所产生的一切费用由承包人承担，发包人在工程款支付时在承包人的工程款中按所发生的费用双倍扣还。</w:t>
      </w:r>
      <w:r/>
    </w:p>
    <w:p>
      <w:pPr>
        <w:ind w:firstLine="480"/>
        <w:spacing w:line="360" w:lineRule="auto"/>
        <w:rPr>
          <w:rFonts w:ascii="宋体" w:hAnsi="宋体" w:cs="宋体"/>
          <w:bCs/>
          <w:color w:val="000000" w:themeColor="text1"/>
          <w:sz w:val="24"/>
          <w:u w:val="single"/>
          <w14:textFill>
            <w14:solidFill>
              <w14:schemeClr w14:val="tx1"/>
            </w14:solidFill>
          </w14:textFill>
        </w:rPr>
      </w:pPr>
      <w:r>
        <w:rPr>
          <w:rFonts w:hint="eastAsia" w:ascii="宋体" w:hAnsi="宋体" w:cs="宋体"/>
          <w:bCs/>
          <w:color w:val="000000" w:themeColor="text1"/>
          <w:sz w:val="24"/>
          <w:u w:val="single"/>
          <w14:textFill>
            <w14:solidFill>
              <w14:schemeClr w14:val="tx1"/>
            </w14:solidFill>
          </w14:textFill>
        </w:rPr>
        <w:t xml:space="preserve">⑤承包人在竣工验收前应将施工场地范围内的建筑垃圾、建筑杂物、临时道路、生活垃圾等清理干净，并及时清除出施工现场，不得弃置在发包人区域范围内。如承包人不清理或清理不干净，发包人有权委托其它单位或个人清理，所产生的一切费用由承包人承担，发包人在工程款结算时在承包人的工程款中按所发生的费用双倍扣还。</w:t>
      </w:r>
      <w:r/>
    </w:p>
    <w:p>
      <w:pPr>
        <w:ind w:firstLine="480"/>
        <w:spacing w:line="360" w:lineRule="auto"/>
        <w:rPr>
          <w:rFonts w:ascii="宋体" w:hAnsi="宋体" w:cs="宋体"/>
          <w:bCs/>
          <w:color w:val="000000" w:themeColor="text1"/>
          <w:sz w:val="24"/>
          <w:u w:val="single"/>
          <w14:textFill>
            <w14:solidFill>
              <w14:schemeClr w14:val="tx1"/>
            </w14:solidFill>
          </w14:textFill>
        </w:rPr>
      </w:pPr>
      <w:r>
        <w:rPr>
          <w:rFonts w:hint="eastAsia" w:ascii="宋体" w:hAnsi="宋体" w:cs="宋体"/>
          <w:bCs/>
          <w:color w:val="000000" w:themeColor="text1"/>
          <w:sz w:val="24"/>
          <w:u w:val="single"/>
          <w14:textFill>
            <w14:solidFill>
              <w14:schemeClr w14:val="tx1"/>
            </w14:solidFill>
          </w14:textFill>
        </w:rPr>
        <w:t xml:space="preserve">⑥现场施工及管理人员均需挂牌进场，否则，发包人有权对承包人处以 50元∕人·次的违约金。</w:t>
      </w:r>
      <w:r/>
    </w:p>
    <w:p>
      <w:pPr>
        <w:pStyle w:val="1030"/>
        <w:ind w:firstLine="480"/>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u w:val="single"/>
          <w14:textFill>
            <w14:solidFill>
              <w14:schemeClr w14:val="tx1"/>
            </w14:solidFill>
          </w14:textFill>
        </w:rPr>
        <w:t xml:space="preserve">⑦扬尘防控环保要求必须符合严格按照《市政府关于印发徐州市2017-2018年秋冬季大气污染防治强化管控方案的通知》（徐政发﹝2017﹞53号）、《关于印发徐州市市区工地扬尘污染管理规范的通知》（徐空气提升办﹝2018﹞11号）和《徐州市2018年大气污染防治攻坚行动方案》、徐城管发【2018】55号文的规定。响应人的扬尘防控环保要求必须符合严格按《徐建价2018年1号》文执行，扬尘污染防治费按江苏省住房和城乡建设厅公告（2018）24号文执行计取。该费用已经包含在响应报价当中，结算不再增加此项费用。</w:t>
      </w:r>
      <w:r/>
    </w:p>
    <w:p>
      <w:pPr>
        <w:ind w:firstLine="480"/>
        <w:spacing w:line="360" w:lineRule="auto"/>
        <w:rPr>
          <w:rFonts w:ascii="宋体" w:hAnsi="宋体" w:cs="宋体"/>
          <w:bCs/>
          <w:color w:val="000000" w:themeColor="text1"/>
          <w:sz w:val="24"/>
          <w:u w:val="single"/>
          <w14:textFill>
            <w14:solidFill>
              <w14:schemeClr w14:val="tx1"/>
            </w14:solidFill>
          </w14:textFill>
        </w:rPr>
      </w:pPr>
      <w:r>
        <w:rPr>
          <w:rFonts w:hint="eastAsia" w:ascii="宋体" w:hAnsi="宋体" w:cs="宋体"/>
          <w:bCs/>
          <w:color w:val="000000" w:themeColor="text1"/>
          <w:sz w:val="24"/>
          <w:u w:val="single"/>
          <w14:textFill>
            <w14:solidFill>
              <w14:schemeClr w14:val="tx1"/>
            </w14:solidFill>
          </w14:textFill>
        </w:rPr>
        <w:t xml:space="preserve">按照《徐州市</w:t>
      </w:r>
      <w:r>
        <w:rPr>
          <w:rFonts w:hint="eastAsia" w:ascii="宋体" w:hAnsi="宋体" w:cs="宋体"/>
          <w:bCs/>
          <w:color w:val="000000" w:themeColor="text1"/>
          <w:sz w:val="24"/>
          <w:u w:val="single"/>
          <w14:textFill>
            <w14:solidFill>
              <w14:schemeClr w14:val="tx1"/>
            </w14:solidFill>
          </w14:textFill>
        </w:rPr>
        <w:t xml:space="preserve">市区扬尘污染防治办法》的要求，开工前7日内向项目所在地环境保护行政主管部门进行排污申报；道路施工工地一律实行封闭施工、防尘网覆盖、定时洒水，控制扬尘污染等安全文明施工措施，制定并落实扬尘污染防治措施；扬尘污染防治设施应当保持完好、正常运行，不得擅自拆除和闲置；确需拆除和闲置的，应当报经环境保护行政主管部门批准；拆除、开挖后的建筑垃圾必须当日清除，并且覆盖运输，如因建筑垃圾未及时清理或运输不当，造成工地周边扬尘及其他给发包人带来不利影响的事件，每查实一次向发包人支付3000元违约金；造成损失的，由承包人承担。</w:t>
      </w:r>
      <w:r/>
    </w:p>
    <w:p>
      <w:pPr>
        <w:ind w:firstLine="480"/>
        <w:spacing w:line="360" w:lineRule="auto"/>
        <w:rPr>
          <w:rFonts w:ascii="宋体" w:hAnsi="宋体" w:cs="宋体"/>
          <w:bCs/>
          <w:color w:val="000000" w:themeColor="text1"/>
          <w:sz w:val="24"/>
          <w:u w:val="single"/>
          <w14:textFill>
            <w14:solidFill>
              <w14:schemeClr w14:val="tx1"/>
            </w14:solidFill>
          </w14:textFill>
        </w:rPr>
      </w:pPr>
      <w:r>
        <w:rPr>
          <w:rFonts w:hint="eastAsia" w:ascii="宋体" w:hAnsi="宋体" w:cs="宋体"/>
          <w:bCs/>
          <w:color w:val="000000" w:themeColor="text1"/>
          <w:sz w:val="24"/>
          <w:u w:val="single"/>
          <w14:textFill>
            <w14:solidFill>
              <w14:schemeClr w14:val="tx1"/>
            </w14:solidFill>
          </w14:textFill>
        </w:rPr>
        <w:t xml:space="preserve">⑧因扬尘治理、环境保护等情况未到达标准，而导致甲方被处罚，甲方将处罚金额从乙方工程款中扣除。</w:t>
      </w:r>
      <w:r/>
    </w:p>
    <w:p>
      <w:pPr>
        <w:ind w:firstLine="480"/>
        <w:spacing w:line="360" w:lineRule="auto"/>
        <w:rPr>
          <w:rFonts w:ascii="宋体" w:hAnsi="宋体" w:cs="宋体"/>
          <w:bCs/>
          <w:color w:val="000000" w:themeColor="text1"/>
          <w:sz w:val="24"/>
          <w:u w:val="single"/>
          <w14:textFill>
            <w14:solidFill>
              <w14:schemeClr w14:val="tx1"/>
            </w14:solidFill>
          </w14:textFill>
        </w:rPr>
      </w:pPr>
      <w:r>
        <w:rPr>
          <w:rFonts w:hint="eastAsia" w:ascii="宋体" w:hAnsi="宋体" w:cs="宋体"/>
          <w:bCs/>
          <w:color w:val="000000" w:themeColor="text1"/>
          <w:sz w:val="24"/>
          <w:u w:val="single"/>
          <w14:textFill>
            <w14:solidFill>
              <w14:schemeClr w14:val="tx1"/>
            </w14:solidFill>
          </w14:textFill>
        </w:rPr>
        <w:t xml:space="preserve">⑨文明施工相关法律、标准和规范的其他要求。</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承包人不得以现场增加投入、赶工等借口拖延工期或申请追加合同金额，否则视为违约。</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6.1.4 关于安全文明施工费支付比例和支付期限的约定：</w:t>
      </w:r>
      <w:r>
        <w:rPr>
          <w:rFonts w:hint="eastAsia" w:ascii="宋体" w:hAnsi="宋体" w:cs="宋体"/>
          <w:color w:val="000000" w:themeColor="text1"/>
          <w:sz w:val="24"/>
          <w:u w:val="single"/>
          <w14:textFill>
            <w14:solidFill>
              <w14:schemeClr w14:val="tx1"/>
            </w14:solidFill>
          </w14:textFill>
        </w:rPr>
        <w:t xml:space="preserve">合同价（即成交价）款中已含，与合同价款同期支付。</w:t>
      </w:r>
      <w:bookmarkEnd w:id="87"/>
      <w:r/>
      <w:bookmarkEnd w:id="88"/>
      <w:r/>
      <w:bookmarkEnd w:id="89"/>
      <w:r/>
      <w:bookmarkEnd w:id="90"/>
      <w:r/>
      <w:bookmarkEnd w:id="91"/>
      <w:r/>
      <w:bookmarkEnd w:id="92"/>
      <w:r/>
      <w:bookmarkEnd w:id="93"/>
      <w:r/>
      <w:r/>
    </w:p>
    <w:p>
      <w:pPr>
        <w:pStyle w:val="978"/>
        <w:spacing w:before="0" w:after="0" w:line="360" w:lineRule="auto"/>
        <w:rPr>
          <w:rFonts w:ascii="宋体" w:hAnsi="宋体" w:eastAsia="宋体" w:cs="宋体"/>
          <w:b w:val="0"/>
          <w:color w:val="000000" w:themeColor="text1"/>
          <w:sz w:val="24"/>
          <w:szCs w:val="24"/>
          <w14:textFill>
            <w14:solidFill>
              <w14:schemeClr w14:val="tx1"/>
            </w14:solidFill>
          </w14:textFill>
        </w:rPr>
      </w:pPr>
      <w:r/>
      <w:bookmarkStart w:id="95" w:name="_Toc351203639"/>
      <w:r>
        <w:rPr>
          <w:rFonts w:hint="eastAsia" w:ascii="宋体" w:hAnsi="宋体" w:eastAsia="宋体" w:cs="宋体"/>
          <w:b w:val="0"/>
          <w:color w:val="000000" w:themeColor="text1"/>
          <w:sz w:val="24"/>
          <w:szCs w:val="24"/>
          <w14:textFill>
            <w14:solidFill>
              <w14:schemeClr w14:val="tx1"/>
            </w14:solidFill>
          </w14:textFill>
        </w:rPr>
        <w:t xml:space="preserve">7. 工期和进度</w:t>
      </w:r>
      <w:bookmarkEnd w:id="95"/>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7.1 施工组织设计</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7.1.1 合同当事人约定的施工组织设计应包括的其他内容：</w:t>
      </w:r>
      <w:r>
        <w:rPr>
          <w:rFonts w:hint="eastAsia" w:ascii="宋体" w:hAnsi="宋体" w:cs="宋体"/>
          <w:color w:val="000000" w:themeColor="text1"/>
          <w:sz w:val="24"/>
          <w:u w:val="single"/>
          <w14:textFill>
            <w14:solidFill>
              <w14:schemeClr w14:val="tx1"/>
            </w14:solidFill>
          </w14:textFill>
        </w:rPr>
        <w:t xml:space="preserve">施工组织设计应包含以下内容：（1）施工方案；（2）施工现场平面布置图；（3）施工进度计划和保证措施；（4）劳动力及材料供应计划；（5）施工机械设备的选用；（6）质量保证体系及措施；（7）安全生产、文明施工措施；（8）环境保护、成本控制措施；（9）合同当事人约定的其他内容。</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7.1.2 施工组织设计的提交和修改</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承包人提交详细施工组织设计的期限的约定：</w:t>
      </w:r>
      <w:r>
        <w:rPr>
          <w:rFonts w:hint="eastAsia" w:ascii="宋体" w:hAnsi="宋体" w:cs="宋体"/>
          <w:color w:val="000000" w:themeColor="text1"/>
          <w:sz w:val="24"/>
          <w:u w:val="single"/>
          <w14:textFill>
            <w14:solidFill>
              <w14:schemeClr w14:val="tx1"/>
            </w14:solidFill>
          </w14:textFill>
        </w:rPr>
        <w:t xml:space="preserve">施工组织设计和总进度计划应于施工前7天提交发包人及监理工程师审批，总进度计划应满足磋商文件和合同对工期的要求，</w:t>
      </w:r>
      <w:r>
        <w:rPr>
          <w:rFonts w:hint="eastAsia" w:ascii="宋体" w:hAnsi="宋体" w:cs="宋体"/>
          <w:color w:val="000000" w:themeColor="text1"/>
          <w:sz w:val="24"/>
          <w:u w:val="single"/>
          <w14:textFill>
            <w14:solidFill>
              <w14:schemeClr w14:val="tx1"/>
            </w14:solidFill>
          </w14:textFill>
        </w:rPr>
        <w:t xml:space="preserve">每周报下周进度计划。发包人和监理人在收到详细的施工组织设计后确认或提出修改意见的期 限：发包人代表和监理工程师应于收到承包人资料48小时内予以确认，逾期不批复，可视为该施工组织设计（施工方案）和进度计划已获批准。承包人必须按照批准的进度计划组织施工，接受发包人代表和监理工程师对进度的检查、监督，当工程实际进展与进度计划不符时，应及时调整，调整后的进度计划及相应的措施报发包人代表和监理工程师批准后执行。承包人执行已审批的施工组织设计（施工方案）和进度计划时，不免除其工期、质量的责任（不可抗力事件除外）。   </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发包人和监理人在收到详细的施工组织设计后确认或提出修改意见的期限：收到后7日内。</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7</w:t>
      </w:r>
      <w:bookmarkStart w:id="96" w:name="_Toc303539123"/>
      <w:r/>
      <w:bookmarkStart w:id="97" w:name="_Toc297216173"/>
      <w:r/>
      <w:bookmarkStart w:id="98" w:name="_Toc304295541"/>
      <w:r/>
      <w:bookmarkStart w:id="99" w:name="_Toc300934966"/>
      <w:r/>
      <w:bookmarkStart w:id="100" w:name="_Toc297123514"/>
      <w:r/>
      <w:bookmarkStart w:id="101" w:name="_Toc312677479"/>
      <w:r/>
      <w:bookmarkStart w:id="102" w:name="_Toc312678005"/>
      <w:r>
        <w:rPr>
          <w:rFonts w:hint="eastAsia" w:ascii="宋体" w:hAnsi="宋体" w:cs="宋体"/>
          <w:color w:val="000000" w:themeColor="text1"/>
          <w:sz w:val="24"/>
          <w14:textFill>
            <w14:solidFill>
              <w14:schemeClr w14:val="tx1"/>
            </w14:solidFill>
          </w14:textFill>
        </w:rPr>
        <w:t xml:space="preserve">.2 施工进度计划</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7.2.2 施工进度计划的修订</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发包人和监理人在收到修订的施工进度计划后确认或提出修改意见的期限：</w:t>
      </w:r>
      <w:r>
        <w:rPr>
          <w:rFonts w:hint="eastAsia" w:ascii="宋体" w:hAnsi="宋体" w:cs="宋体"/>
          <w:color w:val="000000" w:themeColor="text1"/>
          <w:sz w:val="24"/>
          <w:u w:val="single"/>
          <w14:textFill>
            <w14:solidFill>
              <w14:schemeClr w14:val="tx1"/>
            </w14:solidFill>
          </w14:textFill>
        </w:rPr>
        <w:t xml:space="preserve">收到后3日内。 </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施工期间，承包人每月25日前向监理工程师报送下月的“月度工程进度计划表”，经监理工程师审核和发包人代表确认后，应于3日内返回承包人；“月度工程进度计划表”如需修改时，应于当日发回承包人修改，承包人须于次日报送修改稿。</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7.3 开工</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7.3.1 开工准备</w:t>
      </w:r>
      <w:r/>
    </w:p>
    <w:p>
      <w:pPr>
        <w:ind w:firstLine="645"/>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关于承包人提交工程开工报审表的期限：</w:t>
      </w:r>
      <w:r>
        <w:rPr>
          <w:rFonts w:hint="eastAsia" w:ascii="宋体" w:hAnsi="宋体" w:cs="宋体"/>
          <w:color w:val="000000" w:themeColor="text1"/>
          <w:sz w:val="24"/>
          <w:u w:val="single"/>
          <w14:textFill>
            <w14:solidFill>
              <w14:schemeClr w14:val="tx1"/>
            </w14:solidFill>
          </w14:textFill>
        </w:rPr>
        <w:t xml:space="preserve">合同签订后、接到监理方的书面开工指令7日内。 </w:t>
      </w:r>
      <w:r/>
    </w:p>
    <w:p>
      <w:pPr>
        <w:ind w:firstLine="645"/>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关于发包人应完成的其他开工准备工作及期限：</w:t>
      </w:r>
      <w:r>
        <w:rPr>
          <w:rFonts w:hint="eastAsia" w:ascii="宋体" w:hAnsi="宋体" w:cs="宋体"/>
          <w:color w:val="000000" w:themeColor="text1"/>
          <w:sz w:val="24"/>
          <w:u w:val="single"/>
          <w14:textFill>
            <w14:solidFill>
              <w14:schemeClr w14:val="tx1"/>
            </w14:solidFill>
          </w14:textFill>
        </w:rPr>
        <w:t xml:space="preserve">  /  </w:t>
      </w:r>
      <w:r>
        <w:rPr>
          <w:rFonts w:hint="eastAsia" w:ascii="宋体" w:hAnsi="宋体" w:cs="宋体"/>
          <w:color w:val="000000" w:themeColor="text1"/>
          <w:sz w:val="24"/>
          <w14:textFill>
            <w14:solidFill>
              <w14:schemeClr w14:val="tx1"/>
            </w14:solidFill>
          </w14:textFill>
        </w:rPr>
        <w:t xml:space="preserve">。</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关于承包人应完成的其他开工准备工作及期限：</w:t>
      </w:r>
      <w:r>
        <w:rPr>
          <w:rFonts w:hint="eastAsia" w:ascii="宋体" w:hAnsi="宋体" w:cs="宋体"/>
          <w:color w:val="000000" w:themeColor="text1"/>
          <w:sz w:val="24"/>
          <w:u w:val="single"/>
          <w14:textFill>
            <w14:solidFill>
              <w14:schemeClr w14:val="tx1"/>
            </w14:solidFill>
          </w14:textFill>
        </w:rPr>
        <w:t xml:space="preserve">开工报告批准日期之前。</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7.3.2开工通知</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因发包人原因造成监理人未能在计划开工日期之日起</w:t>
      </w:r>
      <w:r>
        <w:rPr>
          <w:rFonts w:hint="eastAsia" w:ascii="宋体" w:hAnsi="宋体" w:cs="宋体"/>
          <w:color w:val="000000" w:themeColor="text1"/>
          <w:sz w:val="24"/>
          <w:u w:val="single"/>
          <w14:textFill>
            <w14:solidFill>
              <w14:schemeClr w14:val="tx1"/>
            </w14:solidFill>
          </w14:textFill>
        </w:rPr>
        <w:t xml:space="preserve"> / </w:t>
      </w:r>
      <w:r>
        <w:rPr>
          <w:rFonts w:hint="eastAsia" w:ascii="宋体" w:hAnsi="宋体" w:cs="宋体"/>
          <w:color w:val="000000" w:themeColor="text1"/>
          <w:sz w:val="24"/>
          <w14:textFill>
            <w14:solidFill>
              <w14:schemeClr w14:val="tx1"/>
            </w14:solidFill>
          </w14:textFill>
        </w:rPr>
        <w:t xml:space="preserve">天内发出开工通知的，承包人有权提出价格调整要求，或者解除合同。</w:t>
      </w:r>
      <w:bookmarkEnd w:id="96"/>
      <w:r/>
      <w:bookmarkEnd w:id="97"/>
      <w:r/>
      <w:bookmarkEnd w:id="98"/>
      <w:r/>
      <w:bookmarkEnd w:id="99"/>
      <w:r/>
      <w:bookmarkEnd w:id="100"/>
      <w:r/>
      <w:bookmarkEnd w:id="101"/>
      <w:r/>
      <w:bookmarkEnd w:id="102"/>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7.4 测量放线</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7.4.1发包人通过监理人向承包人提供测量基准点、基准线和水准点及其书面资料的期限：</w:t>
      </w:r>
      <w:r>
        <w:rPr>
          <w:rFonts w:hint="eastAsia" w:ascii="宋体" w:hAnsi="宋体" w:cs="宋体"/>
          <w:color w:val="000000" w:themeColor="text1"/>
          <w:sz w:val="24"/>
          <w:u w:val="single"/>
          <w14:textFill>
            <w14:solidFill>
              <w14:schemeClr w14:val="tx1"/>
            </w14:solidFill>
          </w14:textFill>
        </w:rPr>
        <w:t xml:space="preserve">①开工前发包人现场确定水准点与坐标控制点位置，承包人负责现场接收。②发包人将水准点与坐标控制点测量成果书面形式交给承包人，成果上所示的所有坐标及标高均由承包人进行校验，如有差错承包人应及时书面通知发包人。③承包人接收后负责保护，此后由于差错不能闭合和点位破坏或丢失造成的损失均由承包人承担。④由发包人工程师或其代表对任何放线或标高进行的检查工作，均不能免除承包人对有关工程的准确程度应负的任何责任。 </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7</w:t>
      </w:r>
      <w:bookmarkStart w:id="103" w:name="_Toc300934968"/>
      <w:r/>
      <w:bookmarkStart w:id="104" w:name="_Toc304295546"/>
      <w:r/>
      <w:bookmarkStart w:id="105" w:name="_Toc312677484"/>
      <w:r/>
      <w:bookmarkStart w:id="106" w:name="_Toc303539125"/>
      <w:r/>
      <w:bookmarkStart w:id="107" w:name="_Toc297123516"/>
      <w:r/>
      <w:bookmarkStart w:id="108" w:name="_Toc312678010"/>
      <w:r/>
      <w:bookmarkStart w:id="109" w:name="_Toc297216175"/>
      <w:r>
        <w:rPr>
          <w:rFonts w:hint="eastAsia" w:ascii="宋体" w:hAnsi="宋体" w:cs="宋体"/>
          <w:color w:val="000000" w:themeColor="text1"/>
          <w:sz w:val="24"/>
          <w14:textFill>
            <w14:solidFill>
              <w14:schemeClr w14:val="tx1"/>
            </w14:solidFill>
          </w14:textFill>
        </w:rPr>
        <w:t xml:space="preserve">.5 工期延误</w:t>
      </w:r>
      <w:bookmarkEnd w:id="103"/>
      <w:r/>
      <w:bookmarkEnd w:id="104"/>
      <w:r/>
      <w:bookmarkEnd w:id="105"/>
      <w:r/>
      <w:bookmarkEnd w:id="106"/>
      <w:r/>
      <w:bookmarkEnd w:id="107"/>
      <w:r/>
      <w:bookmarkEnd w:id="108"/>
      <w:r/>
      <w:bookmarkEnd w:id="109"/>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7.5.1 因发包人原因导致工期延误</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（7）因发包人原因导致工期延误的其他情形：</w:t>
      </w:r>
      <w:r>
        <w:rPr>
          <w:rFonts w:hint="eastAsia" w:ascii="宋体" w:hAnsi="宋体" w:cs="宋体"/>
          <w:color w:val="000000" w:themeColor="text1"/>
          <w:sz w:val="24"/>
          <w:u w:val="single"/>
          <w14:textFill>
            <w14:solidFill>
              <w14:schemeClr w14:val="tx1"/>
            </w14:solidFill>
          </w14:textFill>
        </w:rPr>
        <w:t xml:space="preserve"> /。</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7</w:t>
      </w:r>
      <w:bookmarkStart w:id="110" w:name="_Toc318581169"/>
      <w:r/>
      <w:bookmarkStart w:id="111" w:name="_Toc312677486"/>
      <w:r/>
      <w:bookmarkStart w:id="112" w:name="_Toc312678012"/>
      <w:r/>
      <w:bookmarkStart w:id="113" w:name="_Toc297123518"/>
      <w:r/>
      <w:bookmarkStart w:id="114" w:name="_Toc297216177"/>
      <w:r/>
      <w:bookmarkStart w:id="115" w:name="_Toc303539127"/>
      <w:r/>
      <w:bookmarkStart w:id="116" w:name="_Toc304295548"/>
      <w:r/>
      <w:bookmarkStart w:id="117" w:name="_Toc300934970"/>
      <w:r>
        <w:rPr>
          <w:rFonts w:hint="eastAsia" w:ascii="宋体" w:hAnsi="宋体" w:cs="宋体"/>
          <w:color w:val="000000" w:themeColor="text1"/>
          <w:sz w:val="24"/>
          <w14:textFill>
            <w14:solidFill>
              <w14:schemeClr w14:val="tx1"/>
            </w14:solidFill>
          </w14:textFill>
        </w:rPr>
        <w:t xml:space="preserve">.5.2 因承包人原因导致工期延误</w:t>
      </w:r>
      <w:bookmarkEnd w:id="110"/>
      <w:r/>
      <w:bookmarkEnd w:id="111"/>
      <w:r/>
      <w:bookmarkEnd w:id="112"/>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因</w:t>
      </w:r>
      <w:bookmarkStart w:id="118" w:name="_Toc312677487"/>
      <w:r/>
      <w:bookmarkStart w:id="119" w:name="_Toc318581170"/>
      <w:r/>
      <w:bookmarkStart w:id="120" w:name="_Toc312678013"/>
      <w:r>
        <w:rPr>
          <w:rFonts w:hint="eastAsia" w:ascii="宋体" w:hAnsi="宋体" w:cs="宋体"/>
          <w:color w:val="000000" w:themeColor="text1"/>
          <w:sz w:val="24"/>
          <w14:textFill>
            <w14:solidFill>
              <w14:schemeClr w14:val="tx1"/>
            </w14:solidFill>
          </w14:textFill>
        </w:rPr>
        <w:t xml:space="preserve">承包人原因造成工期延误，逾期竣工违约金的计算方法为：</w:t>
      </w:r>
      <w:bookmarkEnd w:id="113"/>
      <w:r/>
      <w:bookmarkEnd w:id="114"/>
      <w:r/>
      <w:bookmarkEnd w:id="115"/>
      <w:r/>
      <w:bookmarkEnd w:id="116"/>
      <w:r/>
      <w:bookmarkEnd w:id="117"/>
      <w:r/>
      <w:bookmarkEnd w:id="118"/>
      <w:r/>
      <w:bookmarkEnd w:id="119"/>
      <w:r/>
      <w:bookmarkEnd w:id="120"/>
      <w:r>
        <w:rPr>
          <w:rFonts w:hint="eastAsia" w:ascii="宋体" w:hAnsi="宋体" w:cs="宋体"/>
          <w:color w:val="000000" w:themeColor="text1"/>
          <w:sz w:val="24"/>
          <w:u w:val="single"/>
          <w14:textFill>
            <w14:solidFill>
              <w14:schemeClr w14:val="tx1"/>
            </w14:solidFill>
          </w14:textFill>
        </w:rPr>
        <w:t xml:space="preserve">每延误一天，由承包人向发包人按合同价款的千分之一/天支付违约金。</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因承包人原因造成工期延误，逾</w:t>
      </w:r>
      <w:bookmarkStart w:id="121" w:name="_Toc312678014"/>
      <w:r/>
      <w:bookmarkStart w:id="122" w:name="_Toc318581171"/>
      <w:r>
        <w:rPr>
          <w:rFonts w:hint="eastAsia" w:ascii="宋体" w:hAnsi="宋体" w:cs="宋体"/>
          <w:color w:val="000000" w:themeColor="text1"/>
          <w:sz w:val="24"/>
          <w14:textFill>
            <w14:solidFill>
              <w14:schemeClr w14:val="tx1"/>
            </w14:solidFill>
          </w14:textFill>
        </w:rPr>
        <w:t xml:space="preserve">期竣工违约金的上限：</w:t>
      </w:r>
      <w:r>
        <w:rPr>
          <w:rFonts w:hint="eastAsia" w:ascii="宋体" w:hAnsi="宋体" w:cs="宋体"/>
          <w:color w:val="000000" w:themeColor="text1"/>
          <w:sz w:val="24"/>
          <w:u w:val="single"/>
          <w14:textFill>
            <w14:solidFill>
              <w14:schemeClr w14:val="tx1"/>
            </w14:solidFill>
          </w14:textFill>
        </w:rPr>
        <w:t xml:space="preserve">总额不超过合同价款的 20%。 </w:t>
      </w:r>
      <w:bookmarkEnd w:id="121"/>
      <w:r/>
      <w:bookmarkEnd w:id="122"/>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7</w:t>
      </w:r>
      <w:bookmarkStart w:id="123" w:name="_Toc304295549"/>
      <w:r/>
      <w:bookmarkStart w:id="124" w:name="_Toc312678015"/>
      <w:r/>
      <w:bookmarkStart w:id="125" w:name="_Toc303539128"/>
      <w:r/>
      <w:bookmarkStart w:id="126" w:name="_Toc297216178"/>
      <w:r/>
      <w:bookmarkStart w:id="127" w:name="_Toc300934971"/>
      <w:r/>
      <w:bookmarkStart w:id="128" w:name="_Toc297123519"/>
      <w:r>
        <w:rPr>
          <w:rFonts w:hint="eastAsia" w:ascii="宋体" w:hAnsi="宋体" w:cs="宋体"/>
          <w:color w:val="000000" w:themeColor="text1"/>
          <w:sz w:val="24"/>
          <w14:textFill>
            <w14:solidFill>
              <w14:schemeClr w14:val="tx1"/>
            </w14:solidFill>
          </w14:textFill>
        </w:rPr>
        <w:t xml:space="preserve">.6 不</w:t>
      </w:r>
      <w:bookmarkEnd w:id="123"/>
      <w:r/>
      <w:bookmarkEnd w:id="124"/>
      <w:r/>
      <w:bookmarkEnd w:id="125"/>
      <w:r/>
      <w:bookmarkEnd w:id="126"/>
      <w:r/>
      <w:bookmarkEnd w:id="127"/>
      <w:r/>
      <w:bookmarkEnd w:id="128"/>
      <w:r>
        <w:rPr>
          <w:rFonts w:hint="eastAsia" w:ascii="宋体" w:hAnsi="宋体" w:cs="宋体"/>
          <w:color w:val="000000" w:themeColor="text1"/>
          <w:sz w:val="24"/>
          <w14:textFill>
            <w14:solidFill>
              <w14:schemeClr w14:val="tx1"/>
            </w14:solidFill>
          </w14:textFill>
        </w:rPr>
        <w:t xml:space="preserve">利物质条件</w:t>
      </w:r>
      <w:r/>
    </w:p>
    <w:p>
      <w:pPr>
        <w:ind w:firstLine="480"/>
        <w:spacing w:line="360" w:lineRule="auto"/>
        <w:rPr>
          <w:rFonts w:ascii="宋体" w:hAnsi="宋体" w:cs="宋体"/>
          <w:color w:val="000000" w:themeColor="text1"/>
          <w:sz w:val="24"/>
          <w14:textFill>
            <w14:solidFill>
              <w14:schemeClr w14:val="tx1"/>
            </w14:solidFill>
          </w14:textFill>
        </w:rPr>
      </w:pPr>
      <w:r/>
      <w:bookmarkStart w:id="129" w:name="_Toc300934972"/>
      <w:r/>
      <w:bookmarkStart w:id="130" w:name="_Toc318581172"/>
      <w:r/>
      <w:bookmarkStart w:id="131" w:name="_Toc297216179"/>
      <w:r/>
      <w:bookmarkStart w:id="132" w:name="_Toc312678016"/>
      <w:r/>
      <w:bookmarkStart w:id="133" w:name="_Toc304295550"/>
      <w:r/>
      <w:bookmarkStart w:id="134" w:name="_Toc297123520"/>
      <w:r/>
      <w:bookmarkStart w:id="135" w:name="_Toc303539129"/>
      <w:r>
        <w:rPr>
          <w:rFonts w:hint="eastAsia" w:ascii="宋体" w:hAnsi="宋体" w:cs="宋体"/>
          <w:color w:val="000000" w:themeColor="text1"/>
          <w:sz w:val="24"/>
          <w14:textFill>
            <w14:solidFill>
              <w14:schemeClr w14:val="tx1"/>
            </w14:solidFill>
          </w14:textFill>
        </w:rPr>
        <w:t xml:space="preserve">不利物质条件的其他情形和有关约定：</w:t>
      </w:r>
      <w:r>
        <w:rPr>
          <w:rFonts w:hint="eastAsia" w:ascii="宋体" w:hAnsi="宋体" w:cs="宋体"/>
          <w:color w:val="000000" w:themeColor="text1"/>
          <w:sz w:val="24"/>
          <w:u w:val="single"/>
          <w14:textFill>
            <w14:solidFill>
              <w14:schemeClr w14:val="tx1"/>
            </w14:solidFill>
          </w14:textFill>
        </w:rPr>
        <w:t xml:space="preserve">执行通用条款。</w:t>
      </w:r>
      <w:bookmarkEnd w:id="129"/>
      <w:r/>
      <w:bookmarkEnd w:id="130"/>
      <w:r/>
      <w:bookmarkEnd w:id="131"/>
      <w:r/>
      <w:bookmarkEnd w:id="132"/>
      <w:r/>
      <w:bookmarkEnd w:id="133"/>
      <w:r/>
      <w:bookmarkEnd w:id="134"/>
      <w:r/>
      <w:bookmarkEnd w:id="135"/>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7</w:t>
      </w:r>
      <w:bookmarkStart w:id="136" w:name="_Toc303539130"/>
      <w:r/>
      <w:bookmarkStart w:id="137" w:name="_Toc297123521"/>
      <w:r/>
      <w:bookmarkStart w:id="138" w:name="_Toc297216180"/>
      <w:r/>
      <w:bookmarkStart w:id="139" w:name="_Toc304295551"/>
      <w:r/>
      <w:bookmarkStart w:id="140" w:name="_Toc312678017"/>
      <w:r/>
      <w:bookmarkStart w:id="141" w:name="_Toc300934973"/>
      <w:r>
        <w:rPr>
          <w:rFonts w:hint="eastAsia" w:ascii="宋体" w:hAnsi="宋体" w:cs="宋体"/>
          <w:color w:val="000000" w:themeColor="text1"/>
          <w:sz w:val="24"/>
          <w14:textFill>
            <w14:solidFill>
              <w14:schemeClr w14:val="tx1"/>
            </w14:solidFill>
          </w14:textFill>
        </w:rPr>
        <w:t xml:space="preserve">.7异常恶劣的气候条件</w:t>
      </w:r>
      <w:bookmarkEnd w:id="136"/>
      <w:r/>
      <w:bookmarkEnd w:id="137"/>
      <w:r/>
      <w:bookmarkEnd w:id="138"/>
      <w:r/>
      <w:bookmarkEnd w:id="139"/>
      <w:r/>
      <w:bookmarkEnd w:id="140"/>
      <w:r/>
      <w:bookmarkEnd w:id="141"/>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发包人和承包人同意以下情形视为异常恶劣的气候条件：</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w:t>
      </w:r>
      <w:r>
        <w:rPr>
          <w:rFonts w:hint="eastAsia" w:ascii="宋体" w:hAnsi="宋体" w:cs="宋体"/>
          <w:color w:val="000000" w:themeColor="text1"/>
          <w:sz w:val="24"/>
          <w:u w:val="single"/>
          <w14:textFill>
            <w14:solidFill>
              <w14:schemeClr w14:val="tx1"/>
            </w14:solidFill>
          </w14:textFill>
        </w:rPr>
        <w:t xml:space="preserve"> 异常恶劣的气候条件的认定标准，以政府有关部门的规定为准。 </w:t>
      </w:r>
      <w:r/>
    </w:p>
    <w:p>
      <w:pPr>
        <w:ind w:firstLine="480"/>
        <w:spacing w:line="360" w:lineRule="auto"/>
        <w:rPr>
          <w:rFonts w:ascii="宋体" w:hAnsi="宋体" w:cs="宋体"/>
          <w:color w:val="000000" w:themeColor="text1"/>
          <w:sz w:val="24"/>
          <w14:textFill>
            <w14:solidFill>
              <w14:schemeClr w14:val="tx1"/>
            </w14:solidFill>
          </w14:textFill>
        </w:rPr>
        <w:outlineLvl w:val="0"/>
      </w:pPr>
      <w:r>
        <w:rPr>
          <w:rFonts w:hint="eastAsia" w:ascii="宋体" w:hAnsi="宋体" w:cs="宋体"/>
          <w:color w:val="000000" w:themeColor="text1"/>
          <w:sz w:val="24"/>
          <w14:textFill>
            <w14:solidFill>
              <w14:schemeClr w14:val="tx1"/>
            </w14:solidFill>
          </w14:textFill>
        </w:rPr>
        <w:t xml:space="preserve">7.9 提前竣工的奖励</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7.9.2提前竣工的奖励：</w:t>
      </w:r>
      <w:r>
        <w:rPr>
          <w:rFonts w:hint="eastAsia" w:ascii="宋体" w:hAnsi="宋体" w:cs="宋体"/>
          <w:color w:val="000000" w:themeColor="text1"/>
          <w:sz w:val="24"/>
          <w:u w:val="single"/>
          <w14:textFill>
            <w14:solidFill>
              <w14:schemeClr w14:val="tx1"/>
            </w14:solidFill>
          </w14:textFill>
        </w:rPr>
        <w:t xml:space="preserve">  /   </w:t>
      </w:r>
      <w:r>
        <w:rPr>
          <w:rFonts w:hint="eastAsia" w:ascii="宋体" w:hAnsi="宋体" w:cs="宋体"/>
          <w:color w:val="000000" w:themeColor="text1"/>
          <w:sz w:val="24"/>
          <w14:textFill>
            <w14:solidFill>
              <w14:schemeClr w14:val="tx1"/>
            </w14:solidFill>
          </w14:textFill>
        </w:rPr>
        <w:t xml:space="preserve">。</w:t>
      </w:r>
      <w:r/>
    </w:p>
    <w:p>
      <w:pPr>
        <w:pStyle w:val="978"/>
        <w:spacing w:before="0" w:after="0" w:line="360" w:lineRule="auto"/>
        <w:rPr>
          <w:rFonts w:ascii="宋体" w:hAnsi="宋体" w:eastAsia="宋体" w:cs="宋体"/>
          <w:b w:val="0"/>
          <w:color w:val="000000" w:themeColor="text1"/>
          <w:sz w:val="24"/>
          <w:szCs w:val="24"/>
          <w14:textFill>
            <w14:solidFill>
              <w14:schemeClr w14:val="tx1"/>
            </w14:solidFill>
          </w14:textFill>
        </w:rPr>
      </w:pPr>
      <w:r/>
      <w:bookmarkStart w:id="142" w:name="_Toc351203640"/>
      <w:r>
        <w:rPr>
          <w:rFonts w:hint="eastAsia" w:ascii="宋体" w:hAnsi="宋体" w:eastAsia="宋体" w:cs="宋体"/>
          <w:b w:val="0"/>
          <w:color w:val="000000" w:themeColor="text1"/>
          <w:sz w:val="24"/>
          <w:szCs w:val="24"/>
          <w14:textFill>
            <w14:solidFill>
              <w14:schemeClr w14:val="tx1"/>
            </w14:solidFill>
          </w14:textFill>
        </w:rPr>
        <w:t xml:space="preserve">8. 材料与设备</w:t>
      </w:r>
      <w:bookmarkEnd w:id="77"/>
      <w:r/>
      <w:bookmarkEnd w:id="78"/>
      <w:r/>
      <w:bookmarkEnd w:id="79"/>
      <w:r/>
      <w:bookmarkEnd w:id="80"/>
      <w:r/>
      <w:bookmarkEnd w:id="81"/>
      <w:r/>
      <w:bookmarkEnd w:id="82"/>
      <w:r/>
      <w:bookmarkEnd w:id="83"/>
      <w:r/>
      <w:bookmarkEnd w:id="84"/>
      <w:r/>
      <w:bookmarkEnd w:id="85"/>
      <w:r/>
      <w:bookmarkEnd w:id="86"/>
      <w:r/>
      <w:bookmarkEnd w:id="142"/>
      <w:r/>
      <w:r/>
    </w:p>
    <w:p>
      <w:pPr>
        <w:ind w:firstLine="480"/>
        <w:spacing w:line="360" w:lineRule="auto"/>
        <w:rPr>
          <w:rFonts w:ascii="宋体" w:hAnsi="宋体" w:cs="宋体"/>
          <w:color w:val="000000" w:themeColor="text1"/>
          <w:sz w:val="24"/>
          <w14:textFill>
            <w14:solidFill>
              <w14:schemeClr w14:val="tx1"/>
            </w14:solidFill>
          </w14:textFill>
        </w:rPr>
        <w:outlineLvl w:val="0"/>
      </w:pPr>
      <w:r>
        <w:rPr>
          <w:rFonts w:hint="eastAsia" w:ascii="宋体" w:hAnsi="宋体" w:cs="宋体"/>
          <w:color w:val="000000" w:themeColor="text1"/>
          <w:sz w:val="24"/>
          <w14:textFill>
            <w14:solidFill>
              <w14:schemeClr w14:val="tx1"/>
            </w14:solidFill>
          </w14:textFill>
        </w:rPr>
        <w:t xml:space="preserve">8.2材料与工程设备的保管与使用</w:t>
      </w:r>
      <w:r/>
    </w:p>
    <w:p>
      <w:pPr>
        <w:ind w:firstLine="480"/>
        <w:spacing w:line="360" w:lineRule="auto"/>
        <w:rPr>
          <w:rFonts w:ascii="宋体" w:hAnsi="宋体" w:cs="宋体"/>
          <w:color w:val="000000" w:themeColor="text1"/>
          <w:sz w:val="24"/>
          <w:u w:val="single"/>
          <w14:textFill>
            <w14:solidFill>
              <w14:schemeClr w14:val="tx1"/>
            </w14:solidFill>
          </w14:textFill>
        </w:rPr>
        <w:outlineLvl w:val="0"/>
      </w:pPr>
      <w:r>
        <w:rPr>
          <w:rFonts w:hint="eastAsia" w:ascii="宋体" w:hAnsi="宋体" w:cs="宋体"/>
          <w:color w:val="000000" w:themeColor="text1"/>
          <w:sz w:val="24"/>
          <w14:textFill>
            <w14:solidFill>
              <w14:schemeClr w14:val="tx1"/>
            </w14:solidFill>
          </w14:textFill>
        </w:rPr>
        <w:t xml:space="preserve">8.2.1发包人供应的材料设备的保管费用的承担：</w:t>
      </w:r>
      <w:r>
        <w:rPr>
          <w:rFonts w:hint="eastAsia" w:ascii="宋体" w:hAnsi="宋体" w:cs="宋体"/>
          <w:color w:val="000000" w:themeColor="text1"/>
          <w:sz w:val="24"/>
          <w:u w:val="single"/>
          <w14:textFill>
            <w14:solidFill>
              <w14:schemeClr w14:val="tx1"/>
            </w14:solidFill>
          </w14:textFill>
        </w:rPr>
        <w:t xml:space="preserve">承包人承担。</w:t>
      </w:r>
      <w:r/>
    </w:p>
    <w:p>
      <w:pPr>
        <w:ind w:firstLine="480"/>
        <w:spacing w:line="360" w:lineRule="auto"/>
        <w:rPr>
          <w:rFonts w:ascii="宋体" w:hAnsi="宋体" w:cs="宋体"/>
          <w:color w:val="000000" w:themeColor="text1"/>
          <w:sz w:val="24"/>
          <w14:textFill>
            <w14:solidFill>
              <w14:schemeClr w14:val="tx1"/>
            </w14:solidFill>
          </w14:textFill>
        </w:rPr>
        <w:outlineLvl w:val="0"/>
      </w:pPr>
      <w:r>
        <w:rPr>
          <w:rFonts w:hint="eastAsia" w:ascii="宋体" w:hAnsi="宋体" w:cs="宋体"/>
          <w:color w:val="000000" w:themeColor="text1"/>
          <w:sz w:val="24"/>
          <w14:textFill>
            <w14:solidFill>
              <w14:schemeClr w14:val="tx1"/>
            </w14:solidFill>
          </w14:textFill>
        </w:rPr>
        <w:t xml:space="preserve">8.3样品</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8.3.1</w:t>
      </w:r>
      <w:r>
        <w:rPr>
          <w:rFonts w:hint="eastAsia" w:ascii="宋体" w:hAnsi="宋体" w:cs="宋体"/>
          <w:color w:val="000000" w:themeColor="text1"/>
          <w:sz w:val="24"/>
          <w14:textFill>
            <w14:solidFill>
              <w14:schemeClr w14:val="tx1"/>
            </w14:solidFill>
          </w14:textFill>
        </w:rPr>
        <w:tab/>
      </w:r>
      <w:r>
        <w:rPr>
          <w:rFonts w:hint="eastAsia" w:ascii="宋体" w:hAnsi="宋体" w:cs="宋体"/>
          <w:color w:val="000000" w:themeColor="text1"/>
          <w:sz w:val="24"/>
          <w14:textFill>
            <w14:solidFill>
              <w14:schemeClr w14:val="tx1"/>
            </w14:solidFill>
          </w14:textFill>
        </w:rPr>
        <w:t xml:space="preserve">样品的报送与封存</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需要承包人报送样品的材料或工程设备，样品的种类、名称、规格、数量要求：</w:t>
      </w:r>
      <w:r>
        <w:rPr>
          <w:rFonts w:hint="eastAsia" w:ascii="宋体" w:hAnsi="宋体" w:cs="宋体"/>
          <w:color w:val="000000" w:themeColor="text1"/>
          <w:sz w:val="24"/>
          <w:u w:val="single"/>
          <w14:textFill>
            <w14:solidFill>
              <w14:schemeClr w14:val="tx1"/>
            </w14:solidFill>
          </w14:textFill>
        </w:rPr>
        <w:t xml:space="preserve">双方约定承包人采购的材料设备必须符合有关规范、设计图纸规定的质量要求，且需经发包人代表及监理工程师验收并现场取样送检合格后方可进场，否则必须及时清退，因未经检验或检验不合格擅自投入使用造成的损失及相关责任由承包人负责，且承包人自愿承担2000元/ 次的违约金。</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8.4施工设备和临时设施</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8.4 承包人提供的施工设备和临时设施</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关于修建临时设施费用承担的约定：</w:t>
      </w:r>
      <w:r>
        <w:rPr>
          <w:rFonts w:hint="eastAsia" w:ascii="宋体" w:hAnsi="宋体" w:cs="宋体"/>
          <w:color w:val="000000" w:themeColor="text1"/>
          <w:sz w:val="24"/>
          <w:u w:val="single"/>
          <w14:textFill>
            <w14:solidFill>
              <w14:schemeClr w14:val="tx1"/>
            </w14:solidFill>
          </w14:textFill>
        </w:rPr>
        <w:t xml:space="preserve">由承包人自行承担，另外发包人驻施工现场管理人员必要的办公用房及设施由承包人负责免费提供。</w:t>
      </w:r>
      <w:r/>
    </w:p>
    <w:p>
      <w:pPr>
        <w:pStyle w:val="978"/>
        <w:spacing w:before="0" w:after="0" w:line="360" w:lineRule="auto"/>
        <w:rPr>
          <w:rFonts w:ascii="宋体" w:hAnsi="宋体" w:eastAsia="宋体" w:cs="宋体"/>
          <w:b w:val="0"/>
          <w:color w:val="000000" w:themeColor="text1"/>
          <w:sz w:val="24"/>
          <w:szCs w:val="24"/>
          <w14:textFill>
            <w14:solidFill>
              <w14:schemeClr w14:val="tx1"/>
            </w14:solidFill>
          </w14:textFill>
        </w:rPr>
      </w:pPr>
      <w:r/>
      <w:bookmarkStart w:id="143" w:name="_Toc267251424"/>
      <w:r/>
      <w:bookmarkStart w:id="144" w:name="_Toc280868655"/>
      <w:r/>
      <w:bookmarkStart w:id="145" w:name="_Toc280868656"/>
      <w:r/>
      <w:bookmarkStart w:id="146" w:name="_Toc351203641"/>
      <w:r>
        <w:rPr>
          <w:rFonts w:hint="eastAsia" w:ascii="宋体" w:hAnsi="宋体" w:eastAsia="宋体" w:cs="宋体"/>
          <w:b w:val="0"/>
          <w:color w:val="000000" w:themeColor="text1"/>
          <w:sz w:val="24"/>
          <w:szCs w:val="24"/>
          <w14:textFill>
            <w14:solidFill>
              <w14:schemeClr w14:val="tx1"/>
            </w14:solidFill>
          </w14:textFill>
        </w:rPr>
        <w:t xml:space="preserve">9</w:t>
      </w:r>
      <w:bookmarkEnd w:id="143"/>
      <w:r/>
      <w:bookmarkEnd w:id="144"/>
      <w:r/>
      <w:bookmarkEnd w:id="145"/>
      <w:r/>
      <w:bookmarkStart w:id="147" w:name="_Toc312677495"/>
      <w:r/>
      <w:bookmarkStart w:id="148" w:name="_Toc304295559"/>
      <w:r/>
      <w:bookmarkStart w:id="149" w:name="_Toc300934982"/>
      <w:r/>
      <w:bookmarkStart w:id="150" w:name="_Toc303539139"/>
      <w:r/>
      <w:bookmarkStart w:id="151" w:name="_Toc297123533"/>
      <w:r/>
      <w:bookmarkStart w:id="152" w:name="_Toc297216192"/>
      <w:r/>
      <w:bookmarkStart w:id="153" w:name="_Toc312678021"/>
      <w:r/>
      <w:bookmarkStart w:id="154" w:name="_Toc292559378"/>
      <w:r/>
      <w:bookmarkStart w:id="155" w:name="_Toc296891001"/>
      <w:r/>
      <w:bookmarkStart w:id="156" w:name="_Toc292559883"/>
      <w:r/>
      <w:bookmarkStart w:id="157" w:name="_Toc296944512"/>
      <w:r/>
      <w:bookmarkStart w:id="158" w:name="_Toc267251427"/>
      <w:r/>
      <w:bookmarkStart w:id="159" w:name="_Toc296891213"/>
      <w:r/>
      <w:bookmarkStart w:id="160" w:name="_Toc296346674"/>
      <w:r/>
      <w:bookmarkStart w:id="161" w:name="_Toc296347172"/>
      <w:r/>
      <w:bookmarkStart w:id="162" w:name="_Toc296503173"/>
      <w:r/>
      <w:bookmarkStart w:id="163" w:name="_Toc297120473"/>
      <w:r/>
      <w:bookmarkStart w:id="164" w:name="_Toc267251428"/>
      <w:r/>
      <w:bookmarkStart w:id="165" w:name="_Toc297048359"/>
      <w:r>
        <w:rPr>
          <w:rFonts w:hint="eastAsia" w:ascii="宋体" w:hAnsi="宋体" w:eastAsia="宋体" w:cs="宋体"/>
          <w:b w:val="0"/>
          <w:color w:val="000000" w:themeColor="text1"/>
          <w:sz w:val="24"/>
          <w:szCs w:val="24"/>
          <w14:textFill>
            <w14:solidFill>
              <w14:schemeClr w14:val="tx1"/>
            </w14:solidFill>
          </w14:textFill>
        </w:rPr>
        <w:t xml:space="preserve">. 试验与检验</w:t>
      </w:r>
      <w:bookmarkEnd w:id="146"/>
      <w:r/>
      <w:bookmarkEnd w:id="147"/>
      <w:r/>
      <w:bookmarkEnd w:id="148"/>
      <w:r/>
      <w:bookmarkEnd w:id="149"/>
      <w:r/>
      <w:bookmarkEnd w:id="150"/>
      <w:r/>
      <w:bookmarkEnd w:id="151"/>
      <w:r/>
      <w:bookmarkEnd w:id="152"/>
      <w:r/>
      <w:bookmarkEnd w:id="153"/>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9</w:t>
      </w:r>
      <w:bookmarkStart w:id="166" w:name="_Toc300934983"/>
      <w:r/>
      <w:bookmarkStart w:id="167" w:name="_Toc312677496"/>
      <w:r/>
      <w:bookmarkStart w:id="168" w:name="_Toc303539140"/>
      <w:r/>
      <w:bookmarkStart w:id="169" w:name="_Toc297216193"/>
      <w:r/>
      <w:bookmarkStart w:id="170" w:name="_Toc297123534"/>
      <w:r/>
      <w:bookmarkStart w:id="171" w:name="_Toc304295560"/>
      <w:r/>
      <w:bookmarkStart w:id="172" w:name="_Toc312678022"/>
      <w:r>
        <w:rPr>
          <w:rFonts w:hint="eastAsia" w:ascii="宋体" w:hAnsi="宋体" w:cs="宋体"/>
          <w:color w:val="000000" w:themeColor="text1"/>
          <w:sz w:val="24"/>
          <w14:textFill>
            <w14:solidFill>
              <w14:schemeClr w14:val="tx1"/>
            </w14:solidFill>
          </w14:textFill>
        </w:rPr>
        <w:t xml:space="preserve">.1试验设备与试验人员</w:t>
      </w:r>
      <w:bookmarkEnd w:id="166"/>
      <w:r/>
      <w:bookmarkEnd w:id="167"/>
      <w:r/>
      <w:bookmarkEnd w:id="168"/>
      <w:r/>
      <w:bookmarkEnd w:id="169"/>
      <w:r/>
      <w:bookmarkEnd w:id="170"/>
      <w:r/>
      <w:bookmarkEnd w:id="171"/>
      <w:r/>
      <w:bookmarkEnd w:id="172"/>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9</w:t>
      </w:r>
      <w:bookmarkStart w:id="173" w:name="_Toc297216194"/>
      <w:r/>
      <w:bookmarkStart w:id="174" w:name="_Toc300934984"/>
      <w:r/>
      <w:bookmarkStart w:id="175" w:name="_Toc312678023"/>
      <w:r/>
      <w:bookmarkStart w:id="176" w:name="_Toc297123535"/>
      <w:r/>
      <w:bookmarkStart w:id="177" w:name="_Toc312677497"/>
      <w:r/>
      <w:bookmarkStart w:id="178" w:name="_Toc303539141"/>
      <w:r/>
      <w:bookmarkStart w:id="179" w:name="_Toc304295561"/>
      <w:r/>
      <w:bookmarkStart w:id="180" w:name="_Toc318581174"/>
      <w:r>
        <w:rPr>
          <w:rFonts w:hint="eastAsia" w:ascii="宋体" w:hAnsi="宋体" w:cs="宋体"/>
          <w:color w:val="000000" w:themeColor="text1"/>
          <w:sz w:val="24"/>
          <w14:textFill>
            <w14:solidFill>
              <w14:schemeClr w14:val="tx1"/>
            </w14:solidFill>
          </w14:textFill>
        </w:rPr>
        <w:t xml:space="preserve">.1.2 试验设备</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施工现场需要配置的试验场所：</w:t>
      </w:r>
      <w:bookmarkEnd w:id="173"/>
      <w:r/>
      <w:bookmarkEnd w:id="174"/>
      <w:r/>
      <w:bookmarkEnd w:id="175"/>
      <w:r/>
      <w:bookmarkEnd w:id="176"/>
      <w:r/>
      <w:bookmarkEnd w:id="177"/>
      <w:r/>
      <w:bookmarkEnd w:id="178"/>
      <w:r/>
      <w:bookmarkEnd w:id="179"/>
      <w:r/>
      <w:bookmarkStart w:id="181" w:name="_Toc303539142"/>
      <w:r/>
      <w:bookmarkStart w:id="182" w:name="_Toc312677498"/>
      <w:r/>
      <w:bookmarkStart w:id="183" w:name="_Toc304295562"/>
      <w:r/>
      <w:bookmarkStart w:id="184" w:name="_Toc300934985"/>
      <w:r/>
      <w:bookmarkStart w:id="185" w:name="_Toc297123536"/>
      <w:r/>
      <w:bookmarkStart w:id="186" w:name="_Toc297216195"/>
      <w:r/>
      <w:bookmarkStart w:id="187" w:name="_Toc312678024"/>
      <w:r>
        <w:rPr>
          <w:rFonts w:hint="eastAsia" w:ascii="宋体" w:hAnsi="宋体" w:cs="宋体"/>
          <w:color w:val="000000" w:themeColor="text1"/>
          <w:sz w:val="24"/>
          <w:u w:val="single"/>
          <w14:textFill>
            <w14:solidFill>
              <w14:schemeClr w14:val="tx1"/>
            </w14:solidFill>
          </w14:textFill>
        </w:rPr>
        <w:t xml:space="preserve">按有关规定执行。 </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施工现场需要配备的试验设备：</w:t>
      </w:r>
      <w:r>
        <w:rPr>
          <w:rFonts w:hint="eastAsia" w:ascii="宋体" w:hAnsi="宋体" w:cs="宋体"/>
          <w:color w:val="000000" w:themeColor="text1"/>
          <w:sz w:val="24"/>
          <w:u w:val="single"/>
          <w14:textFill>
            <w14:solidFill>
              <w14:schemeClr w14:val="tx1"/>
            </w14:solidFill>
          </w14:textFill>
        </w:rPr>
        <w:t xml:space="preserve">按有关规定执行。</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施工现场需要具备的其他试验条件：</w:t>
      </w:r>
      <w:r>
        <w:rPr>
          <w:rFonts w:hint="eastAsia" w:ascii="宋体" w:hAnsi="宋体" w:cs="宋体"/>
          <w:color w:val="000000" w:themeColor="text1"/>
          <w:sz w:val="24"/>
          <w:u w:val="single"/>
          <w14:textFill>
            <w14:solidFill>
              <w14:schemeClr w14:val="tx1"/>
            </w14:solidFill>
          </w14:textFill>
        </w:rPr>
        <w:t xml:space="preserve">按有关规定执行。</w:t>
      </w:r>
      <w:r/>
    </w:p>
    <w:p>
      <w:pPr>
        <w:ind w:firstLine="480"/>
        <w:spacing w:line="360" w:lineRule="auto"/>
        <w:rPr>
          <w:rFonts w:ascii="宋体" w:hAnsi="宋体" w:cs="宋体"/>
          <w:color w:val="000000" w:themeColor="text1"/>
          <w:sz w:val="24"/>
          <w14:textFill>
            <w14:solidFill>
              <w14:schemeClr w14:val="tx1"/>
            </w14:solidFill>
          </w14:textFill>
        </w:rPr>
        <w:outlineLvl w:val="0"/>
      </w:pPr>
      <w:r>
        <w:rPr>
          <w:rFonts w:hint="eastAsia" w:ascii="宋体" w:hAnsi="宋体" w:cs="宋体"/>
          <w:color w:val="000000" w:themeColor="text1"/>
          <w:sz w:val="24"/>
          <w14:textFill>
            <w14:solidFill>
              <w14:schemeClr w14:val="tx1"/>
            </w14:solidFill>
          </w14:textFill>
        </w:rPr>
        <w:t xml:space="preserve">9.4 现场工艺试验 </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现场工艺试验的有关约定：</w:t>
      </w:r>
      <w:r>
        <w:rPr>
          <w:rFonts w:hint="eastAsia" w:ascii="宋体" w:hAnsi="宋体" w:cs="宋体"/>
          <w:bCs/>
          <w:color w:val="000000" w:themeColor="text1"/>
          <w:sz w:val="24"/>
          <w:u w:val="single"/>
          <w14:textFill>
            <w14:solidFill>
              <w14:schemeClr w14:val="tx1"/>
            </w14:solidFill>
          </w14:textFill>
        </w:rPr>
        <w:t xml:space="preserve">承包人根据相关规范、标准进行试验并承担检测费用</w:t>
      </w:r>
      <w:r>
        <w:rPr>
          <w:rFonts w:hint="eastAsia" w:ascii="宋体" w:hAnsi="宋体" w:cs="宋体"/>
          <w:color w:val="000000" w:themeColor="text1"/>
          <w:sz w:val="24"/>
          <w:u w:val="single"/>
          <w14:textFill>
            <w14:solidFill>
              <w14:schemeClr w14:val="tx1"/>
            </w14:solidFill>
          </w14:textFill>
        </w:rPr>
        <w:t xml:space="preserve">。</w:t>
      </w:r>
      <w:bookmarkEnd w:id="180"/>
      <w:r/>
      <w:bookmarkEnd w:id="181"/>
      <w:r/>
      <w:bookmarkEnd w:id="182"/>
      <w:r/>
      <w:bookmarkEnd w:id="183"/>
      <w:r/>
      <w:bookmarkEnd w:id="184"/>
      <w:r/>
      <w:bookmarkEnd w:id="185"/>
      <w:r/>
      <w:bookmarkEnd w:id="186"/>
      <w:r/>
      <w:bookmarkEnd w:id="187"/>
      <w:r/>
      <w:r/>
    </w:p>
    <w:p>
      <w:pPr>
        <w:pStyle w:val="978"/>
        <w:spacing w:before="0" w:after="0" w:line="360" w:lineRule="auto"/>
        <w:rPr>
          <w:rFonts w:ascii="宋体" w:hAnsi="宋体" w:eastAsia="宋体" w:cs="宋体"/>
          <w:b w:val="0"/>
          <w:color w:val="000000" w:themeColor="text1"/>
          <w:sz w:val="24"/>
          <w:szCs w:val="24"/>
          <w14:textFill>
            <w14:solidFill>
              <w14:schemeClr w14:val="tx1"/>
            </w14:solidFill>
          </w14:textFill>
        </w:rPr>
      </w:pPr>
      <w:r/>
      <w:bookmarkStart w:id="188" w:name="_Toc351203642"/>
      <w:r>
        <w:rPr>
          <w:rFonts w:hint="eastAsia" w:ascii="宋体" w:hAnsi="宋体" w:eastAsia="宋体" w:cs="宋体"/>
          <w:b w:val="0"/>
          <w:color w:val="000000" w:themeColor="text1"/>
          <w:sz w:val="24"/>
          <w:szCs w:val="24"/>
          <w14:textFill>
            <w14:solidFill>
              <w14:schemeClr w14:val="tx1"/>
            </w14:solidFill>
          </w14:textFill>
        </w:rPr>
        <w:t xml:space="preserve">1</w:t>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Start w:id="189" w:name="_Toc292559903"/>
      <w:r/>
      <w:bookmarkStart w:id="190" w:name="_Toc297123540"/>
      <w:r/>
      <w:bookmarkStart w:id="191" w:name="_Toc296891021"/>
      <w:r/>
      <w:bookmarkStart w:id="192" w:name="_Toc292559398"/>
      <w:r/>
      <w:bookmarkStart w:id="193" w:name="_Toc303539146"/>
      <w:r/>
      <w:bookmarkStart w:id="194" w:name="_Toc297120493"/>
      <w:r/>
      <w:bookmarkStart w:id="195" w:name="_Toc312677499"/>
      <w:r/>
      <w:bookmarkStart w:id="196" w:name="_Toc296944532"/>
      <w:r/>
      <w:bookmarkStart w:id="197" w:name="_Toc296346694"/>
      <w:r/>
      <w:bookmarkStart w:id="198" w:name="_Toc297048379"/>
      <w:r/>
      <w:bookmarkStart w:id="199" w:name="_Toc300934989"/>
      <w:r/>
      <w:bookmarkStart w:id="200" w:name="_Toc296347192"/>
      <w:r/>
      <w:bookmarkStart w:id="201" w:name="_Toc296503193"/>
      <w:r/>
      <w:bookmarkStart w:id="202" w:name="_Toc312678025"/>
      <w:r/>
      <w:bookmarkStart w:id="203" w:name="_Toc304295566"/>
      <w:r/>
      <w:bookmarkStart w:id="204" w:name="_Toc297216199"/>
      <w:r/>
      <w:bookmarkStart w:id="205" w:name="_Toc296891233"/>
      <w:r/>
      <w:bookmarkStart w:id="206" w:name="_Toc267251433"/>
      <w:r/>
      <w:bookmarkStart w:id="207" w:name="_Toc267251437"/>
      <w:r/>
      <w:bookmarkStart w:id="208" w:name="_Toc267251441"/>
      <w:r/>
      <w:bookmarkStart w:id="209" w:name="_Toc267251440"/>
      <w:r/>
      <w:bookmarkStart w:id="210" w:name="_Toc267251435"/>
      <w:r/>
      <w:bookmarkStart w:id="211" w:name="_Toc267251439"/>
      <w:r/>
      <w:bookmarkStart w:id="212" w:name="_Toc267251442"/>
      <w:r>
        <w:rPr>
          <w:rFonts w:hint="eastAsia" w:ascii="宋体" w:hAnsi="宋体" w:eastAsia="宋体" w:cs="宋体"/>
          <w:b w:val="0"/>
          <w:color w:val="000000" w:themeColor="text1"/>
          <w:sz w:val="24"/>
          <w:szCs w:val="24"/>
          <w14:textFill>
            <w14:solidFill>
              <w14:schemeClr w14:val="tx1"/>
            </w14:solidFill>
          </w14:textFill>
        </w:rPr>
        <w:t xml:space="preserve">0. 变更</w:t>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10.1 变更的范围</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除设计变更、现场签证和新增（减）工程外,其余均不作调整；设计变更、现场签证、新增（减）工程均须经设计院、监理工程师和发包人代表共同签字认可，跟踪审计单位审核确认。执行文件《关于印发国有建设工程项目变更管理办法的通知》（徐开管（2021）5号）。</w:t>
      </w:r>
      <w:r/>
    </w:p>
    <w:p>
      <w:pPr>
        <w:ind w:firstLine="480"/>
        <w:spacing w:line="360" w:lineRule="auto"/>
        <w:rPr>
          <w:rFonts w:ascii="宋体" w:hAnsi="宋体" w:cs="宋体"/>
          <w:color w:val="000000" w:themeColor="text1"/>
          <w:sz w:val="24"/>
          <w14:textFill>
            <w14:solidFill>
              <w14:schemeClr w14:val="tx1"/>
            </w14:solidFill>
          </w14:textFill>
        </w:rPr>
        <w:outlineLvl w:val="0"/>
      </w:pPr>
      <w:r>
        <w:rPr>
          <w:rFonts w:hint="eastAsia" w:ascii="宋体" w:hAnsi="宋体" w:cs="宋体"/>
          <w:color w:val="000000" w:themeColor="text1"/>
          <w:sz w:val="24"/>
          <w14:textFill>
            <w14:solidFill>
              <w14:schemeClr w14:val="tx1"/>
            </w14:solidFill>
          </w14:textFill>
        </w:rPr>
        <w:t xml:space="preserve">10.2变更估价</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10.2.1 变更估价原则</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关于变更估价的约定:</w:t>
      </w:r>
      <w:r>
        <w:rPr>
          <w:rFonts w:hint="eastAsia" w:ascii="宋体" w:hAnsi="宋体" w:cs="宋体"/>
          <w:color w:val="000000" w:themeColor="text1"/>
          <w:sz w:val="24"/>
          <w:u w:val="single"/>
          <w14:textFill>
            <w14:solidFill>
              <w14:schemeClr w14:val="tx1"/>
            </w14:solidFill>
          </w14:textFill>
        </w:rPr>
        <w:t xml:space="preserve"> ①由于工程变更引起新增工程量清单项目或工程量清单漏项，其相应综合单价按工程预算价计价办法计算，并乘以成交价与工程预算价的比率作为结算依据。以上变更的确认，必须由监理工程师、现场跟踪审计工程师和甲方代表签字确认。②由于工程变更引起工程量增加，经监理工程师、现场跟踪审计工程师和甲方代表确认后，按成交人响应报价中综合单价进行调整，但不得高于标底的综合单价。</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10.2.1.1</w:t>
      </w:r>
      <w:r>
        <w:rPr>
          <w:rFonts w:hint="eastAsia" w:ascii="宋体" w:hAnsi="宋体" w:cs="宋体"/>
          <w:color w:val="000000" w:themeColor="text1"/>
          <w:sz w:val="24"/>
          <w:u w:val="single"/>
          <w14:textFill>
            <w14:solidFill>
              <w14:schemeClr w14:val="tx1"/>
            </w14:solidFill>
          </w14:textFill>
        </w:rPr>
        <w:t xml:space="preserve">设计变更引起新增工程量清单项目，其相应综合单价按本磋商文件规定的招标控制价计价编制办法计算，再乘以成交价与招标控制价相比的浮动比率后作为综合单价进行结算。以上变更及工程量签证，必须由发、承包双方、现场监理工程师共同确认。</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10.2.1.2</w:t>
      </w:r>
      <w:r>
        <w:rPr>
          <w:rFonts w:hint="eastAsia" w:ascii="宋体" w:hAnsi="宋体" w:cs="宋体"/>
          <w:color w:val="000000" w:themeColor="text1"/>
          <w:sz w:val="24"/>
          <w:u w:val="single"/>
          <w14:textFill>
            <w14:solidFill>
              <w14:schemeClr w14:val="tx1"/>
            </w14:solidFill>
          </w14:textFill>
        </w:rPr>
        <w:t xml:space="preserve">清单项目中特征描述不全的工序，如图纸已明确或已指明引用的规范、图集等或是常规工艺必须的工序，应包括在报价中。</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10.2.1.3</w:t>
      </w:r>
      <w:r>
        <w:rPr>
          <w:rFonts w:hint="eastAsia" w:ascii="宋体" w:hAnsi="宋体" w:cs="宋体"/>
          <w:color w:val="000000" w:themeColor="text1"/>
          <w:sz w:val="24"/>
          <w:u w:val="single"/>
          <w14:textFill>
            <w14:solidFill>
              <w14:schemeClr w14:val="tx1"/>
            </w14:solidFill>
          </w14:textFill>
        </w:rPr>
        <w:t xml:space="preserve">以上10.2.1.1、10.2.1.2条以外原因引起的价款调整按照以下方法处理：</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（1）有类似单价的，参照类似单价；</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（2）没有类似单价的，按照变更发生前一个月的《徐州工程造价信息》中相应的材料价格和相应的定额计价，同时按照成交价与招标控制价的整体下浮比率下浮；</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3）《徐州工程造价信息》中没有相应材料价格的，双方比价采购或者由采购人经招标确定价格后，计入相应的定额计价，但该部分材料价格不再参与下浮，其余部分按照成交价与招标控制价的整体下浮比率下浮。</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10.2.1.4</w:t>
      </w:r>
      <w:r>
        <w:rPr>
          <w:rFonts w:hint="eastAsia" w:ascii="宋体" w:hAnsi="宋体" w:cs="宋体"/>
          <w:color w:val="000000" w:themeColor="text1"/>
          <w:sz w:val="24"/>
          <w:u w:val="single"/>
          <w14:textFill>
            <w14:solidFill>
              <w14:schemeClr w14:val="tx1"/>
            </w14:solidFill>
          </w14:textFill>
        </w:rPr>
        <w:t xml:space="preserve">因分部分项工程量清单漏项、数量调整或非承包人原因的工程变更，造成施工组织设计或施工方案变更，引起措施项目发生变化时，在结算按照以下规定调整：</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（1）总价措施措施费仍按响应时费率进行调整（其中安全文明增加费及按质论价费的费率按实调整）。</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2）单价措施（排水、降水、脚手架、围堰、便桥、封底混凝土、便道、围挡）的措施费按照单价措施项目清单响应单价，结算按实调整（除由设计变更引起的单价措施工程量调整外，结算工程量不得超过响应清单工程量）。</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（3）因设计变更引起的原措施费中没有的单价措施项目，由承包人根据措施项目变更情况，提出适当的措施费变更要求，经发包人确认后调整。</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10.3承包人的合理化建议</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监理人审查承包人合理化建议的期限：</w:t>
      </w:r>
      <w:r>
        <w:rPr>
          <w:rFonts w:hint="eastAsia" w:ascii="宋体" w:hAnsi="宋体" w:cs="宋体"/>
          <w:color w:val="000000" w:themeColor="text1"/>
          <w:sz w:val="24"/>
          <w:u w:val="single"/>
          <w14:textFill>
            <w14:solidFill>
              <w14:schemeClr w14:val="tx1"/>
            </w14:solidFill>
          </w14:textFill>
        </w:rPr>
        <w:t xml:space="preserve">无。</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发包人审批承包人合理化建议的期限：</w:t>
      </w:r>
      <w:r>
        <w:rPr>
          <w:rFonts w:hint="eastAsia" w:ascii="宋体" w:hAnsi="宋体" w:cs="宋体"/>
          <w:color w:val="000000" w:themeColor="text1"/>
          <w:sz w:val="24"/>
          <w:u w:val="single"/>
          <w14:textFill>
            <w14:solidFill>
              <w14:schemeClr w14:val="tx1"/>
            </w14:solidFill>
          </w14:textFill>
        </w:rPr>
        <w:t xml:space="preserve">无。 </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承包人提出的合理化建议降低了合同价格或者提高了工程经济效益的奖励的方法和金额为：</w:t>
      </w:r>
      <w:r>
        <w:rPr>
          <w:rFonts w:hint="eastAsia" w:ascii="宋体" w:hAnsi="宋体" w:cs="宋体"/>
          <w:color w:val="000000" w:themeColor="text1"/>
          <w:sz w:val="24"/>
          <w:u w:val="single"/>
          <w14:textFill>
            <w14:solidFill>
              <w14:schemeClr w14:val="tx1"/>
            </w14:solidFill>
          </w14:textFill>
        </w:rPr>
        <w:t xml:space="preserve">  /  </w:t>
      </w:r>
      <w:r>
        <w:rPr>
          <w:rFonts w:hint="eastAsia" w:ascii="宋体" w:hAnsi="宋体" w:cs="宋体"/>
          <w:color w:val="000000" w:themeColor="text1"/>
          <w:sz w:val="24"/>
          <w14:textFill>
            <w14:solidFill>
              <w14:schemeClr w14:val="tx1"/>
            </w14:solidFill>
          </w14:textFill>
        </w:rPr>
        <w:t xml:space="preserve">。</w:t>
      </w:r>
      <w:r/>
    </w:p>
    <w:p>
      <w:pPr>
        <w:pStyle w:val="978"/>
        <w:spacing w:before="0" w:after="0" w:line="360" w:lineRule="auto"/>
        <w:rPr>
          <w:rFonts w:ascii="宋体" w:hAnsi="宋体" w:eastAsia="宋体" w:cs="宋体"/>
          <w:b w:val="0"/>
          <w:color w:val="000000" w:themeColor="text1"/>
          <w:sz w:val="24"/>
          <w:szCs w:val="24"/>
          <w14:textFill>
            <w14:solidFill>
              <w14:schemeClr w14:val="tx1"/>
            </w14:solidFill>
          </w14:textFill>
        </w:rPr>
      </w:pPr>
      <w:r/>
      <w:bookmarkStart w:id="213" w:name="_Toc351203643"/>
      <w:r>
        <w:rPr>
          <w:rFonts w:hint="eastAsia" w:ascii="宋体" w:hAnsi="宋体" w:eastAsia="宋体" w:cs="宋体"/>
          <w:b w:val="0"/>
          <w:color w:val="000000" w:themeColor="text1"/>
          <w:sz w:val="24"/>
          <w:szCs w:val="24"/>
          <w14:textFill>
            <w14:solidFill>
              <w14:schemeClr w14:val="tx1"/>
            </w14:solidFill>
          </w14:textFill>
        </w:rPr>
        <w:t xml:space="preserve">11. 价格调整</w:t>
      </w:r>
      <w:bookmarkEnd w:id="213"/>
      <w:r/>
      <w:r/>
    </w:p>
    <w:p>
      <w:pPr>
        <w:ind w:firstLine="480"/>
        <w:spacing w:line="360" w:lineRule="auto"/>
        <w:rPr>
          <w:rFonts w:ascii="宋体" w:hAnsi="宋体" w:cs="宋体"/>
          <w:color w:val="000000" w:themeColor="text1"/>
          <w:sz w:val="24"/>
          <w14:textFill>
            <w14:solidFill>
              <w14:schemeClr w14:val="tx1"/>
            </w14:solidFill>
          </w14:textFill>
        </w:rPr>
      </w:pPr>
      <w:r/>
      <w:bookmarkStart w:id="214" w:name="_Toc292559406"/>
      <w:r/>
      <w:bookmarkStart w:id="215" w:name="_Toc297048387"/>
      <w:r/>
      <w:bookmarkStart w:id="216" w:name="_Toc297120501"/>
      <w:r/>
      <w:bookmarkStart w:id="217" w:name="_Toc292559911"/>
      <w:r/>
      <w:bookmarkStart w:id="218" w:name="_Toc296503201"/>
      <w:r/>
      <w:bookmarkStart w:id="219" w:name="_Toc296944540"/>
      <w:r/>
      <w:bookmarkStart w:id="220" w:name="_Toc296891241"/>
      <w:r/>
      <w:bookmarkStart w:id="221" w:name="_Toc297216209"/>
      <w:r/>
      <w:bookmarkStart w:id="222" w:name="_Toc296347200"/>
      <w:r/>
      <w:bookmarkStart w:id="223" w:name="_Toc297123550"/>
      <w:r/>
      <w:bookmarkStart w:id="224" w:name="_Toc303539157"/>
      <w:r/>
      <w:bookmarkStart w:id="225" w:name="_Toc312678039"/>
      <w:r/>
      <w:bookmarkStart w:id="226" w:name="_Toc304295577"/>
      <w:r/>
      <w:bookmarkStart w:id="227" w:name="_Toc300935000"/>
      <w:r/>
      <w:bookmarkStart w:id="228" w:name="_Toc296346702"/>
      <w:r/>
      <w:bookmarkStart w:id="229" w:name="_Toc296891029"/>
      <w:r>
        <w:rPr>
          <w:rFonts w:hint="eastAsia" w:ascii="宋体" w:hAnsi="宋体" w:cs="宋体"/>
          <w:color w:val="000000" w:themeColor="text1"/>
          <w:sz w:val="24"/>
          <w14:textFill>
            <w14:solidFill>
              <w14:schemeClr w14:val="tx1"/>
            </w14:solidFill>
          </w14:textFill>
        </w:rPr>
        <w:t xml:space="preserve">11.1 市场价格波动引起的调整</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市场价格波动是否调整合同价格的约定：</w:t>
      </w:r>
      <w:r>
        <w:rPr>
          <w:rFonts w:hint="eastAsia" w:ascii="宋体" w:hAnsi="宋体" w:cs="宋体"/>
          <w:color w:val="000000" w:themeColor="text1"/>
          <w:sz w:val="24"/>
          <w:highlight w:val="none"/>
          <w:u w:val="single"/>
          <w:lang w:val="en-US" w:eastAsia="zh-CN"/>
          <w14:textFill>
            <w14:solidFill>
              <w14:schemeClr w14:val="tx1"/>
            </w14:solidFill>
          </w14:textFill>
        </w:rPr>
        <w:t xml:space="preserve">工期较短，</w:t>
      </w:r>
      <w:r>
        <w:rPr>
          <w:rFonts w:hint="eastAsia" w:ascii="宋体" w:hAnsi="宋体" w:cs="宋体"/>
          <w:color w:val="000000" w:themeColor="text1"/>
          <w:sz w:val="24"/>
          <w:highlight w:val="none"/>
          <w:u w:val="single"/>
          <w14:textFill>
            <w14:solidFill>
              <w14:schemeClr w14:val="tx1"/>
            </w14:solidFill>
          </w14:textFill>
        </w:rPr>
        <w:t xml:space="preserve">不予调整。</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因市场价格波动调整合同价格，采用以下第</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u w:val="single"/>
          <w:lang w:val="en-US" w:eastAsia="zh-CN"/>
          <w14:textFill>
            <w14:solidFill>
              <w14:schemeClr w14:val="tx1"/>
            </w14:solidFill>
          </w14:textFill>
        </w:rPr>
        <w:t xml:space="preserve">/</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种方式对合同价格进行调整：</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第1种方式：采用价格指数进行价格调整。</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关于各可调因子、定值和变值权重，以及基本价格指数及其来源的约定：</w:t>
      </w:r>
      <w:r>
        <w:rPr>
          <w:rFonts w:hint="eastAsia" w:ascii="宋体" w:hAnsi="宋体" w:cs="宋体"/>
          <w:color w:val="000000" w:themeColor="text1"/>
          <w:sz w:val="24"/>
          <w:u w:val="single"/>
          <w14:textFill>
            <w14:solidFill>
              <w14:schemeClr w14:val="tx1"/>
            </w14:solidFill>
          </w14:textFill>
        </w:rPr>
        <w:t xml:space="preserve"> /  </w:t>
      </w:r>
      <w:r>
        <w:rPr>
          <w:rFonts w:hint="eastAsia" w:ascii="宋体" w:hAnsi="宋体" w:cs="宋体"/>
          <w:color w:val="000000" w:themeColor="text1"/>
          <w:sz w:val="24"/>
          <w14:textFill>
            <w14:solidFill>
              <w14:schemeClr w14:val="tx1"/>
            </w14:solidFill>
          </w14:textFill>
        </w:rPr>
        <w:t xml:space="preserve">；  </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第2种方式：采用造价信息进行价格调整。</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（2）关于基准价格的约定：</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专用合同条款①承包人在已标价工程量清单或预算书中载明的材料单价低于基准价格的：专用合同条款合同履行期间材料单价涨幅以基准价格为基础超过</w:t>
      </w:r>
      <w:r>
        <w:rPr>
          <w:rFonts w:hint="eastAsia" w:ascii="宋体" w:hAnsi="宋体" w:cs="宋体"/>
          <w:color w:val="000000" w:themeColor="text1"/>
          <w:sz w:val="24"/>
          <w:u w:val="single"/>
          <w14:textFill>
            <w14:solidFill>
              <w14:schemeClr w14:val="tx1"/>
            </w14:solidFill>
          </w14:textFill>
        </w:rPr>
        <w:t xml:space="preserve"> 10 </w:t>
      </w:r>
      <w:r>
        <w:rPr>
          <w:rFonts w:hint="eastAsia" w:ascii="宋体" w:hAnsi="宋体" w:cs="宋体"/>
          <w:color w:val="000000" w:themeColor="text1"/>
          <w:sz w:val="24"/>
          <w14:textFill>
            <w14:solidFill>
              <w14:schemeClr w14:val="tx1"/>
            </w14:solidFill>
          </w14:textFill>
        </w:rPr>
        <w:t xml:space="preserve">%时，或材料单价跌幅以已标价工程量清单或预算书中载明材料单价为基础超过</w:t>
      </w:r>
      <w:r>
        <w:rPr>
          <w:rFonts w:hint="eastAsia" w:ascii="宋体" w:hAnsi="宋体" w:cs="宋体"/>
          <w:color w:val="000000" w:themeColor="text1"/>
          <w:sz w:val="24"/>
          <w:u w:val="single"/>
          <w14:textFill>
            <w14:solidFill>
              <w14:schemeClr w14:val="tx1"/>
            </w14:solidFill>
          </w14:textFill>
        </w:rPr>
        <w:t xml:space="preserve">5 </w:t>
      </w:r>
      <w:r>
        <w:rPr>
          <w:rFonts w:hint="eastAsia" w:ascii="宋体" w:hAnsi="宋体" w:cs="宋体"/>
          <w:color w:val="000000" w:themeColor="text1"/>
          <w:sz w:val="24"/>
          <w14:textFill>
            <w14:solidFill>
              <w14:schemeClr w14:val="tx1"/>
            </w14:solidFill>
          </w14:textFill>
        </w:rPr>
        <w:t xml:space="preserve">%时，其超过部分据实调整。</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②承包人在已标价工程量清单或预算书中载明的材料单价高于基准价格的：专用合同条款合同履行期间材料单价跌幅以基准价格为基础超过</w:t>
      </w:r>
      <w:r>
        <w:rPr>
          <w:rFonts w:hint="eastAsia" w:ascii="宋体" w:hAnsi="宋体" w:cs="宋体"/>
          <w:color w:val="000000" w:themeColor="text1"/>
          <w:sz w:val="24"/>
          <w:u w:val="single"/>
          <w14:textFill>
            <w14:solidFill>
              <w14:schemeClr w14:val="tx1"/>
            </w14:solidFill>
          </w14:textFill>
        </w:rPr>
        <w:t xml:space="preserve">5 </w:t>
      </w:r>
      <w:r>
        <w:rPr>
          <w:rFonts w:hint="eastAsia" w:ascii="宋体" w:hAnsi="宋体" w:cs="宋体"/>
          <w:color w:val="000000" w:themeColor="text1"/>
          <w:sz w:val="24"/>
          <w14:textFill>
            <w14:solidFill>
              <w14:schemeClr w14:val="tx1"/>
            </w14:solidFill>
          </w14:textFill>
        </w:rPr>
        <w:t xml:space="preserve">%时，材料单价涨幅以已标价工程量清单或预算书中载明材料单价为基础超过</w:t>
      </w:r>
      <w:r>
        <w:rPr>
          <w:rFonts w:hint="eastAsia" w:ascii="宋体" w:hAnsi="宋体" w:cs="宋体"/>
          <w:color w:val="000000" w:themeColor="text1"/>
          <w:sz w:val="24"/>
          <w:u w:val="single"/>
          <w14:textFill>
            <w14:solidFill>
              <w14:schemeClr w14:val="tx1"/>
            </w14:solidFill>
          </w14:textFill>
        </w:rPr>
        <w:t xml:space="preserve">10 </w:t>
      </w:r>
      <w:r>
        <w:rPr>
          <w:rFonts w:hint="eastAsia" w:ascii="宋体" w:hAnsi="宋体" w:cs="宋体"/>
          <w:color w:val="000000" w:themeColor="text1"/>
          <w:sz w:val="24"/>
          <w14:textFill>
            <w14:solidFill>
              <w14:schemeClr w14:val="tx1"/>
            </w14:solidFill>
          </w14:textFill>
        </w:rPr>
        <w:t xml:space="preserve">%时，其超过部分据实调整。</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③承包人在已标价工程量清单或预算书中载明的材料单价等于基准单价的：专用合同条款合同履行期间材料单价涨幅以基准单价为基础超过</w:t>
      </w:r>
      <w:r>
        <w:rPr>
          <w:rFonts w:hint="eastAsia" w:ascii="宋体" w:hAnsi="宋体" w:cs="宋体"/>
          <w:color w:val="000000" w:themeColor="text1"/>
          <w:sz w:val="24"/>
          <w:u w:val="single"/>
          <w14:textFill>
            <w14:solidFill>
              <w14:schemeClr w14:val="tx1"/>
            </w14:solidFill>
          </w14:textFill>
        </w:rPr>
        <w:t xml:space="preserve">10</w:t>
      </w:r>
      <w:r>
        <w:rPr>
          <w:rFonts w:hint="eastAsia" w:ascii="宋体" w:hAnsi="宋体" w:cs="宋体"/>
          <w:color w:val="000000" w:themeColor="text1"/>
          <w:sz w:val="24"/>
          <w14:textFill>
            <w14:solidFill>
              <w14:schemeClr w14:val="tx1"/>
            </w14:solidFill>
          </w14:textFill>
        </w:rPr>
        <w:t xml:space="preserve">%时，跌幅以基准单价为基础超过</w:t>
      </w:r>
      <w:r>
        <w:rPr>
          <w:rFonts w:hint="eastAsia" w:ascii="宋体" w:hAnsi="宋体" w:cs="宋体"/>
          <w:color w:val="000000" w:themeColor="text1"/>
          <w:sz w:val="24"/>
          <w:u w:val="single"/>
          <w14:textFill>
            <w14:solidFill>
              <w14:schemeClr w14:val="tx1"/>
            </w14:solidFill>
          </w14:textFill>
        </w:rPr>
        <w:t xml:space="preserve"> 5 </w:t>
      </w:r>
      <w:r>
        <w:rPr>
          <w:rFonts w:hint="eastAsia" w:ascii="宋体" w:hAnsi="宋体" w:cs="宋体"/>
          <w:color w:val="000000" w:themeColor="text1"/>
          <w:sz w:val="24"/>
          <w14:textFill>
            <w14:solidFill>
              <w14:schemeClr w14:val="tx1"/>
            </w14:solidFill>
          </w14:textFill>
        </w:rPr>
        <w:t xml:space="preserve">%时，其超过部分据实调整。</w:t>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r/>
    </w:p>
    <w:p>
      <w:pPr>
        <w:ind w:firstLine="24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第3种方式：其他价格调整方式：</w:t>
      </w:r>
      <w:r>
        <w:rPr>
          <w:rFonts w:hint="eastAsia" w:ascii="宋体" w:hAnsi="宋体" w:cs="宋体"/>
          <w:color w:val="000000" w:themeColor="text1"/>
          <w:sz w:val="24"/>
          <w:u w:val="single"/>
          <w14:textFill>
            <w14:solidFill>
              <w14:schemeClr w14:val="tx1"/>
            </w14:solidFill>
          </w14:textFill>
        </w:rPr>
        <w:t xml:space="preserve">本工程工期较短，市场价格波动不调整。</w:t>
      </w:r>
      <w:bookmarkEnd w:id="206"/>
      <w:r/>
      <w:bookmarkEnd w:id="207"/>
      <w:r/>
      <w:bookmarkEnd w:id="208"/>
      <w:r/>
      <w:bookmarkEnd w:id="209"/>
      <w:r/>
      <w:bookmarkEnd w:id="210"/>
      <w:r/>
      <w:bookmarkEnd w:id="211"/>
      <w:r/>
      <w:r/>
    </w:p>
    <w:p>
      <w:pPr>
        <w:pStyle w:val="978"/>
        <w:spacing w:before="0" w:after="0" w:line="360" w:lineRule="auto"/>
        <w:rPr>
          <w:rFonts w:ascii="宋体" w:hAnsi="宋体" w:eastAsia="宋体" w:cs="宋体"/>
          <w:b w:val="0"/>
          <w:color w:val="000000" w:themeColor="text1"/>
          <w:sz w:val="24"/>
          <w:szCs w:val="24"/>
          <w14:textFill>
            <w14:solidFill>
              <w14:schemeClr w14:val="tx1"/>
            </w14:solidFill>
          </w14:textFill>
        </w:rPr>
      </w:pPr>
      <w:r/>
      <w:bookmarkStart w:id="230" w:name="_Toc296347204"/>
      <w:r/>
      <w:bookmarkStart w:id="231" w:name="_Toc296891033"/>
      <w:r/>
      <w:bookmarkStart w:id="232" w:name="_Toc296891245"/>
      <w:r/>
      <w:bookmarkStart w:id="233" w:name="_Toc297048391"/>
      <w:r/>
      <w:bookmarkStart w:id="234" w:name="_Toc296503205"/>
      <w:r/>
      <w:bookmarkStart w:id="235" w:name="_Toc296346706"/>
      <w:r/>
      <w:bookmarkStart w:id="236" w:name="_Toc292559410"/>
      <w:r/>
      <w:bookmarkStart w:id="237" w:name="_Toc297120505"/>
      <w:r/>
      <w:bookmarkStart w:id="238" w:name="_Toc296944544"/>
      <w:r/>
      <w:bookmarkStart w:id="239" w:name="_Toc292559915"/>
      <w:r/>
      <w:bookmarkStart w:id="240" w:name="_Toc297123552"/>
      <w:r/>
      <w:bookmarkStart w:id="241" w:name="_Toc303539159"/>
      <w:r/>
      <w:bookmarkStart w:id="242" w:name="_Toc297216211"/>
      <w:r/>
      <w:bookmarkStart w:id="243" w:name="_Toc312678040"/>
      <w:r/>
      <w:bookmarkStart w:id="244" w:name="_Toc351203644"/>
      <w:r/>
      <w:bookmarkStart w:id="245" w:name="_Toc304295579"/>
      <w:r/>
      <w:bookmarkStart w:id="246" w:name="_Toc300935002"/>
      <w:r>
        <w:rPr>
          <w:rFonts w:hint="eastAsia" w:ascii="宋体" w:hAnsi="宋体" w:eastAsia="宋体" w:cs="宋体"/>
          <w:b w:val="0"/>
          <w:color w:val="000000" w:themeColor="text1"/>
          <w:sz w:val="24"/>
          <w:szCs w:val="24"/>
          <w14:textFill>
            <w14:solidFill>
              <w14:schemeClr w14:val="tx1"/>
            </w14:solidFill>
          </w14:textFill>
        </w:rPr>
        <w:t xml:space="preserve">12. </w:t>
      </w:r>
      <w:bookmarkEnd w:id="230"/>
      <w:r/>
      <w:bookmarkEnd w:id="231"/>
      <w:r/>
      <w:bookmarkEnd w:id="232"/>
      <w:r/>
      <w:bookmarkEnd w:id="233"/>
      <w:r/>
      <w:bookmarkEnd w:id="234"/>
      <w:r/>
      <w:bookmarkEnd w:id="235"/>
      <w:r/>
      <w:bookmarkEnd w:id="236"/>
      <w:r/>
      <w:bookmarkEnd w:id="237"/>
      <w:r/>
      <w:bookmarkEnd w:id="238"/>
      <w:r/>
      <w:bookmarkEnd w:id="239"/>
      <w:r>
        <w:rPr>
          <w:rFonts w:hint="eastAsia" w:ascii="宋体" w:hAnsi="宋体" w:eastAsia="宋体" w:cs="宋体"/>
          <w:b w:val="0"/>
          <w:color w:val="000000" w:themeColor="text1"/>
          <w:sz w:val="24"/>
          <w:szCs w:val="24"/>
          <w14:textFill>
            <w14:solidFill>
              <w14:schemeClr w14:val="tx1"/>
            </w14:solidFill>
          </w14:textFill>
        </w:rPr>
        <w:t xml:space="preserve">合同价格、计量与支付</w:t>
      </w:r>
      <w:bookmarkEnd w:id="240"/>
      <w:r/>
      <w:bookmarkEnd w:id="241"/>
      <w:r/>
      <w:bookmarkEnd w:id="242"/>
      <w:r/>
      <w:bookmarkEnd w:id="243"/>
      <w:r/>
      <w:bookmarkEnd w:id="244"/>
      <w:r/>
      <w:bookmarkEnd w:id="245"/>
      <w:r/>
      <w:bookmarkEnd w:id="246"/>
      <w:r/>
      <w:r/>
    </w:p>
    <w:p>
      <w:pPr>
        <w:ind w:firstLine="480"/>
        <w:spacing w:line="360" w:lineRule="auto"/>
        <w:rPr>
          <w:rFonts w:ascii="宋体" w:hAnsi="宋体" w:cs="宋体"/>
          <w:color w:val="000000" w:themeColor="text1"/>
          <w:sz w:val="24"/>
          <w14:textFill>
            <w14:solidFill>
              <w14:schemeClr w14:val="tx1"/>
            </w14:solidFill>
          </w14:textFill>
        </w:rPr>
      </w:pPr>
      <w:r/>
      <w:bookmarkStart w:id="247" w:name="_Toc292559411"/>
      <w:r/>
      <w:bookmarkStart w:id="248" w:name="_Toc267251461"/>
      <w:r/>
      <w:bookmarkStart w:id="249" w:name="_Toc292559916"/>
      <w:r/>
      <w:bookmarkStart w:id="250" w:name="_Toc296346707"/>
      <w:r/>
      <w:bookmarkStart w:id="251" w:name="_Toc296891246"/>
      <w:r/>
      <w:bookmarkStart w:id="252" w:name="_Toc297120506"/>
      <w:r/>
      <w:bookmarkStart w:id="253" w:name="_Toc296891034"/>
      <w:r/>
      <w:bookmarkStart w:id="254" w:name="_Toc296503206"/>
      <w:r/>
      <w:bookmarkStart w:id="255" w:name="_Toc296944545"/>
      <w:r/>
      <w:bookmarkStart w:id="256" w:name="_Toc296347205"/>
      <w:r/>
      <w:bookmarkStart w:id="257" w:name="_Toc297048392"/>
      <w:r/>
      <w:bookmarkStart w:id="258" w:name="_Toc312678041"/>
      <w:r/>
      <w:bookmarkStart w:id="259" w:name="_Toc297123553"/>
      <w:r/>
      <w:bookmarkStart w:id="260" w:name="_Toc303539160"/>
      <w:r/>
      <w:bookmarkStart w:id="261" w:name="_Toc297216212"/>
      <w:r/>
      <w:bookmarkStart w:id="262" w:name="_Toc304295580"/>
      <w:r/>
      <w:bookmarkStart w:id="263" w:name="_Toc300935003"/>
      <w:r>
        <w:rPr>
          <w:rFonts w:hint="eastAsia" w:ascii="宋体" w:hAnsi="宋体" w:cs="宋体"/>
          <w:color w:val="000000" w:themeColor="text1"/>
          <w:sz w:val="24"/>
          <w14:textFill>
            <w14:solidFill>
              <w14:schemeClr w14:val="tx1"/>
            </w14:solidFill>
          </w14:textFill>
        </w:rPr>
        <w:t xml:space="preserve">12.1 合</w:t>
      </w:r>
      <w:bookmarkEnd w:id="247"/>
      <w:r/>
      <w:bookmarkEnd w:id="248"/>
      <w:r/>
      <w:bookmarkEnd w:id="249"/>
      <w:r>
        <w:rPr>
          <w:rFonts w:hint="eastAsia" w:ascii="宋体" w:hAnsi="宋体" w:cs="宋体"/>
          <w:color w:val="000000" w:themeColor="text1"/>
          <w:sz w:val="24"/>
          <w14:textFill>
            <w14:solidFill>
              <w14:schemeClr w14:val="tx1"/>
            </w14:solidFill>
          </w14:textFill>
        </w:rPr>
        <w:t xml:space="preserve">同价</w:t>
      </w:r>
      <w:bookmarkEnd w:id="250"/>
      <w:r/>
      <w:bookmarkEnd w:id="251"/>
      <w:r/>
      <w:bookmarkEnd w:id="252"/>
      <w:r/>
      <w:bookmarkEnd w:id="253"/>
      <w:r/>
      <w:bookmarkEnd w:id="254"/>
      <w:r/>
      <w:bookmarkEnd w:id="255"/>
      <w:r/>
      <w:bookmarkEnd w:id="256"/>
      <w:r/>
      <w:bookmarkEnd w:id="257"/>
      <w:r>
        <w:rPr>
          <w:rFonts w:hint="eastAsia" w:ascii="宋体" w:hAnsi="宋体" w:cs="宋体"/>
          <w:color w:val="000000" w:themeColor="text1"/>
          <w:sz w:val="24"/>
          <w14:textFill>
            <w14:solidFill>
              <w14:schemeClr w14:val="tx1"/>
            </w14:solidFill>
          </w14:textFill>
        </w:rPr>
        <w:t xml:space="preserve">格形式</w:t>
      </w:r>
      <w:bookmarkEnd w:id="258"/>
      <w:r/>
      <w:bookmarkEnd w:id="259"/>
      <w:r/>
      <w:bookmarkEnd w:id="260"/>
      <w:r/>
      <w:bookmarkEnd w:id="261"/>
      <w:r/>
      <w:bookmarkEnd w:id="262"/>
      <w:r/>
      <w:bookmarkEnd w:id="263"/>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1、单价合同。</w:t>
      </w:r>
      <w:r/>
    </w:p>
    <w:p>
      <w:p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综合单价包含的风险范围：</w:t>
      </w:r>
      <w:r/>
    </w:p>
    <w:p>
      <w:pPr>
        <w:ind w:firstLine="480"/>
        <w:spacing w:line="360" w:lineRule="auto"/>
        <w:rPr>
          <w:rFonts w:ascii="宋体" w:hAnsi="宋体" w:cs="宋体"/>
          <w:bCs/>
          <w:color w:val="000000" w:themeColor="text1"/>
          <w:sz w:val="24"/>
          <w:u w:val="single"/>
          <w14:textFill>
            <w14:solidFill>
              <w14:schemeClr w14:val="tx1"/>
            </w14:solidFill>
          </w14:textFill>
        </w:rPr>
      </w:pPr>
      <w:r>
        <w:rPr>
          <w:rFonts w:hint="eastAsia" w:ascii="宋体" w:hAnsi="宋体" w:cs="宋体"/>
          <w:bCs/>
          <w:color w:val="000000" w:themeColor="text1"/>
          <w:sz w:val="24"/>
          <w:u w:val="single"/>
          <w14:textFill>
            <w14:solidFill>
              <w14:schemeClr w14:val="tx1"/>
            </w14:solidFill>
          </w14:textFill>
        </w:rPr>
        <w:t xml:space="preserve">①承包人应完全承担的是技术和管理风险，如管理费和利润、由于承包人使用机械设备、施工技术以及组织管理水平等自身原因造成施工费用增加的及施工期间各类市场风险等。</w:t>
      </w:r>
      <w:r/>
    </w:p>
    <w:p>
      <w:pPr>
        <w:ind w:firstLine="480"/>
        <w:spacing w:line="360" w:lineRule="auto"/>
        <w:rPr>
          <w:rFonts w:ascii="宋体" w:hAnsi="宋体" w:cs="宋体"/>
          <w:bCs/>
          <w:color w:val="000000" w:themeColor="text1"/>
          <w:sz w:val="24"/>
          <w:u w:val="single"/>
          <w14:textFill>
            <w14:solidFill>
              <w14:schemeClr w14:val="tx1"/>
            </w14:solidFill>
          </w14:textFill>
        </w:rPr>
      </w:pPr>
      <w:r>
        <w:rPr>
          <w:rFonts w:hint="eastAsia" w:ascii="宋体" w:hAnsi="宋体" w:cs="宋体"/>
          <w:bCs/>
          <w:color w:val="000000" w:themeColor="text1"/>
          <w:sz w:val="24"/>
          <w:u w:val="single"/>
          <w14:textFill>
            <w14:solidFill>
              <w14:schemeClr w14:val="tx1"/>
            </w14:solidFill>
          </w14:textFill>
        </w:rPr>
        <w:t xml:space="preserve">②承包人建设标准高于发包人要求标准时引起多投入的费用已包含在合同价款中，不再另行增补。</w:t>
      </w:r>
      <w:r/>
    </w:p>
    <w:p>
      <w:pPr>
        <w:ind w:firstLine="480"/>
        <w:spacing w:line="360" w:lineRule="auto"/>
        <w:rPr>
          <w:rFonts w:ascii="宋体" w:hAnsi="宋体" w:cs="宋体"/>
          <w:bCs/>
          <w:color w:val="000000" w:themeColor="text1"/>
          <w:sz w:val="24"/>
          <w:u w:val="single"/>
          <w14:textFill>
            <w14:solidFill>
              <w14:schemeClr w14:val="tx1"/>
            </w14:solidFill>
          </w14:textFill>
        </w:rPr>
      </w:pPr>
      <w:r>
        <w:rPr>
          <w:rFonts w:hint="eastAsia" w:ascii="宋体" w:hAnsi="宋体" w:cs="宋体"/>
          <w:bCs/>
          <w:color w:val="000000" w:themeColor="text1"/>
          <w:sz w:val="24"/>
          <w:u w:val="single"/>
          <w14:textFill>
            <w14:solidFill>
              <w14:schemeClr w14:val="tx1"/>
            </w14:solidFill>
          </w14:textFill>
        </w:rPr>
        <w:t xml:space="preserve">③磋商文件及合同明确约定给予调整的情形外的其他一切风险。</w:t>
      </w:r>
      <w:r/>
    </w:p>
    <w:p>
      <w:pPr>
        <w:ind w:firstLine="480"/>
        <w:spacing w:line="360" w:lineRule="auto"/>
        <w:rPr>
          <w:rFonts w:ascii="宋体" w:hAnsi="宋体" w:cs="宋体"/>
          <w:bCs/>
          <w:color w:val="000000" w:themeColor="text1"/>
          <w:sz w:val="24"/>
          <w:u w:val="single"/>
          <w14:textFill>
            <w14:solidFill>
              <w14:schemeClr w14:val="tx1"/>
            </w14:solidFill>
          </w14:textFill>
        </w:rPr>
      </w:pPr>
      <w:r>
        <w:rPr>
          <w:rFonts w:hint="eastAsia" w:ascii="宋体" w:hAnsi="宋体" w:cs="宋体"/>
          <w:bCs/>
          <w:color w:val="000000" w:themeColor="text1"/>
          <w:sz w:val="24"/>
          <w:u w:val="single"/>
          <w14:textFill>
            <w14:solidFill>
              <w14:schemeClr w14:val="tx1"/>
            </w14:solidFill>
          </w14:textFill>
        </w:rPr>
        <w:t xml:space="preserve">④材料风险执行本工程工期较短，市场价格波动不调整。</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风险费用的计算方法：</w:t>
      </w:r>
      <w:r>
        <w:rPr>
          <w:rFonts w:hint="eastAsia" w:ascii="宋体" w:hAnsi="宋体" w:cs="宋体"/>
          <w:color w:val="000000" w:themeColor="text1"/>
          <w:sz w:val="24"/>
          <w:u w:val="single"/>
          <w14:textFill>
            <w14:solidFill>
              <w14:schemeClr w14:val="tx1"/>
            </w14:solidFill>
          </w14:textFill>
        </w:rPr>
        <w:t xml:space="preserve">风险费用已包含在合同价中。</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2、总价合同。</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总价包含的风险范围：</w:t>
      </w:r>
      <w:r>
        <w:rPr>
          <w:rFonts w:hint="eastAsia" w:ascii="宋体" w:hAnsi="宋体" w:cs="宋体"/>
          <w:color w:val="000000" w:themeColor="text1"/>
          <w:sz w:val="24"/>
          <w:u w:val="single"/>
          <w14:textFill>
            <w14:solidFill>
              <w14:schemeClr w14:val="tx1"/>
            </w14:solidFill>
          </w14:textFill>
        </w:rPr>
        <w:t xml:space="preserve">/</w:t>
      </w:r>
      <w:r>
        <w:rPr>
          <w:rFonts w:hint="eastAsia" w:ascii="宋体" w:hAnsi="宋体" w:cs="宋体"/>
          <w:color w:val="000000" w:themeColor="text1"/>
          <w:sz w:val="24"/>
          <w14:textFill>
            <w14:solidFill>
              <w14:schemeClr w14:val="tx1"/>
            </w14:solidFill>
          </w14:textFill>
        </w:rPr>
        <w:t xml:space="preserve">。</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风险费用的计算方法：</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风险范围以外合同价格的调整方法：</w:t>
      </w:r>
      <w:r>
        <w:rPr>
          <w:rFonts w:hint="eastAsia" w:ascii="宋体" w:hAnsi="宋体" w:cs="宋体"/>
          <w:color w:val="000000" w:themeColor="text1"/>
          <w:sz w:val="24"/>
          <w:u w:val="single"/>
          <w14:textFill>
            <w14:solidFill>
              <w14:schemeClr w14:val="tx1"/>
            </w14:solidFill>
          </w14:textFill>
        </w:rPr>
        <w:t xml:space="preserve">风险费用已包含在合同价中。</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3、其他价格方式：</w:t>
      </w:r>
      <w:r>
        <w:rPr>
          <w:rFonts w:hint="eastAsia" w:ascii="宋体" w:hAnsi="宋体" w:cs="宋体"/>
          <w:color w:val="000000" w:themeColor="text1"/>
          <w:sz w:val="24"/>
          <w:u w:val="single"/>
          <w14:textFill>
            <w14:solidFill>
              <w14:schemeClr w14:val="tx1"/>
            </w14:solidFill>
          </w14:textFill>
        </w:rPr>
        <w:t xml:space="preserve">/</w:t>
      </w:r>
      <w:r>
        <w:rPr>
          <w:rFonts w:hint="eastAsia" w:ascii="宋体" w:hAnsi="宋体" w:cs="宋体"/>
          <w:color w:val="000000" w:themeColor="text1"/>
          <w:sz w:val="24"/>
          <w14:textFill>
            <w14:solidFill>
              <w14:schemeClr w14:val="tx1"/>
            </w14:solidFill>
          </w14:textFill>
        </w:rPr>
        <w:t xml:space="preserve">。</w:t>
      </w:r>
      <w:r/>
    </w:p>
    <w:p>
      <w:pPr>
        <w:ind w:firstLine="480"/>
        <w:spacing w:line="360" w:lineRule="auto"/>
        <w:rPr>
          <w:rFonts w:ascii="宋体" w:hAnsi="宋体" w:cs="宋体"/>
          <w:color w:val="000000" w:themeColor="text1"/>
          <w:sz w:val="24"/>
          <w14:textFill>
            <w14:solidFill>
              <w14:schemeClr w14:val="tx1"/>
            </w14:solidFill>
          </w14:textFill>
        </w:rPr>
      </w:pPr>
      <w:r/>
      <w:bookmarkStart w:id="264" w:name="_Toc312678042"/>
      <w:r/>
      <w:bookmarkStart w:id="265" w:name="_Toc303539161"/>
      <w:r/>
      <w:bookmarkStart w:id="266" w:name="_Toc297123554"/>
      <w:r/>
      <w:bookmarkStart w:id="267" w:name="_Toc300935004"/>
      <w:r/>
      <w:bookmarkStart w:id="268" w:name="_Toc297216213"/>
      <w:r/>
      <w:bookmarkStart w:id="269" w:name="_Toc304295581"/>
      <w:r/>
      <w:bookmarkStart w:id="270" w:name="_Toc297120507"/>
      <w:r/>
      <w:bookmarkStart w:id="271" w:name="_Toc296944546"/>
      <w:r/>
      <w:bookmarkStart w:id="272" w:name="_Toc296891247"/>
      <w:r/>
      <w:bookmarkStart w:id="273" w:name="_Toc296503207"/>
      <w:r/>
      <w:bookmarkStart w:id="274" w:name="_Toc296891035"/>
      <w:r/>
      <w:bookmarkStart w:id="275" w:name="_Toc297048393"/>
      <w:r/>
      <w:bookmarkStart w:id="276" w:name="_Toc292559917"/>
      <w:r/>
      <w:bookmarkStart w:id="277" w:name="_Toc296346708"/>
      <w:r/>
      <w:bookmarkStart w:id="278" w:name="_Toc296347206"/>
      <w:r/>
      <w:bookmarkStart w:id="279" w:name="_Toc292559412"/>
      <w:r>
        <w:rPr>
          <w:rFonts w:hint="eastAsia" w:ascii="宋体" w:hAnsi="宋体" w:cs="宋体"/>
          <w:color w:val="000000" w:themeColor="text1"/>
          <w:sz w:val="24"/>
          <w14:textFill>
            <w14:solidFill>
              <w14:schemeClr w14:val="tx1"/>
            </w14:solidFill>
          </w14:textFill>
        </w:rPr>
        <w:t xml:space="preserve">12.2 预付款</w:t>
      </w:r>
      <w:bookmarkEnd w:id="264"/>
      <w:r/>
      <w:bookmarkEnd w:id="265"/>
      <w:r/>
      <w:bookmarkEnd w:id="266"/>
      <w:r/>
      <w:bookmarkEnd w:id="267"/>
      <w:r/>
      <w:bookmarkEnd w:id="268"/>
      <w:r/>
      <w:bookmarkEnd w:id="269"/>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12.2.1 预付款的支付</w:t>
      </w:r>
      <w:r/>
    </w:p>
    <w:p>
      <w:pPr>
        <w:ind w:firstLine="480"/>
        <w:spacing w:line="360" w:lineRule="auto"/>
        <w:rPr>
          <w:rFonts w:ascii="宋体" w:hAnsi="宋体" w:cs="宋体"/>
          <w:b/>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预付款支付比例或金额：</w:t>
      </w:r>
      <w:r>
        <w:rPr>
          <w:rFonts w:hint="eastAsia" w:ascii="宋体" w:hAnsi="宋体" w:cs="宋体"/>
          <w:color w:val="000000" w:themeColor="text1"/>
          <w:sz w:val="24"/>
          <w:u w:val="single"/>
          <w14:textFill>
            <w14:solidFill>
              <w14:schemeClr w14:val="tx1"/>
            </w14:solidFill>
          </w14:textFill>
        </w:rPr>
        <w:t xml:space="preserve">     /    。 </w:t>
      </w:r>
      <w:r/>
    </w:p>
    <w:p>
      <w:pPr>
        <w:ind w:firstLine="480"/>
        <w:spacing w:line="360" w:lineRule="auto"/>
        <w:rPr>
          <w:rFonts w:ascii="宋体" w:hAnsi="宋体" w:cs="宋体"/>
          <w:b/>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预付款支付期限：</w:t>
      </w:r>
      <w:r>
        <w:rPr>
          <w:rFonts w:hint="eastAsia" w:ascii="宋体" w:hAnsi="宋体" w:cs="宋体"/>
          <w:color w:val="000000" w:themeColor="text1"/>
          <w:sz w:val="24"/>
          <w:u w:val="single"/>
          <w14:textFill>
            <w14:solidFill>
              <w14:schemeClr w14:val="tx1"/>
            </w14:solidFill>
          </w14:textFill>
        </w:rPr>
        <w:t xml:space="preserve">    /   。</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预付款扣回的方式：</w:t>
      </w:r>
      <w:r>
        <w:rPr>
          <w:rFonts w:hint="eastAsia" w:ascii="宋体" w:hAnsi="宋体" w:cs="宋体"/>
          <w:color w:val="000000" w:themeColor="text1"/>
          <w:sz w:val="24"/>
          <w:u w:val="single"/>
          <w14:textFill>
            <w14:solidFill>
              <w14:schemeClr w14:val="tx1"/>
            </w14:solidFill>
          </w14:textFill>
        </w:rPr>
        <w:t xml:space="preserve"> /    。</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12.2.2 预付款担保</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承包人提交预付款担保的期限：</w:t>
      </w:r>
      <w:r>
        <w:rPr>
          <w:rFonts w:hint="eastAsia" w:ascii="宋体" w:hAnsi="宋体" w:cs="宋体"/>
          <w:color w:val="000000" w:themeColor="text1"/>
          <w:sz w:val="24"/>
          <w:u w:val="single"/>
          <w14:textFill>
            <w14:solidFill>
              <w14:schemeClr w14:val="tx1"/>
            </w14:solidFill>
          </w14:textFill>
        </w:rPr>
        <w:t xml:space="preserve"> / </w:t>
      </w:r>
      <w:r>
        <w:rPr>
          <w:rFonts w:hint="eastAsia" w:ascii="宋体" w:hAnsi="宋体" w:cs="宋体"/>
          <w:color w:val="000000" w:themeColor="text1"/>
          <w:sz w:val="24"/>
          <w14:textFill>
            <w14:solidFill>
              <w14:schemeClr w14:val="tx1"/>
            </w14:solidFill>
          </w14:textFill>
        </w:rPr>
        <w:t xml:space="preserve">。</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预付款担保的形式为：</w:t>
      </w:r>
      <w:r>
        <w:rPr>
          <w:rFonts w:hint="eastAsia" w:ascii="宋体" w:hAnsi="宋体" w:cs="宋体"/>
          <w:color w:val="000000" w:themeColor="text1"/>
          <w:sz w:val="24"/>
          <w:u w:val="single"/>
          <w14:textFill>
            <w14:solidFill>
              <w14:schemeClr w14:val="tx1"/>
            </w14:solidFill>
          </w14:textFill>
        </w:rPr>
        <w:t xml:space="preserve"> / </w:t>
      </w:r>
      <w:r>
        <w:rPr>
          <w:rFonts w:hint="eastAsia" w:ascii="宋体" w:hAnsi="宋体" w:cs="宋体"/>
          <w:color w:val="000000" w:themeColor="text1"/>
          <w:sz w:val="24"/>
          <w14:textFill>
            <w14:solidFill>
              <w14:schemeClr w14:val="tx1"/>
            </w14:solidFill>
          </w14:textFill>
        </w:rPr>
        <w:t xml:space="preserve">。</w:t>
      </w:r>
      <w:bookmarkEnd w:id="270"/>
      <w:r/>
      <w:bookmarkEnd w:id="271"/>
      <w:r/>
      <w:bookmarkEnd w:id="272"/>
      <w:r/>
      <w:bookmarkEnd w:id="273"/>
      <w:r/>
      <w:bookmarkEnd w:id="274"/>
      <w:r/>
      <w:bookmarkEnd w:id="275"/>
      <w:r/>
      <w:bookmarkEnd w:id="276"/>
      <w:r/>
      <w:bookmarkEnd w:id="277"/>
      <w:r/>
      <w:bookmarkEnd w:id="278"/>
      <w:r/>
      <w:bookmarkEnd w:id="279"/>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12.3 计量</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12.3.1 计量原则</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本工程采用工程量清单方式计价，竣工结算的工程量按发承包双方在合同中约定应予计量且实际完成的工程量确定，完成发包人要求的合同以外的零星工作或发生非承包人责任事件的工程量按现场签证确定。</w:t>
      </w:r>
      <w:r/>
    </w:p>
    <w:p>
      <w:pPr>
        <w:pStyle w:val="1030"/>
        <w:ind w:firstLine="48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工程量计算规则：</w:t>
      </w:r>
      <w:r>
        <w:rPr>
          <w:rFonts w:hint="eastAsia" w:ascii="宋体" w:hAnsi="宋体" w:cs="宋体"/>
          <w:color w:val="000000" w:themeColor="text1"/>
          <w:u w:val="single"/>
          <w14:textFill>
            <w14:solidFill>
              <w14:schemeClr w14:val="tx1"/>
            </w14:solidFill>
          </w14:textFill>
        </w:rPr>
        <w:t xml:space="preserve">执行现行国家标准《建设工程工程量清单计价规范》（GB50500-2013）、《市政工程工程量计算规范》（GB50857-2013）、《</w:t>
      </w:r>
      <w:r>
        <w:rPr>
          <w:rFonts w:hint="eastAsia" w:ascii="宋体" w:hAnsi="宋体" w:cs="宋体"/>
          <w:color w:val="000000" w:themeColor="text1"/>
          <w:u w:val="single"/>
          <w14:textFill>
            <w14:solidFill>
              <w14:schemeClr w14:val="tx1"/>
            </w14:solidFill>
          </w14:textFill>
        </w:rPr>
        <w:t xml:space="preserve">江苏省市政工程计价定额》（2014）、《房屋建筑与装饰工程工程量计算规范》（GB50854-2013）、《通用安装工程工程量计算规范》（GB50856-2013）、《江苏省建筑与装饰工程计价定额》（2014）、《江苏省安装工程计价定额》（2014）、《江苏省建设工程费用定额》（2014）、苏建价〔2016〕154号《江苏省建设工程费用定额》（2014）、住建厅建筑业增值税计价政策调整的通知（苏建函价【2019】178号）、省住房城乡建设厅关于调整建设工程按质论价等费用计取办法的公告（【2018】第24号）、</w:t>
      </w:r>
      <w:r>
        <w:rPr>
          <w:rFonts w:hint="eastAsia" w:ascii="宋体" w:hAnsi="宋体" w:cs="宋体"/>
          <w:color w:val="000000" w:themeColor="text1"/>
          <w:highlight w:val="none"/>
          <w:u w:val="single"/>
          <w14:textFill>
            <w14:solidFill>
              <w14:schemeClr w14:val="tx1"/>
            </w14:solidFill>
          </w14:textFill>
        </w:rPr>
        <w:t xml:space="preserve">苏建函价〔202</w:t>
      </w:r>
      <w:r>
        <w:rPr>
          <w:rFonts w:hint="eastAsia" w:ascii="宋体" w:hAnsi="宋体" w:cs="宋体"/>
          <w:color w:val="000000" w:themeColor="text1"/>
          <w:highlight w:val="none"/>
          <w:u w:val="single"/>
          <w:lang w:val="en-US" w:eastAsia="zh-CN"/>
          <w14:textFill>
            <w14:solidFill>
              <w14:schemeClr w14:val="tx1"/>
            </w14:solidFill>
          </w14:textFill>
        </w:rPr>
        <w:t xml:space="preserve">5</w:t>
      </w:r>
      <w:r>
        <w:rPr>
          <w:rFonts w:hint="eastAsia" w:ascii="宋体" w:hAnsi="宋体" w:cs="宋体"/>
          <w:color w:val="000000" w:themeColor="text1"/>
          <w:highlight w:val="none"/>
          <w:u w:val="single"/>
          <w14:textFill>
            <w14:solidFill>
              <w14:schemeClr w14:val="tx1"/>
            </w14:solidFill>
          </w14:textFill>
        </w:rPr>
        <w:t xml:space="preserve">〕</w:t>
      </w:r>
      <w:r>
        <w:rPr>
          <w:rFonts w:hint="eastAsia" w:ascii="宋体" w:hAnsi="宋体" w:cs="宋体"/>
          <w:color w:val="000000" w:themeColor="text1"/>
          <w:highlight w:val="none"/>
          <w:u w:val="single"/>
          <w:lang w:val="en-US" w:eastAsia="zh-CN"/>
          <w14:textFill>
            <w14:solidFill>
              <w14:schemeClr w14:val="tx1"/>
            </w14:solidFill>
          </w14:textFill>
        </w:rPr>
        <w:t xml:space="preserve">273</w:t>
      </w:r>
      <w:r>
        <w:rPr>
          <w:rFonts w:hint="eastAsia" w:ascii="宋体" w:hAnsi="宋体" w:cs="宋体"/>
          <w:color w:val="000000" w:themeColor="text1"/>
          <w:highlight w:val="none"/>
          <w:u w:val="single"/>
          <w14:textFill>
            <w14:solidFill>
              <w14:schemeClr w14:val="tx1"/>
            </w14:solidFill>
          </w14:textFill>
        </w:rPr>
        <w:t xml:space="preserve">号等</w:t>
      </w:r>
      <w:r>
        <w:rPr>
          <w:rFonts w:hint="eastAsia" w:ascii="宋体" w:hAnsi="宋体" w:cs="宋体"/>
          <w:color w:val="000000" w:themeColor="text1"/>
          <w:u w:val="single"/>
          <w14:textFill>
            <w14:solidFill>
              <w14:schemeClr w14:val="tx1"/>
            </w14:solidFill>
          </w14:textFill>
        </w:rPr>
        <w:t xml:space="preserve">有关文件规定以及括磋商文件、图纸、工程量清单及其补充通知和答疑纪要</w:t>
      </w:r>
      <w:r>
        <w:rPr>
          <w:rFonts w:hint="eastAsia" w:ascii="宋体" w:hAnsi="宋体" w:cs="宋体"/>
          <w:bCs/>
          <w:color w:val="000000" w:themeColor="text1"/>
          <w14:textFill>
            <w14:solidFill>
              <w14:schemeClr w14:val="tx1"/>
            </w14:solidFill>
          </w14:textFill>
        </w:rPr>
        <w:t xml:space="preserve">。</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12.3.2 计量周期</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关于计量周期的约定：</w:t>
      </w:r>
      <w:r>
        <w:rPr>
          <w:rFonts w:hint="eastAsia" w:ascii="宋体" w:hAnsi="宋体" w:cs="宋体"/>
          <w:color w:val="000000" w:themeColor="text1"/>
          <w:sz w:val="24"/>
          <w:u w:val="single"/>
          <w14:textFill>
            <w14:solidFill>
              <w14:schemeClr w14:val="tx1"/>
            </w14:solidFill>
          </w14:textFill>
        </w:rPr>
        <w:t xml:space="preserve">每月的25日前提交本月已完工程量报告及相关形象进度资料。如承包人未按时报送工程量，影响工程款支付的，由承包人自行负责。    </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12.3.3 单价合同的计量</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关于单价合同计量的约定：</w:t>
      </w:r>
      <w:r>
        <w:rPr>
          <w:rFonts w:hint="eastAsia" w:ascii="宋体" w:hAnsi="宋体" w:cs="宋体"/>
          <w:color w:val="000000" w:themeColor="text1"/>
          <w:sz w:val="24"/>
          <w:u w:val="single"/>
          <w14:textFill>
            <w14:solidFill>
              <w14:schemeClr w14:val="tx1"/>
            </w14:solidFill>
          </w14:textFill>
        </w:rPr>
        <w:t xml:space="preserve">工程量清单以外项目，承包人自行施工的责任自负，结算时不予计量，确需实施的清单漏项项目在实施以前应当履行审批定价程序，应当依法招标的另行依法招标。</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12.3.4 总价合同的计量</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关于总价合同计量的约定：</w:t>
      </w:r>
      <w:r>
        <w:rPr>
          <w:rFonts w:hint="eastAsia" w:ascii="宋体" w:hAnsi="宋体" w:cs="宋体"/>
          <w:color w:val="000000" w:themeColor="text1"/>
          <w:sz w:val="24"/>
          <w:u w:val="single"/>
          <w14:textFill>
            <w14:solidFill>
              <w14:schemeClr w14:val="tx1"/>
            </w14:solidFill>
          </w14:textFill>
        </w:rPr>
        <w:t xml:space="preserve">  /  </w:t>
      </w:r>
      <w:r>
        <w:rPr>
          <w:rFonts w:hint="eastAsia" w:ascii="宋体" w:hAnsi="宋体" w:cs="宋体"/>
          <w:color w:val="000000" w:themeColor="text1"/>
          <w:sz w:val="24"/>
          <w14:textFill>
            <w14:solidFill>
              <w14:schemeClr w14:val="tx1"/>
            </w14:solidFill>
          </w14:textFill>
        </w:rPr>
        <w:t xml:space="preserve">。</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12.3.5总价合同采用支付分解表计量支付的，是否适用第12.3.4项〔总价合同的计量〕约定进行计量：</w:t>
      </w:r>
      <w:r>
        <w:rPr>
          <w:rFonts w:hint="eastAsia" w:ascii="宋体" w:hAnsi="宋体" w:cs="宋体"/>
          <w:color w:val="000000" w:themeColor="text1"/>
          <w:sz w:val="24"/>
          <w:u w:val="single"/>
          <w14:textFill>
            <w14:solidFill>
              <w14:schemeClr w14:val="tx1"/>
            </w14:solidFill>
          </w14:textFill>
        </w:rPr>
        <w:t xml:space="preserve"> / </w:t>
      </w:r>
      <w:r>
        <w:rPr>
          <w:rFonts w:hint="eastAsia" w:ascii="宋体" w:hAnsi="宋体" w:cs="宋体"/>
          <w:color w:val="000000" w:themeColor="text1"/>
          <w:sz w:val="24"/>
          <w14:textFill>
            <w14:solidFill>
              <w14:schemeClr w14:val="tx1"/>
            </w14:solidFill>
          </w14:textFill>
        </w:rPr>
        <w:t xml:space="preserve">。</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12.3.6 其他价格形式合同的计量</w:t>
      </w:r>
      <w:r/>
    </w:p>
    <w:p>
      <w:p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其他价格形式的计量方式和程序：</w:t>
      </w:r>
      <w:r>
        <w:rPr>
          <w:rFonts w:hint="eastAsia" w:ascii="宋体" w:hAnsi="宋体" w:cs="宋体"/>
          <w:color w:val="000000" w:themeColor="text1"/>
          <w:sz w:val="24"/>
          <w:u w:val="single"/>
          <w14:textFill>
            <w14:solidFill>
              <w14:schemeClr w14:val="tx1"/>
            </w14:solidFill>
          </w14:textFill>
        </w:rPr>
        <w:t xml:space="preserve">  /   </w:t>
      </w:r>
      <w:r>
        <w:rPr>
          <w:rFonts w:hint="eastAsia" w:ascii="宋体" w:hAnsi="宋体" w:cs="宋体"/>
          <w:color w:val="000000" w:themeColor="text1"/>
          <w:sz w:val="24"/>
          <w14:textFill>
            <w14:solidFill>
              <w14:schemeClr w14:val="tx1"/>
            </w14:solidFill>
          </w14:textFill>
        </w:rPr>
        <w:t xml:space="preserve">。</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12.4 工程进度款支付</w:t>
      </w:r>
      <w:r/>
    </w:p>
    <w:p>
      <w:pPr>
        <w:ind w:firstLine="480"/>
        <w:spacing w:line="360" w:lineRule="auto"/>
        <w:rPr>
          <w:rFonts w:ascii="宋体" w:hAnsi="宋体" w:cs="宋体"/>
          <w:color w:val="000000" w:themeColor="text1"/>
          <w:sz w:val="24"/>
          <w14:textFill>
            <w14:solidFill>
              <w14:schemeClr w14:val="tx1"/>
            </w14:solidFill>
          </w14:textFill>
        </w:rPr>
      </w:pPr>
      <w:r/>
      <w:bookmarkStart w:id="280" w:name="_Toc297216215"/>
      <w:r/>
      <w:bookmarkStart w:id="281" w:name="_Toc296346712"/>
      <w:r/>
      <w:bookmarkStart w:id="282" w:name="_Toc296944550"/>
      <w:r/>
      <w:bookmarkStart w:id="283" w:name="_Toc296891251"/>
      <w:r/>
      <w:bookmarkStart w:id="284" w:name="_Toc296891039"/>
      <w:r/>
      <w:bookmarkStart w:id="285" w:name="_Toc292559921"/>
      <w:r/>
      <w:bookmarkStart w:id="286" w:name="_Toc297120511"/>
      <w:r/>
      <w:bookmarkStart w:id="287" w:name="_Toc300935006"/>
      <w:r/>
      <w:bookmarkStart w:id="288" w:name="_Toc303539163"/>
      <w:r/>
      <w:bookmarkStart w:id="289" w:name="_Toc296347210"/>
      <w:r/>
      <w:bookmarkStart w:id="290" w:name="_Toc297123556"/>
      <w:r/>
      <w:bookmarkStart w:id="291" w:name="_Toc297048397"/>
      <w:r/>
      <w:bookmarkStart w:id="292" w:name="_Toc292559416"/>
      <w:r/>
      <w:bookmarkStart w:id="293" w:name="_Toc296503211"/>
      <w:r>
        <w:rPr>
          <w:rFonts w:hint="eastAsia" w:ascii="宋体" w:hAnsi="宋体" w:cs="宋体"/>
          <w:color w:val="000000" w:themeColor="text1"/>
          <w:sz w:val="24"/>
          <w14:textFill>
            <w14:solidFill>
              <w14:schemeClr w14:val="tx1"/>
            </w14:solidFill>
          </w14:textFill>
        </w:rPr>
        <w:t xml:space="preserve">12.4.1 付款周期</w:t>
      </w:r>
      <w:r/>
    </w:p>
    <w:p>
      <w:pPr>
        <w:ind w:left="0" w:right="0" w:firstLine="482"/>
        <w:spacing w:before="0" w:after="200"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本合同总金额为人民币大写金额</w:t>
      </w:r>
      <w:r>
        <w:rPr>
          <w:rFonts w:hint="eastAsia" w:ascii="宋体" w:hAnsi="宋体" w:eastAsia="宋体" w:cs="宋体"/>
          <w:b/>
          <w:color w:val="auto"/>
          <w:sz w:val="24"/>
          <w:szCs w:val="24"/>
          <w:highlight w:val="none"/>
          <w:u w:val="single"/>
        </w:rPr>
        <w:t xml:space="preserve"> </w:t>
      </w:r>
      <w:r>
        <w:rPr>
          <w:rFonts w:hint="eastAsia" w:ascii="宋体" w:hAnsi="宋体" w:cs="宋体"/>
          <w:b/>
          <w:color w:val="auto"/>
          <w:sz w:val="24"/>
          <w:szCs w:val="24"/>
          <w:highlight w:val="none"/>
          <w:u w:val="single"/>
          <w:lang w:val="en-US" w:eastAsia="zh-CN"/>
        </w:rPr>
        <w:t xml:space="preserve">    </w:t>
      </w:r>
      <w:r>
        <w:rPr>
          <w:rFonts w:hint="eastAsia" w:ascii="宋体" w:hAnsi="宋体" w:eastAsia="宋体" w:cs="宋体"/>
          <w:b/>
          <w:color w:val="auto"/>
          <w:sz w:val="24"/>
          <w:szCs w:val="24"/>
          <w:highlight w:val="none"/>
          <w:u w:val="single"/>
        </w:rPr>
        <w:t xml:space="preserve"> </w:t>
      </w:r>
      <w:r>
        <w:rPr>
          <w:rFonts w:hint="eastAsia" w:ascii="宋体" w:hAnsi="宋体" w:eastAsia="宋体" w:cs="宋体"/>
          <w:b/>
          <w:color w:val="auto"/>
          <w:sz w:val="24"/>
          <w:szCs w:val="24"/>
          <w:highlight w:val="none"/>
        </w:rPr>
        <w:t xml:space="preserve">元（小写金额：</w:t>
      </w:r>
      <w:r>
        <w:rPr>
          <w:rFonts w:hint="eastAsia" w:ascii="宋体" w:hAnsi="宋体" w:eastAsia="宋体" w:cs="宋体"/>
          <w:b/>
          <w:color w:val="auto"/>
          <w:sz w:val="24"/>
          <w:szCs w:val="24"/>
          <w:highlight w:val="none"/>
          <w:u w:val="single"/>
        </w:rPr>
        <w:t xml:space="preserve">     </w:t>
      </w:r>
      <w:r>
        <w:rPr>
          <w:rFonts w:hint="eastAsia" w:ascii="宋体" w:hAnsi="宋体" w:eastAsia="宋体" w:cs="宋体"/>
          <w:b/>
          <w:color w:val="auto"/>
          <w:sz w:val="24"/>
          <w:szCs w:val="24"/>
          <w:highlight w:val="none"/>
        </w:rPr>
        <w:t xml:space="preserve">元），经双方协商一致，选择以下付款方式：</w:t>
      </w:r>
      <w:r/>
    </w:p>
    <w:p>
      <w:pPr>
        <w:ind w:left="0" w:right="6" w:firstLine="420"/>
        <w:spacing w:before="0" w:after="20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工程验收合格后付至合同价款的</w:t>
      </w:r>
      <w:r>
        <w:rPr>
          <w:rFonts w:hint="eastAsia" w:ascii="宋体" w:hAnsi="宋体" w:cs="宋体"/>
          <w:b/>
          <w:color w:val="auto"/>
          <w:sz w:val="24"/>
          <w:szCs w:val="24"/>
          <w:highlight w:val="none"/>
          <w:lang w:val="en-US" w:eastAsia="zh-CN"/>
        </w:rPr>
        <w:t xml:space="preserve">8</w:t>
      </w:r>
      <w:r>
        <w:rPr>
          <w:rFonts w:hint="eastAsia" w:ascii="宋体" w:hAnsi="宋体" w:eastAsia="宋体" w:cs="宋体"/>
          <w:b/>
          <w:color w:val="auto"/>
          <w:sz w:val="24"/>
          <w:szCs w:val="24"/>
          <w:highlight w:val="none"/>
        </w:rPr>
        <w:t xml:space="preserve">0%，竣工结算资料报送招标人并完成竣工结算审核后付至双方认可结算价的97%，剩余3%作为质保金于缺陷责任期满后无息结清。</w:t>
      </w:r>
      <w:r/>
    </w:p>
    <w:p>
      <w:pPr>
        <w:numPr>
          <w:ilvl w:val="0"/>
          <w:numId w:val="0"/>
        </w:numPr>
        <w:ind w:left="420" w:right="6"/>
        <w:spacing w:after="200" w:line="85"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进度款与质量挂钩，如果所完成工程的质量达不到验收规范要求，发包人有权</w:t>
      </w:r>
      <w:r/>
    </w:p>
    <w:p>
      <w:pPr>
        <w:numPr>
          <w:ilvl w:val="0"/>
          <w:numId w:val="0"/>
        </w:numPr>
        <w:ind w:right="6"/>
        <w:spacing w:after="200" w:line="85"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暂缓支付该部分工程款。待承包人整改完成符合验收规范要求后再行支付。付款前</w:t>
      </w:r>
      <w:r/>
    </w:p>
    <w:p>
      <w:pPr>
        <w:numPr>
          <w:ilvl w:val="0"/>
          <w:numId w:val="0"/>
        </w:numPr>
        <w:ind w:right="6"/>
        <w:spacing w:after="200" w:line="85"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承包方应提供符合发包方要求的增值税发票。</w:t>
      </w:r>
      <w:r/>
    </w:p>
    <w:p>
      <w:pPr>
        <w:numPr>
          <w:ilvl w:val="0"/>
          <w:numId w:val="0"/>
        </w:numPr>
        <w:ind w:right="6"/>
        <w:spacing w:after="200" w:line="360" w:lineRule="auto"/>
        <w:rPr>
          <w:rFonts w:hint="eastAsia" w:ascii="宋体" w:hAnsi="宋体" w:eastAsia="宋体" w:cs="宋体"/>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lang w:val="en-US" w:eastAsia="zh-CN"/>
        </w:rPr>
        <w:t xml:space="preserve">注：农民工工资支付需按照《关于转发〈关于扎实推进房屋建筑和市政基础设施建设领域保障农民工工资支付工作的通知〉的通知》徐住建发〔2023〕119 号文件严格落实。</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12.4.2 进度付款申请单的编制</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关于进度付款申请单编制的约定：</w:t>
      </w:r>
      <w:r>
        <w:rPr>
          <w:rFonts w:hint="eastAsia" w:ascii="宋体" w:hAnsi="宋体" w:cs="宋体"/>
          <w:color w:val="000000" w:themeColor="text1"/>
          <w:sz w:val="24"/>
          <w:u w:val="single"/>
          <w14:textFill>
            <w14:solidFill>
              <w14:schemeClr w14:val="tx1"/>
            </w14:solidFill>
          </w14:textFill>
        </w:rPr>
        <w:t xml:space="preserve">每月20日前提交本月已完工程量报告及相关形象进度影像资料。逾期提交的，发包人有权拒绝支付工程款。 </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w:t>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rPr>
          <w:rFonts w:hint="eastAsia" w:ascii="宋体" w:hAnsi="宋体" w:cs="宋体"/>
          <w:color w:val="000000" w:themeColor="text1"/>
          <w:sz w:val="24"/>
          <w14:textFill>
            <w14:solidFill>
              <w14:schemeClr w14:val="tx1"/>
            </w14:solidFill>
          </w14:textFill>
        </w:rPr>
        <w:t xml:space="preserve">2.4.3 进度付款申请单的提交</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（1）单价合同进度付款申请单提交的约定：</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按发包人工程款支付管理规定和本合同约定执行。 </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（2）总价合同进度付款申请单提交的约定：</w:t>
      </w:r>
      <w:r>
        <w:rPr>
          <w:rFonts w:hint="eastAsia" w:ascii="宋体" w:hAnsi="宋体" w:cs="宋体"/>
          <w:color w:val="000000" w:themeColor="text1"/>
          <w:sz w:val="24"/>
          <w:u w:val="single"/>
          <w14:textFill>
            <w14:solidFill>
              <w14:schemeClr w14:val="tx1"/>
            </w14:solidFill>
          </w14:textFill>
        </w:rPr>
        <w:t xml:space="preserve"> / </w:t>
      </w:r>
      <w:r>
        <w:rPr>
          <w:rFonts w:hint="eastAsia" w:ascii="宋体" w:hAnsi="宋体" w:cs="宋体"/>
          <w:color w:val="000000" w:themeColor="text1"/>
          <w:sz w:val="24"/>
          <w14:textFill>
            <w14:solidFill>
              <w14:schemeClr w14:val="tx1"/>
            </w14:solidFill>
          </w14:textFill>
        </w:rPr>
        <w:t xml:space="preserve">。</w:t>
      </w:r>
      <w:r/>
    </w:p>
    <w:p>
      <w:p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（3）其他价格形式合同进度付款申请单提交的约定：</w:t>
      </w:r>
      <w:r>
        <w:rPr>
          <w:rFonts w:hint="eastAsia" w:ascii="宋体" w:hAnsi="宋体" w:cs="宋体"/>
          <w:color w:val="000000" w:themeColor="text1"/>
          <w:sz w:val="24"/>
          <w:u w:val="single"/>
          <w14:textFill>
            <w14:solidFill>
              <w14:schemeClr w14:val="tx1"/>
            </w14:solidFill>
          </w14:textFill>
        </w:rPr>
        <w:t xml:space="preserve"> / </w:t>
      </w:r>
      <w:r>
        <w:rPr>
          <w:rFonts w:hint="eastAsia" w:ascii="宋体" w:hAnsi="宋体" w:cs="宋体"/>
          <w:color w:val="000000" w:themeColor="text1"/>
          <w:sz w:val="24"/>
          <w14:textFill>
            <w14:solidFill>
              <w14:schemeClr w14:val="tx1"/>
            </w14:solidFill>
          </w14:textFill>
        </w:rPr>
        <w:t xml:space="preserve">。</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12.4.4 进度款审核和支付</w:t>
      </w:r>
      <w:r/>
    </w:p>
    <w:p>
      <w:pPr>
        <w:ind w:firstLine="24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（1）监理人审查并报送发包人的期限：</w:t>
      </w:r>
      <w:r>
        <w:rPr>
          <w:rFonts w:hint="eastAsia" w:ascii="宋体" w:hAnsi="宋体" w:cs="宋体"/>
          <w:color w:val="000000" w:themeColor="text1"/>
          <w:sz w:val="24"/>
          <w:u w:val="single"/>
          <w14:textFill>
            <w14:solidFill>
              <w14:schemeClr w14:val="tx1"/>
            </w14:solidFill>
          </w14:textFill>
        </w:rPr>
        <w:t xml:space="preserve">收到承包人进度付款申请单及发票后3个工作日内。 </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发包人完成审批并签发进度款支付证书的期限：</w:t>
      </w:r>
      <w:r>
        <w:rPr>
          <w:rFonts w:hint="eastAsia" w:ascii="宋体" w:hAnsi="宋体" w:cs="宋体"/>
          <w:color w:val="000000" w:themeColor="text1"/>
          <w:sz w:val="24"/>
          <w:u w:val="single"/>
          <w14:textFill>
            <w14:solidFill>
              <w14:schemeClr w14:val="tx1"/>
            </w14:solidFill>
          </w14:textFill>
        </w:rPr>
        <w:t xml:space="preserve">收到监理人报送的进度付款申请单及相关资料后10个工作日内。</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（2）发包人支付进度款的期限：</w:t>
      </w:r>
      <w:r>
        <w:rPr>
          <w:rFonts w:hint="eastAsia" w:ascii="宋体" w:hAnsi="宋体" w:cs="宋体"/>
          <w:color w:val="000000" w:themeColor="text1"/>
          <w:sz w:val="24"/>
          <w:u w:val="single"/>
          <w14:textFill>
            <w14:solidFill>
              <w14:schemeClr w14:val="tx1"/>
            </w14:solidFill>
          </w14:textFill>
        </w:rPr>
        <w:t xml:space="preserve"> / </w:t>
      </w:r>
      <w:r>
        <w:rPr>
          <w:rFonts w:hint="eastAsia" w:ascii="宋体" w:hAnsi="宋体" w:cs="宋体"/>
          <w:color w:val="000000" w:themeColor="text1"/>
          <w:sz w:val="24"/>
          <w14:textFill>
            <w14:solidFill>
              <w14:schemeClr w14:val="tx1"/>
            </w14:solidFill>
          </w14:textFill>
        </w:rPr>
        <w:t xml:space="preserve">。</w:t>
      </w:r>
      <w:r/>
    </w:p>
    <w:p>
      <w:pPr>
        <w:ind w:firstLine="60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12.4.6 支付分解表的编制</w:t>
      </w:r>
      <w:r/>
    </w:p>
    <w:p>
      <w:pPr>
        <w:ind w:firstLine="60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2、总价合同支付分解表的编制与审批：</w:t>
      </w:r>
      <w:r>
        <w:rPr>
          <w:rFonts w:hint="eastAsia" w:ascii="宋体" w:hAnsi="宋体" w:cs="宋体"/>
          <w:color w:val="000000" w:themeColor="text1"/>
          <w:sz w:val="24"/>
          <w:u w:val="single"/>
          <w14:textFill>
            <w14:solidFill>
              <w14:schemeClr w14:val="tx1"/>
            </w14:solidFill>
          </w14:textFill>
        </w:rPr>
        <w:t xml:space="preserve">  /   </w:t>
      </w:r>
      <w:r>
        <w:rPr>
          <w:rFonts w:hint="eastAsia" w:ascii="宋体" w:hAnsi="宋体" w:cs="宋体"/>
          <w:color w:val="000000" w:themeColor="text1"/>
          <w:sz w:val="24"/>
          <w14:textFill>
            <w14:solidFill>
              <w14:schemeClr w14:val="tx1"/>
            </w14:solidFill>
          </w14:textFill>
        </w:rPr>
        <w:t xml:space="preserve">。</w:t>
      </w:r>
      <w:r/>
    </w:p>
    <w:p>
      <w:pPr>
        <w:ind w:firstLine="60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3、单价合同的总价项目支付分解表的编制与审批：</w:t>
      </w:r>
      <w:r>
        <w:rPr>
          <w:rFonts w:hint="eastAsia" w:ascii="宋体" w:hAnsi="宋体" w:cs="宋体"/>
          <w:color w:val="000000" w:themeColor="text1"/>
          <w:sz w:val="24"/>
          <w:u w:val="single"/>
          <w14:textFill>
            <w14:solidFill>
              <w14:schemeClr w14:val="tx1"/>
            </w14:solidFill>
          </w14:textFill>
        </w:rPr>
        <w:t xml:space="preserve">   /   </w:t>
      </w:r>
      <w:r>
        <w:rPr>
          <w:rFonts w:hint="eastAsia" w:ascii="宋体" w:hAnsi="宋体" w:cs="宋体"/>
          <w:color w:val="000000" w:themeColor="text1"/>
          <w:sz w:val="24"/>
          <w14:textFill>
            <w14:solidFill>
              <w14:schemeClr w14:val="tx1"/>
            </w14:solidFill>
          </w14:textFill>
        </w:rPr>
        <w:t xml:space="preserve">。</w:t>
      </w:r>
      <w:bookmarkEnd w:id="212"/>
      <w:r/>
      <w:r/>
    </w:p>
    <w:p>
      <w:pPr>
        <w:pStyle w:val="978"/>
        <w:spacing w:before="0" w:after="0" w:line="360" w:lineRule="auto"/>
        <w:rPr>
          <w:rFonts w:ascii="宋体" w:hAnsi="宋体" w:eastAsia="宋体" w:cs="宋体"/>
          <w:b w:val="0"/>
          <w:color w:val="000000" w:themeColor="text1"/>
          <w:sz w:val="24"/>
          <w:szCs w:val="24"/>
          <w14:textFill>
            <w14:solidFill>
              <w14:schemeClr w14:val="tx1"/>
            </w14:solidFill>
          </w14:textFill>
        </w:rPr>
      </w:pPr>
      <w:r/>
      <w:bookmarkStart w:id="294" w:name="_Toc297048405"/>
      <w:r/>
      <w:bookmarkStart w:id="295" w:name="_Toc297120519"/>
      <w:r/>
      <w:bookmarkStart w:id="296" w:name="_Toc296347218"/>
      <w:r/>
      <w:bookmarkStart w:id="297" w:name="_Toc292559929"/>
      <w:r/>
      <w:bookmarkStart w:id="298" w:name="_Toc292559424"/>
      <w:r/>
      <w:bookmarkStart w:id="299" w:name="_Toc351203645"/>
      <w:r/>
      <w:bookmarkStart w:id="300" w:name="_Toc296891047"/>
      <w:r/>
      <w:bookmarkStart w:id="301" w:name="_Toc312678053"/>
      <w:r/>
      <w:bookmarkStart w:id="302" w:name="_Toc300935015"/>
      <w:r/>
      <w:bookmarkStart w:id="303" w:name="_Toc296503219"/>
      <w:r/>
      <w:bookmarkStart w:id="304" w:name="_Toc303539172"/>
      <w:r/>
      <w:bookmarkStart w:id="305" w:name="_Toc297216223"/>
      <w:r/>
      <w:bookmarkStart w:id="306" w:name="_Toc304295593"/>
      <w:r/>
      <w:bookmarkStart w:id="307" w:name="_Toc296891259"/>
      <w:r/>
      <w:bookmarkStart w:id="308" w:name="_Toc296944558"/>
      <w:r/>
      <w:bookmarkStart w:id="309" w:name="_Toc296346720"/>
      <w:r/>
      <w:bookmarkStart w:id="310" w:name="_Toc297123564"/>
      <w:r>
        <w:rPr>
          <w:rFonts w:hint="eastAsia" w:ascii="宋体" w:hAnsi="宋体" w:eastAsia="宋体" w:cs="宋体"/>
          <w:b w:val="0"/>
          <w:color w:val="000000" w:themeColor="text1"/>
          <w:sz w:val="24"/>
          <w:szCs w:val="24"/>
          <w14:textFill>
            <w14:solidFill>
              <w14:schemeClr w14:val="tx1"/>
            </w14:solidFill>
          </w14:textFill>
        </w:rPr>
        <w:t xml:space="preserve">13. 验收和工程试车</w:t>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13.1 分部分项工程验收</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13.1.2监理人不能按时进行验收时，应提前</w:t>
      </w:r>
      <w:r>
        <w:rPr>
          <w:rFonts w:hint="eastAsia" w:ascii="宋体" w:hAnsi="宋体" w:cs="宋体"/>
          <w:color w:val="000000" w:themeColor="text1"/>
          <w:sz w:val="24"/>
          <w:u w:val="single"/>
          <w14:textFill>
            <w14:solidFill>
              <w14:schemeClr w14:val="tx1"/>
            </w14:solidFill>
          </w14:textFill>
        </w:rPr>
        <w:t xml:space="preserve">24</w:t>
      </w:r>
      <w:r>
        <w:rPr>
          <w:rFonts w:hint="eastAsia" w:ascii="宋体" w:hAnsi="宋体" w:cs="宋体"/>
          <w:color w:val="000000" w:themeColor="text1"/>
          <w:sz w:val="24"/>
          <w14:textFill>
            <w14:solidFill>
              <w14:schemeClr w14:val="tx1"/>
            </w14:solidFill>
          </w14:textFill>
        </w:rPr>
        <w:t xml:space="preserve">小时提交书面延期要求。</w:t>
      </w:r>
      <w:r/>
    </w:p>
    <w:p>
      <w:pPr>
        <w:ind w:firstLine="480"/>
        <w:spacing w:line="360" w:lineRule="auto"/>
        <w:rPr>
          <w:rFonts w:ascii="宋体" w:hAnsi="宋体" w:cs="宋体"/>
          <w:b/>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关于延期最长不得超过：</w:t>
      </w:r>
      <w:r>
        <w:rPr>
          <w:rFonts w:hint="eastAsia" w:ascii="宋体" w:hAnsi="宋体" w:cs="宋体"/>
          <w:color w:val="000000" w:themeColor="text1"/>
          <w:sz w:val="24"/>
          <w:u w:val="single"/>
          <w14:textFill>
            <w14:solidFill>
              <w14:schemeClr w14:val="tx1"/>
            </w14:solidFill>
          </w14:textFill>
        </w:rPr>
        <w:t xml:space="preserve"> 48 </w:t>
      </w:r>
      <w:r>
        <w:rPr>
          <w:rFonts w:hint="eastAsia" w:ascii="宋体" w:hAnsi="宋体" w:cs="宋体"/>
          <w:color w:val="000000" w:themeColor="text1"/>
          <w:sz w:val="24"/>
          <w14:textFill>
            <w14:solidFill>
              <w14:schemeClr w14:val="tx1"/>
            </w14:solidFill>
          </w14:textFill>
        </w:rPr>
        <w:t xml:space="preserve">小时。</w:t>
      </w:r>
      <w:r/>
    </w:p>
    <w:p>
      <w:pPr>
        <w:ind w:firstLine="480"/>
        <w:spacing w:line="360" w:lineRule="auto"/>
        <w:rPr>
          <w:rFonts w:ascii="宋体" w:hAnsi="宋体" w:cs="宋体"/>
          <w:color w:val="000000" w:themeColor="text1"/>
          <w:sz w:val="24"/>
          <w14:textFill>
            <w14:solidFill>
              <w14:schemeClr w14:val="tx1"/>
            </w14:solidFill>
          </w14:textFill>
        </w:rPr>
      </w:pPr>
      <w:r/>
      <w:bookmarkStart w:id="311" w:name="_Toc296346724"/>
      <w:r/>
      <w:bookmarkStart w:id="312" w:name="_Toc296347222"/>
      <w:r/>
      <w:bookmarkStart w:id="313" w:name="_Toc300935016"/>
      <w:r/>
      <w:bookmarkStart w:id="314" w:name="_Toc297120523"/>
      <w:r/>
      <w:bookmarkStart w:id="315" w:name="_Toc292559428"/>
      <w:r/>
      <w:bookmarkStart w:id="316" w:name="_Toc296891263"/>
      <w:r/>
      <w:bookmarkStart w:id="317" w:name="_Toc297123565"/>
      <w:r/>
      <w:bookmarkStart w:id="318" w:name="_Toc296503223"/>
      <w:r/>
      <w:bookmarkStart w:id="319" w:name="_Toc303539173"/>
      <w:r/>
      <w:bookmarkStart w:id="320" w:name="_Toc312678056"/>
      <w:r/>
      <w:bookmarkStart w:id="321" w:name="_Toc297048409"/>
      <w:r/>
      <w:bookmarkStart w:id="322" w:name="_Toc296891051"/>
      <w:r/>
      <w:bookmarkStart w:id="323" w:name="_Toc296944562"/>
      <w:r/>
      <w:bookmarkStart w:id="324" w:name="_Toc304295596"/>
      <w:r/>
      <w:bookmarkStart w:id="325" w:name="_Toc297216224"/>
      <w:r/>
      <w:bookmarkStart w:id="326" w:name="_Toc292559933"/>
      <w:r/>
      <w:bookmarkStart w:id="327" w:name="_Toc267251472"/>
      <w:r/>
      <w:bookmarkStart w:id="328" w:name="_Toc267251473"/>
      <w:r/>
      <w:bookmarkStart w:id="329" w:name="_Toc267251474"/>
      <w:r/>
      <w:bookmarkStart w:id="330" w:name="_Toc267251470"/>
      <w:r/>
      <w:bookmarkStart w:id="331" w:name="_Toc267251475"/>
      <w:r/>
      <w:bookmarkStart w:id="332" w:name="_Toc267251471"/>
      <w:r/>
      <w:bookmarkStart w:id="333" w:name="_Toc267251476"/>
      <w:r>
        <w:rPr>
          <w:rFonts w:hint="eastAsia" w:ascii="宋体" w:hAnsi="宋体" w:cs="宋体"/>
          <w:color w:val="000000" w:themeColor="text1"/>
          <w:sz w:val="24"/>
          <w14:textFill>
            <w14:solidFill>
              <w14:schemeClr w14:val="tx1"/>
            </w14:solidFill>
          </w14:textFill>
        </w:rPr>
        <w:t xml:space="preserve">13.2 竣工验收</w:t>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r/>
    </w:p>
    <w:p>
      <w:pPr>
        <w:ind w:firstLine="480"/>
        <w:spacing w:line="360" w:lineRule="auto"/>
        <w:rPr>
          <w:rFonts w:ascii="宋体" w:hAnsi="宋体" w:cs="宋体"/>
          <w:color w:val="000000" w:themeColor="text1"/>
          <w:sz w:val="24"/>
          <w14:textFill>
            <w14:solidFill>
              <w14:schemeClr w14:val="tx1"/>
            </w14:solidFill>
          </w14:textFill>
        </w:rPr>
      </w:pPr>
      <w:r/>
      <w:bookmarkStart w:id="334" w:name="_Toc280868704"/>
      <w:r/>
      <w:bookmarkStart w:id="335" w:name="_Toc280868705"/>
      <w:r/>
      <w:bookmarkStart w:id="336" w:name="_Toc280868706"/>
      <w:r/>
      <w:bookmarkStart w:id="337" w:name="_Toc280868707"/>
      <w:r/>
      <w:bookmarkStart w:id="338" w:name="_Toc280868708"/>
      <w:r/>
      <w:bookmarkStart w:id="339" w:name="_Toc280868709"/>
      <w:r>
        <w:rPr>
          <w:rFonts w:hint="eastAsia" w:ascii="宋体" w:hAnsi="宋体" w:cs="宋体"/>
          <w:color w:val="000000" w:themeColor="text1"/>
          <w:sz w:val="24"/>
          <w14:textFill>
            <w14:solidFill>
              <w14:schemeClr w14:val="tx1"/>
            </w14:solidFill>
          </w14:textFill>
        </w:rPr>
        <w:t xml:space="preserve">13.2.2竣工验收程序</w:t>
      </w:r>
      <w:bookmarkEnd w:id="334"/>
      <w:r/>
      <w:r/>
    </w:p>
    <w:p>
      <w:pPr>
        <w:ind w:firstLine="24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关于竣工验收程序的约定：</w:t>
      </w:r>
      <w:r>
        <w:rPr>
          <w:rFonts w:hint="eastAsia" w:ascii="宋体" w:hAnsi="宋体" w:cs="宋体"/>
          <w:color w:val="000000" w:themeColor="text1"/>
          <w:sz w:val="24"/>
          <w:u w:val="single"/>
          <w14:textFill>
            <w14:solidFill>
              <w14:schemeClr w14:val="tx1"/>
            </w14:solidFill>
          </w14:textFill>
        </w:rPr>
        <w:t xml:space="preserve">执行通用条款。 </w:t>
      </w:r>
      <w:r/>
    </w:p>
    <w:p>
      <w:pPr>
        <w:ind w:firstLine="24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发包人不按照本项约定组织竣工验收、颁发工程接收证书的违约金的计算方法：</w:t>
      </w:r>
      <w:r>
        <w:rPr>
          <w:rFonts w:hint="eastAsia" w:ascii="宋体" w:hAnsi="宋体" w:cs="宋体"/>
          <w:color w:val="000000" w:themeColor="text1"/>
          <w:sz w:val="24"/>
          <w:u w:val="single"/>
          <w14:textFill>
            <w14:solidFill>
              <w14:schemeClr w14:val="tx1"/>
            </w14:solidFill>
          </w14:textFill>
        </w:rPr>
        <w:t xml:space="preserve">  /  </w:t>
      </w:r>
      <w:r>
        <w:rPr>
          <w:rFonts w:hint="eastAsia" w:ascii="宋体" w:hAnsi="宋体" w:cs="宋体"/>
          <w:color w:val="000000" w:themeColor="text1"/>
          <w:sz w:val="24"/>
          <w14:textFill>
            <w14:solidFill>
              <w14:schemeClr w14:val="tx1"/>
            </w14:solidFill>
          </w14:textFill>
        </w:rPr>
        <w:t xml:space="preserve">。</w:t>
      </w:r>
      <w:bookmarkEnd w:id="335"/>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13.2.5移交、接收全部与部分工程</w:t>
      </w:r>
      <w:bookmarkEnd w:id="336"/>
      <w:r/>
      <w:r/>
    </w:p>
    <w:p>
      <w:pPr>
        <w:ind w:firstLine="480"/>
        <w:spacing w:line="360" w:lineRule="auto"/>
        <w:rPr>
          <w:rFonts w:ascii="宋体" w:hAnsi="宋体" w:cs="宋体"/>
          <w:b/>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承包人向发包人移交工程的期限：</w:t>
      </w:r>
      <w:r>
        <w:rPr>
          <w:rFonts w:hint="eastAsia" w:ascii="宋体" w:hAnsi="宋体" w:cs="宋体"/>
          <w:color w:val="000000" w:themeColor="text1"/>
          <w:sz w:val="24"/>
          <w:u w:val="single"/>
          <w14:textFill>
            <w14:solidFill>
              <w14:schemeClr w14:val="tx1"/>
            </w14:solidFill>
          </w14:textFill>
        </w:rPr>
        <w:t xml:space="preserve">   /   </w:t>
      </w:r>
      <w:r>
        <w:rPr>
          <w:rFonts w:hint="eastAsia" w:ascii="宋体" w:hAnsi="宋体" w:cs="宋体"/>
          <w:color w:val="000000" w:themeColor="text1"/>
          <w:sz w:val="24"/>
          <w14:textFill>
            <w14:solidFill>
              <w14:schemeClr w14:val="tx1"/>
            </w14:solidFill>
          </w14:textFill>
        </w:rPr>
        <w:t xml:space="preserve">。</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发包人未按本合同约定接收全部或部分工程的，违约金的计算方法为：</w:t>
      </w:r>
      <w:r>
        <w:rPr>
          <w:rFonts w:hint="eastAsia" w:ascii="宋体" w:hAnsi="宋体" w:cs="宋体"/>
          <w:color w:val="000000" w:themeColor="text1"/>
          <w:sz w:val="24"/>
          <w:u w:val="single"/>
          <w14:textFill>
            <w14:solidFill>
              <w14:schemeClr w14:val="tx1"/>
            </w14:solidFill>
          </w14:textFill>
        </w:rPr>
        <w:t xml:space="preserve">  /  </w:t>
      </w:r>
      <w:r>
        <w:rPr>
          <w:rFonts w:hint="eastAsia" w:ascii="宋体" w:hAnsi="宋体" w:cs="宋体"/>
          <w:color w:val="000000" w:themeColor="text1"/>
          <w:sz w:val="24"/>
          <w14:textFill>
            <w14:solidFill>
              <w14:schemeClr w14:val="tx1"/>
            </w14:solidFill>
          </w14:textFill>
        </w:rPr>
        <w:t xml:space="preserve">。</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承包人向发包人移交工程的期限：</w:t>
      </w:r>
      <w:r>
        <w:rPr>
          <w:rFonts w:hint="eastAsia" w:ascii="宋体" w:hAnsi="宋体" w:cs="宋体"/>
          <w:color w:val="000000" w:themeColor="text1"/>
          <w:sz w:val="24"/>
          <w:u w:val="single"/>
          <w14:textFill>
            <w14:solidFill>
              <w14:schemeClr w14:val="tx1"/>
            </w14:solidFill>
          </w14:textFill>
        </w:rPr>
        <w:t xml:space="preserve">发包人收到《工程移交证书》并签发《工程接收证书》后10个工作日内。 </w:t>
      </w:r>
      <w:bookmarkEnd w:id="337"/>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13.3 工程试车</w:t>
      </w:r>
      <w:bookmarkEnd w:id="338"/>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13.3.1 试车程序</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工程试车内容：</w:t>
      </w:r>
      <w:r>
        <w:rPr>
          <w:rFonts w:hint="eastAsia" w:ascii="宋体" w:hAnsi="宋体" w:cs="宋体"/>
          <w:color w:val="000000" w:themeColor="text1"/>
          <w:sz w:val="24"/>
          <w:u w:val="single"/>
          <w14:textFill>
            <w14:solidFill>
              <w14:schemeClr w14:val="tx1"/>
            </w14:solidFill>
          </w14:textFill>
        </w:rPr>
        <w:t xml:space="preserve">执行通用条款。 </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（1）单机无负荷试车费用由</w:t>
      </w:r>
      <w:r>
        <w:rPr>
          <w:rFonts w:hint="eastAsia" w:ascii="宋体" w:hAnsi="宋体" w:cs="宋体"/>
          <w:color w:val="000000" w:themeColor="text1"/>
          <w:sz w:val="24"/>
          <w:u w:val="single"/>
          <w14:textFill>
            <w14:solidFill>
              <w14:schemeClr w14:val="tx1"/>
            </w14:solidFill>
          </w14:textFill>
        </w:rPr>
        <w:t xml:space="preserve"> / </w:t>
      </w:r>
      <w:r>
        <w:rPr>
          <w:rFonts w:hint="eastAsia" w:ascii="宋体" w:hAnsi="宋体" w:cs="宋体"/>
          <w:color w:val="000000" w:themeColor="text1"/>
          <w:sz w:val="24"/>
          <w14:textFill>
            <w14:solidFill>
              <w14:schemeClr w14:val="tx1"/>
            </w14:solidFill>
          </w14:textFill>
        </w:rPr>
        <w:t xml:space="preserve">承担；</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（2）无负荷联动试车费用由</w:t>
      </w:r>
      <w:r>
        <w:rPr>
          <w:rFonts w:hint="eastAsia" w:ascii="宋体" w:hAnsi="宋体" w:cs="宋体"/>
          <w:color w:val="000000" w:themeColor="text1"/>
          <w:sz w:val="24"/>
          <w:u w:val="single"/>
          <w14:textFill>
            <w14:solidFill>
              <w14:schemeClr w14:val="tx1"/>
            </w14:solidFill>
          </w14:textFill>
        </w:rPr>
        <w:t xml:space="preserve"> / </w:t>
      </w:r>
      <w:r>
        <w:rPr>
          <w:rFonts w:hint="eastAsia" w:ascii="宋体" w:hAnsi="宋体" w:cs="宋体"/>
          <w:color w:val="000000" w:themeColor="text1"/>
          <w:sz w:val="24"/>
          <w14:textFill>
            <w14:solidFill>
              <w14:schemeClr w14:val="tx1"/>
            </w14:solidFill>
          </w14:textFill>
        </w:rPr>
        <w:t xml:space="preserve">承担。</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13.3.3 投料试车</w:t>
      </w:r>
      <w:r/>
    </w:p>
    <w:p>
      <w:p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关于投料试车相关事项的约定：</w:t>
      </w:r>
      <w:r>
        <w:rPr>
          <w:rFonts w:hint="eastAsia" w:ascii="宋体" w:hAnsi="宋体" w:cs="宋体"/>
          <w:color w:val="000000" w:themeColor="text1"/>
          <w:sz w:val="24"/>
          <w:u w:val="single"/>
          <w14:textFill>
            <w14:solidFill>
              <w14:schemeClr w14:val="tx1"/>
            </w14:solidFill>
          </w14:textFill>
        </w:rPr>
        <w:t xml:space="preserve"> / </w:t>
      </w:r>
      <w:r>
        <w:rPr>
          <w:rFonts w:hint="eastAsia" w:ascii="宋体" w:hAnsi="宋体" w:cs="宋体"/>
          <w:color w:val="000000" w:themeColor="text1"/>
          <w:sz w:val="24"/>
          <w14:textFill>
            <w14:solidFill>
              <w14:schemeClr w14:val="tx1"/>
            </w14:solidFill>
          </w14:textFill>
        </w:rPr>
        <w:t xml:space="preserve">。</w:t>
      </w:r>
      <w:r/>
    </w:p>
    <w:p>
      <w:pPr>
        <w:ind w:firstLine="480"/>
        <w:spacing w:line="360" w:lineRule="auto"/>
        <w:rPr>
          <w:rFonts w:ascii="宋体" w:hAnsi="宋体" w:cs="宋体"/>
          <w:color w:val="000000" w:themeColor="text1"/>
          <w:sz w:val="24"/>
          <w14:textFill>
            <w14:solidFill>
              <w14:schemeClr w14:val="tx1"/>
            </w14:solidFill>
          </w14:textFill>
        </w:rPr>
        <w:outlineLvl w:val="0"/>
      </w:pPr>
      <w:r>
        <w:rPr>
          <w:rFonts w:hint="eastAsia" w:ascii="宋体" w:hAnsi="宋体" w:cs="宋体"/>
          <w:color w:val="000000" w:themeColor="text1"/>
          <w:sz w:val="24"/>
          <w14:textFill>
            <w14:solidFill>
              <w14:schemeClr w14:val="tx1"/>
            </w14:solidFill>
          </w14:textFill>
        </w:rPr>
        <w:t xml:space="preserve">13.6 竣工退场</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13.6.1 竣工退场</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承包人完成竣工退场的期限：</w:t>
      </w:r>
      <w:r>
        <w:rPr>
          <w:rFonts w:hint="eastAsia" w:ascii="宋体" w:hAnsi="宋体" w:cs="宋体"/>
          <w:color w:val="000000" w:themeColor="text1"/>
          <w:sz w:val="24"/>
          <w:u w:val="single"/>
          <w14:textFill>
            <w14:solidFill>
              <w14:schemeClr w14:val="tx1"/>
            </w14:solidFill>
          </w14:textFill>
        </w:rPr>
        <w:t xml:space="preserve">移交工程后7个工作日内。</w:t>
      </w:r>
      <w:r/>
    </w:p>
    <w:p>
      <w:pPr>
        <w:pStyle w:val="978"/>
        <w:spacing w:before="0" w:after="0" w:line="360" w:lineRule="auto"/>
        <w:rPr>
          <w:rFonts w:ascii="宋体" w:hAnsi="宋体" w:eastAsia="宋体" w:cs="宋体"/>
          <w:b w:val="0"/>
          <w:color w:val="000000" w:themeColor="text1"/>
          <w:sz w:val="24"/>
          <w:szCs w:val="24"/>
          <w14:textFill>
            <w14:solidFill>
              <w14:schemeClr w14:val="tx1"/>
            </w14:solidFill>
          </w14:textFill>
        </w:rPr>
      </w:pPr>
      <w:r/>
      <w:bookmarkStart w:id="340" w:name="_Toc351203646"/>
      <w:r>
        <w:rPr>
          <w:rFonts w:hint="eastAsia" w:ascii="宋体" w:hAnsi="宋体" w:eastAsia="宋体" w:cs="宋体"/>
          <w:b w:val="0"/>
          <w:color w:val="000000" w:themeColor="text1"/>
          <w:sz w:val="24"/>
          <w:szCs w:val="24"/>
          <w14:textFill>
            <w14:solidFill>
              <w14:schemeClr w14:val="tx1"/>
            </w14:solidFill>
          </w14:textFill>
        </w:rPr>
        <w:t xml:space="preserve">14. 竣工结算</w:t>
      </w:r>
      <w:bookmarkEnd w:id="340"/>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14.1 竣工结算申请</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承包人提交竣工结算申请单的期限：</w:t>
      </w:r>
      <w:r>
        <w:rPr>
          <w:rFonts w:hint="eastAsia" w:ascii="宋体" w:hAnsi="宋体" w:cs="宋体"/>
          <w:color w:val="000000" w:themeColor="text1"/>
          <w:sz w:val="24"/>
          <w:u w:val="single"/>
          <w14:textFill>
            <w14:solidFill>
              <w14:schemeClr w14:val="tx1"/>
            </w14:solidFill>
          </w14:textFill>
        </w:rPr>
        <w:t xml:space="preserve">工程竣工验收合格后28天内。</w:t>
      </w:r>
      <w:r/>
    </w:p>
    <w:p>
      <w:pPr>
        <w:ind w:firstLine="480"/>
        <w:spacing w:line="360" w:lineRule="auto"/>
        <w:rPr>
          <w:rFonts w:ascii="宋体" w:hAnsi="宋体" w:cs="宋体"/>
          <w:color w:val="000000" w:themeColor="text1"/>
          <w:sz w:val="24"/>
          <w:u w:val="single"/>
          <w14:textFill>
            <w14:solidFill>
              <w14:schemeClr w14:val="tx1"/>
            </w14:solidFill>
          </w14:textFill>
        </w:rPr>
        <w:outlineLvl w:val="0"/>
      </w:pPr>
      <w:r>
        <w:rPr>
          <w:rFonts w:hint="eastAsia" w:ascii="宋体" w:hAnsi="宋体" w:cs="宋体"/>
          <w:color w:val="000000" w:themeColor="text1"/>
          <w:sz w:val="24"/>
          <w14:textFill>
            <w14:solidFill>
              <w14:schemeClr w14:val="tx1"/>
            </w14:solidFill>
          </w14:textFill>
        </w:rPr>
        <w:t xml:space="preserve">竣工结算申请单应包括的内容：</w:t>
      </w:r>
      <w:r>
        <w:rPr>
          <w:rFonts w:hint="eastAsia" w:ascii="宋体" w:hAnsi="宋体" w:cs="宋体"/>
          <w:color w:val="000000" w:themeColor="text1"/>
          <w:sz w:val="24"/>
          <w:u w:val="single"/>
          <w14:textFill>
            <w14:solidFill>
              <w14:schemeClr w14:val="tx1"/>
            </w14:solidFill>
          </w14:textFill>
        </w:rPr>
        <w:t xml:space="preserve">（1）竣工结算合同价格；（2）发包人已支付承包人的款项；（3）发包人应支付承包人的合同价款。（4）其他材料：工程验收合格证书、工程移交单、工程竣工图(施工、设计、监理等单位签字盖章)、工程结算书(含现场签证)、接收甲供材料数量 一览表并附相关凭证(含供货单位、甲方、乙方、监理单位签字盖章)、工程成交通知书(复印件)、工程响应文件及其附件和其它报财政评审需要的资料，一式肆份。  </w:t>
      </w:r>
      <w:r/>
    </w:p>
    <w:p>
      <w:pPr>
        <w:ind w:firstLine="480"/>
        <w:spacing w:line="360" w:lineRule="auto"/>
        <w:rPr>
          <w:rFonts w:ascii="宋体" w:hAnsi="宋体" w:cs="宋体"/>
          <w:color w:val="000000" w:themeColor="text1"/>
          <w:sz w:val="24"/>
          <w:u w:val="single"/>
          <w14:textFill>
            <w14:solidFill>
              <w14:schemeClr w14:val="tx1"/>
            </w14:solidFill>
          </w14:textFill>
        </w:rPr>
        <w:outlineLvl w:val="0"/>
      </w:pPr>
      <w:r>
        <w:rPr>
          <w:rFonts w:hint="eastAsia" w:ascii="宋体" w:hAnsi="宋体" w:cs="宋体"/>
          <w:color w:val="000000" w:themeColor="text1"/>
          <w:sz w:val="24"/>
          <w:u w:val="single"/>
          <w14:textFill>
            <w14:solidFill>
              <w14:schemeClr w14:val="tx1"/>
            </w14:solidFill>
          </w14:textFill>
        </w:rPr>
        <w:t xml:space="preserve">本工程由发包人委托第三方中介机构进行结算审计，工程竣工验收后，承包人应即时将关于工程决算资料报采购人送审，承包人应充分考虑审计过程及</w:t>
      </w:r>
      <w:r>
        <w:rPr>
          <w:rFonts w:hint="eastAsia" w:ascii="宋体" w:hAnsi="宋体" w:cs="宋体"/>
          <w:color w:val="000000" w:themeColor="text1"/>
          <w:sz w:val="24"/>
          <w:u w:val="single"/>
          <w14:textFill>
            <w14:solidFill>
              <w14:schemeClr w14:val="tx1"/>
            </w14:solidFill>
          </w14:textFill>
        </w:rPr>
        <w:t xml:space="preserve">审计时间。发包人承诺会组织好人员尽最快速度完成审计，因双方存在具体争议或承包人不积极配合导致发包人未能在规定或约定时间内对承包人递交的结算报告审核完成，并不视为发包人对该结算报告认可。发包人收到承包人递交的竣工结算报告及完整的结算资料后已委托相应资质的工程造价咨询企业积极进行核实，承包人不得以“不予答复、故意拖延审计”等理由另行提起诉讼。承包人不得虚报工程量和结算，审减额7%以内的审计费由发包人承担，审减额超过7%则视为发包人违约，违约金为审减额的5%计取，发包人将直接从工程款中扣除，审减额以审计报告为准。</w:t>
      </w:r>
      <w:r/>
    </w:p>
    <w:p>
      <w:pPr>
        <w:ind w:firstLine="480"/>
        <w:spacing w:line="360" w:lineRule="auto"/>
        <w:rPr>
          <w:rFonts w:ascii="宋体" w:hAnsi="宋体" w:cs="宋体"/>
          <w:color w:val="000000" w:themeColor="text1"/>
          <w:sz w:val="24"/>
          <w14:textFill>
            <w14:solidFill>
              <w14:schemeClr w14:val="tx1"/>
            </w14:solidFill>
          </w14:textFill>
        </w:rPr>
        <w:outlineLvl w:val="0"/>
      </w:pPr>
      <w:r>
        <w:rPr>
          <w:rFonts w:hint="eastAsia" w:ascii="宋体" w:hAnsi="宋体" w:cs="宋体"/>
          <w:color w:val="000000" w:themeColor="text1"/>
          <w:sz w:val="24"/>
          <w14:textFill>
            <w14:solidFill>
              <w14:schemeClr w14:val="tx1"/>
            </w14:solidFill>
          </w14:textFill>
        </w:rPr>
        <w:t xml:space="preserve">14.2 竣工结算审核</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发包人审批竣工付款申请单的期限：</w:t>
      </w:r>
      <w:r>
        <w:rPr>
          <w:rFonts w:hint="eastAsia" w:ascii="宋体" w:hAnsi="宋体" w:cs="宋体"/>
          <w:color w:val="000000" w:themeColor="text1"/>
          <w:sz w:val="24"/>
          <w:u w:val="single"/>
          <w14:textFill>
            <w14:solidFill>
              <w14:schemeClr w14:val="tx1"/>
            </w14:solidFill>
          </w14:textFill>
        </w:rPr>
        <w:t xml:space="preserve">在双方无争议的情况下，自收到承包人结算资料30日内。承包人在上述时间内应积极配合发包人及审计部门的审核，若承包人不配合，或双方存在争议的，审计时间相应顺延。 </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发包人完成竣工付款的期限：</w:t>
      </w:r>
      <w:r>
        <w:rPr>
          <w:rFonts w:hint="eastAsia" w:ascii="宋体" w:hAnsi="宋体" w:cs="宋体"/>
          <w:color w:val="000000" w:themeColor="text1"/>
          <w:sz w:val="24"/>
          <w:u w:val="single"/>
          <w14:textFill>
            <w14:solidFill>
              <w14:schemeClr w14:val="tx1"/>
            </w14:solidFill>
          </w14:textFill>
        </w:rPr>
        <w:t xml:space="preserve">竣工验收合格后且审计结束，收到承包人竣工付款申请表后 15 个工作日内。 </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关于竣工付款证书异议部分复核的方式和程序：</w:t>
      </w:r>
      <w:r>
        <w:rPr>
          <w:rFonts w:hint="eastAsia" w:ascii="宋体" w:hAnsi="宋体" w:cs="宋体"/>
          <w:color w:val="000000" w:themeColor="text1"/>
          <w:sz w:val="24"/>
          <w:u w:val="single"/>
          <w14:textFill>
            <w14:solidFill>
              <w14:schemeClr w14:val="tx1"/>
            </w14:solidFill>
          </w14:textFill>
        </w:rPr>
        <w:t xml:space="preserve">执行通用条款。</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14.4 最终结清</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14.4.1 最终结清申请单</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承包人提交最终结清申请单的份数：</w:t>
      </w:r>
      <w:r>
        <w:rPr>
          <w:rFonts w:hint="eastAsia" w:ascii="宋体" w:hAnsi="宋体" w:cs="宋体"/>
          <w:color w:val="000000" w:themeColor="text1"/>
          <w:sz w:val="24"/>
          <w:u w:val="single"/>
          <w14:textFill>
            <w14:solidFill>
              <w14:schemeClr w14:val="tx1"/>
            </w14:solidFill>
          </w14:textFill>
        </w:rPr>
        <w:t xml:space="preserve">一式五份。</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承包人提交最终结算申请单的期限：</w:t>
      </w:r>
      <w:r>
        <w:rPr>
          <w:rFonts w:hint="eastAsia" w:ascii="宋体" w:hAnsi="宋体" w:cs="宋体"/>
          <w:color w:val="000000" w:themeColor="text1"/>
          <w:sz w:val="24"/>
          <w:u w:val="single"/>
          <w14:textFill>
            <w14:solidFill>
              <w14:schemeClr w14:val="tx1"/>
            </w14:solidFill>
          </w14:textFill>
        </w:rPr>
        <w:t xml:space="preserve">工程竣工验收合格移交发包人之日起满24个月且无质量问题后7个工作日内，按专用合同条款约定的份数向发包人提交最终结清申请单，并提供相关证明材料。</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14.4.2 最终结清证书和支付</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（1）发包人完成最终结清申请单的审批并颁发最终结清证书的期限：</w:t>
      </w:r>
      <w:r>
        <w:rPr>
          <w:rFonts w:hint="eastAsia" w:ascii="宋体" w:hAnsi="宋体" w:cs="宋体"/>
          <w:color w:val="000000" w:themeColor="text1"/>
          <w:sz w:val="24"/>
          <w:u w:val="single"/>
          <w14:textFill>
            <w14:solidFill>
              <w14:schemeClr w14:val="tx1"/>
            </w14:solidFill>
          </w14:textFill>
        </w:rPr>
        <w:t xml:space="preserve">收到承包人提交的最终结清申请单后15日内</w:t>
      </w:r>
      <w:r>
        <w:rPr>
          <w:rFonts w:hint="eastAsia" w:ascii="宋体" w:hAnsi="宋体" w:cs="宋体"/>
          <w:color w:val="000000" w:themeColor="text1"/>
          <w:sz w:val="24"/>
          <w14:textFill>
            <w14:solidFill>
              <w14:schemeClr w14:val="tx1"/>
            </w14:solidFill>
          </w14:textFill>
        </w:rPr>
        <w:t xml:space="preserve">。</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（2）发包人完成支付的期限：</w:t>
      </w:r>
      <w:r>
        <w:rPr>
          <w:rFonts w:hint="eastAsia" w:ascii="宋体" w:hAnsi="宋体" w:cs="宋体"/>
          <w:color w:val="000000" w:themeColor="text1"/>
          <w:sz w:val="24"/>
          <w:u w:val="single"/>
          <w14:textFill>
            <w14:solidFill>
              <w14:schemeClr w14:val="tx1"/>
            </w14:solidFill>
          </w14:textFill>
        </w:rPr>
        <w:t xml:space="preserve">最终结清申请单的审批结束后15个工作日内。</w:t>
      </w:r>
      <w:bookmarkEnd w:id="327"/>
      <w:r/>
      <w:bookmarkEnd w:id="328"/>
      <w:r/>
      <w:bookmarkEnd w:id="329"/>
      <w:r/>
      <w:bookmarkEnd w:id="330"/>
      <w:r/>
      <w:bookmarkEnd w:id="331"/>
      <w:r/>
      <w:bookmarkEnd w:id="332"/>
      <w:r/>
      <w:bookmarkEnd w:id="333"/>
      <w:r/>
      <w:bookmarkEnd w:id="339"/>
      <w:r/>
      <w:r/>
    </w:p>
    <w:p>
      <w:pPr>
        <w:pStyle w:val="978"/>
        <w:spacing w:before="0" w:after="0" w:line="360" w:lineRule="auto"/>
        <w:rPr>
          <w:rFonts w:ascii="宋体" w:hAnsi="宋体" w:eastAsia="宋体" w:cs="宋体"/>
          <w:b w:val="0"/>
          <w:color w:val="000000" w:themeColor="text1"/>
          <w:sz w:val="24"/>
          <w:szCs w:val="24"/>
          <w14:textFill>
            <w14:solidFill>
              <w14:schemeClr w14:val="tx1"/>
            </w14:solidFill>
          </w14:textFill>
        </w:rPr>
      </w:pPr>
      <w:r/>
      <w:bookmarkStart w:id="341" w:name="_Toc351203647"/>
      <w:r/>
      <w:bookmarkStart w:id="342" w:name="_Toc267251483"/>
      <w:r/>
      <w:bookmarkStart w:id="343" w:name="_Toc267251484"/>
      <w:r/>
      <w:bookmarkStart w:id="344" w:name="_Toc267251482"/>
      <w:r/>
      <w:bookmarkStart w:id="345" w:name="_Toc267251485"/>
      <w:r/>
      <w:bookmarkStart w:id="346" w:name="_Toc267251486"/>
      <w:r/>
      <w:bookmarkStart w:id="347" w:name="_Toc267251490"/>
      <w:r/>
      <w:bookmarkStart w:id="348" w:name="_Toc267251488"/>
      <w:r/>
      <w:bookmarkStart w:id="349" w:name="_Toc267251489"/>
      <w:r/>
      <w:bookmarkStart w:id="350" w:name="_Toc267251496"/>
      <w:r/>
      <w:bookmarkStart w:id="351" w:name="_Toc267251493"/>
      <w:r/>
      <w:bookmarkStart w:id="352" w:name="_Toc267251501"/>
      <w:r/>
      <w:bookmarkStart w:id="353" w:name="_Toc267251498"/>
      <w:r/>
      <w:bookmarkStart w:id="354" w:name="_Toc267251503"/>
      <w:r/>
      <w:bookmarkStart w:id="355" w:name="_Toc267251499"/>
      <w:r/>
      <w:bookmarkStart w:id="356" w:name="_Toc267251494"/>
      <w:r/>
      <w:bookmarkStart w:id="357" w:name="_Toc267251497"/>
      <w:r/>
      <w:bookmarkStart w:id="358" w:name="_Toc267251491"/>
      <w:r/>
      <w:bookmarkStart w:id="359" w:name="_Toc267251492"/>
      <w:r/>
      <w:bookmarkStart w:id="360" w:name="_Toc267251495"/>
      <w:r/>
      <w:bookmarkStart w:id="361" w:name="_Toc267251502"/>
      <w:r/>
      <w:bookmarkStart w:id="362" w:name="_Toc267251504"/>
      <w:r/>
      <w:bookmarkStart w:id="363" w:name="_Toc267251506"/>
      <w:r/>
      <w:bookmarkStart w:id="364" w:name="_Toc267251507"/>
      <w:r/>
      <w:bookmarkStart w:id="365" w:name="_Toc267251508"/>
      <w:r/>
      <w:bookmarkStart w:id="366" w:name="_Toc267251513"/>
      <w:r/>
      <w:bookmarkStart w:id="367" w:name="_Toc267251515"/>
      <w:r/>
      <w:bookmarkStart w:id="368" w:name="_Toc267251510"/>
      <w:r/>
      <w:bookmarkStart w:id="369" w:name="_Toc267251514"/>
      <w:r/>
      <w:bookmarkStart w:id="370" w:name="_Toc267251511"/>
      <w:r/>
      <w:bookmarkStart w:id="371" w:name="_Toc267251509"/>
      <w:r>
        <w:rPr>
          <w:rFonts w:hint="eastAsia" w:ascii="宋体" w:hAnsi="宋体" w:eastAsia="宋体" w:cs="宋体"/>
          <w:b w:val="0"/>
          <w:color w:val="000000" w:themeColor="text1"/>
          <w:sz w:val="24"/>
          <w:szCs w:val="24"/>
          <w14:textFill>
            <w14:solidFill>
              <w14:schemeClr w14:val="tx1"/>
            </w14:solidFill>
          </w14:textFill>
        </w:rPr>
        <w:t xml:space="preserve">15. 缺陷责任期与保修</w:t>
      </w:r>
      <w:bookmarkEnd w:id="341"/>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15.2缺陷责任期</w:t>
      </w:r>
      <w:bookmarkEnd w:id="342"/>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缺陷责任期的具体期限：</w:t>
      </w:r>
      <w:r>
        <w:rPr>
          <w:rFonts w:hint="eastAsia" w:ascii="宋体" w:hAnsi="宋体" w:cs="宋体"/>
          <w:color w:val="000000" w:themeColor="text1"/>
          <w:sz w:val="24"/>
          <w:u w:val="single"/>
          <w14:textFill>
            <w14:solidFill>
              <w14:schemeClr w14:val="tx1"/>
            </w14:solidFill>
          </w14:textFill>
        </w:rPr>
        <w:t xml:space="preserve">工程竣工验收合格移交发包人之日起24个月，本合同其他约定与本约定不一致的，以本约定为准。 </w:t>
      </w:r>
      <w:bookmarkEnd w:id="343"/>
      <w:r/>
      <w:bookmarkEnd w:id="344"/>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15.4保修</w:t>
      </w:r>
      <w:bookmarkEnd w:id="345"/>
      <w:r/>
      <w:r/>
    </w:p>
    <w:p>
      <w:pPr>
        <w:ind w:firstLine="468"/>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15.4.1 保修责任</w:t>
      </w:r>
      <w:r/>
    </w:p>
    <w:p>
      <w:pPr>
        <w:ind w:firstLine="468"/>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工程保修期为：</w:t>
      </w:r>
      <w:r>
        <w:rPr>
          <w:rFonts w:hint="eastAsia" w:ascii="宋体" w:hAnsi="宋体" w:cs="宋体"/>
          <w:color w:val="000000" w:themeColor="text1"/>
          <w:sz w:val="24"/>
          <w:u w:val="single"/>
          <w14:textFill>
            <w14:solidFill>
              <w14:schemeClr w14:val="tx1"/>
            </w14:solidFill>
          </w14:textFill>
        </w:rPr>
        <w:t xml:space="preserve">自工程竣工验收合格后资料、手续齐备并移交发包人之日起计算，具体期限详见《工程质量保修书》。</w:t>
      </w:r>
      <w:r/>
    </w:p>
    <w:p>
      <w:pPr>
        <w:ind w:firstLine="468"/>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15.4.3 修复通知</w:t>
      </w:r>
      <w:r/>
    </w:p>
    <w:p>
      <w:pPr>
        <w:ind w:firstLine="468"/>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承包人收到保修通知并到达工程现场的合理时间：</w:t>
      </w:r>
      <w:r>
        <w:rPr>
          <w:rFonts w:hint="eastAsia" w:ascii="宋体" w:hAnsi="宋体" w:cs="宋体"/>
          <w:color w:val="000000" w:themeColor="text1"/>
          <w:sz w:val="24"/>
          <w:u w:val="single"/>
          <w14:textFill>
            <w14:solidFill>
              <w14:schemeClr w14:val="tx1"/>
            </w14:solidFill>
          </w14:textFill>
        </w:rPr>
        <w:t xml:space="preserve">接到发包人通知后24小时内。</w:t>
      </w:r>
      <w:bookmarkEnd w:id="346"/>
      <w:r/>
      <w:bookmarkEnd w:id="347"/>
      <w:r/>
      <w:bookmarkEnd w:id="348"/>
      <w:r/>
      <w:bookmarkEnd w:id="349"/>
      <w:r/>
      <w:r/>
    </w:p>
    <w:p>
      <w:pPr>
        <w:pStyle w:val="978"/>
        <w:spacing w:before="0" w:after="0" w:line="360" w:lineRule="auto"/>
        <w:rPr>
          <w:rFonts w:ascii="宋体" w:hAnsi="宋体" w:eastAsia="宋体" w:cs="宋体"/>
          <w:b w:val="0"/>
          <w:color w:val="000000" w:themeColor="text1"/>
          <w:sz w:val="24"/>
          <w:szCs w:val="24"/>
          <w14:textFill>
            <w14:solidFill>
              <w14:schemeClr w14:val="tx1"/>
            </w14:solidFill>
          </w14:textFill>
        </w:rPr>
      </w:pPr>
      <w:r/>
      <w:bookmarkStart w:id="372" w:name="_Toc351203648"/>
      <w:r/>
      <w:bookmarkStart w:id="373" w:name="_Toc280868717"/>
      <w:r/>
      <w:bookmarkStart w:id="374" w:name="_Toc280868718"/>
      <w:r>
        <w:rPr>
          <w:rFonts w:hint="eastAsia" w:ascii="宋体" w:hAnsi="宋体" w:eastAsia="宋体" w:cs="宋体"/>
          <w:b w:val="0"/>
          <w:color w:val="000000" w:themeColor="text1"/>
          <w:sz w:val="24"/>
          <w:szCs w:val="24"/>
          <w14:textFill>
            <w14:solidFill>
              <w14:schemeClr w14:val="tx1"/>
            </w14:solidFill>
          </w14:textFill>
        </w:rPr>
        <w:t xml:space="preserve">16. 违约</w:t>
      </w:r>
      <w:bookmarkEnd w:id="372"/>
      <w:r/>
      <w:r/>
    </w:p>
    <w:p>
      <w:pPr>
        <w:ind w:firstLine="480"/>
        <w:spacing w:line="360" w:lineRule="auto"/>
        <w:rPr>
          <w:rFonts w:ascii="宋体" w:hAnsi="宋体" w:cs="宋体"/>
          <w:color w:val="000000" w:themeColor="text1"/>
          <w:sz w:val="24"/>
          <w14:textFill>
            <w14:solidFill>
              <w14:schemeClr w14:val="tx1"/>
            </w14:solidFill>
          </w14:textFill>
        </w:rPr>
        <w:outlineLvl w:val="0"/>
      </w:pPr>
      <w:r>
        <w:rPr>
          <w:rFonts w:hint="eastAsia" w:ascii="宋体" w:hAnsi="宋体" w:cs="宋体"/>
          <w:color w:val="000000" w:themeColor="text1"/>
          <w:sz w:val="24"/>
          <w14:textFill>
            <w14:solidFill>
              <w14:schemeClr w14:val="tx1"/>
            </w14:solidFill>
          </w14:textFill>
        </w:rPr>
        <w:t xml:space="preserve">16.1 发包人违约</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16.1.1发包人违约的情形</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发包人违约的其他情形： </w:t>
      </w:r>
      <w:r>
        <w:rPr>
          <w:rFonts w:hint="eastAsia" w:ascii="宋体" w:hAnsi="宋体" w:cs="宋体"/>
          <w:color w:val="000000" w:themeColor="text1"/>
          <w:sz w:val="24"/>
          <w:u w:val="single"/>
          <w14:textFill>
            <w14:solidFill>
              <w14:schemeClr w14:val="tx1"/>
            </w14:solidFill>
          </w14:textFill>
        </w:rPr>
        <w:t xml:space="preserve">   /  </w:t>
      </w:r>
      <w:r>
        <w:rPr>
          <w:rFonts w:hint="eastAsia" w:ascii="宋体" w:hAnsi="宋体" w:cs="宋体"/>
          <w:color w:val="000000" w:themeColor="text1"/>
          <w:sz w:val="24"/>
          <w14:textFill>
            <w14:solidFill>
              <w14:schemeClr w14:val="tx1"/>
            </w14:solidFill>
          </w14:textFill>
        </w:rPr>
        <w:t xml:space="preserve">。</w:t>
      </w:r>
      <w:r/>
    </w:p>
    <w:p>
      <w:pPr>
        <w:ind w:hanging="120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16.1.2 发包人违约的责任</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发包人违约责任的承担方式和计算方法：</w:t>
      </w:r>
      <w:r/>
    </w:p>
    <w:p>
      <w:pPr>
        <w:ind w:firstLine="24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（1）因发包人原因未能在计划开工日期前7天内下达开工通知的违约责任：</w:t>
      </w:r>
      <w:r>
        <w:rPr>
          <w:rFonts w:hint="eastAsia" w:ascii="宋体" w:hAnsi="宋体" w:cs="宋体"/>
          <w:color w:val="000000" w:themeColor="text1"/>
          <w:sz w:val="24"/>
          <w:u w:val="single"/>
          <w14:textFill>
            <w14:solidFill>
              <w14:schemeClr w14:val="tx1"/>
            </w14:solidFill>
          </w14:textFill>
        </w:rPr>
        <w:t xml:space="preserve"> / </w:t>
      </w:r>
      <w:r>
        <w:rPr>
          <w:rFonts w:hint="eastAsia" w:ascii="宋体" w:hAnsi="宋体" w:cs="宋体"/>
          <w:color w:val="000000" w:themeColor="text1"/>
          <w:sz w:val="24"/>
          <w14:textFill>
            <w14:solidFill>
              <w14:schemeClr w14:val="tx1"/>
            </w14:solidFill>
          </w14:textFill>
        </w:rPr>
        <w:t xml:space="preserve">。</w:t>
      </w:r>
      <w:r/>
    </w:p>
    <w:p>
      <w:pPr>
        <w:ind w:firstLine="24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（2）因发包人原因未能按合同约定支付合同价款的违约责任：</w:t>
      </w:r>
      <w:r>
        <w:rPr>
          <w:rFonts w:hint="eastAsia" w:ascii="宋体" w:hAnsi="宋体" w:cs="宋体"/>
          <w:color w:val="000000" w:themeColor="text1"/>
          <w:sz w:val="24"/>
          <w:u w:val="single"/>
          <w14:textFill>
            <w14:solidFill>
              <w14:schemeClr w14:val="tx1"/>
            </w14:solidFill>
          </w14:textFill>
        </w:rPr>
        <w:t xml:space="preserve"> / </w:t>
      </w:r>
      <w:r>
        <w:rPr>
          <w:rFonts w:hint="eastAsia" w:ascii="宋体" w:hAnsi="宋体" w:cs="宋体"/>
          <w:color w:val="000000" w:themeColor="text1"/>
          <w:sz w:val="24"/>
          <w14:textFill>
            <w14:solidFill>
              <w14:schemeClr w14:val="tx1"/>
            </w14:solidFill>
          </w14:textFill>
        </w:rPr>
        <w:t xml:space="preserve">。</w:t>
      </w:r>
      <w:r/>
    </w:p>
    <w:p>
      <w:pPr>
        <w:ind w:firstLine="24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（3）发包人违反第10.1款〔变更的范围〕第（2）项约定，自行实施被取消的工作或转由他人实施的违约责任：</w:t>
      </w:r>
      <w:r>
        <w:rPr>
          <w:rFonts w:hint="eastAsia" w:ascii="宋体" w:hAnsi="宋体" w:cs="宋体"/>
          <w:color w:val="000000" w:themeColor="text1"/>
          <w:sz w:val="24"/>
          <w:u w:val="single"/>
          <w14:textFill>
            <w14:solidFill>
              <w14:schemeClr w14:val="tx1"/>
            </w14:solidFill>
          </w14:textFill>
        </w:rPr>
        <w:t xml:space="preserve"> / </w:t>
      </w:r>
      <w:r>
        <w:rPr>
          <w:rFonts w:hint="eastAsia" w:ascii="宋体" w:hAnsi="宋体" w:cs="宋体"/>
          <w:color w:val="000000" w:themeColor="text1"/>
          <w:sz w:val="24"/>
          <w14:textFill>
            <w14:solidFill>
              <w14:schemeClr w14:val="tx1"/>
            </w14:solidFill>
          </w14:textFill>
        </w:rPr>
        <w:t xml:space="preserve">。</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（4）发包人提供的材料、工程设备的规格、数量或质量不符合合同约定，或因发包人原因导致交货日期延误或交货地点变更等情况的违约责任：</w:t>
      </w:r>
      <w:r>
        <w:rPr>
          <w:rFonts w:hint="eastAsia" w:ascii="宋体" w:hAnsi="宋体" w:cs="宋体"/>
          <w:color w:val="000000" w:themeColor="text1"/>
          <w:sz w:val="24"/>
          <w:u w:val="single"/>
          <w14:textFill>
            <w14:solidFill>
              <w14:schemeClr w14:val="tx1"/>
            </w14:solidFill>
          </w14:textFill>
        </w:rPr>
        <w:t xml:space="preserve"> / </w:t>
      </w:r>
      <w:r>
        <w:rPr>
          <w:rFonts w:hint="eastAsia" w:ascii="宋体" w:hAnsi="宋体" w:cs="宋体"/>
          <w:color w:val="000000" w:themeColor="text1"/>
          <w:sz w:val="24"/>
          <w14:textFill>
            <w14:solidFill>
              <w14:schemeClr w14:val="tx1"/>
            </w14:solidFill>
          </w14:textFill>
        </w:rPr>
        <w:t xml:space="preserve">。</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（5）因发包人违反合同约定造成暂停施工的违约责任：</w:t>
      </w:r>
      <w:r>
        <w:rPr>
          <w:rFonts w:hint="eastAsia" w:ascii="宋体" w:hAnsi="宋体" w:cs="宋体"/>
          <w:color w:val="000000" w:themeColor="text1"/>
          <w:sz w:val="24"/>
          <w:u w:val="single"/>
          <w14:textFill>
            <w14:solidFill>
              <w14:schemeClr w14:val="tx1"/>
            </w14:solidFill>
          </w14:textFill>
        </w:rPr>
        <w:t xml:space="preserve">  /  </w:t>
      </w:r>
      <w:r>
        <w:rPr>
          <w:rFonts w:hint="eastAsia" w:ascii="宋体" w:hAnsi="宋体" w:cs="宋体"/>
          <w:color w:val="000000" w:themeColor="text1"/>
          <w:sz w:val="24"/>
          <w14:textFill>
            <w14:solidFill>
              <w14:schemeClr w14:val="tx1"/>
            </w14:solidFill>
          </w14:textFill>
        </w:rPr>
        <w:t xml:space="preserve">。</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（6）发包人无正当理由没有在约定期限内发出复工指示，导致承包人无法复工的违约责任：</w:t>
      </w:r>
      <w:r>
        <w:rPr>
          <w:rFonts w:hint="eastAsia" w:ascii="宋体" w:hAnsi="宋体" w:cs="宋体"/>
          <w:color w:val="000000" w:themeColor="text1"/>
          <w:sz w:val="24"/>
          <w:u w:val="single"/>
          <w14:textFill>
            <w14:solidFill>
              <w14:schemeClr w14:val="tx1"/>
            </w14:solidFill>
          </w14:textFill>
        </w:rPr>
        <w:t xml:space="preserve"> /  </w:t>
      </w:r>
      <w:r>
        <w:rPr>
          <w:rFonts w:hint="eastAsia" w:ascii="宋体" w:hAnsi="宋体" w:cs="宋体"/>
          <w:color w:val="000000" w:themeColor="text1"/>
          <w:sz w:val="24"/>
          <w14:textFill>
            <w14:solidFill>
              <w14:schemeClr w14:val="tx1"/>
            </w14:solidFill>
          </w14:textFill>
        </w:rPr>
        <w:t xml:space="preserve">。</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（7）其他：</w:t>
      </w:r>
      <w:r>
        <w:rPr>
          <w:rFonts w:hint="eastAsia" w:ascii="宋体" w:hAnsi="宋体" w:cs="宋体"/>
          <w:color w:val="000000" w:themeColor="text1"/>
          <w:sz w:val="24"/>
          <w:u w:val="single"/>
          <w14:textFill>
            <w14:solidFill>
              <w14:schemeClr w14:val="tx1"/>
            </w14:solidFill>
          </w14:textFill>
        </w:rPr>
        <w:t xml:space="preserve">   /   </w:t>
      </w:r>
      <w:r>
        <w:rPr>
          <w:rFonts w:hint="eastAsia" w:ascii="宋体" w:hAnsi="宋体" w:cs="宋体"/>
          <w:color w:val="000000" w:themeColor="text1"/>
          <w:sz w:val="24"/>
          <w14:textFill>
            <w14:solidFill>
              <w14:schemeClr w14:val="tx1"/>
            </w14:solidFill>
          </w14:textFill>
        </w:rPr>
        <w:t xml:space="preserve">。</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16.1.3 因发包人违约解除合同</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承包人按16.1.1项〔发包人违约的情形〕约定暂停施工满</w:t>
      </w:r>
      <w:r>
        <w:rPr>
          <w:rFonts w:hint="eastAsia" w:ascii="宋体" w:hAnsi="宋体" w:cs="宋体"/>
          <w:color w:val="000000" w:themeColor="text1"/>
          <w:sz w:val="24"/>
          <w:u w:val="single"/>
          <w14:textFill>
            <w14:solidFill>
              <w14:schemeClr w14:val="tx1"/>
            </w14:solidFill>
          </w14:textFill>
        </w:rPr>
        <w:t xml:space="preserve"> /  </w:t>
      </w:r>
      <w:r>
        <w:rPr>
          <w:rFonts w:hint="eastAsia" w:ascii="宋体" w:hAnsi="宋体" w:cs="宋体"/>
          <w:color w:val="000000" w:themeColor="text1"/>
          <w:sz w:val="24"/>
          <w14:textFill>
            <w14:solidFill>
              <w14:schemeClr w14:val="tx1"/>
            </w14:solidFill>
          </w14:textFill>
        </w:rPr>
        <w:t xml:space="preserve">天后发包人仍不纠正其违约行为并致使合同目的不能实现的，承包人有权解除合同。</w:t>
      </w:r>
      <w:r/>
    </w:p>
    <w:p>
      <w:pPr>
        <w:ind w:firstLine="480"/>
        <w:spacing w:line="360" w:lineRule="auto"/>
        <w:rPr>
          <w:rFonts w:ascii="宋体" w:hAnsi="宋体" w:cs="宋体"/>
          <w:color w:val="000000" w:themeColor="text1"/>
          <w:sz w:val="24"/>
          <w14:textFill>
            <w14:solidFill>
              <w14:schemeClr w14:val="tx1"/>
            </w14:solidFill>
          </w14:textFill>
        </w:rPr>
        <w:outlineLvl w:val="0"/>
      </w:pPr>
      <w:r>
        <w:rPr>
          <w:rFonts w:hint="eastAsia" w:ascii="宋体" w:hAnsi="宋体" w:cs="宋体"/>
          <w:color w:val="000000" w:themeColor="text1"/>
          <w:sz w:val="24"/>
          <w14:textFill>
            <w14:solidFill>
              <w14:schemeClr w14:val="tx1"/>
            </w14:solidFill>
          </w14:textFill>
        </w:rPr>
        <w:t xml:space="preserve">16.2 承包人违约</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16.2.1 承包人违约的情形</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承包人违约的其他情形：</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①承包人在成交后，未能按规定的时间办理相关手续、缴纳相关费用，影响办理施工许可证。</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②成交后承包人违反合同约定进行转包或违法分包的：转包或分包合同无效，承包人应向发包人承担转包或分包合同金额30%的违约金，并继续履行本合同；发包人也有权选择单方解除施工合同，清退施工人员并按合同总价的20%收取违约金，在这种情况下，承包人必须在10日内退场，并且不得提出任何对发包人不利的要求。发包人若选择接受转包或分包行为的，承包人应当与实际施工人就分包和转包工程向发包人承担连带责任。</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③没有合理的原因而未能按期开工、或拖延工期、或拖延竣工。</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④承包人无正当理由停工。</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⑤拒绝或不遵照发包人或监理工程师要求整改、更换或拆除有缺陷的工程，不合适的材料或物资的书面通知；或执行（整改）不力的。 </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⑥由于承包人原因，逾期竣工，每逾期一天，由承包人向发包人按合同价款的千分之一/天支付违约金，最高不超过合同总价的10%，此赔偿费的支付不能解除承包人应完成工程的责任和合同规定的其他责任。</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 如因承包人的原因延误工期而导致工程造价上涨的由承包人负责，造成的损失（包括由于承包人工期延误造成的延期交付而造成的一切损失）均由承包人承担，并自愿支付由此造成的一切费用。  </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⑦因承包人原因导致工程质量不符合合同要求的：承包人应无条件整改直至满足合同要求，并承担因此所产生的一切费用和损失。整改所需时间计算在合同总工期内，因此造成的工期延误按照合同专用条款执行。  </w:t>
      </w:r>
      <w:r/>
    </w:p>
    <w:p>
      <w:pPr>
        <w:ind w:firstLine="480"/>
        <w:spacing w:line="360" w:lineRule="auto"/>
        <w:rPr>
          <w:rFonts w:ascii="宋体" w:hAnsi="宋体" w:cs="宋体"/>
          <w:color w:val="000000" w:themeColor="text1"/>
          <w:sz w:val="24"/>
          <w:u w:val="single"/>
          <w14:textFill>
            <w14:solidFill>
              <w14:schemeClr w14:val="tx1"/>
            </w14:solidFill>
          </w14:textFill>
        </w:rPr>
        <w:outlineLvl w:val="0"/>
      </w:pPr>
      <w:r>
        <w:rPr>
          <w:rFonts w:hint="eastAsia" w:ascii="宋体" w:hAnsi="宋体" w:cs="宋体"/>
          <w:color w:val="000000" w:themeColor="text1"/>
          <w:sz w:val="24"/>
          <w:u w:val="single"/>
          <w14:textFill>
            <w14:solidFill>
              <w14:schemeClr w14:val="tx1"/>
            </w14:solidFill>
          </w14:textFill>
        </w:rPr>
        <w:t xml:space="preserve">⑧本工程由发包人委托第三方中介机构进行结算审计，工程竣工验收后，承包人应即时将关于工程决算资料报采购人送审，承包人应充分考虑审计过程及</w:t>
      </w:r>
      <w:r>
        <w:rPr>
          <w:rFonts w:hint="eastAsia" w:ascii="宋体" w:hAnsi="宋体" w:cs="宋体"/>
          <w:color w:val="000000" w:themeColor="text1"/>
          <w:sz w:val="24"/>
          <w:u w:val="single"/>
          <w14:textFill>
            <w14:solidFill>
              <w14:schemeClr w14:val="tx1"/>
            </w14:solidFill>
          </w14:textFill>
        </w:rPr>
        <w:t xml:space="preserve">审计时间。发包人承诺会组织好人员尽最快速度完成审计，因双方存在具体争议或承包人不积极配合导致发包人未能在规定或约定时间内对承包人递交的结算报告审核完成，并不视为发包人对该结算报告认可。发包人收到承包人递交的竣工结算报告及完整的结算资料后已委托相应资质的工程造价咨询企业积极进行核实，承包人不得以“不予答复、故意拖延审计”等理由另行提起诉讼。承包人不得虚报工程量和结算，审减额7%以内的审计费由发包人承担，审减额超过7%则视为发包人违约，违约金为审减额的5%计取，发包人将直接从工程款中扣除，审减额以审计报告为准。</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⑨其他执行通用条款和专用条款约定。</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16.2.2承包人违约的责任</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承包人违约责任的承担方式和计算方法：</w:t>
      </w:r>
      <w:r>
        <w:rPr>
          <w:rFonts w:hint="eastAsia" w:ascii="宋体" w:hAnsi="宋体" w:cs="宋体"/>
          <w:color w:val="000000" w:themeColor="text1"/>
          <w:sz w:val="24"/>
          <w:u w:val="single"/>
          <w14:textFill>
            <w14:solidFill>
              <w14:schemeClr w14:val="tx1"/>
            </w14:solidFill>
          </w14:textFill>
        </w:rPr>
        <w:t xml:space="preserve">由承包人承担全部费用并承担相关法律责任。</w:t>
      </w:r>
      <w:r/>
    </w:p>
    <w:p>
      <w:pPr>
        <w:ind w:left="200" w:firstLine="24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16.2.3 因承包人违约解除合同</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关于承包人违约解除合同的特别约定：</w:t>
      </w:r>
      <w:r>
        <w:rPr>
          <w:rFonts w:hint="eastAsia" w:ascii="宋体" w:hAnsi="宋体" w:cs="宋体"/>
          <w:color w:val="000000" w:themeColor="text1"/>
          <w:sz w:val="24"/>
          <w:u w:val="single"/>
          <w14:textFill>
            <w14:solidFill>
              <w14:schemeClr w14:val="tx1"/>
            </w14:solidFill>
          </w14:textFill>
        </w:rPr>
        <w:t xml:space="preserve">执行通用条款。</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发包人继续使用承包人在施工现场的材料、设备、临时工程、承包人文件和由承包人或以其名义编制的其他文件的费用承担方式：</w:t>
      </w:r>
      <w:r>
        <w:rPr>
          <w:rFonts w:hint="eastAsia" w:ascii="宋体" w:hAnsi="宋体" w:cs="宋体"/>
          <w:color w:val="000000" w:themeColor="text1"/>
          <w:sz w:val="24"/>
          <w:u w:val="single"/>
          <w14:textFill>
            <w14:solidFill>
              <w14:schemeClr w14:val="tx1"/>
            </w14:solidFill>
          </w14:textFill>
        </w:rPr>
        <w:t xml:space="preserve">发包人免费使用，发包人继续使用的行为不免除或减轻承包人应承担的违约责任。 </w:t>
      </w:r>
      <w:r/>
    </w:p>
    <w:p>
      <w:pPr>
        <w:pStyle w:val="978"/>
        <w:spacing w:before="0" w:after="0" w:line="360" w:lineRule="auto"/>
        <w:rPr>
          <w:rFonts w:ascii="宋体" w:hAnsi="宋体" w:eastAsia="宋体" w:cs="宋体"/>
          <w:b w:val="0"/>
          <w:color w:val="000000" w:themeColor="text1"/>
          <w:sz w:val="24"/>
          <w:szCs w:val="24"/>
          <w14:textFill>
            <w14:solidFill>
              <w14:schemeClr w14:val="tx1"/>
            </w14:solidFill>
          </w14:textFill>
        </w:rPr>
      </w:pPr>
      <w:r/>
      <w:bookmarkStart w:id="375" w:name="_Toc351203649"/>
      <w:r>
        <w:rPr>
          <w:rFonts w:hint="eastAsia" w:ascii="宋体" w:hAnsi="宋体" w:eastAsia="宋体" w:cs="宋体"/>
          <w:b w:val="0"/>
          <w:color w:val="000000" w:themeColor="text1"/>
          <w:sz w:val="24"/>
          <w:szCs w:val="24"/>
          <w14:textFill>
            <w14:solidFill>
              <w14:schemeClr w14:val="tx1"/>
            </w14:solidFill>
          </w14:textFill>
        </w:rPr>
        <w:t xml:space="preserve">17. 不可抗力</w:t>
      </w:r>
      <w:bookmarkEnd w:id="373"/>
      <w:r/>
      <w:bookmarkEnd w:id="375"/>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17.1 不可抗力的确认</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除通用合同条款约定的不可抗力事件之外，视为不可抗力的其他情形：</w:t>
      </w:r>
      <w:r>
        <w:rPr>
          <w:rFonts w:hint="eastAsia" w:ascii="宋体" w:hAnsi="宋体" w:cs="宋体"/>
          <w:color w:val="000000" w:themeColor="text1"/>
          <w:sz w:val="24"/>
          <w:u w:val="single"/>
          <w14:textFill>
            <w14:solidFill>
              <w14:schemeClr w14:val="tx1"/>
            </w14:solidFill>
          </w14:textFill>
        </w:rPr>
        <w:t xml:space="preserve">执行通用条款。  </w:t>
      </w:r>
      <w:r/>
    </w:p>
    <w:p>
      <w:pPr>
        <w:ind w:firstLine="480"/>
        <w:spacing w:line="360" w:lineRule="auto"/>
        <w:rPr>
          <w:rFonts w:ascii="宋体" w:hAnsi="宋体" w:cs="宋体"/>
          <w:color w:val="000000" w:themeColor="text1"/>
          <w:sz w:val="24"/>
          <w14:textFill>
            <w14:solidFill>
              <w14:schemeClr w14:val="tx1"/>
            </w14:solidFill>
          </w14:textFill>
        </w:rPr>
        <w:outlineLvl w:val="0"/>
      </w:pPr>
      <w:r>
        <w:rPr>
          <w:rFonts w:hint="eastAsia" w:ascii="宋体" w:hAnsi="宋体" w:cs="宋体"/>
          <w:color w:val="000000" w:themeColor="text1"/>
          <w:sz w:val="24"/>
          <w14:textFill>
            <w14:solidFill>
              <w14:schemeClr w14:val="tx1"/>
            </w14:solidFill>
          </w14:textFill>
        </w:rPr>
        <w:t xml:space="preserve">17.4 因不可抗力解除合同</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合同解除后，发包人应在商定或确定发包人应支付款项后</w:t>
      </w:r>
      <w:r>
        <w:rPr>
          <w:rFonts w:hint="eastAsia" w:ascii="宋体" w:hAnsi="宋体" w:cs="宋体"/>
          <w:color w:val="000000" w:themeColor="text1"/>
          <w:sz w:val="24"/>
          <w:u w:val="single"/>
          <w14:textFill>
            <w14:solidFill>
              <w14:schemeClr w14:val="tx1"/>
            </w14:solidFill>
          </w14:textFill>
        </w:rPr>
        <w:t xml:space="preserve">28</w:t>
      </w:r>
      <w:r>
        <w:rPr>
          <w:rFonts w:hint="eastAsia" w:ascii="宋体" w:hAnsi="宋体" w:cs="宋体"/>
          <w:color w:val="000000" w:themeColor="text1"/>
          <w:sz w:val="24"/>
          <w14:textFill>
            <w14:solidFill>
              <w14:schemeClr w14:val="tx1"/>
            </w14:solidFill>
          </w14:textFill>
        </w:rPr>
        <w:t xml:space="preserve">天内完成款项的支付。</w:t>
      </w:r>
      <w:r/>
    </w:p>
    <w:p>
      <w:pPr>
        <w:pStyle w:val="978"/>
        <w:spacing w:before="0" w:after="0" w:line="360" w:lineRule="auto"/>
        <w:rPr>
          <w:rFonts w:ascii="宋体" w:hAnsi="宋体" w:eastAsia="宋体" w:cs="宋体"/>
          <w:b w:val="0"/>
          <w:color w:val="000000" w:themeColor="text1"/>
          <w:sz w:val="24"/>
          <w:szCs w:val="24"/>
          <w14:textFill>
            <w14:solidFill>
              <w14:schemeClr w14:val="tx1"/>
            </w14:solidFill>
          </w14:textFill>
        </w:rPr>
      </w:pPr>
      <w:r/>
      <w:bookmarkStart w:id="376" w:name="_Toc351203650"/>
      <w:r>
        <w:rPr>
          <w:rFonts w:hint="eastAsia" w:ascii="宋体" w:hAnsi="宋体" w:eastAsia="宋体" w:cs="宋体"/>
          <w:b w:val="0"/>
          <w:color w:val="000000" w:themeColor="text1"/>
          <w:sz w:val="24"/>
          <w:szCs w:val="24"/>
          <w14:textFill>
            <w14:solidFill>
              <w14:schemeClr w14:val="tx1"/>
            </w14:solidFill>
          </w14:textFill>
        </w:rPr>
        <w:t xml:space="preserve">18. 保险</w:t>
      </w:r>
      <w:bookmarkEnd w:id="374"/>
      <w:r/>
      <w:bookmarkEnd w:id="376"/>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18.1 工程保险</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关于工程保险的特别约定：</w:t>
      </w:r>
      <w:r>
        <w:rPr>
          <w:rFonts w:hint="eastAsia" w:ascii="宋体" w:hAnsi="宋体" w:cs="宋体"/>
          <w:color w:val="000000" w:themeColor="text1"/>
          <w:sz w:val="24"/>
          <w:u w:val="single"/>
          <w14:textFill>
            <w14:solidFill>
              <w14:schemeClr w14:val="tx1"/>
            </w14:solidFill>
          </w14:textFill>
        </w:rPr>
        <w:t xml:space="preserve">承包人必须为参与本工程工作的所有人员按国家规定购买人身意外伤害保险及工伤保险,若发生安全事故造成的一切人身伤害(包括第三人) 和经济损失均由承包人承担。</w:t>
      </w:r>
      <w:r/>
    </w:p>
    <w:p>
      <w:pPr>
        <w:ind w:firstLine="480"/>
        <w:spacing w:line="360" w:lineRule="auto"/>
        <w:rPr>
          <w:rFonts w:ascii="宋体" w:hAnsi="宋体" w:cs="宋体"/>
          <w:color w:val="000000" w:themeColor="text1"/>
          <w:sz w:val="24"/>
          <w14:textFill>
            <w14:solidFill>
              <w14:schemeClr w14:val="tx1"/>
            </w14:solidFill>
          </w14:textFill>
        </w:rPr>
        <w:outlineLvl w:val="0"/>
      </w:pPr>
      <w:r>
        <w:rPr>
          <w:rFonts w:hint="eastAsia" w:ascii="宋体" w:hAnsi="宋体" w:cs="宋体"/>
          <w:color w:val="000000" w:themeColor="text1"/>
          <w:sz w:val="24"/>
          <w14:textFill>
            <w14:solidFill>
              <w14:schemeClr w14:val="tx1"/>
            </w14:solidFill>
          </w14:textFill>
        </w:rPr>
        <w:t xml:space="preserve">18.3 其他保险</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关于其他保险的约定：</w:t>
      </w:r>
      <w:r>
        <w:rPr>
          <w:rFonts w:hint="eastAsia" w:ascii="宋体" w:hAnsi="宋体" w:cs="宋体"/>
          <w:color w:val="000000" w:themeColor="text1"/>
          <w:sz w:val="24"/>
          <w:u w:val="single"/>
          <w14:textFill>
            <w14:solidFill>
              <w14:schemeClr w14:val="tx1"/>
            </w14:solidFill>
          </w14:textFill>
        </w:rPr>
        <w:t xml:space="preserve">按通用条款执行。</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承包人是否应为其施工设备等办理财产保险：</w:t>
      </w:r>
      <w:r>
        <w:rPr>
          <w:rFonts w:hint="eastAsia" w:ascii="宋体" w:hAnsi="宋体" w:cs="宋体"/>
          <w:color w:val="000000" w:themeColor="text1"/>
          <w:sz w:val="24"/>
          <w:u w:val="single"/>
          <w14:textFill>
            <w14:solidFill>
              <w14:schemeClr w14:val="tx1"/>
            </w14:solidFill>
          </w14:textFill>
        </w:rPr>
        <w:t xml:space="preserve">承包人应为其施工设备等办理财产保险。</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18.7 通知义务</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关于变更保险合同时的通知义务的约定：</w:t>
      </w:r>
      <w:r>
        <w:rPr>
          <w:rFonts w:hint="eastAsia" w:ascii="宋体" w:hAnsi="宋体" w:cs="宋体"/>
          <w:color w:val="000000" w:themeColor="text1"/>
          <w:sz w:val="24"/>
          <w:u w:val="single"/>
          <w14:textFill>
            <w14:solidFill>
              <w14:schemeClr w14:val="tx1"/>
            </w14:solidFill>
          </w14:textFill>
        </w:rPr>
        <w:t xml:space="preserve">执行通用条款。</w:t>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r/>
    </w:p>
    <w:p>
      <w:pPr>
        <w:pStyle w:val="978"/>
        <w:spacing w:before="0" w:after="0" w:line="360" w:lineRule="auto"/>
        <w:rPr>
          <w:rFonts w:ascii="宋体" w:hAnsi="宋体" w:eastAsia="宋体" w:cs="宋体"/>
          <w:b w:val="0"/>
          <w:color w:val="000000" w:themeColor="text1"/>
          <w:sz w:val="24"/>
          <w:szCs w:val="24"/>
          <w14:textFill>
            <w14:solidFill>
              <w14:schemeClr w14:val="tx1"/>
            </w14:solidFill>
          </w14:textFill>
        </w:rPr>
      </w:pPr>
      <w:r/>
      <w:bookmarkStart w:id="377" w:name="_Toc351203651"/>
      <w:r>
        <w:rPr>
          <w:rFonts w:hint="eastAsia" w:ascii="宋体" w:hAnsi="宋体" w:eastAsia="宋体" w:cs="宋体"/>
          <w:b w:val="0"/>
          <w:color w:val="000000" w:themeColor="text1"/>
          <w:sz w:val="24"/>
          <w:szCs w:val="24"/>
          <w14:textFill>
            <w14:solidFill>
              <w14:schemeClr w14:val="tx1"/>
            </w14:solidFill>
          </w14:textFill>
        </w:rPr>
        <w:t xml:space="preserve">20. 争议解决</w:t>
      </w:r>
      <w:bookmarkEnd w:id="362"/>
      <w:r/>
      <w:bookmarkEnd w:id="363"/>
      <w:r/>
      <w:bookmarkEnd w:id="377"/>
      <w:r/>
      <w:r/>
    </w:p>
    <w:p>
      <w:pPr>
        <w:ind w:firstLine="480"/>
        <w:spacing w:line="360" w:lineRule="auto"/>
        <w:rPr>
          <w:rFonts w:ascii="宋体" w:hAnsi="宋体" w:cs="宋体"/>
          <w:color w:val="000000" w:themeColor="text1"/>
          <w:sz w:val="24"/>
          <w14:textFill>
            <w14:solidFill>
              <w14:schemeClr w14:val="tx1"/>
            </w14:solidFill>
          </w14:textFill>
        </w:rPr>
        <w:outlineLvl w:val="0"/>
      </w:pPr>
      <w:r>
        <w:rPr>
          <w:rFonts w:hint="eastAsia" w:ascii="宋体" w:hAnsi="宋体" w:cs="宋体"/>
          <w:color w:val="000000" w:themeColor="text1"/>
          <w:sz w:val="24"/>
          <w14:textFill>
            <w14:solidFill>
              <w14:schemeClr w14:val="tx1"/>
            </w14:solidFill>
          </w14:textFill>
        </w:rPr>
        <w:t xml:space="preserve">20.3 争</w:t>
      </w:r>
      <w:bookmarkEnd w:id="364"/>
      <w:r>
        <w:rPr>
          <w:rFonts w:hint="eastAsia" w:ascii="宋体" w:hAnsi="宋体" w:cs="宋体"/>
          <w:color w:val="000000" w:themeColor="text1"/>
          <w:sz w:val="24"/>
          <w14:textFill>
            <w14:solidFill>
              <w14:schemeClr w14:val="tx1"/>
            </w14:solidFill>
          </w14:textFill>
        </w:rPr>
        <w:t xml:space="preserve">议评审</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合同当事人是否同意将工程争议提交争议评审小组决定：</w:t>
      </w:r>
      <w:r>
        <w:rPr>
          <w:rFonts w:hint="eastAsia" w:ascii="宋体" w:hAnsi="宋体" w:cs="宋体"/>
          <w:color w:val="000000" w:themeColor="text1"/>
          <w:sz w:val="24"/>
          <w:u w:val="single"/>
          <w14:textFill>
            <w14:solidFill>
              <w14:schemeClr w14:val="tx1"/>
            </w14:solidFill>
          </w14:textFill>
        </w:rPr>
        <w:t xml:space="preserve"> / </w:t>
      </w:r>
      <w:r>
        <w:rPr>
          <w:rFonts w:hint="eastAsia" w:ascii="宋体" w:hAnsi="宋体" w:cs="宋体"/>
          <w:color w:val="000000" w:themeColor="text1"/>
          <w:sz w:val="24"/>
          <w14:textFill>
            <w14:solidFill>
              <w14:schemeClr w14:val="tx1"/>
            </w14:solidFill>
          </w14:textFill>
        </w:rPr>
        <w:t xml:space="preserve">。  </w:t>
      </w:r>
      <w:r/>
    </w:p>
    <w:p>
      <w:pPr>
        <w:ind w:firstLine="480"/>
        <w:spacing w:line="360" w:lineRule="auto"/>
        <w:rPr>
          <w:rFonts w:ascii="宋体" w:hAnsi="宋体" w:cs="宋体"/>
          <w:color w:val="000000" w:themeColor="text1"/>
          <w:sz w:val="24"/>
          <w14:textFill>
            <w14:solidFill>
              <w14:schemeClr w14:val="tx1"/>
            </w14:solidFill>
          </w14:textFill>
        </w:rPr>
        <w:outlineLvl w:val="0"/>
      </w:pPr>
      <w:r>
        <w:rPr>
          <w:rFonts w:hint="eastAsia" w:ascii="宋体" w:hAnsi="宋体" w:cs="宋体"/>
          <w:color w:val="000000" w:themeColor="text1"/>
          <w:sz w:val="24"/>
          <w14:textFill>
            <w14:solidFill>
              <w14:schemeClr w14:val="tx1"/>
            </w14:solidFill>
          </w14:textFill>
        </w:rPr>
        <w:t xml:space="preserve">20.3.1 争议评审小组的确定</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争议评审小组成员的确定：</w:t>
      </w:r>
      <w:r>
        <w:rPr>
          <w:rFonts w:hint="eastAsia" w:ascii="宋体" w:hAnsi="宋体" w:cs="宋体"/>
          <w:color w:val="000000" w:themeColor="text1"/>
          <w:sz w:val="24"/>
          <w:u w:val="single"/>
          <w14:textFill>
            <w14:solidFill>
              <w14:schemeClr w14:val="tx1"/>
            </w14:solidFill>
          </w14:textFill>
        </w:rPr>
        <w:t xml:space="preserve">   /   </w:t>
      </w:r>
      <w:r>
        <w:rPr>
          <w:rFonts w:hint="eastAsia" w:ascii="宋体" w:hAnsi="宋体" w:cs="宋体"/>
          <w:color w:val="000000" w:themeColor="text1"/>
          <w:sz w:val="24"/>
          <w14:textFill>
            <w14:solidFill>
              <w14:schemeClr w14:val="tx1"/>
            </w14:solidFill>
          </w14:textFill>
        </w:rPr>
        <w:t xml:space="preserve">。</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选定争议评审员的期限：</w:t>
      </w:r>
      <w:r>
        <w:rPr>
          <w:rFonts w:hint="eastAsia" w:ascii="宋体" w:hAnsi="宋体" w:cs="宋体"/>
          <w:color w:val="000000" w:themeColor="text1"/>
          <w:sz w:val="24"/>
          <w:u w:val="single"/>
          <w14:textFill>
            <w14:solidFill>
              <w14:schemeClr w14:val="tx1"/>
            </w14:solidFill>
          </w14:textFill>
        </w:rPr>
        <w:t xml:space="preserve">    /    </w:t>
      </w:r>
      <w:r>
        <w:rPr>
          <w:rFonts w:hint="eastAsia" w:ascii="宋体" w:hAnsi="宋体" w:cs="宋体"/>
          <w:color w:val="000000" w:themeColor="text1"/>
          <w:sz w:val="24"/>
          <w14:textFill>
            <w14:solidFill>
              <w14:schemeClr w14:val="tx1"/>
            </w14:solidFill>
          </w14:textFill>
        </w:rPr>
        <w:t xml:space="preserve">。</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争议评审小组成员的报酬承担方式：</w:t>
      </w:r>
      <w:r>
        <w:rPr>
          <w:rFonts w:hint="eastAsia" w:ascii="宋体" w:hAnsi="宋体" w:cs="宋体"/>
          <w:color w:val="000000" w:themeColor="text1"/>
          <w:sz w:val="24"/>
          <w:u w:val="single"/>
          <w14:textFill>
            <w14:solidFill>
              <w14:schemeClr w14:val="tx1"/>
            </w14:solidFill>
          </w14:textFill>
        </w:rPr>
        <w:t xml:space="preserve">   /   </w:t>
      </w:r>
      <w:r>
        <w:rPr>
          <w:rFonts w:hint="eastAsia" w:ascii="宋体" w:hAnsi="宋体" w:cs="宋体"/>
          <w:color w:val="000000" w:themeColor="text1"/>
          <w:sz w:val="24"/>
          <w14:textFill>
            <w14:solidFill>
              <w14:schemeClr w14:val="tx1"/>
            </w14:solidFill>
          </w14:textFill>
        </w:rPr>
        <w:t xml:space="preserve">。</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其他事项的约定：</w:t>
      </w:r>
      <w:r>
        <w:rPr>
          <w:rFonts w:hint="eastAsia" w:ascii="宋体" w:hAnsi="宋体" w:cs="宋体"/>
          <w:color w:val="000000" w:themeColor="text1"/>
          <w:sz w:val="24"/>
          <w:u w:val="single"/>
          <w14:textFill>
            <w14:solidFill>
              <w14:schemeClr w14:val="tx1"/>
            </w14:solidFill>
          </w14:textFill>
        </w:rPr>
        <w:t xml:space="preserve">     /     </w:t>
      </w:r>
      <w:r>
        <w:rPr>
          <w:rFonts w:hint="eastAsia" w:ascii="宋体" w:hAnsi="宋体" w:cs="宋体"/>
          <w:color w:val="000000" w:themeColor="text1"/>
          <w:sz w:val="24"/>
          <w14:textFill>
            <w14:solidFill>
              <w14:schemeClr w14:val="tx1"/>
            </w14:solidFill>
          </w14:textFill>
        </w:rPr>
        <w:t xml:space="preserve">。</w:t>
      </w:r>
      <w:r/>
    </w:p>
    <w:p>
      <w:pPr>
        <w:ind w:firstLine="480"/>
        <w:spacing w:line="360" w:lineRule="auto"/>
        <w:rPr>
          <w:rFonts w:ascii="宋体" w:hAnsi="宋体" w:cs="宋体"/>
          <w:color w:val="000000" w:themeColor="text1"/>
          <w:sz w:val="24"/>
          <w14:textFill>
            <w14:solidFill>
              <w14:schemeClr w14:val="tx1"/>
            </w14:solidFill>
          </w14:textFill>
        </w:rPr>
        <w:outlineLvl w:val="0"/>
      </w:pPr>
      <w:r>
        <w:rPr>
          <w:rFonts w:hint="eastAsia" w:ascii="宋体" w:hAnsi="宋体" w:cs="宋体"/>
          <w:color w:val="000000" w:themeColor="text1"/>
          <w:sz w:val="24"/>
          <w14:textFill>
            <w14:solidFill>
              <w14:schemeClr w14:val="tx1"/>
            </w14:solidFill>
          </w14:textFill>
        </w:rPr>
        <w:t xml:space="preserve">20.3.2 争议评审小组的决定</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合同当事人关于本项的约定：</w:t>
      </w:r>
      <w:r>
        <w:rPr>
          <w:rFonts w:hint="eastAsia" w:ascii="宋体" w:hAnsi="宋体" w:cs="宋体"/>
          <w:color w:val="000000" w:themeColor="text1"/>
          <w:sz w:val="24"/>
          <w:u w:val="single"/>
          <w14:textFill>
            <w14:solidFill>
              <w14:schemeClr w14:val="tx1"/>
            </w14:solidFill>
          </w14:textFill>
        </w:rPr>
        <w:t xml:space="preserve">    /    </w:t>
      </w:r>
      <w:r>
        <w:rPr>
          <w:rFonts w:hint="eastAsia" w:ascii="宋体" w:hAnsi="宋体" w:cs="宋体"/>
          <w:color w:val="000000" w:themeColor="text1"/>
          <w:sz w:val="24"/>
          <w14:textFill>
            <w14:solidFill>
              <w14:schemeClr w14:val="tx1"/>
            </w14:solidFill>
          </w14:textFill>
        </w:rPr>
        <w:t xml:space="preserve">。</w:t>
      </w:r>
      <w:r/>
    </w:p>
    <w:p>
      <w:pPr>
        <w:ind w:firstLine="480"/>
        <w:spacing w:line="360" w:lineRule="auto"/>
        <w:rPr>
          <w:rFonts w:ascii="宋体" w:hAnsi="宋体" w:cs="宋体"/>
          <w:color w:val="000000" w:themeColor="text1"/>
          <w:sz w:val="24"/>
          <w14:textFill>
            <w14:solidFill>
              <w14:schemeClr w14:val="tx1"/>
            </w14:solidFill>
          </w14:textFill>
        </w:rPr>
        <w:outlineLvl w:val="0"/>
      </w:pPr>
      <w:r>
        <w:rPr>
          <w:rFonts w:hint="eastAsia" w:ascii="宋体" w:hAnsi="宋体" w:cs="宋体"/>
          <w:color w:val="000000" w:themeColor="text1"/>
          <w:sz w:val="24"/>
          <w14:textFill>
            <w14:solidFill>
              <w14:schemeClr w14:val="tx1"/>
            </w14:solidFill>
          </w14:textFill>
        </w:rPr>
        <w:t xml:space="preserve">20.4仲裁或诉讼</w:t>
      </w:r>
      <w:bookmarkEnd w:id="365"/>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因合同及合同有关事项发生的争议，按下列第</w:t>
      </w:r>
      <w:r>
        <w:rPr>
          <w:rFonts w:hint="eastAsia" w:ascii="宋体" w:hAnsi="宋体" w:cs="宋体"/>
          <w:color w:val="000000" w:themeColor="text1"/>
          <w:sz w:val="24"/>
          <w:u w:val="single"/>
          <w14:textFill>
            <w14:solidFill>
              <w14:schemeClr w14:val="tx1"/>
            </w14:solidFill>
          </w14:textFill>
        </w:rPr>
        <w:t xml:space="preserve">  2  </w:t>
      </w:r>
      <w:r>
        <w:rPr>
          <w:rFonts w:hint="eastAsia" w:ascii="宋体" w:hAnsi="宋体" w:cs="宋体"/>
          <w:color w:val="000000" w:themeColor="text1"/>
          <w:sz w:val="24"/>
          <w14:textFill>
            <w14:solidFill>
              <w14:schemeClr w14:val="tx1"/>
            </w14:solidFill>
          </w14:textFill>
        </w:rPr>
        <w:t xml:space="preserve">种方式解决：</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（1）向</w:t>
      </w:r>
      <w:r>
        <w:rPr>
          <w:rFonts w:hint="eastAsia" w:ascii="宋体" w:hAnsi="宋体" w:cs="宋体"/>
          <w:color w:val="000000" w:themeColor="text1"/>
          <w:sz w:val="24"/>
          <w:u w:val="single"/>
          <w14:textFill>
            <w14:solidFill>
              <w14:schemeClr w14:val="tx1"/>
            </w14:solidFill>
          </w14:textFill>
        </w:rPr>
        <w:t xml:space="preserve">      /        </w:t>
      </w:r>
      <w:r>
        <w:rPr>
          <w:rFonts w:hint="eastAsia" w:ascii="宋体" w:hAnsi="宋体" w:cs="宋体"/>
          <w:color w:val="000000" w:themeColor="text1"/>
          <w:sz w:val="24"/>
          <w14:textFill>
            <w14:solidFill>
              <w14:schemeClr w14:val="tx1"/>
            </w14:solidFill>
          </w14:textFill>
        </w:rPr>
        <w:t xml:space="preserve">仲裁委员会申请仲裁；</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（2）向</w:t>
      </w:r>
      <w:r>
        <w:rPr>
          <w:rFonts w:hint="eastAsia" w:ascii="宋体" w:hAnsi="宋体" w:cs="宋体"/>
          <w:color w:val="000000" w:themeColor="text1"/>
          <w:sz w:val="24"/>
          <w:u w:val="single"/>
          <w14:textFill>
            <w14:solidFill>
              <w14:schemeClr w14:val="tx1"/>
            </w14:solidFill>
          </w14:textFill>
        </w:rPr>
        <w:t xml:space="preserve">   工程所在地  </w:t>
      </w:r>
      <w:r>
        <w:rPr>
          <w:rFonts w:hint="eastAsia" w:ascii="宋体" w:hAnsi="宋体" w:cs="宋体"/>
          <w:color w:val="000000" w:themeColor="text1"/>
          <w:sz w:val="24"/>
          <w14:textFill>
            <w14:solidFill>
              <w14:schemeClr w14:val="tx1"/>
            </w14:solidFill>
          </w14:textFill>
        </w:rPr>
        <w:t xml:space="preserve">人民法院起诉。</w:t>
      </w:r>
      <w:bookmarkEnd w:id="366"/>
      <w:r/>
      <w:bookmarkEnd w:id="367"/>
      <w:r/>
      <w:bookmarkEnd w:id="368"/>
      <w:r/>
      <w:bookmarkEnd w:id="369"/>
      <w:r/>
      <w:bookmarkEnd w:id="370"/>
      <w:r/>
      <w:bookmarkEnd w:id="371"/>
      <w:r>
        <w:rPr>
          <w:rFonts w:hint="eastAsia" w:ascii="宋体" w:hAnsi="宋体" w:cs="宋体"/>
          <w:color w:val="000000" w:themeColor="text1"/>
          <w:sz w:val="24"/>
          <w14:textFill>
            <w14:solidFill>
              <w14:schemeClr w14:val="tx1"/>
            </w14:solidFill>
          </w14:textFill>
        </w:rPr>
        <w:t xml:space="preserve">发包人由此产生的诉讼费、保全费、律师费鉴定费、差旅费等费用由败诉方承担。</w:t>
      </w:r>
      <w:r/>
    </w:p>
    <w:p>
      <w:pPr>
        <w:jc w:val="left"/>
        <w:spacing w:line="360" w:lineRule="auto"/>
        <w:rPr>
          <w:rFonts w:ascii="宋体" w:hAnsi="宋体" w:cs="宋体"/>
          <w:b/>
          <w:color w:val="000000"/>
          <w:sz w:val="24"/>
        </w:rPr>
      </w:pPr>
      <w:r>
        <w:rPr>
          <w:rFonts w:ascii="宋体" w:hAnsi="宋体" w:cs="宋体"/>
          <w:b/>
          <w:color w:val="000000"/>
          <w:sz w:val="24"/>
        </w:rPr>
      </w:r>
      <w:r/>
    </w:p>
    <w:p>
      <w:pPr>
        <w:jc w:val="left"/>
        <w:spacing w:line="360" w:lineRule="auto"/>
        <w:rPr>
          <w:rFonts w:ascii="宋体" w:hAnsi="宋体" w:cs="宋体"/>
          <w:b/>
          <w:color w:val="000000"/>
          <w:sz w:val="24"/>
        </w:rPr>
      </w:pPr>
      <w:r>
        <w:rPr>
          <w:rFonts w:ascii="宋体" w:hAnsi="宋体" w:cs="宋体"/>
          <w:b/>
          <w:color w:val="000000"/>
          <w:sz w:val="24"/>
        </w:rPr>
      </w:r>
      <w:r/>
    </w:p>
    <w:p>
      <w:pPr>
        <w:pStyle w:val="986"/>
        <w:rPr>
          <w:rFonts w:ascii="宋体" w:hAnsi="宋体" w:cs="宋体"/>
          <w:b/>
          <w:color w:val="000000"/>
          <w:sz w:val="24"/>
        </w:rPr>
      </w:pPr>
      <w:r>
        <w:rPr>
          <w:rFonts w:ascii="宋体" w:hAnsi="宋体" w:cs="宋体"/>
          <w:b/>
          <w:color w:val="000000"/>
          <w:sz w:val="24"/>
        </w:rPr>
      </w:r>
      <w:r/>
    </w:p>
    <w:p>
      <w:pPr>
        <w:pStyle w:val="987"/>
        <w:rPr>
          <w:rFonts w:ascii="宋体" w:hAnsi="宋体" w:cs="宋体"/>
          <w:b/>
          <w:color w:val="000000"/>
          <w:sz w:val="24"/>
        </w:rPr>
      </w:pPr>
      <w:r>
        <w:rPr>
          <w:rFonts w:ascii="宋体" w:hAnsi="宋体" w:cs="宋体"/>
          <w:b/>
          <w:color w:val="000000"/>
          <w:sz w:val="24"/>
        </w:rPr>
      </w:r>
      <w:r/>
    </w:p>
    <w:p>
      <w:pPr>
        <w:rPr>
          <w:rFonts w:ascii="宋体" w:hAnsi="宋体" w:cs="宋体"/>
          <w:b/>
          <w:color w:val="000000"/>
          <w:sz w:val="24"/>
        </w:rPr>
      </w:pPr>
      <w:r>
        <w:rPr>
          <w:rFonts w:ascii="宋体" w:hAnsi="宋体" w:cs="宋体"/>
          <w:b/>
          <w:color w:val="000000"/>
          <w:sz w:val="24"/>
        </w:rPr>
      </w:r>
      <w:r/>
    </w:p>
    <w:p>
      <w:pPr>
        <w:pStyle w:val="986"/>
        <w:rPr>
          <w:rFonts w:ascii="宋体" w:hAnsi="宋体" w:cs="宋体"/>
          <w:b/>
          <w:color w:val="000000"/>
          <w:sz w:val="24"/>
        </w:rPr>
      </w:pPr>
      <w:r>
        <w:rPr>
          <w:rFonts w:ascii="宋体" w:hAnsi="宋体" w:cs="宋体"/>
          <w:b/>
          <w:color w:val="000000"/>
          <w:sz w:val="24"/>
        </w:rPr>
      </w:r>
      <w:r/>
    </w:p>
    <w:p>
      <w:pPr>
        <w:pStyle w:val="987"/>
      </w:pPr>
      <w:r/>
      <w:r/>
    </w:p>
    <w:p>
      <w:pPr>
        <w:jc w:val="left"/>
        <w:spacing w:line="360" w:lineRule="auto"/>
        <w:rPr>
          <w:rFonts w:ascii="宋体" w:hAnsi="宋体" w:cs="宋体"/>
          <w:b/>
          <w:color w:val="000000"/>
          <w:sz w:val="24"/>
        </w:rPr>
      </w:pPr>
      <w:r>
        <w:rPr>
          <w:rFonts w:hint="eastAsia" w:ascii="宋体" w:hAnsi="宋体" w:cs="宋体"/>
          <w:b/>
          <w:color w:val="000000"/>
          <w:sz w:val="24"/>
        </w:rPr>
        <w:t xml:space="preserve">附件</w:t>
      </w:r>
      <w:bookmarkEnd w:id="3"/>
      <w:r/>
      <w:r/>
    </w:p>
    <w:p>
      <w:pPr>
        <w:jc w:val="left"/>
        <w:spacing w:line="360" w:lineRule="auto"/>
        <w:rPr>
          <w:rFonts w:ascii="宋体" w:hAnsi="宋体" w:cs="宋体"/>
          <w:color w:val="000000"/>
          <w:sz w:val="24"/>
        </w:rPr>
      </w:pPr>
      <w:r>
        <w:rPr>
          <w:rFonts w:hint="eastAsia" w:ascii="宋体" w:hAnsi="宋体" w:cs="宋体"/>
          <w:color w:val="000000"/>
          <w:sz w:val="24"/>
        </w:rPr>
        <w:t xml:space="preserve">附件1：发包人供应材料设备一览表</w:t>
      </w:r>
      <w:r/>
    </w:p>
    <w:p>
      <w:pPr>
        <w:jc w:val="left"/>
        <w:spacing w:line="360" w:lineRule="auto"/>
        <w:rPr>
          <w:rFonts w:ascii="宋体" w:hAnsi="宋体" w:cs="宋体"/>
          <w:color w:val="000000"/>
          <w:sz w:val="24"/>
        </w:rPr>
      </w:pPr>
      <w:r>
        <w:rPr>
          <w:rFonts w:hint="eastAsia" w:ascii="宋体" w:hAnsi="宋体" w:cs="宋体"/>
          <w:color w:val="000000"/>
          <w:sz w:val="24"/>
        </w:rPr>
        <w:t xml:space="preserve">附件2：工程质量保修书</w:t>
      </w:r>
      <w:r/>
    </w:p>
    <w:p>
      <w:pPr>
        <w:jc w:val="left"/>
        <w:spacing w:line="360" w:lineRule="auto"/>
        <w:rPr>
          <w:rFonts w:ascii="宋体" w:hAnsi="宋体" w:cs="宋体"/>
          <w:color w:val="000000"/>
          <w:sz w:val="24"/>
        </w:rPr>
      </w:pPr>
      <w:r>
        <w:rPr>
          <w:rFonts w:hint="eastAsia" w:ascii="宋体" w:hAnsi="宋体" w:cs="宋体"/>
          <w:color w:val="000000"/>
          <w:sz w:val="24"/>
        </w:rPr>
        <w:t xml:space="preserve">附件3：承包人用于本工程施工的机械设备表</w:t>
      </w:r>
      <w:r/>
    </w:p>
    <w:p>
      <w:pPr>
        <w:jc w:val="left"/>
        <w:spacing w:line="360" w:lineRule="auto"/>
        <w:rPr>
          <w:rFonts w:ascii="宋体" w:hAnsi="宋体" w:cs="宋体"/>
          <w:color w:val="000000"/>
          <w:sz w:val="24"/>
        </w:rPr>
      </w:pPr>
      <w:r>
        <w:rPr>
          <w:rFonts w:hint="eastAsia" w:ascii="宋体" w:hAnsi="宋体" w:cs="宋体"/>
          <w:color w:val="000000"/>
          <w:sz w:val="24"/>
        </w:rPr>
        <w:t xml:space="preserve">附件4：承包人主要施工管理人员表</w:t>
      </w:r>
      <w:r/>
    </w:p>
    <w:p>
      <w:pPr>
        <w:jc w:val="left"/>
        <w:spacing w:line="360" w:lineRule="auto"/>
        <w:rPr>
          <w:rFonts w:ascii="宋体" w:hAnsi="宋体" w:cs="宋体"/>
          <w:color w:val="000000"/>
          <w:sz w:val="30"/>
          <w:szCs w:val="30"/>
        </w:rPr>
        <w:sectPr>
          <w:footnotePr/>
          <w:endnotePr/>
          <w:type w:val="nextPage"/>
          <w:pgSz w:w="11906" w:h="16838" w:orient="portrait"/>
          <w:pgMar w:top="1418" w:right="1555" w:bottom="1418" w:left="1531" w:header="851" w:footer="992" w:gutter="0"/>
          <w:cols w:num="1" w:sep="0" w:space="1701" w:equalWidth="1"/>
          <w:docGrid w:linePitch="360"/>
          <w:titlePg/>
        </w:sectPr>
      </w:pPr>
      <w:r>
        <w:rPr>
          <w:rFonts w:ascii="宋体" w:hAnsi="宋体" w:cs="宋体"/>
          <w:color w:val="000000"/>
          <w:sz w:val="30"/>
          <w:szCs w:val="30"/>
        </w:rPr>
      </w:r>
      <w:r/>
    </w:p>
    <w:p>
      <w:pPr>
        <w:spacing w:line="360" w:lineRule="auto"/>
        <w:rPr>
          <w:rFonts w:ascii="宋体" w:hAnsi="宋体" w:cs="宋体"/>
          <w:b/>
          <w:bCs/>
          <w:color w:val="000000"/>
          <w:sz w:val="24"/>
        </w:rPr>
      </w:pPr>
      <w:r>
        <w:rPr>
          <w:rFonts w:hint="eastAsia" w:ascii="宋体" w:hAnsi="宋体" w:cs="宋体"/>
          <w:b/>
          <w:bCs/>
          <w:color w:val="000000"/>
          <w:sz w:val="24"/>
        </w:rPr>
        <w:t xml:space="preserve">附件1：</w:t>
      </w:r>
      <w:r/>
    </w:p>
    <w:p>
      <w:pPr>
        <w:jc w:val="center"/>
        <w:spacing w:before="156" w:after="156" w:line="360" w:lineRule="auto"/>
        <w:rPr>
          <w:rFonts w:ascii="宋体" w:hAnsi="宋体" w:cs="宋体"/>
          <w:b/>
          <w:bCs/>
          <w:color w:val="000000"/>
          <w:sz w:val="28"/>
          <w:szCs w:val="28"/>
        </w:rPr>
      </w:pPr>
      <w:r>
        <w:rPr>
          <w:rFonts w:hint="eastAsia" w:ascii="宋体" w:hAnsi="宋体" w:cs="宋体"/>
          <w:b/>
          <w:bCs/>
          <w:color w:val="000000"/>
          <w:sz w:val="28"/>
          <w:szCs w:val="28"/>
        </w:rPr>
        <w:t xml:space="preserve">发包人供应材料设备一览表</w:t>
      </w:r>
      <w:r/>
    </w:p>
    <w:tbl>
      <w:tblPr>
        <w:tblStyle w:val="985"/>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51"/>
        <w:gridCol w:w="1276"/>
        <w:gridCol w:w="1418"/>
        <w:gridCol w:w="940"/>
        <w:gridCol w:w="851"/>
        <w:gridCol w:w="1044"/>
        <w:gridCol w:w="992"/>
        <w:gridCol w:w="851"/>
        <w:gridCol w:w="1487"/>
        <w:gridCol w:w="992"/>
      </w:tblGrid>
      <w:tr>
        <w:trPr>
          <w:jc w:val="center"/>
        </w:trPr>
        <w:tc>
          <w:tcPr>
            <w:tcW w:w="851" w:type="dxa"/>
            <w:vAlign w:val="center"/>
            <w:textDirection w:val="lrTb"/>
            <w:noWrap w:val="false"/>
          </w:tcPr>
          <w:p>
            <w:pPr>
              <w:ind w:left="63" w:right="63"/>
              <w:jc w:val="center"/>
              <w:keepNext/>
              <w:spacing w:after="120"/>
              <w:rPr>
                <w:rFonts w:ascii="宋体" w:hAnsi="宋体" w:cs="宋体"/>
                <w:color w:val="000000"/>
                <w:sz w:val="24"/>
              </w:rPr>
            </w:pPr>
            <w:r>
              <w:rPr>
                <w:rFonts w:hint="eastAsia" w:ascii="宋体" w:hAnsi="宋体" w:cs="宋体"/>
                <w:color w:val="000000"/>
                <w:sz w:val="24"/>
              </w:rPr>
              <w:t xml:space="preserve">序号</w:t>
            </w:r>
            <w:r/>
          </w:p>
        </w:tc>
        <w:tc>
          <w:tcPr>
            <w:tcW w:w="1276" w:type="dxa"/>
            <w:vAlign w:val="center"/>
            <w:textDirection w:val="lrTb"/>
            <w:noWrap w:val="false"/>
          </w:tcPr>
          <w:p>
            <w:pPr>
              <w:ind w:left="63" w:right="63"/>
              <w:jc w:val="center"/>
              <w:keepNext/>
              <w:spacing w:after="120"/>
              <w:rPr>
                <w:rFonts w:ascii="宋体" w:hAnsi="宋体" w:cs="宋体"/>
                <w:color w:val="000000"/>
                <w:sz w:val="24"/>
              </w:rPr>
            </w:pPr>
            <w:r>
              <w:rPr>
                <w:rFonts w:hint="eastAsia" w:ascii="宋体" w:hAnsi="宋体" w:cs="宋体"/>
                <w:color w:val="000000"/>
                <w:sz w:val="24"/>
              </w:rPr>
              <w:t xml:space="preserve">材料、</w:t>
            </w:r>
            <w:r/>
          </w:p>
          <w:p>
            <w:pPr>
              <w:ind w:right="63"/>
              <w:jc w:val="center"/>
              <w:keepNext/>
              <w:spacing w:after="120"/>
              <w:rPr>
                <w:rFonts w:ascii="宋体" w:hAnsi="宋体" w:cs="宋体"/>
                <w:color w:val="000000"/>
                <w:sz w:val="24"/>
              </w:rPr>
            </w:pPr>
            <w:r>
              <w:rPr>
                <w:rFonts w:hint="eastAsia" w:ascii="宋体" w:hAnsi="宋体" w:cs="宋体"/>
                <w:color w:val="000000"/>
                <w:sz w:val="24"/>
              </w:rPr>
              <w:t xml:space="preserve">设备品种</w:t>
            </w:r>
            <w:r/>
          </w:p>
        </w:tc>
        <w:tc>
          <w:tcPr>
            <w:tcW w:w="1418" w:type="dxa"/>
            <w:vAlign w:val="center"/>
            <w:textDirection w:val="lrTb"/>
            <w:noWrap w:val="false"/>
          </w:tcPr>
          <w:p>
            <w:pPr>
              <w:ind w:left="63" w:right="63"/>
              <w:jc w:val="center"/>
              <w:keepNext/>
              <w:spacing w:after="120"/>
              <w:rPr>
                <w:rFonts w:ascii="宋体" w:hAnsi="宋体" w:cs="宋体"/>
                <w:color w:val="000000"/>
                <w:sz w:val="24"/>
              </w:rPr>
            </w:pPr>
            <w:r>
              <w:rPr>
                <w:rFonts w:hint="eastAsia" w:ascii="宋体" w:hAnsi="宋体" w:cs="宋体"/>
                <w:color w:val="000000"/>
                <w:sz w:val="24"/>
              </w:rPr>
              <w:t xml:space="preserve">规格型号</w:t>
            </w:r>
            <w:r/>
          </w:p>
        </w:tc>
        <w:tc>
          <w:tcPr>
            <w:tcW w:w="940" w:type="dxa"/>
            <w:vAlign w:val="center"/>
            <w:textDirection w:val="lrTb"/>
            <w:noWrap w:val="false"/>
          </w:tcPr>
          <w:p>
            <w:pPr>
              <w:ind w:left="63" w:right="63"/>
              <w:jc w:val="center"/>
              <w:keepNext/>
              <w:spacing w:after="120"/>
              <w:rPr>
                <w:rFonts w:ascii="宋体" w:hAnsi="宋体" w:cs="宋体"/>
                <w:color w:val="000000"/>
                <w:sz w:val="24"/>
              </w:rPr>
            </w:pPr>
            <w:r>
              <w:rPr>
                <w:rFonts w:hint="eastAsia" w:ascii="宋体" w:hAnsi="宋体" w:cs="宋体"/>
                <w:color w:val="000000"/>
                <w:sz w:val="24"/>
              </w:rPr>
              <w:t xml:space="preserve">单位</w:t>
            </w:r>
            <w:r/>
          </w:p>
        </w:tc>
        <w:tc>
          <w:tcPr>
            <w:tcW w:w="851" w:type="dxa"/>
            <w:vAlign w:val="center"/>
            <w:textDirection w:val="lrTb"/>
            <w:noWrap w:val="false"/>
          </w:tcPr>
          <w:p>
            <w:pPr>
              <w:ind w:left="63" w:right="63"/>
              <w:jc w:val="center"/>
              <w:keepNext/>
              <w:spacing w:after="120"/>
              <w:rPr>
                <w:rFonts w:ascii="宋体" w:hAnsi="宋体" w:cs="宋体"/>
                <w:color w:val="000000"/>
                <w:sz w:val="24"/>
              </w:rPr>
            </w:pPr>
            <w:r>
              <w:rPr>
                <w:rFonts w:hint="eastAsia" w:ascii="宋体" w:hAnsi="宋体" w:cs="宋体"/>
                <w:color w:val="000000"/>
                <w:sz w:val="24"/>
              </w:rPr>
              <w:t xml:space="preserve">数量</w:t>
            </w:r>
            <w:r/>
          </w:p>
        </w:tc>
        <w:tc>
          <w:tcPr>
            <w:tcW w:w="1044" w:type="dxa"/>
            <w:vAlign w:val="center"/>
            <w:textDirection w:val="lrTb"/>
            <w:noWrap w:val="false"/>
          </w:tcPr>
          <w:p>
            <w:pPr>
              <w:ind w:left="63" w:right="63"/>
              <w:jc w:val="center"/>
              <w:keepNext/>
              <w:spacing w:after="120"/>
              <w:rPr>
                <w:rFonts w:ascii="宋体" w:hAnsi="宋体" w:cs="宋体"/>
                <w:color w:val="000000"/>
                <w:sz w:val="24"/>
              </w:rPr>
            </w:pPr>
            <w:r>
              <w:rPr>
                <w:rFonts w:hint="eastAsia" w:ascii="宋体" w:hAnsi="宋体" w:cs="宋体"/>
                <w:color w:val="000000"/>
                <w:sz w:val="24"/>
              </w:rPr>
              <w:t xml:space="preserve">单价（元）</w:t>
            </w:r>
            <w:r/>
          </w:p>
        </w:tc>
        <w:tc>
          <w:tcPr>
            <w:tcW w:w="992" w:type="dxa"/>
            <w:vAlign w:val="center"/>
            <w:textDirection w:val="lrTb"/>
            <w:noWrap w:val="false"/>
          </w:tcPr>
          <w:p>
            <w:pPr>
              <w:ind w:left="63" w:right="63"/>
              <w:jc w:val="center"/>
              <w:keepNext/>
              <w:spacing w:after="120"/>
              <w:rPr>
                <w:rFonts w:ascii="宋体" w:hAnsi="宋体" w:cs="宋体"/>
                <w:color w:val="000000"/>
                <w:sz w:val="24"/>
              </w:rPr>
            </w:pPr>
            <w:r>
              <w:rPr>
                <w:rFonts w:hint="eastAsia" w:ascii="宋体" w:hAnsi="宋体" w:cs="宋体"/>
                <w:color w:val="000000"/>
                <w:sz w:val="24"/>
              </w:rPr>
              <w:t xml:space="preserve">质量等级</w:t>
            </w:r>
            <w:r/>
          </w:p>
        </w:tc>
        <w:tc>
          <w:tcPr>
            <w:tcW w:w="851" w:type="dxa"/>
            <w:vAlign w:val="center"/>
            <w:textDirection w:val="lrTb"/>
            <w:noWrap w:val="false"/>
          </w:tcPr>
          <w:p>
            <w:pPr>
              <w:ind w:left="63" w:right="63"/>
              <w:jc w:val="center"/>
              <w:keepNext/>
              <w:spacing w:after="120"/>
              <w:rPr>
                <w:rFonts w:ascii="宋体" w:hAnsi="宋体" w:cs="宋体"/>
                <w:color w:val="000000"/>
                <w:sz w:val="24"/>
              </w:rPr>
            </w:pPr>
            <w:r>
              <w:rPr>
                <w:rFonts w:hint="eastAsia" w:ascii="宋体" w:hAnsi="宋体" w:cs="宋体"/>
                <w:color w:val="000000"/>
                <w:sz w:val="24"/>
              </w:rPr>
              <w:t xml:space="preserve">供应时间</w:t>
            </w:r>
            <w:r/>
          </w:p>
        </w:tc>
        <w:tc>
          <w:tcPr>
            <w:tcW w:w="1487" w:type="dxa"/>
            <w:vAlign w:val="center"/>
            <w:textDirection w:val="lrTb"/>
            <w:noWrap w:val="false"/>
          </w:tcPr>
          <w:p>
            <w:pPr>
              <w:ind w:left="63" w:right="63"/>
              <w:jc w:val="center"/>
              <w:keepNext/>
              <w:spacing w:after="120"/>
              <w:rPr>
                <w:rFonts w:ascii="宋体" w:hAnsi="宋体" w:cs="宋体"/>
                <w:color w:val="000000"/>
                <w:sz w:val="24"/>
              </w:rPr>
            </w:pPr>
            <w:r>
              <w:rPr>
                <w:rFonts w:hint="eastAsia" w:ascii="宋体" w:hAnsi="宋体" w:cs="宋体"/>
                <w:color w:val="000000"/>
                <w:sz w:val="24"/>
              </w:rPr>
              <w:t xml:space="preserve">送达地点</w:t>
            </w:r>
            <w:r/>
          </w:p>
        </w:tc>
        <w:tc>
          <w:tcPr>
            <w:tcW w:w="992" w:type="dxa"/>
            <w:vAlign w:val="center"/>
            <w:textDirection w:val="lrTb"/>
            <w:noWrap w:val="false"/>
          </w:tcPr>
          <w:p>
            <w:pPr>
              <w:ind w:left="63" w:right="63"/>
              <w:jc w:val="center"/>
              <w:keepNext/>
              <w:spacing w:after="120"/>
              <w:rPr>
                <w:rFonts w:ascii="宋体" w:hAnsi="宋体" w:cs="宋体"/>
                <w:color w:val="000000"/>
                <w:sz w:val="24"/>
              </w:rPr>
            </w:pPr>
            <w:r>
              <w:rPr>
                <w:rFonts w:hint="eastAsia" w:ascii="宋体" w:hAnsi="宋体" w:cs="宋体"/>
                <w:color w:val="000000"/>
                <w:sz w:val="24"/>
              </w:rPr>
              <w:t xml:space="preserve">备注</w:t>
            </w:r>
            <w:r/>
          </w:p>
        </w:tc>
      </w:tr>
      <w:tr>
        <w:trPr>
          <w:jc w:val="center"/>
          <w:trHeight w:val="567"/>
        </w:trPr>
        <w:tc>
          <w:tcPr>
            <w:tcW w:w="851"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276"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418"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940"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851"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044"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992"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851"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487"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992"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r>
      <w:tr>
        <w:trPr>
          <w:jc w:val="center"/>
          <w:trHeight w:val="567"/>
        </w:trPr>
        <w:tc>
          <w:tcPr>
            <w:tcW w:w="851"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276"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418"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940"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851"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044"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992"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851"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487"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992"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r>
      <w:tr>
        <w:trPr>
          <w:jc w:val="center"/>
          <w:trHeight w:val="567"/>
        </w:trPr>
        <w:tc>
          <w:tcPr>
            <w:tcW w:w="851"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276"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418"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940"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851"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044"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992"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851"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487"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992"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r>
      <w:tr>
        <w:trPr>
          <w:jc w:val="center"/>
          <w:trHeight w:val="567"/>
        </w:trPr>
        <w:tc>
          <w:tcPr>
            <w:tcW w:w="851"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276"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418"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940"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851"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044"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992"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851"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487"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992"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r>
      <w:tr>
        <w:trPr>
          <w:jc w:val="center"/>
          <w:trHeight w:val="567"/>
        </w:trPr>
        <w:tc>
          <w:tcPr>
            <w:tcW w:w="851"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276"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418"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940"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851"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044"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992"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851"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487"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992"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r>
      <w:tr>
        <w:trPr>
          <w:jc w:val="center"/>
          <w:trHeight w:val="567"/>
        </w:trPr>
        <w:tc>
          <w:tcPr>
            <w:tcW w:w="851"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276"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418"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940"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851"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044"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992"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851"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487"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992"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r>
      <w:tr>
        <w:trPr>
          <w:jc w:val="center"/>
          <w:trHeight w:val="567"/>
        </w:trPr>
        <w:tc>
          <w:tcPr>
            <w:tcW w:w="851"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276"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418"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940"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851"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044"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992"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851"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487"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992"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r>
      <w:tr>
        <w:trPr>
          <w:jc w:val="center"/>
          <w:trHeight w:val="567"/>
        </w:trPr>
        <w:tc>
          <w:tcPr>
            <w:tcW w:w="851"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276"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418"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940"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851"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044"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992"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851"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487"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992"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r>
      <w:tr>
        <w:trPr>
          <w:jc w:val="center"/>
          <w:trHeight w:val="567"/>
        </w:trPr>
        <w:tc>
          <w:tcPr>
            <w:tcW w:w="851"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276"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418"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940"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851"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044"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992"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851"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487"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992"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r>
      <w:tr>
        <w:trPr>
          <w:jc w:val="center"/>
          <w:trHeight w:val="567"/>
        </w:trPr>
        <w:tc>
          <w:tcPr>
            <w:tcW w:w="851"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276"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418"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940"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851"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044"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992"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851"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487"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992"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r>
      <w:tr>
        <w:trPr>
          <w:jc w:val="center"/>
          <w:trHeight w:val="567"/>
        </w:trPr>
        <w:tc>
          <w:tcPr>
            <w:tcW w:w="851"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276"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418"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940"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851"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044"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992"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851"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487"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992"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r>
      <w:tr>
        <w:trPr>
          <w:jc w:val="center"/>
          <w:trHeight w:val="567"/>
        </w:trPr>
        <w:tc>
          <w:tcPr>
            <w:tcW w:w="851"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276"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418"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940"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851"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044"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992"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851"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487"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992"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r>
      <w:tr>
        <w:trPr>
          <w:jc w:val="center"/>
          <w:trHeight w:val="567"/>
        </w:trPr>
        <w:tc>
          <w:tcPr>
            <w:tcW w:w="851"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276"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418"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940"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851"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044"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992"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851"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487"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992"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r>
      <w:tr>
        <w:trPr>
          <w:jc w:val="center"/>
          <w:trHeight w:val="567"/>
        </w:trPr>
        <w:tc>
          <w:tcPr>
            <w:tcW w:w="851"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276"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418"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940"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851"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044"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992"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851"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487"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992"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r>
      <w:tr>
        <w:trPr>
          <w:jc w:val="center"/>
          <w:trHeight w:val="567"/>
        </w:trPr>
        <w:tc>
          <w:tcPr>
            <w:tcW w:w="851"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276"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418"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940"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851"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044"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992"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851"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487"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992"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r>
      <w:tr>
        <w:trPr>
          <w:jc w:val="center"/>
          <w:trHeight w:val="567"/>
        </w:trPr>
        <w:tc>
          <w:tcPr>
            <w:tcW w:w="851"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276"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418"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940"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851"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044"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992"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851"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487"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992"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r>
    </w:tbl>
    <w:p>
      <w:pPr>
        <w:spacing w:line="440" w:lineRule="exact"/>
        <w:rPr>
          <w:rFonts w:ascii="宋体" w:hAnsi="宋体" w:cs="宋体"/>
          <w:color w:val="000000"/>
          <w:sz w:val="24"/>
        </w:rPr>
      </w:pPr>
      <w:r>
        <w:rPr>
          <w:rFonts w:ascii="宋体" w:hAnsi="宋体" w:cs="宋体"/>
          <w:color w:val="000000"/>
          <w:sz w:val="24"/>
        </w:rPr>
      </w:r>
      <w:r/>
    </w:p>
    <w:p>
      <w:pPr>
        <w:spacing w:line="360" w:lineRule="auto"/>
        <w:rPr>
          <w:rFonts w:ascii="宋体" w:hAnsi="宋体" w:cs="宋体"/>
          <w:b/>
          <w:bCs/>
          <w:color w:val="000000"/>
          <w:sz w:val="24"/>
        </w:rPr>
      </w:pPr>
      <w:r>
        <w:rPr>
          <w:rFonts w:hint="eastAsia" w:ascii="宋体" w:hAnsi="宋体" w:cs="宋体"/>
          <w:color w:val="000000"/>
          <w:sz w:val="24"/>
        </w:rPr>
        <w:br w:type="page" w:clear="all"/>
      </w:r>
      <w:r>
        <w:rPr>
          <w:rFonts w:hint="eastAsia" w:ascii="宋体" w:hAnsi="宋体" w:cs="宋体"/>
          <w:b/>
          <w:bCs/>
          <w:color w:val="000000"/>
          <w:sz w:val="24"/>
        </w:rPr>
        <w:t xml:space="preserve">附件2：    </w:t>
      </w:r>
      <w:r/>
    </w:p>
    <w:p>
      <w:pPr>
        <w:jc w:val="center"/>
        <w:spacing w:before="156" w:after="156" w:line="360" w:lineRule="auto"/>
        <w:rPr>
          <w:rFonts w:ascii="宋体" w:hAnsi="宋体" w:cs="宋体"/>
          <w:b/>
          <w:bCs/>
          <w:color w:val="000000"/>
          <w:sz w:val="28"/>
          <w:szCs w:val="28"/>
        </w:rPr>
      </w:pPr>
      <w:r>
        <w:rPr>
          <w:rFonts w:hint="eastAsia" w:ascii="宋体" w:hAnsi="宋体" w:cs="宋体"/>
          <w:b/>
          <w:bCs/>
          <w:color w:val="000000"/>
          <w:sz w:val="28"/>
          <w:szCs w:val="28"/>
        </w:rPr>
        <w:t xml:space="preserve">工程质量保修书</w:t>
      </w:r>
      <w:r/>
    </w:p>
    <w:p>
      <w:pPr>
        <w:spacing w:line="360" w:lineRule="auto"/>
        <w:rPr>
          <w:rFonts w:ascii="宋体" w:hAnsi="宋体" w:cs="宋体"/>
          <w:color w:val="000000"/>
          <w:sz w:val="24"/>
        </w:rPr>
      </w:pPr>
      <w:r>
        <w:rPr>
          <w:rFonts w:ascii="宋体" w:hAnsi="宋体" w:cs="宋体"/>
          <w:color w:val="000000"/>
          <w:sz w:val="24"/>
        </w:rPr>
      </w:r>
      <w:r/>
    </w:p>
    <w:p>
      <w:pPr>
        <w:spacing w:line="360" w:lineRule="auto"/>
        <w:rPr>
          <w:rFonts w:ascii="宋体" w:hAnsi="宋体" w:cs="宋体"/>
          <w:color w:val="000000"/>
          <w:sz w:val="24"/>
        </w:rPr>
      </w:pPr>
      <w:r>
        <w:rPr>
          <w:rFonts w:hint="eastAsia" w:ascii="宋体" w:hAnsi="宋体" w:cs="宋体"/>
          <w:color w:val="000000"/>
          <w:sz w:val="24"/>
        </w:rPr>
        <w:t xml:space="preserve">发包人（全称）：</w:t>
      </w:r>
      <w:r>
        <w:rPr>
          <w:rFonts w:hint="eastAsia" w:ascii="宋体" w:hAnsi="宋体" w:cs="宋体"/>
          <w:color w:val="000000"/>
          <w:sz w:val="24"/>
          <w:u w:val="single"/>
        </w:rPr>
        <w:t xml:space="preserve">                          </w:t>
      </w:r>
      <w:r/>
    </w:p>
    <w:p>
      <w:pPr>
        <w:spacing w:line="360" w:lineRule="auto"/>
        <w:rPr>
          <w:rFonts w:ascii="宋体" w:hAnsi="宋体" w:cs="宋体"/>
          <w:color w:val="000000"/>
          <w:sz w:val="24"/>
        </w:rPr>
      </w:pPr>
      <w:r>
        <w:rPr>
          <w:rFonts w:hint="eastAsia" w:ascii="宋体" w:hAnsi="宋体" w:cs="宋体"/>
          <w:color w:val="000000"/>
          <w:sz w:val="24"/>
        </w:rPr>
        <w:t xml:space="preserve">承包人（全称）：</w:t>
      </w:r>
      <w:r>
        <w:rPr>
          <w:rFonts w:hint="eastAsia" w:ascii="宋体" w:hAnsi="宋体" w:cs="宋体"/>
          <w:color w:val="000000"/>
          <w:sz w:val="24"/>
          <w:u w:val="single"/>
        </w:rPr>
        <w:t xml:space="preserve">                          </w:t>
      </w:r>
      <w:r>
        <w:rPr>
          <w:rFonts w:hint="eastAsia" w:ascii="宋体" w:hAnsi="宋体" w:cs="宋体"/>
          <w:color w:val="000000"/>
          <w:sz w:val="24"/>
        </w:rPr>
        <w:t xml:space="preserve"> </w:t>
      </w:r>
      <w:r/>
    </w:p>
    <w:p>
      <w:pPr>
        <w:spacing w:line="360" w:lineRule="auto"/>
        <w:rPr>
          <w:rFonts w:ascii="宋体" w:hAnsi="宋体" w:cs="宋体"/>
          <w:color w:val="000000"/>
          <w:sz w:val="24"/>
        </w:rPr>
      </w:pPr>
      <w:r>
        <w:rPr>
          <w:rFonts w:ascii="宋体" w:hAnsi="宋体" w:cs="宋体"/>
          <w:color w:val="000000"/>
          <w:sz w:val="24"/>
        </w:rPr>
      </w:r>
      <w:r/>
    </w:p>
    <w:p>
      <w:pPr>
        <w:spacing w:line="360" w:lineRule="auto"/>
        <w:rPr>
          <w:rFonts w:ascii="宋体" w:hAnsi="宋体" w:cs="宋体"/>
          <w:color w:val="000000"/>
          <w:sz w:val="24"/>
        </w:rPr>
      </w:pPr>
      <w:r>
        <w:rPr>
          <w:rFonts w:hint="eastAsia" w:ascii="宋体" w:hAnsi="宋体" w:cs="宋体"/>
          <w:color w:val="000000"/>
          <w:sz w:val="24"/>
        </w:rPr>
        <w:t xml:space="preserve">　　发包人和承包人根据</w:t>
      </w:r>
      <w:r>
        <w:rPr>
          <w:rFonts w:hint="eastAsia" w:ascii="宋体" w:hAnsi="宋体" w:cs="宋体"/>
          <w:color w:val="000000"/>
          <w:sz w:val="24"/>
          <w:u w:val="single"/>
        </w:rPr>
        <w:t xml:space="preserve">《中华人民共和国建筑法》和《建设工程质量管理条例》</w:t>
      </w:r>
      <w:r>
        <w:rPr>
          <w:rFonts w:hint="eastAsia" w:ascii="宋体" w:hAnsi="宋体" w:cs="宋体"/>
          <w:color w:val="000000"/>
          <w:sz w:val="24"/>
        </w:rPr>
        <w:t xml:space="preserve">，经协商一致就</w:t>
      </w:r>
      <w:r>
        <w:rPr>
          <w:rFonts w:hint="eastAsia" w:ascii="宋体" w:hAnsi="宋体" w:cs="宋体"/>
          <w:color w:val="000000"/>
          <w:sz w:val="24"/>
          <w:u w:val="single"/>
        </w:rPr>
        <w:t xml:space="preserve"> </w:t>
      </w:r>
      <w:r>
        <w:rPr>
          <w:rFonts w:hint="eastAsia" w:ascii="宋体" w:hAnsi="宋体" w:cs="宋体"/>
          <w:color w:val="000000"/>
          <w:sz w:val="24"/>
          <w:u w:val="single"/>
          <w:lang w:eastAsia="zh-CN"/>
        </w:rPr>
        <w:t xml:space="preserve">双沟镇魏林安置小区10KV外线工程</w:t>
      </w:r>
      <w:r>
        <w:rPr>
          <w:rFonts w:hint="eastAsia" w:ascii="宋体" w:hAnsi="宋体" w:cs="宋体"/>
          <w:color w:val="000000"/>
          <w:sz w:val="24"/>
        </w:rPr>
        <w:t xml:space="preserve">项目（工程全称）签订工程质量保修书。</w:t>
      </w:r>
      <w:r/>
    </w:p>
    <w:p>
      <w:pPr>
        <w:spacing w:line="360" w:lineRule="auto"/>
        <w:rPr>
          <w:rFonts w:ascii="宋体" w:hAnsi="宋体" w:cs="宋体"/>
          <w:color w:val="000000"/>
          <w:sz w:val="24"/>
        </w:rPr>
      </w:pPr>
      <w:r>
        <w:rPr>
          <w:rFonts w:hint="eastAsia" w:ascii="宋体" w:hAnsi="宋体" w:cs="宋体"/>
          <w:color w:val="000000"/>
          <w:sz w:val="24"/>
        </w:rPr>
        <w:t xml:space="preserve">　一、工程质量保修范围和内容</w:t>
      </w:r>
      <w:r/>
    </w:p>
    <w:p>
      <w:pPr>
        <w:spacing w:line="360" w:lineRule="auto"/>
        <w:rPr>
          <w:rFonts w:ascii="宋体" w:hAnsi="宋体" w:cs="宋体"/>
          <w:color w:val="000000"/>
          <w:sz w:val="24"/>
        </w:rPr>
      </w:pPr>
      <w:r>
        <w:rPr>
          <w:rFonts w:hint="eastAsia" w:ascii="宋体" w:hAnsi="宋体" w:cs="宋体"/>
          <w:color w:val="000000"/>
          <w:sz w:val="24"/>
        </w:rPr>
        <w:t xml:space="preserve">　　承包人在质量保修期内，按照有关法律规定和合同约定，承担工程质量保修责任。</w:t>
      </w:r>
      <w:r/>
    </w:p>
    <w:p>
      <w:pPr>
        <w:spacing w:line="360" w:lineRule="auto"/>
        <w:rPr>
          <w:rFonts w:ascii="宋体" w:hAnsi="宋体" w:cs="宋体"/>
          <w:color w:val="000000"/>
          <w:sz w:val="24"/>
          <w:u w:val="single"/>
        </w:rPr>
      </w:pPr>
      <w:r>
        <w:rPr>
          <w:rFonts w:hint="eastAsia" w:ascii="宋体" w:hAnsi="宋体" w:cs="宋体"/>
          <w:color w:val="000000"/>
          <w:sz w:val="24"/>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cs="宋体"/>
          <w:color w:val="000000"/>
          <w:sz w:val="24"/>
          <w:u w:val="single"/>
        </w:rPr>
        <w:t xml:space="preserve">由承包人承担的施工全部内容。</w:t>
      </w:r>
      <w:r/>
    </w:p>
    <w:p>
      <w:pPr>
        <w:spacing w:line="360" w:lineRule="auto"/>
        <w:rPr>
          <w:rFonts w:ascii="宋体" w:hAnsi="宋体" w:cs="宋体"/>
          <w:color w:val="000000"/>
          <w:sz w:val="24"/>
        </w:rPr>
      </w:pPr>
      <w:r>
        <w:rPr>
          <w:rFonts w:hint="eastAsia" w:ascii="宋体" w:hAnsi="宋体" w:cs="宋体"/>
          <w:color w:val="000000"/>
          <w:sz w:val="24"/>
        </w:rPr>
        <w:t xml:space="preserve">二、质量保修期</w:t>
      </w:r>
      <w:r/>
    </w:p>
    <w:p>
      <w:pPr>
        <w:ind w:firstLine="480"/>
        <w:spacing w:line="360" w:lineRule="auto"/>
        <w:rPr>
          <w:rFonts w:ascii="宋体" w:hAnsi="宋体" w:cs="宋体"/>
          <w:color w:val="000000"/>
          <w:sz w:val="24"/>
        </w:rPr>
      </w:pPr>
      <w:r>
        <w:rPr>
          <w:rFonts w:hint="eastAsia" w:ascii="宋体" w:hAnsi="宋体" w:cs="宋体"/>
          <w:color w:val="000000"/>
          <w:sz w:val="24"/>
        </w:rPr>
        <w:t xml:space="preserve">根据《建设工程质量管理条例》及有关规定，工程的质量保修期如下：</w:t>
      </w:r>
      <w:r/>
    </w:p>
    <w:p>
      <w:pPr>
        <w:numPr>
          <w:ilvl w:val="0"/>
          <w:numId w:val="3"/>
        </w:numPr>
        <w:ind w:firstLine="480"/>
        <w:spacing w:line="360" w:lineRule="auto"/>
        <w:rPr>
          <w:rFonts w:ascii="宋体" w:hAnsi="宋体" w:cs="宋体"/>
          <w:color w:val="000000"/>
          <w:sz w:val="24"/>
        </w:rPr>
      </w:pPr>
      <w:r>
        <w:rPr>
          <w:rFonts w:hint="eastAsia" w:ascii="宋体" w:hAnsi="宋体" w:cs="宋体"/>
          <w:color w:val="000000"/>
          <w:sz w:val="24"/>
        </w:rPr>
        <w:t xml:space="preserve">地基基础工程和主体结构工程为设计文件规定的工程合理使用年限；</w:t>
      </w:r>
      <w:r/>
    </w:p>
    <w:p>
      <w:pPr>
        <w:numPr>
          <w:ilvl w:val="0"/>
          <w:numId w:val="4"/>
        </w:numPr>
        <w:ind w:firstLine="480"/>
        <w:spacing w:line="360" w:lineRule="auto"/>
        <w:rPr>
          <w:rFonts w:ascii="宋体" w:hAnsi="宋体" w:cs="宋体"/>
          <w:color w:val="000000"/>
          <w:sz w:val="24"/>
        </w:rPr>
      </w:pPr>
      <w:r>
        <w:rPr>
          <w:rFonts w:hint="eastAsia" w:ascii="宋体" w:hAnsi="宋体" w:cs="宋体"/>
          <w:color w:val="000000"/>
          <w:sz w:val="24"/>
        </w:rPr>
        <w:t xml:space="preserve">屋面防水工程、有防水要求的卫生间、房间和外墙面的防渗为</w:t>
      </w:r>
      <w:r>
        <w:rPr>
          <w:rFonts w:hint="eastAsia" w:ascii="宋体" w:hAnsi="宋体" w:cs="宋体"/>
          <w:color w:val="000000"/>
          <w:sz w:val="24"/>
          <w:u w:val="single"/>
        </w:rPr>
        <w:t xml:space="preserve">  5  </w:t>
      </w:r>
      <w:r>
        <w:rPr>
          <w:rFonts w:hint="eastAsia" w:ascii="宋体" w:hAnsi="宋体" w:cs="宋体"/>
          <w:color w:val="000000"/>
          <w:sz w:val="24"/>
        </w:rPr>
        <w:t xml:space="preserve">年；</w:t>
      </w:r>
      <w:r/>
    </w:p>
    <w:p>
      <w:pPr>
        <w:numPr>
          <w:ilvl w:val="0"/>
          <w:numId w:val="5"/>
        </w:numPr>
        <w:ind w:firstLine="480"/>
        <w:spacing w:line="360" w:lineRule="auto"/>
        <w:rPr>
          <w:rFonts w:ascii="宋体" w:hAnsi="宋体" w:cs="宋体"/>
          <w:color w:val="000000"/>
          <w:sz w:val="24"/>
        </w:rPr>
      </w:pPr>
      <w:r>
        <w:rPr>
          <w:rFonts w:hint="eastAsia" w:ascii="宋体" w:hAnsi="宋体" w:cs="宋体"/>
          <w:color w:val="000000"/>
          <w:sz w:val="24"/>
        </w:rPr>
        <w:t xml:space="preserve">装修工程为</w:t>
      </w:r>
      <w:r>
        <w:rPr>
          <w:rFonts w:hint="eastAsia" w:ascii="宋体" w:hAnsi="宋体" w:cs="宋体"/>
          <w:color w:val="000000"/>
          <w:sz w:val="24"/>
          <w:u w:val="single"/>
        </w:rPr>
        <w:t xml:space="preserve">   2    </w:t>
      </w:r>
      <w:r>
        <w:rPr>
          <w:rFonts w:hint="eastAsia" w:ascii="宋体" w:hAnsi="宋体" w:cs="宋体"/>
          <w:color w:val="000000"/>
          <w:sz w:val="24"/>
        </w:rPr>
        <w:t xml:space="preserve">年；</w:t>
      </w:r>
      <w:r/>
    </w:p>
    <w:p>
      <w:pPr>
        <w:numPr>
          <w:ilvl w:val="0"/>
          <w:numId w:val="6"/>
        </w:numPr>
        <w:ind w:firstLine="480"/>
        <w:spacing w:line="360" w:lineRule="auto"/>
        <w:rPr>
          <w:rFonts w:ascii="宋体" w:hAnsi="宋体" w:cs="宋体"/>
          <w:color w:val="000000"/>
          <w:sz w:val="24"/>
        </w:rPr>
      </w:pPr>
      <w:r>
        <w:rPr>
          <w:rFonts w:hint="eastAsia" w:ascii="宋体" w:hAnsi="宋体" w:cs="宋体"/>
          <w:color w:val="000000"/>
          <w:sz w:val="24"/>
        </w:rPr>
        <w:t xml:space="preserve">电气管线、给排水管道、设备安装工程为</w:t>
      </w:r>
      <w:r>
        <w:rPr>
          <w:rFonts w:hint="eastAsia" w:ascii="宋体" w:hAnsi="宋体" w:cs="宋体"/>
          <w:color w:val="000000"/>
          <w:sz w:val="24"/>
          <w:u w:val="single"/>
        </w:rPr>
        <w:t xml:space="preserve">   2   </w:t>
      </w:r>
      <w:r>
        <w:rPr>
          <w:rFonts w:hint="eastAsia" w:ascii="宋体" w:hAnsi="宋体" w:cs="宋体"/>
          <w:color w:val="000000"/>
          <w:sz w:val="24"/>
        </w:rPr>
        <w:t xml:space="preserve">年；</w:t>
      </w:r>
      <w:r/>
    </w:p>
    <w:p>
      <w:pPr>
        <w:numPr>
          <w:ilvl w:val="0"/>
          <w:numId w:val="7"/>
        </w:numPr>
        <w:ind w:firstLine="480"/>
        <w:spacing w:line="360" w:lineRule="auto"/>
        <w:rPr>
          <w:rFonts w:ascii="宋体" w:hAnsi="宋体" w:cs="宋体"/>
          <w:color w:val="000000"/>
          <w:sz w:val="24"/>
        </w:rPr>
      </w:pPr>
      <w:r>
        <w:rPr>
          <w:rFonts w:hint="eastAsia" w:ascii="宋体" w:hAnsi="宋体" w:cs="宋体"/>
          <w:color w:val="000000"/>
          <w:sz w:val="24"/>
        </w:rPr>
        <w:t xml:space="preserve">供热与供冷系统为</w:t>
      </w:r>
      <w:r>
        <w:rPr>
          <w:rFonts w:hint="eastAsia" w:ascii="宋体" w:hAnsi="宋体" w:cs="宋体"/>
          <w:color w:val="000000"/>
          <w:sz w:val="24"/>
          <w:u w:val="single"/>
        </w:rPr>
        <w:t xml:space="preserve">    2   </w:t>
      </w:r>
      <w:r>
        <w:rPr>
          <w:rFonts w:hint="eastAsia" w:ascii="宋体" w:hAnsi="宋体" w:cs="宋体"/>
          <w:color w:val="000000"/>
          <w:sz w:val="24"/>
        </w:rPr>
        <w:t xml:space="preserve">个采暖期、供冷期；</w:t>
      </w:r>
      <w:r/>
    </w:p>
    <w:p>
      <w:pPr>
        <w:numPr>
          <w:ilvl w:val="0"/>
          <w:numId w:val="8"/>
        </w:numPr>
        <w:ind w:firstLine="480"/>
        <w:spacing w:line="360" w:lineRule="auto"/>
        <w:rPr>
          <w:rFonts w:ascii="宋体" w:hAnsi="宋体" w:cs="宋体"/>
          <w:color w:val="000000"/>
          <w:sz w:val="24"/>
        </w:rPr>
      </w:pPr>
      <w:r>
        <w:rPr>
          <w:rFonts w:hint="eastAsia" w:ascii="宋体" w:hAnsi="宋体" w:cs="宋体"/>
          <w:color w:val="000000"/>
          <w:sz w:val="24"/>
        </w:rPr>
        <w:t xml:space="preserve">住宅小区内的给排水设施、道路等配套工程为</w:t>
      </w:r>
      <w:r>
        <w:rPr>
          <w:rFonts w:hint="eastAsia" w:ascii="宋体" w:hAnsi="宋体" w:cs="宋体"/>
          <w:color w:val="000000"/>
          <w:sz w:val="24"/>
          <w:u w:val="single"/>
        </w:rPr>
        <w:t xml:space="preserve">  2    </w:t>
      </w:r>
      <w:r>
        <w:rPr>
          <w:rFonts w:hint="eastAsia" w:ascii="宋体" w:hAnsi="宋体" w:cs="宋体"/>
          <w:color w:val="000000"/>
          <w:sz w:val="24"/>
        </w:rPr>
        <w:t xml:space="preserve">年；</w:t>
      </w:r>
      <w:r/>
    </w:p>
    <w:p>
      <w:pPr>
        <w:ind w:firstLine="480"/>
        <w:spacing w:line="360" w:lineRule="auto"/>
        <w:rPr>
          <w:rFonts w:ascii="宋体" w:hAnsi="宋体" w:cs="宋体"/>
          <w:color w:val="000000"/>
          <w:sz w:val="24"/>
        </w:rPr>
      </w:pPr>
      <w:r>
        <w:rPr>
          <w:rFonts w:hint="eastAsia" w:ascii="宋体" w:hAnsi="宋体" w:cs="宋体"/>
          <w:color w:val="000000"/>
          <w:sz w:val="24"/>
        </w:rPr>
        <w:t xml:space="preserve">7．其他项目保修期限约定如下：</w:t>
      </w:r>
      <w:r>
        <w:rPr>
          <w:rFonts w:hint="eastAsia" w:ascii="宋体" w:hAnsi="宋体"/>
          <w:color w:val="000000"/>
          <w:sz w:val="24"/>
          <w:u w:val="single"/>
        </w:rPr>
        <w:t xml:space="preserve">   2年   </w:t>
      </w:r>
      <w:r/>
    </w:p>
    <w:p>
      <w:pPr>
        <w:spacing w:line="360" w:lineRule="auto"/>
        <w:rPr>
          <w:rFonts w:ascii="宋体" w:hAnsi="宋体" w:cs="宋体"/>
          <w:color w:val="000000"/>
          <w:sz w:val="24"/>
        </w:rPr>
      </w:pPr>
      <w:r>
        <w:rPr>
          <w:rFonts w:hint="eastAsia" w:ascii="宋体" w:hAnsi="宋体" w:cs="宋体"/>
          <w:color w:val="000000"/>
          <w:sz w:val="24"/>
        </w:rPr>
        <w:t xml:space="preserve">　　质量保修期自工程竣工验收合格之日起计算。</w:t>
      </w:r>
      <w:r/>
    </w:p>
    <w:p>
      <w:pPr>
        <w:spacing w:line="360" w:lineRule="auto"/>
        <w:rPr>
          <w:rFonts w:ascii="宋体" w:hAnsi="宋体" w:cs="宋体"/>
          <w:color w:val="000000"/>
          <w:sz w:val="24"/>
        </w:rPr>
      </w:pPr>
      <w:r>
        <w:rPr>
          <w:rFonts w:hint="eastAsia" w:ascii="宋体" w:hAnsi="宋体" w:cs="宋体"/>
          <w:color w:val="000000"/>
          <w:sz w:val="24"/>
        </w:rPr>
        <w:t xml:space="preserve">三、缺陷责任期</w:t>
      </w:r>
      <w:r/>
    </w:p>
    <w:p>
      <w:pPr>
        <w:ind w:firstLine="480"/>
        <w:spacing w:line="360" w:lineRule="auto"/>
        <w:rPr>
          <w:rFonts w:ascii="宋体" w:hAnsi="宋体" w:cs="宋体"/>
          <w:color w:val="000000"/>
          <w:sz w:val="24"/>
        </w:rPr>
      </w:pPr>
      <w:r>
        <w:rPr>
          <w:rFonts w:hint="eastAsia" w:ascii="宋体" w:hAnsi="宋体" w:cs="宋体"/>
          <w:color w:val="000000"/>
          <w:sz w:val="24"/>
        </w:rPr>
        <w:t xml:space="preserve">工程缺陷责任期为</w:t>
      </w:r>
      <w:r>
        <w:rPr>
          <w:rFonts w:hint="eastAsia" w:ascii="宋体" w:hAnsi="宋体" w:cs="宋体"/>
          <w:color w:val="000000"/>
          <w:sz w:val="24"/>
          <w:u w:val="single"/>
        </w:rPr>
        <w:t xml:space="preserve"> 24 </w:t>
      </w:r>
      <w:r>
        <w:rPr>
          <w:rFonts w:hint="eastAsia" w:ascii="宋体" w:hAnsi="宋体" w:cs="宋体"/>
          <w:color w:val="000000"/>
          <w:sz w:val="24"/>
        </w:rPr>
        <w:t xml:space="preserve">个月，缺陷责任期自工程实际竣工之日起计算。单位工程先于全部工程进行验收，单位工程缺陷责任期自单位工程验收合格之日起算。</w:t>
      </w:r>
      <w:r/>
    </w:p>
    <w:p>
      <w:pPr>
        <w:spacing w:line="360" w:lineRule="auto"/>
        <w:rPr>
          <w:rFonts w:ascii="宋体" w:hAnsi="宋体" w:cs="宋体"/>
          <w:color w:val="000000"/>
          <w:sz w:val="24"/>
        </w:rPr>
      </w:pPr>
      <w:r>
        <w:rPr>
          <w:rFonts w:hint="eastAsia" w:ascii="宋体" w:hAnsi="宋体" w:cs="宋体"/>
          <w:color w:val="000000"/>
          <w:sz w:val="24"/>
        </w:rPr>
        <w:t xml:space="preserve">四、质量保修责任</w:t>
      </w:r>
      <w:r/>
    </w:p>
    <w:p>
      <w:pPr>
        <w:ind w:left="105" w:firstLine="491"/>
        <w:spacing w:line="360" w:lineRule="auto"/>
        <w:rPr>
          <w:rFonts w:ascii="宋体" w:hAnsi="宋体" w:cs="宋体"/>
          <w:color w:val="000000"/>
          <w:sz w:val="24"/>
        </w:rPr>
      </w:pPr>
      <w:r>
        <w:rPr>
          <w:rFonts w:hint="eastAsia" w:ascii="宋体" w:hAnsi="宋体" w:cs="宋体"/>
          <w:color w:val="000000"/>
          <w:sz w:val="24"/>
        </w:rPr>
        <w:t xml:space="preserve">1．属于保修范围、内容的项目，承包人应当在接到保修通知之日起48小时内派人保修。承包人不在约定期限内派人保修的，发包人可以委托他人修理。</w:t>
      </w:r>
      <w:r/>
    </w:p>
    <w:p>
      <w:pPr>
        <w:ind w:left="105" w:firstLine="491"/>
        <w:spacing w:line="360" w:lineRule="auto"/>
        <w:rPr>
          <w:rFonts w:ascii="宋体" w:hAnsi="宋体" w:cs="宋体"/>
          <w:color w:val="000000"/>
          <w:sz w:val="24"/>
        </w:rPr>
      </w:pPr>
      <w:r>
        <w:rPr>
          <w:rFonts w:hint="eastAsia" w:ascii="宋体" w:hAnsi="宋体" w:cs="宋体"/>
          <w:color w:val="000000"/>
          <w:sz w:val="24"/>
        </w:rPr>
        <w:t xml:space="preserve">2．发生紧急事故需抢修的，承包人在接到事故通知后，应当立即到达事故现场抢修。</w:t>
      </w:r>
      <w:r/>
    </w:p>
    <w:p>
      <w:pPr>
        <w:ind w:left="105" w:firstLine="491"/>
        <w:spacing w:line="360" w:lineRule="auto"/>
        <w:rPr>
          <w:rFonts w:ascii="宋体" w:hAnsi="宋体" w:cs="宋体"/>
          <w:color w:val="000000"/>
          <w:sz w:val="24"/>
        </w:rPr>
      </w:pPr>
      <w:r>
        <w:rPr>
          <w:rFonts w:hint="eastAsia" w:ascii="宋体" w:hAnsi="宋体" w:cs="宋体"/>
          <w:color w:val="000000"/>
          <w:sz w:val="24"/>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420" w:firstLine="120"/>
        <w:spacing w:line="360" w:lineRule="auto"/>
        <w:rPr>
          <w:rFonts w:ascii="宋体" w:hAnsi="宋体" w:cs="宋体"/>
          <w:color w:val="000000"/>
          <w:sz w:val="24"/>
        </w:rPr>
      </w:pPr>
      <w:r>
        <w:rPr>
          <w:rFonts w:hint="eastAsia" w:ascii="宋体" w:hAnsi="宋体" w:cs="宋体"/>
          <w:color w:val="000000"/>
          <w:sz w:val="24"/>
        </w:rPr>
        <w:t xml:space="preserve">4．质量保修完成后，由发包人组织验收。</w:t>
      </w:r>
      <w:r/>
    </w:p>
    <w:p>
      <w:pPr>
        <w:spacing w:line="360" w:lineRule="auto"/>
        <w:rPr>
          <w:rFonts w:ascii="宋体" w:hAnsi="宋体" w:cs="宋体"/>
          <w:b/>
          <w:bCs/>
          <w:color w:val="000000"/>
          <w:sz w:val="24"/>
        </w:rPr>
      </w:pPr>
      <w:r>
        <w:rPr>
          <w:rFonts w:hint="eastAsia" w:ascii="宋体" w:hAnsi="宋体" w:cs="宋体"/>
          <w:b/>
          <w:bCs/>
          <w:color w:val="000000"/>
          <w:sz w:val="24"/>
        </w:rPr>
        <w:t xml:space="preserve">五、保修费用</w:t>
      </w:r>
      <w:r/>
    </w:p>
    <w:p>
      <w:pPr>
        <w:ind w:firstLine="480"/>
        <w:spacing w:line="360" w:lineRule="auto"/>
        <w:rPr>
          <w:rFonts w:ascii="宋体" w:hAnsi="宋体" w:cs="宋体"/>
          <w:color w:val="000000"/>
          <w:sz w:val="24"/>
        </w:rPr>
      </w:pPr>
      <w:r>
        <w:rPr>
          <w:rFonts w:hint="eastAsia" w:ascii="宋体" w:hAnsi="宋体" w:cs="宋体"/>
          <w:color w:val="000000"/>
          <w:sz w:val="24"/>
        </w:rPr>
        <w:t xml:space="preserve">保修费用由造成质量缺陷的责任方承担。</w:t>
      </w:r>
      <w:r/>
    </w:p>
    <w:p>
      <w:pPr>
        <w:ind w:firstLine="480"/>
        <w:spacing w:line="360" w:lineRule="auto"/>
        <w:rPr>
          <w:rFonts w:ascii="宋体" w:hAnsi="宋体"/>
          <w:color w:val="000000"/>
          <w:sz w:val="24"/>
        </w:rPr>
      </w:pPr>
      <w:r>
        <w:rPr>
          <w:rFonts w:hint="eastAsia" w:ascii="宋体" w:hAnsi="宋体"/>
          <w:color w:val="000000"/>
          <w:sz w:val="24"/>
        </w:rPr>
        <w:t xml:space="preserve">工程保修金返还约定：缺陷责任期满后28天内在确认承包人已完成保修期内的责任和相关工作后，发包人在扣除该保修期间的有关费用支出后，一次性结清全部保修余款，保修金不计取利息。</w:t>
      </w:r>
      <w:r/>
    </w:p>
    <w:p>
      <w:pPr>
        <w:spacing w:line="360" w:lineRule="auto"/>
        <w:rPr>
          <w:rFonts w:ascii="宋体" w:hAnsi="宋体" w:cs="宋体"/>
          <w:color w:val="000000"/>
          <w:sz w:val="24"/>
        </w:rPr>
      </w:pPr>
      <w:r>
        <w:rPr>
          <w:rFonts w:hint="eastAsia" w:ascii="宋体" w:hAnsi="宋体"/>
          <w:color w:val="000000"/>
          <w:sz w:val="24"/>
        </w:rPr>
        <w:t xml:space="preserve">    保修期间保修费用由承包方承担。但在保修期内确属人为因素而非材料或工程质量问题造成的破损，承包人负责维修，发包人支付维修所需材料费用。</w:t>
      </w:r>
      <w:r/>
    </w:p>
    <w:p>
      <w:pPr>
        <w:jc w:val="left"/>
        <w:spacing w:line="360" w:lineRule="auto"/>
        <w:rPr>
          <w:rFonts w:ascii="宋体" w:hAnsi="宋体" w:cs="宋体"/>
          <w:b/>
          <w:bCs/>
          <w:color w:val="000000"/>
          <w:sz w:val="24"/>
        </w:rPr>
      </w:pPr>
      <w:r>
        <w:rPr>
          <w:rFonts w:hint="eastAsia" w:ascii="宋体" w:hAnsi="宋体" w:cs="宋体"/>
          <w:b/>
          <w:bCs/>
          <w:color w:val="000000"/>
          <w:sz w:val="24"/>
        </w:rPr>
        <w:t xml:space="preserve">六、双方约定的其他工程质量保修事项：</w:t>
      </w:r>
      <w:r/>
    </w:p>
    <w:p>
      <w:pPr>
        <w:jc w:val="left"/>
        <w:spacing w:line="360" w:lineRule="auto"/>
        <w:rPr>
          <w:rFonts w:ascii="宋体" w:hAnsi="宋体" w:cs="宋体"/>
          <w:color w:val="000000"/>
          <w:sz w:val="24"/>
          <w:u w:val="single"/>
        </w:rPr>
      </w:pPr>
      <w:r>
        <w:rPr>
          <w:rFonts w:hint="eastAsia" w:ascii="宋体" w:hAnsi="宋体" w:cs="宋体"/>
          <w:color w:val="000000"/>
          <w:sz w:val="24"/>
        </w:rPr>
        <w:t xml:space="preserve">    1.</w:t>
      </w:r>
      <w:r>
        <w:rPr>
          <w:rFonts w:hint="eastAsia" w:ascii="宋体" w:hAnsi="宋体" w:cs="宋体"/>
          <w:color w:val="000000"/>
          <w:sz w:val="24"/>
          <w:u w:val="single"/>
        </w:rPr>
        <w:t xml:space="preserve">承包人在竣工交付后落实专人负责向发包人办理交付手续，在保修期内承包人明确专人服务。承包人在竣工交付的同时以公函形式明确人员、联系方法、通讯地址，在保修期内如有变化，承包人应以公函形式告知发包人，联系不上、保修函被退回的情况均视为已通知到承包人，发包人可按本章第四条中的1条款的约定执行。</w:t>
      </w:r>
      <w:r/>
    </w:p>
    <w:p>
      <w:pPr>
        <w:jc w:val="left"/>
        <w:spacing w:line="360" w:lineRule="auto"/>
        <w:rPr>
          <w:rFonts w:ascii="宋体" w:hAnsi="宋体" w:cs="宋体"/>
          <w:color w:val="000000"/>
          <w:sz w:val="24"/>
          <w:u w:val="single"/>
        </w:rPr>
      </w:pPr>
      <w:r>
        <w:rPr>
          <w:rFonts w:hint="eastAsia" w:ascii="宋体" w:hAnsi="宋体" w:cs="宋体"/>
          <w:color w:val="000000"/>
          <w:sz w:val="24"/>
        </w:rPr>
        <w:t xml:space="preserve">    </w:t>
      </w:r>
      <w:r>
        <w:rPr>
          <w:rFonts w:hint="eastAsia" w:ascii="宋体" w:hAnsi="宋体" w:cs="宋体"/>
          <w:color w:val="000000"/>
          <w:sz w:val="24"/>
          <w:u w:val="single"/>
        </w:rPr>
        <w:t xml:space="preserve">2.如因承包人的责任，造成直接或间接损失，由承包人负责赔偿，费用从质保金中扣除。 </w:t>
      </w:r>
      <w:r/>
    </w:p>
    <w:p>
      <w:pPr>
        <w:ind w:firstLine="456"/>
        <w:spacing w:line="360" w:lineRule="auto"/>
        <w:rPr>
          <w:rFonts w:ascii="宋体" w:hAnsi="宋体" w:cs="宋体"/>
          <w:color w:val="000000"/>
          <w:sz w:val="24"/>
        </w:rPr>
      </w:pPr>
      <w:r>
        <w:rPr>
          <w:rFonts w:hint="eastAsia" w:ascii="宋体" w:hAnsi="宋体" w:cs="宋体"/>
          <w:color w:val="000000"/>
          <w:sz w:val="24"/>
        </w:rPr>
        <w:t xml:space="preserve">工程质量保修书由发包人、承包人在工程竣工验收前共同签署，作为施工合同附件，其有效期限至保修期满。</w:t>
      </w:r>
      <w:r/>
    </w:p>
    <w:p>
      <w:pPr>
        <w:ind w:firstLine="420"/>
        <w:spacing w:line="360" w:lineRule="auto"/>
        <w:rPr>
          <w:rFonts w:ascii="宋体" w:hAnsi="宋体" w:cs="宋体"/>
          <w:color w:val="000000"/>
          <w:sz w:val="24"/>
        </w:rPr>
      </w:pPr>
      <w:r>
        <w:rPr>
          <w:rFonts w:ascii="宋体" w:hAnsi="宋体" w:cs="宋体"/>
          <w:color w:val="000000"/>
          <w:sz w:val="24"/>
        </w:rPr>
      </w:r>
      <w:r/>
    </w:p>
    <w:p>
      <w:pPr>
        <w:spacing w:line="360" w:lineRule="auto"/>
        <w:rPr>
          <w:rFonts w:ascii="宋体" w:hAnsi="宋体" w:cs="宋体"/>
          <w:color w:val="000000"/>
          <w:sz w:val="24"/>
        </w:rPr>
      </w:pPr>
      <w:r>
        <w:rPr>
          <w:rFonts w:hint="eastAsia" w:ascii="宋体" w:hAnsi="宋体" w:cs="宋体"/>
          <w:color w:val="000000"/>
          <w:sz w:val="24"/>
        </w:rPr>
        <w:t xml:space="preserve">发包人(公章)：</w:t>
      </w:r>
      <w:r>
        <w:rPr>
          <w:rFonts w:hint="eastAsia" w:ascii="宋体" w:hAnsi="宋体" w:cs="宋体"/>
          <w:color w:val="000000"/>
          <w:sz w:val="24"/>
          <w:u w:val="single"/>
        </w:rPr>
        <w:t xml:space="preserve">        </w:t>
      </w:r>
      <w:r>
        <w:rPr>
          <w:rFonts w:hint="eastAsia" w:ascii="宋体" w:hAnsi="宋体" w:cs="宋体"/>
          <w:color w:val="000000"/>
          <w:sz w:val="24"/>
        </w:rPr>
        <w:t xml:space="preserve"> 承包人(公章)：</w:t>
      </w:r>
      <w:r>
        <w:rPr>
          <w:rFonts w:hint="eastAsia" w:ascii="宋体" w:hAnsi="宋体" w:cs="宋体"/>
          <w:color w:val="000000"/>
          <w:sz w:val="24"/>
          <w:u w:val="single"/>
        </w:rPr>
        <w:t xml:space="preserve">           </w:t>
      </w:r>
      <w:r/>
    </w:p>
    <w:p>
      <w:pPr>
        <w:spacing w:line="360" w:lineRule="auto"/>
        <w:rPr>
          <w:rFonts w:ascii="宋体" w:hAnsi="宋体" w:cs="宋体"/>
          <w:color w:val="000000"/>
          <w:sz w:val="24"/>
        </w:rPr>
      </w:pPr>
      <w:r>
        <w:rPr>
          <w:rFonts w:hint="eastAsia" w:ascii="宋体" w:hAnsi="宋体" w:cs="宋体"/>
          <w:color w:val="000000"/>
          <w:sz w:val="24"/>
        </w:rPr>
        <w:t xml:space="preserve">地  址：</w:t>
      </w:r>
      <w:r>
        <w:rPr>
          <w:rFonts w:hint="eastAsia" w:ascii="宋体" w:hAnsi="宋体" w:cs="宋体"/>
          <w:color w:val="000000"/>
          <w:sz w:val="24"/>
          <w:u w:val="single"/>
        </w:rPr>
        <w:t xml:space="preserve">     </w:t>
      </w:r>
      <w:r>
        <w:rPr>
          <w:rFonts w:hint="eastAsia" w:ascii="宋体" w:hAnsi="宋体" w:cs="宋体"/>
          <w:color w:val="000000"/>
          <w:sz w:val="24"/>
        </w:rPr>
        <w:t xml:space="preserve"> 地  址：</w:t>
      </w:r>
      <w:r>
        <w:rPr>
          <w:rFonts w:hint="eastAsia" w:ascii="宋体" w:hAnsi="宋体" w:cs="宋体"/>
          <w:color w:val="000000"/>
          <w:sz w:val="24"/>
          <w:u w:val="single"/>
        </w:rPr>
        <w:t xml:space="preserve">       </w:t>
      </w:r>
      <w:r/>
    </w:p>
    <w:p>
      <w:pPr>
        <w:spacing w:line="360" w:lineRule="auto"/>
        <w:rPr>
          <w:rFonts w:ascii="宋体" w:hAnsi="宋体" w:cs="宋体"/>
          <w:color w:val="000000"/>
          <w:sz w:val="24"/>
        </w:rPr>
      </w:pPr>
      <w:r>
        <w:rPr>
          <w:rFonts w:hint="eastAsia" w:ascii="宋体" w:hAnsi="宋体" w:cs="宋体"/>
          <w:color w:val="000000"/>
          <w:sz w:val="24"/>
        </w:rPr>
        <w:t xml:space="preserve">法定代表人(签字)：</w:t>
      </w:r>
      <w:r>
        <w:rPr>
          <w:rFonts w:hint="eastAsia" w:ascii="宋体" w:hAnsi="宋体" w:cs="宋体"/>
          <w:color w:val="000000"/>
          <w:sz w:val="24"/>
          <w:u w:val="single"/>
        </w:rPr>
        <w:t xml:space="preserve">      </w:t>
      </w:r>
      <w:r>
        <w:rPr>
          <w:rFonts w:hint="eastAsia" w:ascii="宋体" w:hAnsi="宋体" w:cs="宋体"/>
          <w:color w:val="000000"/>
          <w:sz w:val="24"/>
        </w:rPr>
        <w:t xml:space="preserve"> 法定代表人(签字)：</w:t>
      </w:r>
      <w:r>
        <w:rPr>
          <w:rFonts w:hint="eastAsia" w:ascii="宋体" w:hAnsi="宋体" w:cs="宋体"/>
          <w:color w:val="000000"/>
          <w:sz w:val="24"/>
          <w:u w:val="single"/>
        </w:rPr>
        <w:t xml:space="preserve">       </w:t>
      </w:r>
      <w:r/>
    </w:p>
    <w:p>
      <w:pPr>
        <w:spacing w:line="360" w:lineRule="auto"/>
        <w:rPr>
          <w:rFonts w:ascii="宋体" w:hAnsi="宋体" w:cs="宋体"/>
          <w:color w:val="000000"/>
          <w:sz w:val="24"/>
        </w:rPr>
      </w:pPr>
      <w:r>
        <w:rPr>
          <w:rFonts w:hint="eastAsia" w:ascii="宋体" w:hAnsi="宋体" w:cs="宋体"/>
          <w:color w:val="000000"/>
          <w:sz w:val="24"/>
        </w:rPr>
        <w:t xml:space="preserve">委托代理人(签字)：</w:t>
      </w:r>
      <w:r>
        <w:rPr>
          <w:rFonts w:hint="eastAsia" w:ascii="宋体" w:hAnsi="宋体" w:cs="宋体"/>
          <w:color w:val="000000"/>
          <w:sz w:val="24"/>
          <w:u w:val="single"/>
        </w:rPr>
        <w:t xml:space="preserve">      </w:t>
      </w:r>
      <w:r>
        <w:rPr>
          <w:rFonts w:hint="eastAsia" w:ascii="宋体" w:hAnsi="宋体" w:cs="宋体"/>
          <w:color w:val="000000"/>
          <w:sz w:val="24"/>
        </w:rPr>
        <w:t xml:space="preserve"> 委托代理人(签字)：</w:t>
      </w:r>
      <w:r>
        <w:rPr>
          <w:rFonts w:hint="eastAsia" w:ascii="宋体" w:hAnsi="宋体" w:cs="宋体"/>
          <w:color w:val="000000"/>
          <w:sz w:val="24"/>
          <w:u w:val="single"/>
        </w:rPr>
        <w:t xml:space="preserve">       </w:t>
      </w:r>
      <w:r/>
    </w:p>
    <w:p>
      <w:pPr>
        <w:spacing w:line="360" w:lineRule="auto"/>
        <w:rPr>
          <w:rFonts w:ascii="宋体" w:hAnsi="宋体" w:cs="宋体"/>
          <w:color w:val="000000"/>
          <w:sz w:val="24"/>
        </w:rPr>
      </w:pPr>
      <w:r>
        <w:rPr>
          <w:rFonts w:hint="eastAsia" w:ascii="宋体" w:hAnsi="宋体" w:cs="宋体"/>
          <w:color w:val="000000"/>
          <w:sz w:val="24"/>
        </w:rPr>
        <w:t xml:space="preserve">电  话：</w:t>
      </w:r>
      <w:r>
        <w:rPr>
          <w:rFonts w:hint="eastAsia" w:ascii="宋体" w:hAnsi="宋体" w:cs="宋体"/>
          <w:color w:val="000000"/>
          <w:sz w:val="24"/>
          <w:u w:val="single"/>
        </w:rPr>
        <w:t xml:space="preserve">   </w:t>
      </w:r>
      <w:r>
        <w:rPr>
          <w:rFonts w:hint="eastAsia" w:ascii="宋体" w:hAnsi="宋体" w:cs="宋体"/>
          <w:color w:val="000000"/>
          <w:sz w:val="24"/>
        </w:rPr>
        <w:t xml:space="preserve"> 电  话：</w:t>
      </w:r>
      <w:r>
        <w:rPr>
          <w:rFonts w:hint="eastAsia" w:ascii="宋体" w:hAnsi="宋体" w:cs="宋体"/>
          <w:color w:val="000000"/>
          <w:sz w:val="24"/>
          <w:u w:val="single"/>
        </w:rPr>
        <w:t xml:space="preserve">     </w:t>
      </w:r>
      <w:r/>
    </w:p>
    <w:p>
      <w:pPr>
        <w:spacing w:line="360" w:lineRule="auto"/>
        <w:rPr>
          <w:rFonts w:ascii="宋体" w:hAnsi="宋体" w:cs="宋体"/>
          <w:color w:val="000000"/>
          <w:sz w:val="24"/>
        </w:rPr>
      </w:pPr>
      <w:r>
        <w:rPr>
          <w:rFonts w:hint="eastAsia" w:ascii="宋体" w:hAnsi="宋体" w:cs="宋体"/>
          <w:color w:val="000000"/>
          <w:sz w:val="24"/>
        </w:rPr>
        <w:t xml:space="preserve">传  真：</w:t>
      </w:r>
      <w:r>
        <w:rPr>
          <w:rFonts w:hint="eastAsia" w:ascii="宋体" w:hAnsi="宋体" w:cs="宋体"/>
          <w:color w:val="000000"/>
          <w:sz w:val="24"/>
          <w:u w:val="single"/>
        </w:rPr>
        <w:t xml:space="preserve">   </w:t>
      </w:r>
      <w:r>
        <w:rPr>
          <w:rFonts w:hint="eastAsia" w:ascii="宋体" w:hAnsi="宋体" w:cs="宋体"/>
          <w:color w:val="000000"/>
          <w:sz w:val="24"/>
        </w:rPr>
        <w:t xml:space="preserve"> 传  真：</w:t>
      </w:r>
      <w:r>
        <w:rPr>
          <w:rFonts w:hint="eastAsia" w:ascii="宋体" w:hAnsi="宋体" w:cs="宋体"/>
          <w:color w:val="000000"/>
          <w:sz w:val="24"/>
          <w:u w:val="single"/>
        </w:rPr>
        <w:t xml:space="preserve">     </w:t>
      </w:r>
      <w:r/>
    </w:p>
    <w:p>
      <w:pPr>
        <w:spacing w:line="360" w:lineRule="auto"/>
        <w:rPr>
          <w:rFonts w:ascii="宋体" w:hAnsi="宋体" w:cs="宋体"/>
          <w:color w:val="000000"/>
          <w:sz w:val="24"/>
        </w:rPr>
      </w:pPr>
      <w:r>
        <w:rPr>
          <w:rFonts w:hint="eastAsia" w:ascii="宋体" w:hAnsi="宋体" w:cs="宋体"/>
          <w:color w:val="000000"/>
          <w:sz w:val="24"/>
        </w:rPr>
        <w:t xml:space="preserve">开户银行：</w:t>
      </w:r>
      <w:r>
        <w:rPr>
          <w:rFonts w:hint="eastAsia" w:ascii="宋体" w:hAnsi="宋体" w:cs="宋体"/>
          <w:color w:val="000000"/>
          <w:sz w:val="24"/>
          <w:u w:val="single"/>
        </w:rPr>
        <w:t xml:space="preserve">   </w:t>
      </w:r>
      <w:r>
        <w:rPr>
          <w:rFonts w:hint="eastAsia" w:ascii="宋体" w:hAnsi="宋体" w:cs="宋体"/>
          <w:color w:val="000000"/>
          <w:sz w:val="24"/>
        </w:rPr>
        <w:t xml:space="preserve"> 开户银行：</w:t>
      </w:r>
      <w:r>
        <w:rPr>
          <w:rFonts w:hint="eastAsia" w:ascii="宋体" w:hAnsi="宋体" w:cs="宋体"/>
          <w:color w:val="000000"/>
          <w:sz w:val="24"/>
          <w:u w:val="single"/>
        </w:rPr>
        <w:t xml:space="preserve">   </w:t>
      </w:r>
      <w:r/>
    </w:p>
    <w:p>
      <w:pPr>
        <w:spacing w:line="360" w:lineRule="auto"/>
        <w:rPr>
          <w:rFonts w:ascii="宋体" w:hAnsi="宋体" w:cs="宋体"/>
          <w:color w:val="000000"/>
          <w:sz w:val="24"/>
        </w:rPr>
      </w:pPr>
      <w:r>
        <w:rPr>
          <w:rFonts w:hint="eastAsia" w:ascii="宋体" w:hAnsi="宋体" w:cs="宋体"/>
          <w:color w:val="000000"/>
          <w:sz w:val="24"/>
        </w:rPr>
        <w:t xml:space="preserve">账  号：</w:t>
      </w:r>
      <w:r>
        <w:rPr>
          <w:rFonts w:hint="eastAsia" w:ascii="宋体" w:hAnsi="宋体" w:cs="宋体"/>
          <w:color w:val="000000"/>
          <w:sz w:val="24"/>
          <w:u w:val="single"/>
        </w:rPr>
        <w:t xml:space="preserve">       </w:t>
      </w:r>
      <w:r>
        <w:rPr>
          <w:rFonts w:hint="eastAsia" w:ascii="宋体" w:hAnsi="宋体" w:cs="宋体"/>
          <w:color w:val="000000"/>
          <w:sz w:val="24"/>
        </w:rPr>
        <w:t xml:space="preserve">  账  号：</w:t>
      </w:r>
      <w:r>
        <w:rPr>
          <w:rFonts w:hint="eastAsia" w:ascii="宋体" w:hAnsi="宋体" w:cs="宋体"/>
          <w:color w:val="000000"/>
          <w:sz w:val="24"/>
          <w:u w:val="single"/>
        </w:rPr>
        <w:t xml:space="preserve">     </w:t>
      </w:r>
      <w:r/>
    </w:p>
    <w:p>
      <w:pPr>
        <w:spacing w:line="360" w:lineRule="auto"/>
        <w:rPr>
          <w:rFonts w:ascii="宋体" w:hAnsi="宋体" w:cs="宋体"/>
          <w:color w:val="000000"/>
          <w:sz w:val="24"/>
        </w:rPr>
      </w:pPr>
      <w:r>
        <w:rPr>
          <w:rFonts w:hint="eastAsia" w:ascii="宋体" w:hAnsi="宋体" w:cs="宋体"/>
          <w:color w:val="000000"/>
          <w:sz w:val="24"/>
        </w:rPr>
        <w:t xml:space="preserve">邮政编码：</w:t>
      </w:r>
      <w:r>
        <w:rPr>
          <w:rFonts w:hint="eastAsia" w:ascii="宋体" w:hAnsi="宋体" w:cs="宋体"/>
          <w:color w:val="000000"/>
          <w:sz w:val="24"/>
          <w:u w:val="single"/>
        </w:rPr>
        <w:t xml:space="preserve">     </w:t>
      </w:r>
      <w:r>
        <w:rPr>
          <w:rFonts w:hint="eastAsia" w:ascii="宋体" w:hAnsi="宋体" w:cs="宋体"/>
          <w:color w:val="000000"/>
          <w:sz w:val="24"/>
        </w:rPr>
        <w:t xml:space="preserve"> 邮政编码：</w:t>
      </w:r>
      <w:r>
        <w:rPr>
          <w:rFonts w:hint="eastAsia" w:ascii="宋体" w:hAnsi="宋体" w:cs="宋体"/>
          <w:color w:val="000000"/>
          <w:sz w:val="24"/>
          <w:u w:val="single"/>
        </w:rPr>
        <w:t xml:space="preserve">   </w:t>
      </w:r>
      <w:r/>
    </w:p>
    <w:p>
      <w:pPr>
        <w:spacing w:line="360" w:lineRule="auto"/>
        <w:rPr>
          <w:rFonts w:ascii="宋体" w:hAnsi="宋体" w:cs="宋体"/>
          <w:b/>
          <w:bCs/>
          <w:color w:val="000000"/>
          <w:sz w:val="24"/>
        </w:rPr>
      </w:pPr>
      <w:r>
        <w:rPr>
          <w:rFonts w:hint="eastAsia" w:ascii="宋体" w:hAnsi="宋体" w:cs="宋体"/>
          <w:b/>
          <w:color w:val="000000"/>
          <w:sz w:val="24"/>
        </w:rPr>
        <w:br w:type="page" w:clear="all"/>
      </w:r>
      <w:r>
        <w:rPr>
          <w:rFonts w:hint="eastAsia" w:ascii="宋体" w:hAnsi="宋体" w:cs="宋体"/>
          <w:b/>
          <w:bCs/>
          <w:color w:val="000000"/>
          <w:sz w:val="24"/>
        </w:rPr>
        <w:t xml:space="preserve">附件3：</w:t>
      </w:r>
      <w:r/>
    </w:p>
    <w:p>
      <w:pPr>
        <w:jc w:val="center"/>
        <w:spacing w:before="156" w:after="156"/>
        <w:rPr>
          <w:rFonts w:ascii="宋体" w:hAnsi="宋体" w:cs="宋体"/>
          <w:b/>
          <w:bCs/>
          <w:color w:val="000000"/>
          <w:sz w:val="28"/>
          <w:szCs w:val="28"/>
        </w:rPr>
      </w:pPr>
      <w:r>
        <w:rPr>
          <w:rFonts w:hint="eastAsia" w:ascii="宋体" w:hAnsi="宋体" w:cs="宋体"/>
          <w:b/>
          <w:bCs/>
          <w:color w:val="000000"/>
          <w:sz w:val="28"/>
          <w:szCs w:val="28"/>
        </w:rPr>
        <w:t xml:space="preserve">承包人用于本工程施工的机械设备表</w:t>
      </w:r>
      <w:r/>
    </w:p>
    <w:tbl>
      <w:tblPr>
        <w:tblStyle w:val="985"/>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162"/>
        <w:gridCol w:w="1418"/>
        <w:gridCol w:w="850"/>
        <w:gridCol w:w="1058"/>
        <w:gridCol w:w="880"/>
        <w:gridCol w:w="1020"/>
        <w:gridCol w:w="1480"/>
        <w:gridCol w:w="1020"/>
        <w:gridCol w:w="921"/>
      </w:tblGrid>
      <w:tr>
        <w:trPr>
          <w:jc w:val="center"/>
        </w:trPr>
        <w:tc>
          <w:tcPr>
            <w:tcW w:w="1162" w:type="dxa"/>
            <w:vAlign w:val="center"/>
            <w:textDirection w:val="lrTb"/>
            <w:noWrap w:val="false"/>
          </w:tcPr>
          <w:p>
            <w:pPr>
              <w:ind w:left="63" w:right="63"/>
              <w:jc w:val="center"/>
              <w:keepNext/>
              <w:spacing w:after="120"/>
              <w:rPr>
                <w:rFonts w:ascii="宋体" w:hAnsi="宋体" w:cs="宋体"/>
                <w:color w:val="000000"/>
                <w:sz w:val="24"/>
              </w:rPr>
            </w:pPr>
            <w:r>
              <w:rPr>
                <w:rFonts w:hint="eastAsia" w:ascii="宋体" w:hAnsi="宋体" w:cs="宋体"/>
                <w:color w:val="000000"/>
                <w:sz w:val="24"/>
              </w:rPr>
              <w:t xml:space="preserve">序号</w:t>
            </w:r>
            <w:r/>
          </w:p>
        </w:tc>
        <w:tc>
          <w:tcPr>
            <w:tcW w:w="1418" w:type="dxa"/>
            <w:vAlign w:val="center"/>
            <w:textDirection w:val="lrTb"/>
            <w:noWrap w:val="false"/>
          </w:tcPr>
          <w:p>
            <w:pPr>
              <w:ind w:left="63" w:right="63"/>
              <w:jc w:val="center"/>
              <w:keepNext/>
              <w:spacing w:after="120"/>
              <w:rPr>
                <w:rFonts w:ascii="宋体" w:hAnsi="宋体" w:cs="宋体"/>
                <w:color w:val="000000"/>
                <w:sz w:val="24"/>
              </w:rPr>
            </w:pPr>
            <w:r>
              <w:rPr>
                <w:rFonts w:hint="eastAsia" w:ascii="宋体" w:hAnsi="宋体" w:cs="宋体"/>
                <w:color w:val="000000"/>
                <w:sz w:val="24"/>
              </w:rPr>
              <w:t xml:space="preserve">机械或设备名称</w:t>
            </w:r>
            <w:r/>
          </w:p>
        </w:tc>
        <w:tc>
          <w:tcPr>
            <w:tcW w:w="850" w:type="dxa"/>
            <w:vAlign w:val="center"/>
            <w:textDirection w:val="lrTb"/>
            <w:noWrap w:val="false"/>
          </w:tcPr>
          <w:p>
            <w:pPr>
              <w:ind w:left="63" w:right="63"/>
              <w:jc w:val="center"/>
              <w:keepNext/>
              <w:spacing w:after="120"/>
              <w:rPr>
                <w:rFonts w:ascii="宋体" w:hAnsi="宋体" w:cs="宋体"/>
                <w:color w:val="000000"/>
                <w:sz w:val="24"/>
              </w:rPr>
            </w:pPr>
            <w:r>
              <w:rPr>
                <w:rFonts w:hint="eastAsia" w:ascii="宋体" w:hAnsi="宋体" w:cs="宋体"/>
                <w:color w:val="000000"/>
                <w:sz w:val="24"/>
              </w:rPr>
              <w:t xml:space="preserve">规格型号</w:t>
            </w:r>
            <w:r/>
          </w:p>
        </w:tc>
        <w:tc>
          <w:tcPr>
            <w:tcW w:w="1058" w:type="dxa"/>
            <w:vAlign w:val="center"/>
            <w:textDirection w:val="lrTb"/>
            <w:noWrap w:val="false"/>
          </w:tcPr>
          <w:p>
            <w:pPr>
              <w:ind w:left="63" w:right="63"/>
              <w:jc w:val="center"/>
              <w:keepNext/>
              <w:spacing w:after="120"/>
              <w:rPr>
                <w:rFonts w:ascii="宋体" w:hAnsi="宋体" w:cs="宋体"/>
                <w:color w:val="000000"/>
                <w:sz w:val="24"/>
              </w:rPr>
            </w:pPr>
            <w:r>
              <w:rPr>
                <w:rFonts w:hint="eastAsia" w:ascii="宋体" w:hAnsi="宋体" w:cs="宋体"/>
                <w:color w:val="000000"/>
                <w:sz w:val="24"/>
              </w:rPr>
              <w:t xml:space="preserve">数量</w:t>
            </w:r>
            <w:r/>
          </w:p>
        </w:tc>
        <w:tc>
          <w:tcPr>
            <w:tcW w:w="880" w:type="dxa"/>
            <w:vAlign w:val="center"/>
            <w:textDirection w:val="lrTb"/>
            <w:noWrap w:val="false"/>
          </w:tcPr>
          <w:p>
            <w:pPr>
              <w:ind w:left="63" w:right="63"/>
              <w:jc w:val="center"/>
              <w:keepNext/>
              <w:spacing w:after="120"/>
              <w:rPr>
                <w:rFonts w:ascii="宋体" w:hAnsi="宋体" w:cs="宋体"/>
                <w:color w:val="000000"/>
                <w:sz w:val="24"/>
              </w:rPr>
            </w:pPr>
            <w:r>
              <w:rPr>
                <w:rFonts w:hint="eastAsia" w:ascii="宋体" w:hAnsi="宋体" w:cs="宋体"/>
                <w:color w:val="000000"/>
                <w:sz w:val="24"/>
              </w:rPr>
              <w:t xml:space="preserve">产地</w:t>
            </w:r>
            <w:r/>
          </w:p>
        </w:tc>
        <w:tc>
          <w:tcPr>
            <w:tcW w:w="1020" w:type="dxa"/>
            <w:vAlign w:val="center"/>
            <w:textDirection w:val="lrTb"/>
            <w:noWrap w:val="false"/>
          </w:tcPr>
          <w:p>
            <w:pPr>
              <w:ind w:left="63" w:right="63"/>
              <w:jc w:val="center"/>
              <w:keepNext/>
              <w:spacing w:after="120"/>
              <w:rPr>
                <w:rFonts w:ascii="宋体" w:hAnsi="宋体" w:cs="宋体"/>
                <w:color w:val="000000"/>
                <w:sz w:val="24"/>
              </w:rPr>
            </w:pPr>
            <w:r>
              <w:rPr>
                <w:rFonts w:hint="eastAsia" w:ascii="宋体" w:hAnsi="宋体" w:cs="宋体"/>
                <w:color w:val="000000"/>
                <w:sz w:val="24"/>
              </w:rPr>
              <w:t xml:space="preserve">制造年份</w:t>
            </w:r>
            <w:r/>
          </w:p>
        </w:tc>
        <w:tc>
          <w:tcPr>
            <w:tcW w:w="1480" w:type="dxa"/>
            <w:vAlign w:val="center"/>
            <w:textDirection w:val="lrTb"/>
            <w:noWrap w:val="false"/>
          </w:tcPr>
          <w:p>
            <w:pPr>
              <w:ind w:left="63" w:right="63"/>
              <w:jc w:val="center"/>
              <w:keepNext/>
              <w:spacing w:after="120"/>
              <w:rPr>
                <w:rFonts w:ascii="宋体" w:hAnsi="宋体" w:cs="宋体"/>
                <w:color w:val="000000"/>
                <w:sz w:val="24"/>
              </w:rPr>
            </w:pPr>
            <w:r>
              <w:rPr>
                <w:rFonts w:hint="eastAsia" w:ascii="宋体" w:hAnsi="宋体" w:cs="宋体"/>
                <w:color w:val="000000"/>
                <w:sz w:val="24"/>
              </w:rPr>
              <w:t xml:space="preserve">额定功率(kW)</w:t>
            </w:r>
            <w:r/>
          </w:p>
        </w:tc>
        <w:tc>
          <w:tcPr>
            <w:tcW w:w="1020" w:type="dxa"/>
            <w:vAlign w:val="center"/>
            <w:textDirection w:val="lrTb"/>
            <w:noWrap w:val="false"/>
          </w:tcPr>
          <w:p>
            <w:pPr>
              <w:ind w:left="63" w:right="63"/>
              <w:jc w:val="center"/>
              <w:keepNext/>
              <w:spacing w:after="120"/>
              <w:rPr>
                <w:rFonts w:ascii="宋体" w:hAnsi="宋体" w:cs="宋体"/>
                <w:color w:val="000000"/>
                <w:sz w:val="24"/>
              </w:rPr>
            </w:pPr>
            <w:r>
              <w:rPr>
                <w:rFonts w:hint="eastAsia" w:ascii="宋体" w:hAnsi="宋体" w:cs="宋体"/>
                <w:color w:val="000000"/>
                <w:sz w:val="24"/>
              </w:rPr>
              <w:t xml:space="preserve">生产能力</w:t>
            </w:r>
            <w:r/>
          </w:p>
        </w:tc>
        <w:tc>
          <w:tcPr>
            <w:tcW w:w="921" w:type="dxa"/>
            <w:vAlign w:val="center"/>
            <w:textDirection w:val="lrTb"/>
            <w:noWrap w:val="false"/>
          </w:tcPr>
          <w:p>
            <w:pPr>
              <w:ind w:left="63" w:right="63"/>
              <w:jc w:val="center"/>
              <w:keepNext/>
              <w:spacing w:after="120"/>
              <w:rPr>
                <w:rFonts w:ascii="宋体" w:hAnsi="宋体" w:cs="宋体"/>
                <w:color w:val="000000"/>
                <w:sz w:val="24"/>
              </w:rPr>
            </w:pPr>
            <w:r>
              <w:rPr>
                <w:rFonts w:hint="eastAsia" w:ascii="宋体" w:hAnsi="宋体" w:cs="宋体"/>
                <w:color w:val="000000"/>
                <w:sz w:val="24"/>
              </w:rPr>
              <w:t xml:space="preserve">备注</w:t>
            </w:r>
            <w:r/>
          </w:p>
        </w:tc>
      </w:tr>
      <w:tr>
        <w:trPr>
          <w:jc w:val="center"/>
          <w:trHeight w:val="567"/>
        </w:trPr>
        <w:tc>
          <w:tcPr>
            <w:tcW w:w="1162"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418"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850"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058"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880"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020"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480"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020"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921"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r>
      <w:tr>
        <w:trPr>
          <w:jc w:val="center"/>
          <w:trHeight w:val="567"/>
        </w:trPr>
        <w:tc>
          <w:tcPr>
            <w:tcW w:w="1162"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418"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850"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058"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880"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020"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480"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020"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921"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r>
      <w:tr>
        <w:trPr>
          <w:jc w:val="center"/>
          <w:trHeight w:val="567"/>
        </w:trPr>
        <w:tc>
          <w:tcPr>
            <w:tcW w:w="1162"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418"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850"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058"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880"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020"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480"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020"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921"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r>
      <w:tr>
        <w:trPr>
          <w:jc w:val="center"/>
          <w:trHeight w:val="567"/>
        </w:trPr>
        <w:tc>
          <w:tcPr>
            <w:tcW w:w="1162"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418"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850"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058"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880"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020"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480"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020"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921"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r>
      <w:tr>
        <w:trPr>
          <w:jc w:val="center"/>
          <w:trHeight w:val="567"/>
        </w:trPr>
        <w:tc>
          <w:tcPr>
            <w:tcW w:w="1162"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418"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850"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058"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880"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020"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480"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020"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921"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r>
      <w:tr>
        <w:trPr>
          <w:jc w:val="center"/>
          <w:trHeight w:val="567"/>
        </w:trPr>
        <w:tc>
          <w:tcPr>
            <w:tcW w:w="1162"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418"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850"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058"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880"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020"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480"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020"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921"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r>
      <w:tr>
        <w:trPr>
          <w:jc w:val="center"/>
          <w:trHeight w:val="567"/>
        </w:trPr>
        <w:tc>
          <w:tcPr>
            <w:tcW w:w="1162"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418"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850"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058"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880"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020"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480"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020"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921"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r>
      <w:tr>
        <w:trPr>
          <w:jc w:val="center"/>
          <w:trHeight w:val="567"/>
        </w:trPr>
        <w:tc>
          <w:tcPr>
            <w:tcW w:w="1162"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418"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850"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058"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880"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020"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480"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020"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921"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r>
      <w:tr>
        <w:trPr>
          <w:jc w:val="center"/>
          <w:trHeight w:val="567"/>
        </w:trPr>
        <w:tc>
          <w:tcPr>
            <w:tcW w:w="1162"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418"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850"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058"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880"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020"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480"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020"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921"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r>
      <w:tr>
        <w:trPr>
          <w:jc w:val="center"/>
          <w:trHeight w:val="567"/>
        </w:trPr>
        <w:tc>
          <w:tcPr>
            <w:tcW w:w="1162"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418"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850"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058"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880"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020"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480"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020"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921"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r>
      <w:tr>
        <w:trPr>
          <w:jc w:val="center"/>
          <w:trHeight w:val="567"/>
        </w:trPr>
        <w:tc>
          <w:tcPr>
            <w:tcW w:w="1162"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418"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850"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058"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880"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020"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480"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020"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921"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r>
      <w:tr>
        <w:trPr>
          <w:jc w:val="center"/>
          <w:trHeight w:val="567"/>
        </w:trPr>
        <w:tc>
          <w:tcPr>
            <w:tcW w:w="1162"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418"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850"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058"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880"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020"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480"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020"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921"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r>
      <w:tr>
        <w:trPr>
          <w:jc w:val="center"/>
          <w:trHeight w:val="567"/>
        </w:trPr>
        <w:tc>
          <w:tcPr>
            <w:tcW w:w="1162"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418"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850"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058"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880"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020"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480"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020"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921"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r>
      <w:tr>
        <w:trPr>
          <w:jc w:val="center"/>
          <w:trHeight w:val="567"/>
        </w:trPr>
        <w:tc>
          <w:tcPr>
            <w:tcW w:w="1162"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418"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850"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058"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880"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020"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480"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020"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921"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r>
      <w:tr>
        <w:trPr>
          <w:jc w:val="center"/>
          <w:trHeight w:val="567"/>
        </w:trPr>
        <w:tc>
          <w:tcPr>
            <w:tcW w:w="1162"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418"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850"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058"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880"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020"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480"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020"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921"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r>
      <w:tr>
        <w:trPr>
          <w:jc w:val="center"/>
          <w:trHeight w:val="567"/>
        </w:trPr>
        <w:tc>
          <w:tcPr>
            <w:tcW w:w="1162"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418"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850"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058"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880"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020"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480"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020"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921"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r>
      <w:tr>
        <w:trPr>
          <w:jc w:val="center"/>
          <w:trHeight w:val="567"/>
        </w:trPr>
        <w:tc>
          <w:tcPr>
            <w:tcW w:w="1162"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418"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850"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058"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880"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020"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480"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020"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921"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r>
      <w:tr>
        <w:trPr>
          <w:jc w:val="center"/>
          <w:trHeight w:val="567"/>
        </w:trPr>
        <w:tc>
          <w:tcPr>
            <w:tcW w:w="1162"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418"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850"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058"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880"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020"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480"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020"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921"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r>
    </w:tbl>
    <w:p>
      <w:pPr>
        <w:spacing w:line="360" w:lineRule="auto"/>
        <w:rPr>
          <w:rFonts w:ascii="宋体" w:hAnsi="宋体" w:cs="宋体"/>
          <w:b/>
          <w:bCs/>
          <w:color w:val="000000"/>
          <w:sz w:val="24"/>
        </w:rPr>
      </w:pPr>
      <w:r>
        <w:rPr>
          <w:rFonts w:hint="eastAsia" w:ascii="宋体" w:hAnsi="宋体" w:cs="宋体"/>
          <w:color w:val="000000"/>
          <w:sz w:val="24"/>
        </w:rPr>
        <w:br w:type="page" w:clear="all"/>
      </w:r>
      <w:r>
        <w:rPr>
          <w:rFonts w:hint="eastAsia" w:ascii="宋体" w:hAnsi="宋体" w:cs="宋体"/>
          <w:b/>
          <w:bCs/>
          <w:color w:val="000000"/>
          <w:sz w:val="24"/>
        </w:rPr>
        <w:t xml:space="preserve">附件4：</w:t>
      </w:r>
      <w:r/>
    </w:p>
    <w:p>
      <w:pPr>
        <w:jc w:val="center"/>
        <w:spacing w:before="156" w:after="156" w:line="440" w:lineRule="exact"/>
        <w:rPr>
          <w:rFonts w:ascii="宋体" w:hAnsi="宋体" w:cs="宋体"/>
          <w:b/>
          <w:bCs/>
          <w:color w:val="000000"/>
          <w:sz w:val="28"/>
          <w:szCs w:val="28"/>
        </w:rPr>
      </w:pPr>
      <w:r>
        <w:rPr>
          <w:rFonts w:hint="eastAsia" w:ascii="宋体" w:hAnsi="宋体" w:cs="宋体"/>
          <w:b/>
          <w:bCs/>
          <w:color w:val="000000"/>
          <w:sz w:val="28"/>
          <w:szCs w:val="28"/>
        </w:rPr>
        <w:t xml:space="preserve">承包人主要施工管理人员表</w:t>
      </w:r>
      <w:r/>
    </w:p>
    <w:tbl>
      <w:tblPr>
        <w:tblStyle w:val="985"/>
        <w:tblW w:w="9809"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jc w:val="center"/>
        </w:trPr>
        <w:tc>
          <w:tcPr>
            <w:tcW w:w="1871" w:type="dxa"/>
            <w:vAlign w:val="center"/>
            <w:textDirection w:val="lrTb"/>
            <w:noWrap w:val="false"/>
          </w:tcPr>
          <w:p>
            <w:pPr>
              <w:ind w:left="63" w:right="63"/>
              <w:jc w:val="center"/>
              <w:keepNext/>
              <w:spacing w:after="120" w:line="440" w:lineRule="exact"/>
              <w:rPr>
                <w:rFonts w:ascii="宋体" w:hAnsi="宋体" w:cs="宋体"/>
                <w:color w:val="000000"/>
                <w:sz w:val="24"/>
              </w:rPr>
            </w:pPr>
            <w:r>
              <w:rPr>
                <w:rFonts w:hint="eastAsia" w:ascii="宋体" w:hAnsi="宋体" w:cs="宋体"/>
                <w:color w:val="000000"/>
                <w:sz w:val="24"/>
              </w:rPr>
              <w:t xml:space="preserve">名 称</w:t>
            </w:r>
            <w:r/>
          </w:p>
        </w:tc>
        <w:tc>
          <w:tcPr>
            <w:tcW w:w="1418" w:type="dxa"/>
            <w:vAlign w:val="center"/>
            <w:textDirection w:val="lrTb"/>
            <w:noWrap w:val="false"/>
          </w:tcPr>
          <w:p>
            <w:pPr>
              <w:ind w:left="63" w:right="63"/>
              <w:jc w:val="center"/>
              <w:keepNext/>
              <w:spacing w:after="120" w:line="440" w:lineRule="exact"/>
              <w:rPr>
                <w:rFonts w:ascii="宋体" w:hAnsi="宋体" w:cs="宋体"/>
                <w:color w:val="000000"/>
                <w:sz w:val="24"/>
              </w:rPr>
            </w:pPr>
            <w:r>
              <w:rPr>
                <w:rFonts w:hint="eastAsia" w:ascii="宋体" w:hAnsi="宋体" w:cs="宋体"/>
                <w:color w:val="000000"/>
                <w:sz w:val="24"/>
              </w:rPr>
              <w:t xml:space="preserve">姓名</w:t>
            </w:r>
            <w:r/>
          </w:p>
        </w:tc>
        <w:tc>
          <w:tcPr>
            <w:tcW w:w="1134" w:type="dxa"/>
            <w:vAlign w:val="center"/>
            <w:textDirection w:val="lrTb"/>
            <w:noWrap w:val="false"/>
          </w:tcPr>
          <w:p>
            <w:pPr>
              <w:ind w:left="63" w:right="63"/>
              <w:jc w:val="center"/>
              <w:keepNext/>
              <w:spacing w:after="120" w:line="440" w:lineRule="exact"/>
              <w:rPr>
                <w:rFonts w:ascii="宋体" w:hAnsi="宋体" w:cs="宋体"/>
                <w:color w:val="000000"/>
                <w:sz w:val="24"/>
              </w:rPr>
            </w:pPr>
            <w:r>
              <w:rPr>
                <w:rFonts w:hint="eastAsia" w:ascii="宋体" w:hAnsi="宋体" w:cs="宋体"/>
                <w:color w:val="000000"/>
                <w:sz w:val="24"/>
              </w:rPr>
              <w:t xml:space="preserve">职务</w:t>
            </w:r>
            <w:r/>
          </w:p>
        </w:tc>
        <w:tc>
          <w:tcPr>
            <w:tcW w:w="1134" w:type="dxa"/>
            <w:vAlign w:val="center"/>
            <w:textDirection w:val="lrTb"/>
            <w:noWrap w:val="false"/>
          </w:tcPr>
          <w:p>
            <w:pPr>
              <w:ind w:left="63" w:right="63"/>
              <w:jc w:val="center"/>
              <w:keepNext/>
              <w:spacing w:after="120" w:line="440" w:lineRule="exact"/>
              <w:rPr>
                <w:rFonts w:ascii="宋体" w:hAnsi="宋体" w:cs="宋体"/>
                <w:color w:val="000000"/>
                <w:sz w:val="24"/>
              </w:rPr>
            </w:pPr>
            <w:r>
              <w:rPr>
                <w:rFonts w:hint="eastAsia" w:ascii="宋体" w:hAnsi="宋体" w:cs="宋体"/>
                <w:color w:val="000000"/>
                <w:sz w:val="24"/>
              </w:rPr>
              <w:t xml:space="preserve">职称</w:t>
            </w:r>
            <w:r/>
          </w:p>
        </w:tc>
        <w:tc>
          <w:tcPr>
            <w:tcW w:w="4252" w:type="dxa"/>
            <w:vAlign w:val="center"/>
            <w:textDirection w:val="lrTb"/>
            <w:noWrap w:val="false"/>
          </w:tcPr>
          <w:p>
            <w:pPr>
              <w:ind w:left="63" w:right="63"/>
              <w:jc w:val="center"/>
              <w:keepNext/>
              <w:spacing w:after="120" w:line="440" w:lineRule="exact"/>
              <w:rPr>
                <w:rFonts w:ascii="宋体" w:hAnsi="宋体" w:cs="宋体"/>
                <w:color w:val="000000"/>
                <w:sz w:val="24"/>
              </w:rPr>
            </w:pPr>
            <w:r>
              <w:rPr>
                <w:rFonts w:hint="eastAsia" w:ascii="宋体" w:hAnsi="宋体" w:cs="宋体"/>
                <w:color w:val="000000"/>
                <w:sz w:val="24"/>
              </w:rPr>
              <w:t xml:space="preserve">主要资历、经验及承担过的项目</w:t>
            </w:r>
            <w:r/>
          </w:p>
        </w:tc>
      </w:tr>
      <w:tr>
        <w:trPr>
          <w:jc w:val="center"/>
        </w:trPr>
        <w:tc>
          <w:tcPr>
            <w:gridSpan w:val="5"/>
            <w:tcW w:w="9809" w:type="dxa"/>
            <w:vAlign w:val="center"/>
            <w:textDirection w:val="lrTb"/>
            <w:noWrap w:val="false"/>
          </w:tcPr>
          <w:p>
            <w:pPr>
              <w:ind w:left="63" w:right="63"/>
              <w:keepNext/>
              <w:spacing w:after="120" w:line="440" w:lineRule="exact"/>
              <w:rPr>
                <w:rFonts w:ascii="宋体" w:hAnsi="宋体" w:cs="宋体"/>
                <w:color w:val="000000"/>
                <w:sz w:val="24"/>
              </w:rPr>
            </w:pPr>
            <w:r>
              <w:rPr>
                <w:rFonts w:hint="eastAsia" w:ascii="宋体" w:hAnsi="宋体" w:cs="宋体"/>
                <w:color w:val="000000"/>
                <w:sz w:val="24"/>
              </w:rPr>
              <w:t xml:space="preserve">一、总部人员</w:t>
            </w:r>
            <w:r/>
          </w:p>
        </w:tc>
      </w:tr>
      <w:tr>
        <w:trPr>
          <w:jc w:val="center"/>
        </w:trPr>
        <w:tc>
          <w:tcPr>
            <w:tcW w:w="1871" w:type="dxa"/>
            <w:vAlign w:val="center"/>
            <w:textDirection w:val="lrTb"/>
            <w:noWrap w:val="false"/>
          </w:tcPr>
          <w:p>
            <w:pPr>
              <w:ind w:left="63" w:right="63"/>
              <w:keepNext/>
              <w:spacing w:after="120" w:line="440" w:lineRule="exact"/>
              <w:rPr>
                <w:rFonts w:ascii="宋体" w:hAnsi="宋体" w:cs="宋体"/>
                <w:color w:val="000000"/>
                <w:sz w:val="24"/>
              </w:rPr>
            </w:pPr>
            <w:r>
              <w:rPr>
                <w:rFonts w:hint="eastAsia" w:ascii="宋体" w:hAnsi="宋体" w:cs="宋体"/>
                <w:color w:val="000000"/>
                <w:sz w:val="24"/>
              </w:rPr>
              <w:t xml:space="preserve">项目主管</w:t>
            </w:r>
            <w:r/>
          </w:p>
        </w:tc>
        <w:tc>
          <w:tcPr>
            <w:tcW w:w="1418"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c>
          <w:tcPr>
            <w:tcW w:w="1134"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c>
          <w:tcPr>
            <w:tcW w:w="1134"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c>
          <w:tcPr>
            <w:tcW w:w="4252"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r>
      <w:tr>
        <w:trPr>
          <w:jc w:val="center"/>
        </w:trPr>
        <w:tc>
          <w:tcPr>
            <w:tcW w:w="1871"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c>
          <w:tcPr>
            <w:tcW w:w="1418"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c>
          <w:tcPr>
            <w:tcW w:w="1134"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c>
          <w:tcPr>
            <w:tcW w:w="1134"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c>
          <w:tcPr>
            <w:tcW w:w="4252"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r>
      <w:tr>
        <w:trPr>
          <w:jc w:val="center"/>
        </w:trPr>
        <w:tc>
          <w:tcPr>
            <w:tcW w:w="1871" w:type="dxa"/>
            <w:vAlign w:val="center"/>
            <w:textDirection w:val="lrTb"/>
            <w:noWrap w:val="false"/>
          </w:tcPr>
          <w:p>
            <w:pPr>
              <w:ind w:left="63" w:right="63"/>
              <w:keepNext/>
              <w:spacing w:after="120" w:line="440" w:lineRule="exact"/>
              <w:rPr>
                <w:rFonts w:ascii="宋体" w:hAnsi="宋体" w:cs="宋体"/>
                <w:color w:val="000000"/>
                <w:sz w:val="24"/>
              </w:rPr>
            </w:pPr>
            <w:r>
              <w:rPr>
                <w:rFonts w:hint="eastAsia" w:ascii="宋体" w:hAnsi="宋体" w:cs="宋体"/>
                <w:color w:val="000000"/>
                <w:sz w:val="24"/>
              </w:rPr>
              <w:t xml:space="preserve">其他人员</w:t>
            </w:r>
            <w:r/>
          </w:p>
        </w:tc>
        <w:tc>
          <w:tcPr>
            <w:tcW w:w="1418"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c>
          <w:tcPr>
            <w:tcW w:w="1134"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c>
          <w:tcPr>
            <w:tcW w:w="1134"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c>
          <w:tcPr>
            <w:tcW w:w="4252"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r>
      <w:tr>
        <w:trPr>
          <w:jc w:val="center"/>
        </w:trPr>
        <w:tc>
          <w:tcPr>
            <w:tcW w:w="1871"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c>
          <w:tcPr>
            <w:tcW w:w="1418"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c>
          <w:tcPr>
            <w:tcW w:w="1134"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c>
          <w:tcPr>
            <w:tcW w:w="1134"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c>
          <w:tcPr>
            <w:tcW w:w="4252"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r>
      <w:tr>
        <w:trPr>
          <w:jc w:val="center"/>
        </w:trPr>
        <w:tc>
          <w:tcPr>
            <w:gridSpan w:val="5"/>
            <w:tcW w:w="9809" w:type="dxa"/>
            <w:vAlign w:val="center"/>
            <w:textDirection w:val="lrTb"/>
            <w:noWrap w:val="false"/>
          </w:tcPr>
          <w:p>
            <w:pPr>
              <w:ind w:left="63" w:right="63"/>
              <w:keepNext/>
              <w:spacing w:after="120" w:line="440" w:lineRule="exact"/>
              <w:rPr>
                <w:rFonts w:ascii="宋体" w:hAnsi="宋体" w:cs="宋体"/>
                <w:color w:val="000000"/>
                <w:sz w:val="24"/>
              </w:rPr>
            </w:pPr>
            <w:r>
              <w:rPr>
                <w:rFonts w:hint="eastAsia" w:ascii="宋体" w:hAnsi="宋体" w:cs="宋体"/>
                <w:color w:val="000000"/>
                <w:sz w:val="24"/>
              </w:rPr>
              <w:t xml:space="preserve">二、现场人员</w:t>
            </w:r>
            <w:r/>
          </w:p>
        </w:tc>
      </w:tr>
      <w:tr>
        <w:trPr>
          <w:jc w:val="center"/>
        </w:trPr>
        <w:tc>
          <w:tcPr>
            <w:tcW w:w="1871" w:type="dxa"/>
            <w:vAlign w:val="center"/>
            <w:textDirection w:val="lrTb"/>
            <w:noWrap w:val="false"/>
          </w:tcPr>
          <w:p>
            <w:pPr>
              <w:ind w:left="63" w:right="63"/>
              <w:keepNext/>
              <w:spacing w:after="120" w:line="440" w:lineRule="exact"/>
              <w:rPr>
                <w:rFonts w:ascii="宋体" w:hAnsi="宋体" w:cs="宋体"/>
                <w:color w:val="000000"/>
                <w:sz w:val="24"/>
              </w:rPr>
            </w:pPr>
            <w:r>
              <w:rPr>
                <w:rFonts w:hint="eastAsia" w:ascii="宋体" w:hAnsi="宋体" w:cs="宋体"/>
                <w:color w:val="000000"/>
                <w:sz w:val="24"/>
              </w:rPr>
              <w:t xml:space="preserve">项目经理</w:t>
            </w:r>
            <w:r/>
          </w:p>
        </w:tc>
        <w:tc>
          <w:tcPr>
            <w:tcW w:w="1418"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c>
          <w:tcPr>
            <w:tcW w:w="1134"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c>
          <w:tcPr>
            <w:tcW w:w="1134"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c>
          <w:tcPr>
            <w:tcW w:w="4252"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r>
      <w:tr>
        <w:trPr>
          <w:jc w:val="center"/>
        </w:trPr>
        <w:tc>
          <w:tcPr>
            <w:tcW w:w="1871" w:type="dxa"/>
            <w:vAlign w:val="center"/>
            <w:textDirection w:val="lrTb"/>
            <w:noWrap w:val="false"/>
          </w:tcPr>
          <w:p>
            <w:pPr>
              <w:ind w:left="63" w:right="63"/>
              <w:keepNext/>
              <w:spacing w:after="120" w:line="440" w:lineRule="exact"/>
              <w:rPr>
                <w:rFonts w:ascii="宋体" w:hAnsi="宋体" w:cs="宋体"/>
                <w:color w:val="000000"/>
                <w:sz w:val="24"/>
              </w:rPr>
            </w:pPr>
            <w:r>
              <w:rPr>
                <w:rFonts w:hint="eastAsia" w:ascii="宋体" w:hAnsi="宋体" w:cs="宋体"/>
                <w:color w:val="000000"/>
                <w:sz w:val="24"/>
              </w:rPr>
              <w:t xml:space="preserve">项目副经理</w:t>
            </w:r>
            <w:r/>
          </w:p>
        </w:tc>
        <w:tc>
          <w:tcPr>
            <w:tcW w:w="1418"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c>
          <w:tcPr>
            <w:tcW w:w="1134"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c>
          <w:tcPr>
            <w:tcW w:w="1134"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c>
          <w:tcPr>
            <w:tcW w:w="4252"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r>
      <w:tr>
        <w:trPr>
          <w:jc w:val="center"/>
        </w:trPr>
        <w:tc>
          <w:tcPr>
            <w:tcW w:w="1871" w:type="dxa"/>
            <w:vAlign w:val="center"/>
            <w:textDirection w:val="lrTb"/>
            <w:noWrap w:val="false"/>
          </w:tcPr>
          <w:p>
            <w:pPr>
              <w:ind w:left="63" w:right="63"/>
              <w:keepNext/>
              <w:spacing w:after="120" w:line="440" w:lineRule="exact"/>
              <w:rPr>
                <w:rFonts w:ascii="宋体" w:hAnsi="宋体" w:cs="宋体"/>
                <w:color w:val="000000"/>
                <w:sz w:val="24"/>
              </w:rPr>
            </w:pPr>
            <w:r>
              <w:rPr>
                <w:rFonts w:hint="eastAsia" w:ascii="宋体" w:hAnsi="宋体" w:cs="宋体"/>
                <w:color w:val="000000"/>
                <w:sz w:val="24"/>
              </w:rPr>
              <w:t xml:space="preserve">技术负责人</w:t>
            </w:r>
            <w:r/>
          </w:p>
        </w:tc>
        <w:tc>
          <w:tcPr>
            <w:tcW w:w="1418"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c>
          <w:tcPr>
            <w:tcW w:w="1134"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c>
          <w:tcPr>
            <w:tcW w:w="1134"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c>
          <w:tcPr>
            <w:tcW w:w="4252"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r>
      <w:tr>
        <w:trPr>
          <w:jc w:val="center"/>
        </w:trPr>
        <w:tc>
          <w:tcPr>
            <w:tcW w:w="1871" w:type="dxa"/>
            <w:vAlign w:val="center"/>
            <w:textDirection w:val="lrTb"/>
            <w:noWrap w:val="false"/>
          </w:tcPr>
          <w:p>
            <w:pPr>
              <w:ind w:left="63" w:right="63"/>
              <w:keepNext/>
              <w:spacing w:after="120" w:line="440" w:lineRule="exact"/>
              <w:rPr>
                <w:rFonts w:ascii="宋体" w:hAnsi="宋体" w:cs="宋体"/>
                <w:color w:val="000000"/>
                <w:sz w:val="24"/>
              </w:rPr>
            </w:pPr>
            <w:r>
              <w:rPr>
                <w:rFonts w:hint="eastAsia" w:ascii="宋体" w:hAnsi="宋体" w:cs="宋体"/>
                <w:color w:val="000000"/>
                <w:sz w:val="24"/>
              </w:rPr>
              <w:t xml:space="preserve">造价管理</w:t>
            </w:r>
            <w:r/>
          </w:p>
        </w:tc>
        <w:tc>
          <w:tcPr>
            <w:tcW w:w="1418"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c>
          <w:tcPr>
            <w:tcW w:w="1134"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c>
          <w:tcPr>
            <w:tcW w:w="1134"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c>
          <w:tcPr>
            <w:tcW w:w="4252"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r>
      <w:tr>
        <w:trPr>
          <w:jc w:val="center"/>
        </w:trPr>
        <w:tc>
          <w:tcPr>
            <w:tcW w:w="1871" w:type="dxa"/>
            <w:vAlign w:val="center"/>
            <w:textDirection w:val="lrTb"/>
            <w:noWrap w:val="false"/>
          </w:tcPr>
          <w:p>
            <w:pPr>
              <w:ind w:left="63" w:right="63"/>
              <w:keepNext/>
              <w:spacing w:after="120" w:line="440" w:lineRule="exact"/>
              <w:rPr>
                <w:rFonts w:ascii="宋体" w:hAnsi="宋体" w:cs="宋体"/>
                <w:color w:val="000000"/>
                <w:sz w:val="24"/>
              </w:rPr>
            </w:pPr>
            <w:r>
              <w:rPr>
                <w:rFonts w:hint="eastAsia" w:ascii="宋体" w:hAnsi="宋体" w:cs="宋体"/>
                <w:color w:val="000000"/>
                <w:sz w:val="24"/>
              </w:rPr>
              <w:t xml:space="preserve">质量管理</w:t>
            </w:r>
            <w:r/>
          </w:p>
        </w:tc>
        <w:tc>
          <w:tcPr>
            <w:tcW w:w="1418"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c>
          <w:tcPr>
            <w:tcW w:w="1134"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c>
          <w:tcPr>
            <w:tcW w:w="1134"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c>
          <w:tcPr>
            <w:tcW w:w="4252"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r>
      <w:tr>
        <w:trPr>
          <w:jc w:val="center"/>
        </w:trPr>
        <w:tc>
          <w:tcPr>
            <w:tcW w:w="1871" w:type="dxa"/>
            <w:vAlign w:val="center"/>
            <w:textDirection w:val="lrTb"/>
            <w:noWrap w:val="false"/>
          </w:tcPr>
          <w:p>
            <w:pPr>
              <w:ind w:left="63" w:right="63"/>
              <w:keepNext/>
              <w:spacing w:after="120" w:line="440" w:lineRule="exact"/>
              <w:rPr>
                <w:rFonts w:ascii="宋体" w:hAnsi="宋体" w:cs="宋体"/>
                <w:color w:val="000000"/>
                <w:sz w:val="24"/>
              </w:rPr>
            </w:pPr>
            <w:r>
              <w:rPr>
                <w:rFonts w:hint="eastAsia" w:ascii="宋体" w:hAnsi="宋体" w:cs="宋体"/>
                <w:color w:val="000000"/>
                <w:sz w:val="24"/>
              </w:rPr>
              <w:t xml:space="preserve">材料管理</w:t>
            </w:r>
            <w:r/>
          </w:p>
        </w:tc>
        <w:tc>
          <w:tcPr>
            <w:tcW w:w="1418"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c>
          <w:tcPr>
            <w:tcW w:w="1134"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c>
          <w:tcPr>
            <w:tcW w:w="1134"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c>
          <w:tcPr>
            <w:tcW w:w="4252"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r>
      <w:tr>
        <w:trPr>
          <w:jc w:val="center"/>
        </w:trPr>
        <w:tc>
          <w:tcPr>
            <w:tcW w:w="1871" w:type="dxa"/>
            <w:vAlign w:val="center"/>
            <w:textDirection w:val="lrTb"/>
            <w:noWrap w:val="false"/>
          </w:tcPr>
          <w:p>
            <w:pPr>
              <w:ind w:left="63" w:right="63"/>
              <w:keepNext/>
              <w:spacing w:after="120" w:line="440" w:lineRule="exact"/>
              <w:rPr>
                <w:rFonts w:ascii="宋体" w:hAnsi="宋体" w:cs="宋体"/>
                <w:color w:val="000000"/>
                <w:sz w:val="24"/>
              </w:rPr>
            </w:pPr>
            <w:r>
              <w:rPr>
                <w:rFonts w:hint="eastAsia" w:ascii="宋体" w:hAnsi="宋体" w:cs="宋体"/>
                <w:color w:val="000000"/>
                <w:sz w:val="24"/>
              </w:rPr>
              <w:t xml:space="preserve">施工管理</w:t>
            </w:r>
            <w:r/>
          </w:p>
        </w:tc>
        <w:tc>
          <w:tcPr>
            <w:tcW w:w="1418"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c>
          <w:tcPr>
            <w:tcW w:w="1134"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c>
          <w:tcPr>
            <w:tcW w:w="1134"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c>
          <w:tcPr>
            <w:tcW w:w="4252"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r>
      <w:tr>
        <w:trPr>
          <w:jc w:val="center"/>
        </w:trPr>
        <w:tc>
          <w:tcPr>
            <w:tcW w:w="1871" w:type="dxa"/>
            <w:vAlign w:val="center"/>
            <w:textDirection w:val="lrTb"/>
            <w:noWrap w:val="false"/>
          </w:tcPr>
          <w:p>
            <w:pPr>
              <w:ind w:left="63" w:right="63"/>
              <w:keepNext/>
              <w:spacing w:after="120" w:line="440" w:lineRule="exact"/>
              <w:rPr>
                <w:rFonts w:ascii="宋体" w:hAnsi="宋体" w:cs="宋体"/>
                <w:color w:val="000000"/>
                <w:sz w:val="24"/>
              </w:rPr>
            </w:pPr>
            <w:r>
              <w:rPr>
                <w:rFonts w:hint="eastAsia" w:ascii="宋体" w:hAnsi="宋体" w:cs="宋体"/>
                <w:color w:val="000000"/>
                <w:sz w:val="24"/>
              </w:rPr>
              <w:t xml:space="preserve">安全管理</w:t>
            </w:r>
            <w:r/>
          </w:p>
        </w:tc>
        <w:tc>
          <w:tcPr>
            <w:tcW w:w="1418"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c>
          <w:tcPr>
            <w:tcW w:w="1134"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c>
          <w:tcPr>
            <w:tcW w:w="1134"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c>
          <w:tcPr>
            <w:tcW w:w="4252"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r>
      <w:tr>
        <w:trPr>
          <w:jc w:val="center"/>
        </w:trPr>
        <w:tc>
          <w:tcPr>
            <w:tcW w:w="1871" w:type="dxa"/>
            <w:vAlign w:val="center"/>
            <w:vMerge w:val="restart"/>
            <w:textDirection w:val="lrTb"/>
            <w:noWrap w:val="false"/>
          </w:tcPr>
          <w:p>
            <w:pPr>
              <w:ind w:left="63" w:right="63"/>
              <w:keepNext/>
              <w:spacing w:after="120" w:line="440" w:lineRule="exact"/>
              <w:rPr>
                <w:rFonts w:ascii="宋体" w:hAnsi="宋体" w:cs="宋体"/>
                <w:color w:val="000000"/>
                <w:sz w:val="24"/>
              </w:rPr>
            </w:pPr>
            <w:r>
              <w:rPr>
                <w:rFonts w:hint="eastAsia" w:ascii="宋体" w:hAnsi="宋体" w:cs="宋体"/>
                <w:color w:val="000000"/>
                <w:sz w:val="24"/>
              </w:rPr>
              <w:t xml:space="preserve">其他人员</w:t>
            </w:r>
            <w:r/>
          </w:p>
        </w:tc>
        <w:tc>
          <w:tcPr>
            <w:tcW w:w="1418"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c>
          <w:tcPr>
            <w:tcW w:w="1134"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c>
          <w:tcPr>
            <w:tcW w:w="1134"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c>
          <w:tcPr>
            <w:tcW w:w="4252"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r>
      <w:tr>
        <w:trPr>
          <w:jc w:val="center"/>
        </w:trPr>
        <w:tc>
          <w:tcPr>
            <w:tcW w:w="1871" w:type="dxa"/>
            <w:vAlign w:val="center"/>
            <w:vMerge w:val="continue"/>
            <w:textDirection w:val="lrTb"/>
            <w:noWrap w:val="false"/>
          </w:tcPr>
          <w:p>
            <w:pPr>
              <w:ind w:left="63" w:right="63"/>
              <w:keepNext/>
              <w:spacing w:after="120" w:line="440" w:lineRule="exact"/>
              <w:rPr>
                <w:rFonts w:ascii="宋体" w:hAnsi="宋体" w:cs="宋体"/>
                <w:sz w:val="24"/>
              </w:rPr>
            </w:pPr>
            <w:r>
              <w:rPr>
                <w:rFonts w:ascii="宋体" w:hAnsi="宋体" w:cs="宋体"/>
                <w:sz w:val="24"/>
              </w:rPr>
            </w:r>
            <w:r/>
          </w:p>
        </w:tc>
        <w:tc>
          <w:tcPr>
            <w:tcW w:w="1418"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c>
          <w:tcPr>
            <w:tcW w:w="1134"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c>
          <w:tcPr>
            <w:tcW w:w="1134"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c>
          <w:tcPr>
            <w:tcW w:w="4252"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r>
      <w:tr>
        <w:trPr>
          <w:jc w:val="center"/>
        </w:trPr>
        <w:tc>
          <w:tcPr>
            <w:tcW w:w="1871" w:type="dxa"/>
            <w:vAlign w:val="center"/>
            <w:vMerge w:val="continue"/>
            <w:textDirection w:val="lrTb"/>
            <w:noWrap w:val="false"/>
          </w:tcPr>
          <w:p>
            <w:pPr>
              <w:ind w:left="63" w:right="63"/>
              <w:keepNext/>
              <w:spacing w:after="120" w:line="440" w:lineRule="exact"/>
              <w:rPr>
                <w:rFonts w:ascii="宋体" w:hAnsi="宋体" w:cs="宋体"/>
                <w:sz w:val="24"/>
              </w:rPr>
            </w:pPr>
            <w:r>
              <w:rPr>
                <w:rFonts w:ascii="宋体" w:hAnsi="宋体" w:cs="宋体"/>
                <w:sz w:val="24"/>
              </w:rPr>
            </w:r>
            <w:r/>
          </w:p>
        </w:tc>
        <w:tc>
          <w:tcPr>
            <w:tcW w:w="1418"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c>
          <w:tcPr>
            <w:tcW w:w="1134"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c>
          <w:tcPr>
            <w:tcW w:w="1134"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c>
          <w:tcPr>
            <w:tcW w:w="4252"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r>
      <w:tr>
        <w:trPr>
          <w:jc w:val="center"/>
        </w:trPr>
        <w:tc>
          <w:tcPr>
            <w:tcW w:w="1871" w:type="dxa"/>
            <w:vAlign w:val="center"/>
            <w:vMerge w:val="continue"/>
            <w:textDirection w:val="lrTb"/>
            <w:noWrap w:val="false"/>
          </w:tcPr>
          <w:p>
            <w:pPr>
              <w:ind w:left="63" w:right="63"/>
              <w:keepNext/>
              <w:spacing w:after="120" w:line="440" w:lineRule="exact"/>
              <w:rPr>
                <w:rFonts w:ascii="宋体" w:hAnsi="宋体" w:cs="宋体"/>
                <w:sz w:val="24"/>
              </w:rPr>
            </w:pPr>
            <w:r>
              <w:rPr>
                <w:rFonts w:ascii="宋体" w:hAnsi="宋体" w:cs="宋体"/>
                <w:sz w:val="24"/>
              </w:rPr>
            </w:r>
            <w:r/>
          </w:p>
        </w:tc>
        <w:tc>
          <w:tcPr>
            <w:tcW w:w="1418"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c>
          <w:tcPr>
            <w:tcW w:w="1134"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c>
          <w:tcPr>
            <w:tcW w:w="1134"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c>
          <w:tcPr>
            <w:tcW w:w="4252"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r>
    </w:tbl>
    <w:p>
      <w:pP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rPr>
          <w:rFonts w:ascii="宋体" w:hAnsi="宋体" w:cs="宋体"/>
          <w:b/>
          <w:color w:val="000000" w:themeColor="text1"/>
          <w:sz w:val="36"/>
          <w:szCs w:val="36"/>
          <w14:textFill>
            <w14:solidFill>
              <w14:schemeClr w14:val="tx1"/>
            </w14:solidFill>
          </w14:textFill>
        </w:rPr>
      </w:pPr>
      <w:r>
        <w:rPr>
          <w:rFonts w:hint="eastAsia" w:ascii="宋体" w:hAnsi="宋体" w:cs="宋体"/>
          <w:b/>
          <w:color w:val="000000" w:themeColor="text1"/>
          <w:sz w:val="36"/>
          <w:szCs w:val="36"/>
          <w14:textFill>
            <w14:solidFill>
              <w14:schemeClr w14:val="tx1"/>
            </w14:solidFill>
          </w14:textFill>
        </w:rPr>
        <w:br w:type="page" w:clear="all"/>
      </w:r>
      <w:r/>
    </w:p>
    <w:p>
      <w:pPr>
        <w:numPr>
          <w:ilvl w:val="0"/>
          <w:numId w:val="2"/>
        </w:numPr>
        <w:jc w:val="center"/>
        <w:rPr>
          <w:rFonts w:ascii="宋体" w:hAnsi="宋体" w:cs="宋体"/>
          <w:b/>
          <w:color w:val="000000" w:themeColor="text1"/>
          <w:sz w:val="36"/>
          <w:szCs w:val="36"/>
          <w14:textFill>
            <w14:solidFill>
              <w14:schemeClr w14:val="tx1"/>
            </w14:solidFill>
          </w14:textFill>
        </w:rPr>
      </w:pPr>
      <w:r>
        <w:rPr>
          <w:rFonts w:hint="eastAsia" w:ascii="宋体" w:hAnsi="宋体" w:cs="宋体"/>
          <w:b/>
          <w:color w:val="000000" w:themeColor="text1"/>
          <w:sz w:val="36"/>
          <w:szCs w:val="36"/>
          <w14:textFill>
            <w14:solidFill>
              <w14:schemeClr w14:val="tx1"/>
            </w14:solidFill>
          </w14:textFill>
        </w:rPr>
        <w:t xml:space="preserve">承诺书</w:t>
      </w:r>
      <w:r/>
    </w:p>
    <w:p>
      <w:pPr>
        <w:pStyle w:val="994"/>
        <w:ind w:left="0"/>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jc w:val="left"/>
        <w:spacing w:line="312"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致</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w:t>
      </w:r>
      <w:r/>
    </w:p>
    <w:p>
      <w:pPr>
        <w:pStyle w:val="1215"/>
        <w:ind w:firstLine="480"/>
        <w:spacing w:line="312"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根据贵方《</w:t>
      </w:r>
      <w:r>
        <w:rPr>
          <w:rFonts w:hint="eastAsia" w:ascii="宋体" w:hAnsi="宋体" w:cs="宋体"/>
          <w:bCs/>
          <w:color w:val="000000" w:themeColor="text1"/>
          <w:sz w:val="21"/>
          <w:szCs w:val="21"/>
          <w14:textFill>
            <w14:solidFill>
              <w14:schemeClr w14:val="tx1"/>
            </w14:solidFill>
          </w14:textFill>
        </w:rPr>
        <w:t xml:space="preserve">磋商文件</w:t>
      </w:r>
      <w:r>
        <w:rPr>
          <w:rFonts w:hint="eastAsia" w:ascii="宋体" w:hAnsi="宋体" w:cs="宋体"/>
          <w:color w:val="000000" w:themeColor="text1"/>
          <w:sz w:val="21"/>
          <w:szCs w:val="21"/>
          <w14:textFill>
            <w14:solidFill>
              <w14:schemeClr w14:val="tx1"/>
            </w14:solidFill>
          </w14:textFill>
        </w:rPr>
        <w:t xml:space="preserve">》（项目编号：JSZC-320324-JSRL-C</w:t>
      </w:r>
      <w:r>
        <w:rPr>
          <w:rFonts w:hint="eastAsia" w:ascii="宋体" w:hAnsi="宋体" w:cs="宋体"/>
          <w:color w:val="000000" w:themeColor="text1"/>
          <w:sz w:val="21"/>
          <w:szCs w:val="21"/>
          <w:lang w:eastAsia="zh-CN"/>
          <w14:textFill>
            <w14:solidFill>
              <w14:schemeClr w14:val="tx1"/>
            </w14:solidFill>
          </w14:textFill>
        </w:rPr>
        <w:t xml:space="preserve">2026-0003</w:t>
      </w:r>
      <w:r>
        <w:rPr>
          <w:rFonts w:hint="eastAsia" w:ascii="宋体" w:hAnsi="宋体" w:cs="宋体"/>
          <w:color w:val="000000" w:themeColor="text1"/>
          <w:sz w:val="21"/>
          <w:szCs w:val="21"/>
          <w14:textFill>
            <w14:solidFill>
              <w14:schemeClr w14:val="tx1"/>
            </w14:solidFill>
          </w14:textFill>
        </w:rPr>
        <w:t xml:space="preserve">）要求，本供应商正式提交以下首次响应文件。</w:t>
      </w:r>
      <w:r/>
    </w:p>
    <w:p>
      <w:pPr>
        <w:pStyle w:val="1215"/>
        <w:ind w:firstLine="480"/>
        <w:spacing w:line="312"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（1）承诺书； </w:t>
      </w:r>
      <w:r/>
    </w:p>
    <w:p>
      <w:pPr>
        <w:pStyle w:val="1215"/>
        <w:ind w:firstLine="480"/>
        <w:spacing w:line="312"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（2）磋商报价表； </w:t>
      </w:r>
      <w:r/>
    </w:p>
    <w:p>
      <w:pPr>
        <w:pStyle w:val="1215"/>
        <w:ind w:firstLine="480"/>
        <w:spacing w:line="312"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（3）偏离表；</w:t>
      </w:r>
      <w:r/>
    </w:p>
    <w:p>
      <w:pPr>
        <w:pStyle w:val="1215"/>
        <w:ind w:firstLine="480"/>
        <w:spacing w:line="312"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（4）磋商</w:t>
      </w:r>
      <w:r>
        <w:rPr>
          <w:rFonts w:hint="eastAsia" w:ascii="宋体" w:hAnsi="宋体" w:cs="宋体"/>
          <w:bCs/>
          <w:color w:val="000000" w:themeColor="text1"/>
          <w:sz w:val="21"/>
          <w:szCs w:val="21"/>
          <w14:textFill>
            <w14:solidFill>
              <w14:schemeClr w14:val="tx1"/>
            </w14:solidFill>
          </w14:textFill>
        </w:rPr>
        <w:t xml:space="preserve">文件</w:t>
      </w:r>
      <w:r>
        <w:rPr>
          <w:rFonts w:hint="eastAsia" w:ascii="宋体" w:hAnsi="宋体" w:cs="宋体"/>
          <w:color w:val="000000" w:themeColor="text1"/>
          <w:sz w:val="21"/>
          <w:szCs w:val="21"/>
          <w14:textFill>
            <w14:solidFill>
              <w14:schemeClr w14:val="tx1"/>
            </w14:solidFill>
          </w14:textFill>
        </w:rPr>
        <w:t xml:space="preserve">要求提供的其他响应文件。</w:t>
      </w:r>
      <w:r/>
    </w:p>
    <w:p>
      <w:pPr>
        <w:pStyle w:val="1215"/>
        <w:ind w:firstLine="480"/>
        <w:spacing w:line="312"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我单位符合《中华人民共和国政府采购法》第二十二条的规定，符合本项目供应商资格要求。</w:t>
      </w:r>
      <w:r/>
    </w:p>
    <w:p>
      <w:pPr>
        <w:pStyle w:val="1215"/>
        <w:ind w:firstLine="480"/>
        <w:spacing w:line="312"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我单位按照磋商文件的要求编制响应文件，并对其提交的响应文件的真实性、合法性承担法律责任。</w:t>
      </w:r>
      <w:r/>
    </w:p>
    <w:p>
      <w:pPr>
        <w:ind w:firstLine="480"/>
        <w:jc w:val="left"/>
        <w:spacing w:line="312"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供应商兹宣布同意如下： </w:t>
      </w:r>
      <w:r/>
    </w:p>
    <w:p>
      <w:pPr>
        <w:pStyle w:val="1215"/>
        <w:ind w:firstLine="480"/>
        <w:spacing w:line="312"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一、完全承担根据《磋商文件》规定完成合同的责任和义务（如有偏离，将全部填写在偏离表中）。</w:t>
      </w:r>
      <w:r/>
    </w:p>
    <w:p>
      <w:pPr>
        <w:pStyle w:val="1215"/>
        <w:ind w:firstLine="480"/>
        <w:spacing w:line="312"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二、保证所提供的响应文件及所有材料的真实、合法、有效，并对其负责。</w:t>
      </w:r>
      <w:r/>
    </w:p>
    <w:p>
      <w:pPr>
        <w:ind w:firstLine="480"/>
        <w:jc w:val="left"/>
        <w:spacing w:line="312"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三、已详细审核竞争性磋商文件（含竞争性磋商文件的澄清或者修改），本供应商完全理解并同意放弃对这方面不明及误解的权利。</w:t>
      </w:r>
      <w:r/>
    </w:p>
    <w:p>
      <w:pPr>
        <w:ind w:firstLine="480"/>
        <w:jc w:val="left"/>
        <w:spacing w:line="312"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四、所供货物保证符合国家有关产品质量、性能和安全标准，无权利瑕疵。</w:t>
      </w:r>
      <w:r/>
    </w:p>
    <w:p>
      <w:pPr>
        <w:ind w:firstLine="480"/>
        <w:jc w:val="left"/>
        <w:spacing w:line="312"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五、报价有效期为30个工作日。</w:t>
      </w:r>
      <w:r/>
    </w:p>
    <w:p>
      <w:pPr>
        <w:ind w:firstLine="480"/>
        <w:jc w:val="left"/>
        <w:spacing w:line="312"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六、同意向贵方提供贵方可能要求的与本次磋商采购有关的任何证据或资料。</w:t>
      </w:r>
      <w:r/>
    </w:p>
    <w:p>
      <w:pPr>
        <w:ind w:firstLine="480"/>
        <w:jc w:val="left"/>
        <w:spacing w:line="312"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七、完全理解贵方不一定要接受最低的报价或收到的任何报价。</w:t>
      </w:r>
      <w:r/>
    </w:p>
    <w:p>
      <w:pPr>
        <w:ind w:firstLine="480"/>
        <w:jc w:val="left"/>
        <w:spacing w:line="312"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八、采购人或采购代理机构有权将我单位本项目的《磋商报价表》和《分项价格表》予以公示，公示的方式由江苏瑞利项目管理有限公司确定。</w:t>
      </w:r>
      <w:r/>
    </w:p>
    <w:p>
      <w:pPr>
        <w:ind w:firstLine="480"/>
        <w:jc w:val="left"/>
        <w:spacing w:line="312"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九、采购人或采购代理机构有权对供应商的响应文件的真实性进行核实，如供应商不能在采购人规定的时间内向采购人提供有效的证明文件，将被采购人认定为具有《中华人民共和国政府采购法》第七十七条所规定的“提供虚假材料谋取成交、成交的”情形，并承担相应的法律责任。</w:t>
      </w:r>
      <w:r/>
    </w:p>
    <w:p>
      <w:pPr>
        <w:ind w:firstLine="480"/>
        <w:jc w:val="left"/>
        <w:spacing w:line="312"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p>
      <w:pPr>
        <w:ind w:firstLine="1920"/>
        <w:jc w:val="left"/>
        <w:spacing w:line="312"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供应商（电子签章）：</w:t>
      </w:r>
      <w:r/>
    </w:p>
    <w:p>
      <w:pPr>
        <w:ind w:firstLine="1920"/>
        <w:jc w:val="left"/>
        <w:spacing w:line="312"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w:t>
      </w:r>
      <w:r/>
    </w:p>
    <w:p>
      <w:pPr>
        <w:ind w:firstLine="1920"/>
        <w:jc w:val="left"/>
        <w:spacing w:line="312"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联系电话：</w:t>
      </w:r>
      <w:r/>
    </w:p>
    <w:p>
      <w:pPr>
        <w:ind w:firstLine="1920"/>
        <w:jc w:val="left"/>
        <w:spacing w:line="312"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p>
      <w:pPr>
        <w:ind w:firstLine="1920"/>
        <w:jc w:val="left"/>
        <w:spacing w:line="312"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日期：</w:t>
      </w:r>
      <w:r/>
    </w:p>
    <w:p>
      <w:pPr>
        <w:jc w:val="center"/>
        <w:rPr>
          <w:rFonts w:ascii="宋体" w:hAnsi="宋体" w:cs="宋体"/>
          <w:b/>
          <w:color w:val="000000" w:themeColor="text1"/>
          <w:sz w:val="36"/>
          <w14:textFill>
            <w14:solidFill>
              <w14:schemeClr w14:val="tx1"/>
            </w14:solidFill>
          </w14:textFill>
        </w:rPr>
      </w:pPr>
      <w:r>
        <w:rPr>
          <w:rFonts w:hint="eastAsia" w:ascii="宋体" w:hAnsi="宋体" w:cs="宋体"/>
          <w:b/>
          <w:bCs/>
          <w:color w:val="000000" w:themeColor="text1"/>
          <w:sz w:val="28"/>
          <w14:textFill>
            <w14:solidFill>
              <w14:schemeClr w14:val="tx1"/>
            </w14:solidFill>
          </w14:textFill>
        </w:rPr>
        <w:br w:type="page" w:clear="all"/>
      </w:r>
      <w:r>
        <w:rPr>
          <w:rFonts w:hint="eastAsia" w:ascii="宋体" w:hAnsi="宋体" w:cs="宋体"/>
          <w:b/>
          <w:color w:val="000000" w:themeColor="text1"/>
          <w:sz w:val="36"/>
          <w:szCs w:val="36"/>
          <w14:textFill>
            <w14:solidFill>
              <w14:schemeClr w14:val="tx1"/>
            </w14:solidFill>
          </w14:textFill>
        </w:rPr>
        <w:t xml:space="preserve">10、授权委托书</w:t>
      </w:r>
      <w:r/>
    </w:p>
    <w:p>
      <w:pPr>
        <w:spacing w:line="5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委托人（全称）：</w:t>
      </w:r>
      <w:r/>
    </w:p>
    <w:p>
      <w:pPr>
        <w:spacing w:line="5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地  址：</w:t>
      </w:r>
      <w:r/>
    </w:p>
    <w:p>
      <w:pPr>
        <w:spacing w:line="5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法定代表人（负责人）：               </w:t>
      </w:r>
      <w:r/>
    </w:p>
    <w:p>
      <w:pPr>
        <w:spacing w:line="5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统一社会信用代码：</w:t>
      </w:r>
      <w:r/>
    </w:p>
    <w:p>
      <w:pPr>
        <w:spacing w:line="500" w:lineRule="exac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spacing w:line="5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受托人：                  女士（先生）</w:t>
      </w:r>
      <w:r/>
    </w:p>
    <w:p>
      <w:pPr>
        <w:spacing w:line="5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身份证号：</w:t>
      </w:r>
      <w:r/>
    </w:p>
    <w:p>
      <w:pPr>
        <w:jc w:val="center"/>
        <w:spacing w:line="0" w:lineRule="atLeas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spacing w:line="500" w:lineRule="exac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兹委托（         ）全权代表我企业（公司）参与</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[项目编号：                 ]的磋商活动及签订合同。（         ）以我企业（公司）名义所为的行为及签署的文件，我企业（公司）均予以认可。有关法律责任均由我企业（公司）承担。（         ）无转委托权。委托期限自    年  月   日起至    年  月    日止。</w:t>
      </w:r>
      <w:r/>
    </w:p>
    <w:p>
      <w:pPr>
        <w:spacing w:line="500" w:lineRule="exac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spacing w:line="5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委托人（电子签章）：</w:t>
      </w:r>
      <w:r/>
    </w:p>
    <w:p>
      <w:pPr>
        <w:spacing w:line="500" w:lineRule="exac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spacing w:line="5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法定代表人（负责人）（签字或盖章）：</w:t>
      </w:r>
      <w:r/>
    </w:p>
    <w:p>
      <w:pPr>
        <w:spacing w:line="500" w:lineRule="exac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spacing w:line="5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受托人（签字或盖章）：</w:t>
      </w:r>
      <w:r/>
    </w:p>
    <w:p>
      <w:pPr>
        <w:ind w:firstLine="3561"/>
        <w:spacing w:line="5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w:t>
      </w:r>
      <w:r/>
    </w:p>
    <w:p>
      <w:pPr>
        <w:spacing w:line="5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联系方式（必须填写有效联系方式）：</w:t>
      </w:r>
      <w:r/>
    </w:p>
    <w:p>
      <w:pPr>
        <w:ind w:firstLine="3561"/>
        <w:spacing w:line="5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年   月   日</w:t>
      </w:r>
      <w:r/>
    </w:p>
    <w:p>
      <w:pPr>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（受托人身份证复印件附后)</w:t>
      </w:r>
      <w:r/>
    </w:p>
    <w:p>
      <w:pPr>
        <w:jc w:val="center"/>
        <w:spacing w:line="360" w:lineRule="auto"/>
        <w:widowControl/>
        <w:rPr>
          <w:rFonts w:ascii="宋体" w:hAnsi="宋体" w:cs="宋体"/>
          <w:b/>
          <w:color w:val="000000" w:themeColor="text1"/>
          <w:sz w:val="36"/>
          <w:szCs w:val="36"/>
          <w14:textFill>
            <w14:solidFill>
              <w14:schemeClr w14:val="tx1"/>
            </w14:solidFill>
          </w14:textFill>
        </w:rPr>
      </w:pPr>
      <w:r>
        <w:rPr>
          <w:rFonts w:hint="eastAsia" w:ascii="宋体" w:hAnsi="宋体" w:cs="宋体"/>
          <w:b/>
          <w:color w:val="000000" w:themeColor="text1"/>
          <w:sz w:val="36"/>
          <w:szCs w:val="36"/>
          <w14:textFill>
            <w14:solidFill>
              <w14:schemeClr w14:val="tx1"/>
            </w14:solidFill>
          </w14:textFill>
        </w:rPr>
        <w:br w:type="page" w:clear="all"/>
      </w:r>
      <w:r>
        <w:rPr>
          <w:rFonts w:hint="eastAsia" w:ascii="宋体" w:hAnsi="宋体" w:cs="宋体"/>
          <w:b/>
          <w:color w:val="000000" w:themeColor="text1"/>
          <w:sz w:val="36"/>
          <w:szCs w:val="36"/>
          <w14:textFill>
            <w14:solidFill>
              <w14:schemeClr w14:val="tx1"/>
            </w14:solidFill>
          </w14:textFill>
        </w:rPr>
        <w:t xml:space="preserve">11、</w:t>
      </w:r>
      <w:bookmarkStart w:id="378" w:name="_Hlk81985284"/>
      <w:r>
        <w:rPr>
          <w:rFonts w:hint="eastAsia" w:ascii="宋体" w:hAnsi="宋体" w:cs="宋体"/>
          <w:b/>
          <w:color w:val="000000" w:themeColor="text1"/>
          <w:sz w:val="36"/>
          <w:szCs w:val="36"/>
          <w14:textFill>
            <w14:solidFill>
              <w14:schemeClr w14:val="tx1"/>
            </w14:solidFill>
          </w14:textFill>
        </w:rPr>
        <w:t xml:space="preserve">中小企业声明函</w:t>
      </w:r>
      <w:r/>
    </w:p>
    <w:p>
      <w:pPr>
        <w:jc w:val="center"/>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ind w:firstLine="480"/>
        <w:spacing w:line="360" w:lineRule="auto"/>
        <w:rPr>
          <w:rFonts w:ascii="宋体" w:hAnsi="宋体" w:cs="宋体"/>
          <w:color w:val="000000" w:themeColor="text1"/>
          <w:spacing w:val="6"/>
          <w:sz w:val="24"/>
          <w14:textFill>
            <w14:solidFill>
              <w14:schemeClr w14:val="tx1"/>
            </w14:solidFill>
          </w14:textFill>
        </w:rPr>
      </w:pPr>
      <w:r>
        <w:rPr>
          <w:rFonts w:hint="eastAsia" w:ascii="宋体" w:hAnsi="宋体" w:cs="宋体"/>
          <w:color w:val="000000" w:themeColor="text1"/>
          <w:spacing w:val="6"/>
          <w:sz w:val="24"/>
          <w14:textFill>
            <w14:solidFill>
              <w14:schemeClr w14:val="tx1"/>
            </w14:solidFill>
          </w14:textFill>
        </w:rPr>
        <w:t xml:space="preserve">项目名称：</w:t>
      </w:r>
      <w:r>
        <w:rPr>
          <w:rFonts w:hint="eastAsia" w:ascii="宋体" w:hAnsi="宋体" w:cs="宋体"/>
          <w:color w:val="000000" w:themeColor="text1"/>
          <w:spacing w:val="6"/>
          <w:sz w:val="24"/>
          <w:lang w:eastAsia="zh-CN"/>
          <w14:textFill>
            <w14:solidFill>
              <w14:schemeClr w14:val="tx1"/>
            </w14:solidFill>
          </w14:textFill>
        </w:rPr>
        <w:t xml:space="preserve">双沟镇魏林安置小区10KV外线工程</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项目编号：JSZC-320324-JSRL-C</w:t>
      </w:r>
      <w:r>
        <w:rPr>
          <w:rFonts w:hint="eastAsia" w:ascii="宋体" w:hAnsi="宋体" w:cs="宋体"/>
          <w:color w:val="000000" w:themeColor="text1"/>
          <w:sz w:val="24"/>
          <w:lang w:eastAsia="zh-CN"/>
          <w14:textFill>
            <w14:solidFill>
              <w14:schemeClr w14:val="tx1"/>
            </w14:solidFill>
          </w14:textFill>
        </w:rPr>
        <w:t xml:space="preserve">2026-0003</w:t>
      </w:r>
      <w:r>
        <w:rPr>
          <w:rFonts w:hint="eastAsia" w:ascii="宋体" w:hAnsi="宋体" w:cs="宋体"/>
          <w:color w:val="000000" w:themeColor="text1"/>
          <w:sz w:val="24"/>
          <w14:textFill>
            <w14:solidFill>
              <w14:schemeClr w14:val="tx1"/>
            </w14:solidFill>
          </w14:textFill>
        </w:rPr>
        <w:t xml:space="preserve"> </w:t>
      </w:r>
      <w:r/>
    </w:p>
    <w:p>
      <w:pPr>
        <w:ind w:firstLine="504"/>
        <w:spacing w:line="360" w:lineRule="auto"/>
        <w:rPr>
          <w:rFonts w:ascii="宋体" w:hAnsi="宋体" w:cs="宋体"/>
          <w:color w:val="000000" w:themeColor="text1"/>
          <w:spacing w:val="6"/>
          <w:sz w:val="24"/>
          <w14:textFill>
            <w14:solidFill>
              <w14:schemeClr w14:val="tx1"/>
            </w14:solidFill>
          </w14:textFill>
        </w:rPr>
      </w:pPr>
      <w:r>
        <w:rPr>
          <w:rFonts w:hint="eastAsia" w:ascii="宋体" w:hAnsi="宋体" w:cs="宋体"/>
          <w:color w:val="000000" w:themeColor="text1"/>
          <w:spacing w:val="6"/>
          <w:sz w:val="24"/>
          <w14:textFill>
            <w14:solidFill>
              <w14:schemeClr w14:val="tx1"/>
            </w14:solidFill>
          </w14:textFill>
        </w:rPr>
        <w:t xml:space="preserve">本公司（联合体）郑重声明，根据《政府采购促进中小企业发展管理办法》（财库[2020]46号）的规定，本公司</w:t>
      </w:r>
      <w:r>
        <w:rPr>
          <w:rFonts w:hint="eastAsia" w:ascii="宋体" w:hAnsi="宋体" w:cs="宋体"/>
          <w:color w:val="000000" w:themeColor="text1"/>
          <w:sz w:val="24"/>
          <w14:textFill>
            <w14:solidFill>
              <w14:schemeClr w14:val="tx1"/>
            </w14:solidFill>
          </w14:textFill>
        </w:rPr>
        <w:t xml:space="preserve">参加</w:t>
      </w:r>
      <w:r>
        <w:rPr>
          <w:rFonts w:hint="eastAsia" w:ascii="宋体" w:hAnsi="宋体" w:cs="宋体"/>
          <w:color w:val="000000" w:themeColor="text1"/>
          <w:sz w:val="24"/>
          <w:u w:val="single"/>
          <w14:textFill>
            <w14:solidFill>
              <w14:schemeClr w14:val="tx1"/>
            </w14:solidFill>
          </w14:textFill>
        </w:rPr>
        <w:t xml:space="preserve">（</w:t>
      </w:r>
      <w:r>
        <w:rPr>
          <w:rFonts w:hint="eastAsia" w:ascii="宋体" w:hAnsi="宋体" w:cs="宋体"/>
          <w:color w:val="000000" w:themeColor="text1"/>
          <w:sz w:val="24"/>
          <w:u w:val="single"/>
          <w:lang w:eastAsia="zh-CN"/>
          <w14:textFill>
            <w14:solidFill>
              <w14:schemeClr w14:val="tx1"/>
            </w14:solidFill>
          </w14:textFill>
        </w:rPr>
        <w:t xml:space="preserve">睢宁县双沟镇人民政府</w:t>
      </w:r>
      <w:r>
        <w:rPr>
          <w:rFonts w:hint="eastAsia" w:ascii="宋体" w:hAnsi="宋体" w:cs="宋体"/>
          <w:color w:val="000000" w:themeColor="text1"/>
          <w:sz w:val="24"/>
          <w:u w:val="single"/>
          <w14:textFill>
            <w14:solidFill>
              <w14:schemeClr w14:val="tx1"/>
            </w14:solidFill>
          </w14:textFill>
        </w:rPr>
        <w:t xml:space="preserve">）</w:t>
      </w:r>
      <w:r>
        <w:rPr>
          <w:rFonts w:hint="eastAsia" w:ascii="宋体" w:hAnsi="宋体" w:cs="宋体"/>
          <w:color w:val="000000" w:themeColor="text1"/>
          <w:sz w:val="24"/>
          <w14:textFill>
            <w14:solidFill>
              <w14:schemeClr w14:val="tx1"/>
            </w14:solidFill>
          </w14:textFill>
        </w:rPr>
        <w:t xml:space="preserve">的</w:t>
      </w:r>
      <w:r>
        <w:rPr>
          <w:rFonts w:hint="eastAsia" w:ascii="宋体" w:hAnsi="宋体" w:cs="宋体"/>
          <w:color w:val="000000" w:themeColor="text1"/>
          <w:sz w:val="24"/>
          <w:u w:val="single"/>
          <w14:textFill>
            <w14:solidFill>
              <w14:schemeClr w14:val="tx1"/>
            </w14:solidFill>
          </w14:textFill>
        </w:rPr>
        <w:t xml:space="preserve">（</w:t>
      </w:r>
      <w:r>
        <w:rPr>
          <w:rFonts w:hint="eastAsia" w:ascii="宋体" w:hAnsi="宋体" w:cs="宋体"/>
          <w:color w:val="000000" w:themeColor="text1"/>
          <w:sz w:val="24"/>
          <w:u w:val="single"/>
          <w:lang w:eastAsia="zh-CN"/>
          <w14:textFill>
            <w14:solidFill>
              <w14:schemeClr w14:val="tx1"/>
            </w14:solidFill>
          </w14:textFill>
        </w:rPr>
        <w:t xml:space="preserve">双沟镇魏林安置小区10KV外线工程</w:t>
      </w:r>
      <w:r>
        <w:rPr>
          <w:rFonts w:hint="eastAsia" w:ascii="宋体" w:hAnsi="宋体" w:cs="宋体"/>
          <w:color w:val="000000" w:themeColor="text1"/>
          <w:sz w:val="24"/>
          <w:u w:val="single"/>
          <w14:textFill>
            <w14:solidFill>
              <w14:schemeClr w14:val="tx1"/>
            </w14:solidFill>
          </w14:textFill>
        </w:rPr>
        <w:t xml:space="preserve">）</w:t>
      </w:r>
      <w:r>
        <w:rPr>
          <w:rFonts w:hint="eastAsia" w:ascii="宋体" w:hAnsi="宋体" w:cs="宋体"/>
          <w:color w:val="000000" w:themeColor="text1"/>
          <w:sz w:val="24"/>
          <w14:textFill>
            <w14:solidFill>
              <w14:schemeClr w14:val="tx1"/>
            </w14:solidFill>
          </w14:textFill>
        </w:rPr>
        <w:t xml:space="preserve">采购活动</w:t>
      </w:r>
      <w:r>
        <w:rPr>
          <w:rFonts w:hint="eastAsia" w:ascii="宋体" w:hAnsi="宋体" w:cs="宋体"/>
          <w:color w:val="000000" w:themeColor="text1"/>
          <w:spacing w:val="6"/>
          <w:sz w:val="24"/>
          <w14:textFill>
            <w14:solidFill>
              <w14:schemeClr w14:val="tx1"/>
            </w14:solidFill>
          </w14:textFill>
        </w:rPr>
        <w:t xml:space="preserve">，工程的施工单位全部为符合政策要求的中小企业（或者：服务全部由符合政策要求的中小企业承接）。相关企业（含联合体中的中小企业、签订分包意向协议的中小企业）的具体情况如下：</w:t>
      </w:r>
      <w:r/>
    </w:p>
    <w:p>
      <w:pPr>
        <w:ind w:firstLine="504"/>
        <w:spacing w:line="360" w:lineRule="auto"/>
        <w:rPr>
          <w:rFonts w:ascii="宋体" w:hAnsi="宋体" w:cs="宋体"/>
          <w:color w:val="000000" w:themeColor="text1"/>
          <w:spacing w:val="6"/>
          <w:sz w:val="24"/>
          <w14:textFill>
            <w14:solidFill>
              <w14:schemeClr w14:val="tx1"/>
            </w14:solidFill>
          </w14:textFill>
        </w:rPr>
      </w:pPr>
      <w:r>
        <w:rPr>
          <w:rFonts w:hint="eastAsia" w:ascii="宋体" w:hAnsi="宋体" w:cs="宋体"/>
          <w:color w:val="000000" w:themeColor="text1"/>
          <w:spacing w:val="6"/>
          <w:sz w:val="24"/>
          <w:u w:val="single"/>
          <w14:textFill>
            <w14:solidFill>
              <w14:schemeClr w14:val="tx1"/>
            </w14:solidFill>
          </w14:textFill>
        </w:rPr>
        <w:t xml:space="preserve">（标的名称）</w:t>
      </w:r>
      <w:r>
        <w:rPr>
          <w:rFonts w:hint="eastAsia" w:ascii="宋体" w:hAnsi="宋体" w:cs="宋体"/>
          <w:color w:val="000000" w:themeColor="text1"/>
          <w:spacing w:val="6"/>
          <w:sz w:val="24"/>
          <w14:textFill>
            <w14:solidFill>
              <w14:schemeClr w14:val="tx1"/>
            </w14:solidFill>
          </w14:textFill>
        </w:rPr>
        <w:t xml:space="preserve">，属于</w:t>
      </w:r>
      <w:r>
        <w:rPr>
          <w:rFonts w:hint="eastAsia" w:ascii="宋体" w:hAnsi="宋体" w:cs="宋体"/>
          <w:color w:val="000000" w:themeColor="text1"/>
          <w:spacing w:val="6"/>
          <w:sz w:val="24"/>
          <w:u w:val="single"/>
          <w14:textFill>
            <w14:solidFill>
              <w14:schemeClr w14:val="tx1"/>
            </w14:solidFill>
          </w14:textFill>
        </w:rPr>
        <w:t xml:space="preserve">（采购文件中明确的所属行业）</w:t>
      </w:r>
      <w:r>
        <w:rPr>
          <w:rFonts w:hint="eastAsia" w:ascii="宋体" w:hAnsi="宋体" w:cs="宋体"/>
          <w:color w:val="000000" w:themeColor="text1"/>
          <w:spacing w:val="6"/>
          <w:sz w:val="24"/>
          <w14:textFill>
            <w14:solidFill>
              <w14:schemeClr w14:val="tx1"/>
            </w14:solidFill>
          </w14:textFill>
        </w:rPr>
        <w:t xml:space="preserve">；承建（承建）企业为（企业名称），从业人员（  ）人，营业收入为（   万元），资产总额为（  万元）①，属于（中型企业、小型企业、微型企业,</w:t>
      </w:r>
      <w:r>
        <w:rPr>
          <w:rFonts w:hint="eastAsia" w:ascii="宋体" w:hAnsi="宋体" w:cs="宋体"/>
          <w:b/>
          <w:bCs/>
          <w:color w:val="000000" w:themeColor="text1"/>
          <w:spacing w:val="6"/>
          <w:sz w:val="24"/>
          <w14:textFill>
            <w14:solidFill>
              <w14:schemeClr w14:val="tx1"/>
            </w14:solidFill>
          </w14:textFill>
        </w:rPr>
        <w:t xml:space="preserve">请勾选！</w:t>
      </w:r>
      <w:r>
        <w:rPr>
          <w:rFonts w:hint="eastAsia" w:ascii="宋体" w:hAnsi="宋体" w:cs="宋体"/>
          <w:color w:val="000000" w:themeColor="text1"/>
          <w:spacing w:val="6"/>
          <w:sz w:val="24"/>
          <w14:textFill>
            <w14:solidFill>
              <w14:schemeClr w14:val="tx1"/>
            </w14:solidFill>
          </w14:textFill>
        </w:rPr>
        <w:t xml:space="preserve">）；</w:t>
      </w:r>
      <w:r/>
    </w:p>
    <w:p>
      <w:pPr>
        <w:ind w:firstLine="504"/>
        <w:spacing w:line="480" w:lineRule="exact"/>
        <w:rPr>
          <w:rFonts w:ascii="宋体" w:hAnsi="宋体" w:cs="宋体"/>
          <w:color w:val="000000" w:themeColor="text1"/>
          <w:spacing w:val="6"/>
          <w:sz w:val="24"/>
          <w14:textFill>
            <w14:solidFill>
              <w14:schemeClr w14:val="tx1"/>
            </w14:solidFill>
          </w14:textFill>
        </w:rPr>
      </w:pPr>
      <w:r>
        <w:rPr>
          <w:rFonts w:hint="eastAsia" w:ascii="宋体" w:hAnsi="宋体" w:cs="宋体"/>
          <w:color w:val="000000" w:themeColor="text1"/>
          <w:spacing w:val="6"/>
          <w:sz w:val="24"/>
          <w:u w:val="single"/>
          <w14:textFill>
            <w14:solidFill>
              <w14:schemeClr w14:val="tx1"/>
            </w14:solidFill>
          </w14:textFill>
        </w:rPr>
        <w:t xml:space="preserve">（标的名称）</w:t>
      </w:r>
      <w:r>
        <w:rPr>
          <w:rFonts w:hint="eastAsia" w:ascii="宋体" w:hAnsi="宋体" w:cs="宋体"/>
          <w:color w:val="000000" w:themeColor="text1"/>
          <w:spacing w:val="6"/>
          <w:sz w:val="24"/>
          <w14:textFill>
            <w14:solidFill>
              <w14:schemeClr w14:val="tx1"/>
            </w14:solidFill>
          </w14:textFill>
        </w:rPr>
        <w:t xml:space="preserve">，属于</w:t>
      </w:r>
      <w:r>
        <w:rPr>
          <w:rFonts w:hint="eastAsia" w:ascii="宋体" w:hAnsi="宋体" w:cs="宋体"/>
          <w:color w:val="000000" w:themeColor="text1"/>
          <w:spacing w:val="6"/>
          <w:sz w:val="24"/>
          <w:u w:val="single"/>
          <w14:textFill>
            <w14:solidFill>
              <w14:schemeClr w14:val="tx1"/>
            </w14:solidFill>
          </w14:textFill>
        </w:rPr>
        <w:t xml:space="preserve">（采购文件中明确的所属行业）</w:t>
      </w:r>
      <w:r>
        <w:rPr>
          <w:rFonts w:hint="eastAsia" w:ascii="宋体" w:hAnsi="宋体" w:cs="宋体"/>
          <w:color w:val="000000" w:themeColor="text1"/>
          <w:spacing w:val="6"/>
          <w:sz w:val="24"/>
          <w14:textFill>
            <w14:solidFill>
              <w14:schemeClr w14:val="tx1"/>
            </w14:solidFill>
          </w14:textFill>
        </w:rPr>
        <w:t xml:space="preserve">；承建（承建）企业为（企业名称），从业人员（  ）人，营业收入为（   万元），资产总额为（  万元）①，属于（中型企业、小型企业、微型企业，</w:t>
      </w:r>
      <w:r>
        <w:rPr>
          <w:rFonts w:hint="eastAsia" w:ascii="宋体" w:hAnsi="宋体" w:cs="宋体"/>
          <w:b/>
          <w:bCs/>
          <w:color w:val="000000" w:themeColor="text1"/>
          <w:spacing w:val="6"/>
          <w:sz w:val="24"/>
          <w14:textFill>
            <w14:solidFill>
              <w14:schemeClr w14:val="tx1"/>
            </w14:solidFill>
          </w14:textFill>
        </w:rPr>
        <w:t xml:space="preserve">请勾选！</w:t>
      </w:r>
      <w:r>
        <w:rPr>
          <w:rFonts w:hint="eastAsia" w:ascii="宋体" w:hAnsi="宋体" w:cs="宋体"/>
          <w:color w:val="000000" w:themeColor="text1"/>
          <w:spacing w:val="6"/>
          <w:sz w:val="24"/>
          <w14:textFill>
            <w14:solidFill>
              <w14:schemeClr w14:val="tx1"/>
            </w14:solidFill>
          </w14:textFill>
        </w:rPr>
        <w:t xml:space="preserve">）；</w:t>
      </w:r>
      <w:r/>
    </w:p>
    <w:p>
      <w:pPr>
        <w:pStyle w:val="1020"/>
        <w:ind w:firstLine="480"/>
        <w:spacing w:line="360" w:lineRule="auto"/>
        <w:widowControl w:val="off"/>
        <w:rPr>
          <w:rFonts w:ascii="宋体" w:hAnsi="宋体" w:cs="宋体"/>
          <w:color w:val="000000" w:themeColor="text1"/>
          <w:spacing w:val="6"/>
          <w:sz w:val="24"/>
          <w:szCs w:val="24"/>
          <w14:textFill>
            <w14:solidFill>
              <w14:schemeClr w14:val="tx1"/>
            </w14:solidFill>
          </w14:textFill>
        </w:rPr>
      </w:pPr>
      <w:r>
        <w:rPr>
          <w:rFonts w:hint="eastAsia" w:ascii="宋体" w:hAnsi="宋体" w:cs="宋体"/>
          <w:color w:val="000000" w:themeColor="text1"/>
          <w:spacing w:val="6"/>
          <w:sz w:val="24"/>
          <w:szCs w:val="24"/>
          <w14:textFill>
            <w14:solidFill>
              <w14:schemeClr w14:val="tx1"/>
            </w14:solidFill>
          </w14:textFill>
        </w:rPr>
        <w:t xml:space="preserve">…</w:t>
      </w:r>
      <w:r/>
    </w:p>
    <w:p>
      <w:pPr>
        <w:ind w:firstLine="482"/>
        <w:spacing w:line="480" w:lineRule="exact"/>
        <w:rPr>
          <w:rFonts w:ascii="宋体" w:hAnsi="宋体" w:cs="宋体"/>
          <w:b/>
          <w:bCs/>
          <w:color w:val="000000" w:themeColor="text1"/>
          <w:spacing w:val="6"/>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以上企业，不属于大企业的分支机构，不存在控股股东为大企业的情形，也不存在与大企业的负责人为同一人的情形。</w:t>
      </w:r>
      <w:r/>
    </w:p>
    <w:p>
      <w:pPr>
        <w:ind w:firstLine="480"/>
        <w:spacing w:line="480" w:lineRule="exact"/>
        <w:rPr>
          <w:rFonts w:ascii="宋体" w:hAnsi="宋体" w:cs="宋体"/>
          <w:color w:val="000000" w:themeColor="text1"/>
          <w:spacing w:val="6"/>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本企业对上述声明内容的真实性负责。如有虚假，将依法承担相应责任。</w:t>
      </w:r>
      <w:r/>
    </w:p>
    <w:p>
      <w:pPr>
        <w:ind w:firstLine="600"/>
        <w:jc w:val="left"/>
        <w:spacing w:line="480" w:lineRule="exact"/>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ind w:firstLine="480"/>
        <w:spacing w:line="48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企业名称（盖章）：</w:t>
      </w:r>
      <w:r/>
    </w:p>
    <w:p>
      <w:pPr>
        <w:ind w:firstLine="480"/>
        <w:spacing w:line="48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日期：</w:t>
      </w:r>
      <w:r/>
    </w:p>
    <w:p>
      <w:pPr>
        <w:ind w:firstLine="600"/>
        <w:spacing w:line="480" w:lineRule="exact"/>
        <w:rPr>
          <w:rFonts w:ascii="宋体" w:hAnsi="宋体" w:cs="宋体"/>
          <w:color w:val="000000" w:themeColor="text1"/>
          <w:sz w:val="30"/>
          <w:szCs w:val="30"/>
          <w14:textFill>
            <w14:solidFill>
              <w14:schemeClr w14:val="tx1"/>
            </w14:solidFill>
          </w14:textFill>
        </w:rPr>
      </w:pPr>
      <w:r>
        <w:rPr>
          <w:rFonts w:ascii="宋体" w:hAnsi="宋体" w:cs="宋体"/>
          <w:color w:val="000000" w:themeColor="text1"/>
          <w:sz w:val="30"/>
          <w:szCs w:val="30"/>
          <w14:textFill>
            <w14:solidFill>
              <w14:schemeClr w14:val="tx1"/>
            </w14:solidFill>
          </w14:textFill>
        </w:rPr>
      </w:r>
      <w:r/>
    </w:p>
    <w:p>
      <w:pPr>
        <w:ind w:firstLine="482"/>
        <w:spacing w:line="480" w:lineRule="exact"/>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注：本项目采购项目属性为：建筑业。</w:t>
      </w:r>
      <w:r/>
    </w:p>
    <w:p>
      <w:pPr>
        <w:ind w:firstLine="482"/>
        <w:spacing w:line="480" w:lineRule="exact"/>
        <w:rPr>
          <w:rFonts w:ascii="宋体" w:hAnsi="宋体" w:cs="宋体"/>
          <w:color w:val="000000" w:themeColor="text1"/>
          <w:sz w:val="30"/>
          <w:szCs w:val="30"/>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备注：从业人员、营业收入、资产总额填报上一年度数据，无上一年度数据的新成立企业可不填报。</w:t>
      </w:r>
      <w:r/>
    </w:p>
    <w:p>
      <w:pPr>
        <w:pStyle w:val="1216"/>
        <w:spacing w:before="0" w:beforeAutospacing="0" w:after="0" w:afterAutospacing="0" w:line="360" w:lineRule="auto"/>
        <w:rPr>
          <w:rFonts w:cs="宋体"/>
          <w:color w:val="000000" w:themeColor="text1"/>
          <w:sz w:val="15"/>
          <w:szCs w:val="15"/>
          <w14:textFill>
            <w14:solidFill>
              <w14:schemeClr w14:val="tx1"/>
            </w14:solidFill>
          </w14:textFill>
        </w:rPr>
      </w:pPr>
      <w:r>
        <w:rPr>
          <w:rFonts w:cs="宋体"/>
          <w:color w:val="000000" w:themeColor="text1"/>
          <w:sz w:val="15"/>
          <w:szCs w:val="15"/>
          <w14:textFill>
            <w14:solidFill>
              <w14:schemeClr w14:val="tx1"/>
            </w14:solidFill>
          </w14:textFill>
        </w:rPr>
      </w:r>
      <w:r/>
    </w:p>
    <w:p>
      <w:pPr>
        <w:pStyle w:val="1216"/>
        <w:jc w:val="center"/>
        <w:spacing w:before="0" w:beforeAutospacing="0" w:after="0" w:afterAutospacing="0" w:line="360" w:lineRule="auto"/>
        <w:rPr>
          <w:rFonts w:cs="宋体"/>
          <w:color w:val="000000" w:themeColor="text1"/>
          <w:sz w:val="15"/>
          <w:szCs w:val="15"/>
          <w14:textFill>
            <w14:solidFill>
              <w14:schemeClr w14:val="tx1"/>
            </w14:solidFill>
          </w14:textFill>
        </w:rPr>
      </w:pPr>
      <w:r>
        <w:rPr>
          <w:rFonts w:hint="eastAsia" w:cs="宋体"/>
          <w:b/>
          <w:color w:val="000000" w:themeColor="text1"/>
          <w14:textFill>
            <w14:solidFill>
              <w14:schemeClr w14:val="tx1"/>
            </w14:solidFill>
          </w14:textFill>
        </w:rPr>
        <w:t xml:space="preserve">《中小企业声明函》查询渠道参考工业和信息化部发布的中小企业规模自测小程序</w:t>
      </w:r>
      <w:r/>
    </w:p>
    <w:p>
      <w:pPr>
        <w:pStyle w:val="1216"/>
        <w:spacing w:before="0" w:beforeAutospacing="0" w:after="0" w:afterAutospacing="0" w:line="360" w:lineRule="auto"/>
        <w:rPr>
          <w:rFonts w:cs="宋体"/>
          <w:color w:val="000000" w:themeColor="text1"/>
          <w:sz w:val="22"/>
          <w:szCs w:val="22"/>
          <w14:textFill>
            <w14:solidFill>
              <w14:schemeClr w14:val="tx1"/>
            </w14:solidFill>
          </w14:textFill>
        </w:rPr>
      </w:pPr>
      <w:r>
        <w:rPr>
          <w:rFonts w:cs="宋体"/>
          <w:color w:val="000000" w:themeColor="text1"/>
          <w:sz w:val="22"/>
          <w:szCs w:val="22"/>
          <w14:textFill>
            <w14:solidFill>
              <w14:schemeClr w14:val="tx1"/>
            </w14:solidFill>
          </w14:textFill>
        </w:rPr>
      </w:r>
      <w:r/>
    </w:p>
    <w:p>
      <w:pPr>
        <w:pStyle w:val="1216"/>
        <w:spacing w:before="0" w:beforeAutospacing="0" w:after="0" w:afterAutospacing="0" w:line="360" w:lineRule="auto"/>
        <w:rPr>
          <w:rFonts w:cs="宋体"/>
          <w:color w:val="000000" w:themeColor="text1"/>
          <w:sz w:val="22"/>
          <w:szCs w:val="22"/>
          <w14:textFill>
            <w14:solidFill>
              <w14:schemeClr w14:val="tx1"/>
            </w14:solidFill>
          </w14:textFill>
        </w:rPr>
      </w:pPr>
      <w:r>
        <w:rPr>
          <w:rFonts w:cs="宋体"/>
          <w:color w:val="000000" w:themeColor="text1"/>
          <w:sz w:val="22"/>
          <w:szCs w:val="22"/>
          <w14:textFill>
            <w14:solidFill>
              <w14:schemeClr w14:val="tx1"/>
            </w14:solidFill>
          </w14:textFill>
        </w:rPr>
      </w:r>
      <w:r/>
    </w:p>
    <w:p>
      <w:pPr>
        <w:pStyle w:val="1216"/>
        <w:spacing w:before="0" w:beforeAutospacing="0" w:after="0" w:afterAutospacing="0" w:line="360" w:lineRule="auto"/>
        <w:rPr>
          <w:rFonts w:cs="宋体"/>
          <w:color w:val="000000" w:themeColor="text1"/>
          <w:sz w:val="28"/>
          <w:szCs w:val="28"/>
          <w14:textFill>
            <w14:solidFill>
              <w14:schemeClr w14:val="tx1"/>
            </w14:solidFill>
          </w14:textFill>
        </w:rPr>
      </w:pPr>
      <w:r>
        <w:rPr>
          <w:rFonts w:hint="eastAsia" w:cs="宋体"/>
          <w:color w:val="000000" w:themeColor="text1"/>
          <w:sz w:val="28"/>
          <w:szCs w:val="28"/>
          <w14:textFill>
            <w14:solidFill>
              <w14:schemeClr w14:val="tx1"/>
            </w14:solidFill>
          </w14:textFill>
        </w:rPr>
        <w:t xml:space="preserve">为方便中小企业和社会各界使用自测结果，小程序增加自测结果打印功能，测试者可按照小程序填写测试企业有关信息并完成自测后，保存自测结果自行打印。</w:t>
      </w:r>
      <w:r/>
    </w:p>
    <w:p>
      <w:pPr>
        <w:pStyle w:val="1216"/>
        <w:ind w:firstLine="440"/>
        <w:spacing w:before="0" w:beforeAutospacing="0" w:after="0" w:afterAutospacing="0" w:line="360" w:lineRule="auto"/>
        <w:rPr>
          <w:rFonts w:cs="宋体"/>
          <w:color w:val="000000" w:themeColor="text1"/>
          <w:sz w:val="28"/>
          <w:szCs w:val="28"/>
          <w14:textFill>
            <w14:solidFill>
              <w14:schemeClr w14:val="tx1"/>
            </w14:solidFill>
          </w14:textFill>
        </w:rPr>
      </w:pPr>
      <w:r>
        <w:rPr>
          <w:rFonts w:hint="eastAsia" w:cs="宋体"/>
          <w:color w:val="000000" w:themeColor="text1"/>
          <w:sz w:val="28"/>
          <w:szCs w:val="28"/>
          <w14:textFill>
            <w14:solidFill>
              <w14:schemeClr w14:val="tx1"/>
            </w14:solidFill>
          </w14:textFill>
        </w:rPr>
        <w:t xml:space="preserve">如有疑问，可与市工信局中小企业综合协调处咨询联系。联系电话：0516-83861958</w:t>
      </w:r>
      <w:r/>
    </w:p>
    <w:p>
      <w:pPr>
        <w:jc w:val="center"/>
        <w:spacing w:line="360" w:lineRule="auto"/>
        <w:widowControl/>
        <w:rPr>
          <w:rFonts w:ascii="宋体" w:hAnsi="宋体" w:cs="宋体"/>
          <w:b/>
          <w:color w:val="000000" w:themeColor="text1"/>
          <w:sz w:val="36"/>
          <w:szCs w:val="36"/>
          <w14:textFill>
            <w14:solidFill>
              <w14:schemeClr w14:val="tx1"/>
            </w14:solidFill>
          </w14:textFill>
        </w:rPr>
      </w:pPr>
      <w:r>
        <w:rPr>
          <w:rFonts w:ascii="宋体" w:hAnsi="宋体" w:cs="宋体"/>
          <w:b/>
          <w:color w:val="000000" w:themeColor="text1"/>
          <w:sz w:val="36"/>
          <w:szCs w:val="36"/>
          <w14:textFill>
            <w14:solidFill>
              <w14:schemeClr w14:val="tx1"/>
            </w14:solidFill>
          </w14:textFill>
        </w:rPr>
      </w:r>
      <w:r/>
    </w:p>
    <w:p>
      <w:pPr>
        <w:jc w:val="center"/>
        <w:spacing w:line="360" w:lineRule="auto"/>
        <w:rPr>
          <w:rFonts w:ascii="宋体" w:hAnsi="宋体" w:cs="宋体"/>
          <w:color w:val="000000" w:themeColor="text1"/>
          <w:sz w:val="24"/>
          <w:szCs w:val="21"/>
          <w14:textFill>
            <w14:solidFill>
              <w14:schemeClr w14:val="tx1"/>
            </w14:solidFill>
          </w14:textFill>
        </w:rPr>
      </w:pPr>
      <w:r>
        <w:rPr>
          <w:rFonts w:hint="eastAsia" w:ascii="宋体" w:hAnsi="宋体" w:cs="宋体"/>
          <w:color w:val="000000" w:themeColor="text1"/>
          <w:sz w:val="24"/>
          <w:szCs w:val="21"/>
          <w14:textFill>
            <w14:solidFill>
              <w14:schemeClr w14:val="tx1"/>
            </w14:solidFill>
          </w14:textFill>
        </w:rPr>
        <mc:AlternateContent>
          <mc:Choice Requires="wpg">
            <w:drawing>
              <wp:inline xmlns:wp="http://schemas.openxmlformats.org/drawingml/2006/wordprocessingDrawing" distT="0" distB="0" distL="0" distR="0">
                <wp:extent cx="2905125" cy="4823460"/>
                <wp:effectExtent l="0" t="0" r="5715" b="7620"/>
                <wp:docPr id="8" name="图片 5"/>
                <wp:cNvGraphicFramePr/>
                <a:graphic xmlns:a="http://schemas.openxmlformats.org/drawingml/2006/main">
                  <a:graphicData uri="http://schemas.openxmlformats.org/drawingml/2006/picture">
                    <pic:pic xmlns:pic="http://schemas.openxmlformats.org/drawingml/2006/picture">
                      <pic:nvPicPr>
                        <pic:cNvPr id="8" name="图片 5"/>
                        <pic:cNvPicPr/>
                        <pic:nvPr/>
                      </pic:nvPicPr>
                      <pic:blipFill>
                        <a:blip r:embed="rId23"/>
                        <a:stretch/>
                      </pic:blipFill>
                      <pic:spPr bwMode="auto">
                        <a:xfrm>
                          <a:off x="0" y="0"/>
                          <a:ext cx="2905125" cy="48234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228.8pt;height:379.8pt;mso-wrap-distance-left:0.0pt;mso-wrap-distance-top:0.0pt;mso-wrap-distance-right:0.0pt;mso-wrap-distance-bottom:0.0pt;" stroked="f">
                <v:path textboxrect="0,0,0,0"/>
                <v:imagedata r:id="rId23" o:title=""/>
              </v:shape>
            </w:pict>
          </mc:Fallback>
        </mc:AlternateContent>
      </w:r>
      <w:bookmarkEnd w:id="378"/>
      <w:r/>
      <w:r/>
    </w:p>
    <w:p>
      <w:pPr>
        <w:ind w:right="480"/>
        <w:spacing w:before="100" w:beforeAutospacing="1" w:afterAutospacing="1" w:line="450" w:lineRule="atLeast"/>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jc w:val="center"/>
        <w:rPr>
          <w:rFonts w:ascii="宋体" w:hAnsi="宋体" w:cs="宋体"/>
          <w:b/>
          <w:color w:val="000000" w:themeColor="text1"/>
          <w:sz w:val="36"/>
          <w:szCs w:val="36"/>
          <w14:textFill>
            <w14:solidFill>
              <w14:schemeClr w14:val="tx1"/>
            </w14:solidFill>
          </w14:textFill>
        </w:rPr>
      </w:pPr>
      <w:r>
        <w:rPr>
          <w:rFonts w:hint="eastAsia" w:ascii="宋体" w:hAnsi="宋体" w:cs="宋体"/>
          <w:color w:val="000000" w:themeColor="text1"/>
          <w:sz w:val="36"/>
          <w:szCs w:val="36"/>
          <w14:textFill>
            <w14:solidFill>
              <w14:schemeClr w14:val="tx1"/>
            </w14:solidFill>
          </w14:textFill>
        </w:rPr>
        <w:br w:type="page" w:clear="all"/>
      </w:r>
      <w:r>
        <w:rPr>
          <w:rFonts w:hint="eastAsia" w:ascii="宋体" w:hAnsi="宋体" w:cs="宋体"/>
          <w:b/>
          <w:color w:val="000000" w:themeColor="text1"/>
          <w:sz w:val="36"/>
          <w:szCs w:val="36"/>
          <w14:textFill>
            <w14:solidFill>
              <w14:schemeClr w14:val="tx1"/>
            </w14:solidFill>
          </w14:textFill>
        </w:rPr>
        <w:t xml:space="preserve">12、供应商参加政府采购活动前3年内在经营活动中没有重大违法记录的书面声明</w:t>
      </w:r>
      <w:r/>
    </w:p>
    <w:p>
      <w:pPr>
        <w:ind w:firstLine="480"/>
        <w:jc w:val="left"/>
        <w:spacing w:before="100" w:beforeAutospacing="1" w:after="100" w:afterAutospacing="1" w:line="360" w:lineRule="auto"/>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我单位在参加</w:t>
      </w:r>
      <w:r>
        <w:rPr>
          <w:rFonts w:hint="eastAsia" w:ascii="宋体" w:hAnsi="宋体" w:cs="宋体"/>
          <w:color w:val="000000" w:themeColor="text1"/>
          <w:sz w:val="24"/>
          <w:lang w:eastAsia="zh-CN"/>
          <w14:textFill>
            <w14:solidFill>
              <w14:schemeClr w14:val="tx1"/>
            </w14:solidFill>
          </w14:textFill>
        </w:rPr>
        <w:t xml:space="preserve">双沟镇魏林安置小区10KV外线工程</w:t>
      </w:r>
      <w:r>
        <w:rPr>
          <w:rFonts w:hint="eastAsia" w:ascii="宋体" w:hAnsi="宋体" w:cs="宋体"/>
          <w:color w:val="000000" w:themeColor="text1"/>
          <w:sz w:val="24"/>
          <w14:textFill>
            <w14:solidFill>
              <w14:schemeClr w14:val="tx1"/>
            </w14:solidFill>
          </w14:textFill>
        </w:rPr>
        <w:t xml:space="preserve">（项目编号：JSZC-320324-JSRL-C</w:t>
      </w:r>
      <w:r>
        <w:rPr>
          <w:rFonts w:hint="eastAsia" w:ascii="宋体" w:hAnsi="宋体" w:cs="宋体"/>
          <w:color w:val="000000" w:themeColor="text1"/>
          <w:sz w:val="24"/>
          <w:lang w:eastAsia="zh-CN"/>
          <w14:textFill>
            <w14:solidFill>
              <w14:schemeClr w14:val="tx1"/>
            </w14:solidFill>
          </w14:textFill>
        </w:rPr>
        <w:t xml:space="preserve">2026-0003</w:t>
      </w:r>
      <w:r>
        <w:rPr>
          <w:rFonts w:hint="eastAsia" w:ascii="宋体" w:hAnsi="宋体" w:cs="宋体"/>
          <w:color w:val="000000" w:themeColor="text1"/>
          <w:sz w:val="24"/>
          <w14:textFill>
            <w14:solidFill>
              <w14:schemeClr w14:val="tx1"/>
            </w14:solidFill>
          </w14:textFill>
        </w:rPr>
        <w:t xml:space="preserve">）政府采购活动前3年内在经营活动中没有重大违法记录。重大违法记录是指因违法经营受到刑事处罚或者责令停产停业、吊销许可证或者执照、较大数额罚款等行政处罚。</w:t>
      </w:r>
      <w:r/>
    </w:p>
    <w:p>
      <w:pPr>
        <w:ind w:firstLine="480"/>
        <w:jc w:val="left"/>
        <w:spacing w:before="100" w:beforeAutospacing="1" w:after="100" w:afterAutospacing="1" w:line="360" w:lineRule="auto"/>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我单位对上述声明的真实性负责。如有虚假，将依法承担相应责任。</w:t>
      </w:r>
      <w:r/>
    </w:p>
    <w:p>
      <w:pPr>
        <w:ind w:right="29"/>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ind w:right="29"/>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ind w:right="29" w:firstLine="312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供应商（电子签章）：</w:t>
      </w:r>
      <w:r/>
    </w:p>
    <w:p>
      <w:pPr>
        <w:ind w:right="29"/>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w:t>
      </w:r>
      <w:r/>
    </w:p>
    <w:p>
      <w:pPr>
        <w:ind w:right="29"/>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w:t>
      </w:r>
      <w:r/>
    </w:p>
    <w:p>
      <w:pPr>
        <w:ind w:right="29"/>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日期：</w:t>
      </w:r>
      <w:r/>
    </w:p>
    <w:p>
      <w:pPr>
        <w:pStyle w:val="1010"/>
        <w:ind w:left="239" w:firstLine="2640"/>
        <w:spacing w:before="0" w:beforeAutospacing="0" w:after="0" w:afterAutospacing="0" w:line="360" w:lineRule="auto"/>
        <w:rPr>
          <w:rFonts w:cs="宋体"/>
          <w:color w:val="000000" w:themeColor="text1"/>
          <w14:textFill>
            <w14:solidFill>
              <w14:schemeClr w14:val="tx1"/>
            </w14:solidFill>
          </w14:textFill>
        </w:rPr>
      </w:pPr>
      <w:r>
        <w:rPr>
          <w:rFonts w:cs="宋体"/>
          <w:color w:val="000000" w:themeColor="text1"/>
          <w14:textFill>
            <w14:solidFill>
              <w14:schemeClr w14:val="tx1"/>
            </w14:solidFill>
          </w14:textFill>
        </w:rPr>
      </w:r>
      <w:r/>
    </w:p>
    <w:p>
      <w:pPr>
        <w:pStyle w:val="1010"/>
        <w:ind w:left="239" w:firstLine="2640"/>
        <w:rPr>
          <w:rFonts w:cs="宋体"/>
          <w:color w:val="000000" w:themeColor="text1"/>
          <w14:textFill>
            <w14:solidFill>
              <w14:schemeClr w14:val="tx1"/>
            </w14:solidFill>
          </w14:textFill>
        </w:rPr>
      </w:pPr>
      <w:r>
        <w:rPr>
          <w:rFonts w:cs="宋体"/>
          <w:color w:val="000000" w:themeColor="text1"/>
          <w14:textFill>
            <w14:solidFill>
              <w14:schemeClr w14:val="tx1"/>
            </w14:solidFill>
          </w14:textFill>
        </w:rPr>
      </w:r>
      <w:r/>
    </w:p>
    <w:p>
      <w:pPr>
        <w:pStyle w:val="1010"/>
        <w:ind w:left="239" w:firstLine="2640"/>
        <w:rPr>
          <w:rFonts w:cs="宋体"/>
          <w:color w:val="000000" w:themeColor="text1"/>
          <w14:textFill>
            <w14:solidFill>
              <w14:schemeClr w14:val="tx1"/>
            </w14:solidFill>
          </w14:textFill>
        </w:rPr>
      </w:pPr>
      <w:r>
        <w:rPr>
          <w:rFonts w:cs="宋体"/>
          <w:color w:val="000000" w:themeColor="text1"/>
          <w14:textFill>
            <w14:solidFill>
              <w14:schemeClr w14:val="tx1"/>
            </w14:solidFill>
          </w14:textFill>
        </w:rPr>
      </w:r>
      <w:r/>
    </w:p>
    <w:p>
      <w:pPr>
        <w:pStyle w:val="1010"/>
        <w:ind w:left="239" w:firstLine="2640"/>
        <w:rPr>
          <w:rFonts w:cs="宋体"/>
          <w:color w:val="000000" w:themeColor="text1"/>
          <w14:textFill>
            <w14:solidFill>
              <w14:schemeClr w14:val="tx1"/>
            </w14:solidFill>
          </w14:textFill>
        </w:rPr>
      </w:pPr>
      <w:r>
        <w:rPr>
          <w:rFonts w:cs="宋体"/>
          <w:color w:val="000000" w:themeColor="text1"/>
          <w14:textFill>
            <w14:solidFill>
              <w14:schemeClr w14:val="tx1"/>
            </w14:solidFill>
          </w14:textFill>
        </w:rPr>
      </w:r>
      <w:r/>
    </w:p>
    <w:p>
      <w:pPr>
        <w:pStyle w:val="1010"/>
        <w:ind w:left="239" w:firstLine="2640"/>
        <w:rPr>
          <w:rFonts w:cs="宋体"/>
          <w:color w:val="000000" w:themeColor="text1"/>
          <w14:textFill>
            <w14:solidFill>
              <w14:schemeClr w14:val="tx1"/>
            </w14:solidFill>
          </w14:textFill>
        </w:rPr>
      </w:pPr>
      <w:r>
        <w:rPr>
          <w:rFonts w:cs="宋体"/>
          <w:color w:val="000000" w:themeColor="text1"/>
          <w14:textFill>
            <w14:solidFill>
              <w14:schemeClr w14:val="tx1"/>
            </w14:solidFill>
          </w14:textFill>
        </w:rPr>
      </w:r>
      <w:r/>
    </w:p>
    <w:p>
      <w:pPr>
        <w:pStyle w:val="1010"/>
        <w:ind w:left="239" w:firstLine="2640"/>
        <w:rPr>
          <w:rFonts w:cs="宋体"/>
          <w:color w:val="000000" w:themeColor="text1"/>
          <w14:textFill>
            <w14:solidFill>
              <w14:schemeClr w14:val="tx1"/>
            </w14:solidFill>
          </w14:textFill>
        </w:rPr>
      </w:pPr>
      <w:r>
        <w:rPr>
          <w:rFonts w:cs="宋体"/>
          <w:color w:val="000000" w:themeColor="text1"/>
          <w14:textFill>
            <w14:solidFill>
              <w14:schemeClr w14:val="tx1"/>
            </w14:solidFill>
          </w14:textFill>
        </w:rPr>
      </w:r>
      <w:r/>
    </w:p>
    <w:p>
      <w:pPr>
        <w:pStyle w:val="1010"/>
        <w:ind w:left="239" w:firstLine="2640"/>
        <w:rPr>
          <w:rFonts w:cs="宋体"/>
          <w:color w:val="000000" w:themeColor="text1"/>
          <w14:textFill>
            <w14:solidFill>
              <w14:schemeClr w14:val="tx1"/>
            </w14:solidFill>
          </w14:textFill>
        </w:rPr>
      </w:pPr>
      <w:r>
        <w:rPr>
          <w:rFonts w:cs="宋体"/>
          <w:color w:val="000000" w:themeColor="text1"/>
          <w14:textFill>
            <w14:solidFill>
              <w14:schemeClr w14:val="tx1"/>
            </w14:solidFill>
          </w14:textFill>
        </w:rPr>
      </w:r>
      <w:r/>
    </w:p>
    <w:p>
      <w:pPr>
        <w:pStyle w:val="1010"/>
        <w:ind w:left="239" w:firstLine="2640"/>
        <w:rPr>
          <w:rFonts w:cs="宋体"/>
          <w:color w:val="000000" w:themeColor="text1"/>
          <w14:textFill>
            <w14:solidFill>
              <w14:schemeClr w14:val="tx1"/>
            </w14:solidFill>
          </w14:textFill>
        </w:rPr>
      </w:pPr>
      <w:r>
        <w:rPr>
          <w:rFonts w:cs="宋体"/>
          <w:color w:val="000000" w:themeColor="text1"/>
          <w14:textFill>
            <w14:solidFill>
              <w14:schemeClr w14:val="tx1"/>
            </w14:solidFill>
          </w14:textFill>
        </w:rPr>
      </w:r>
      <w:r/>
    </w:p>
    <w:p>
      <w:pPr>
        <w:jc w:val="center"/>
        <w:rPr>
          <w:rFonts w:ascii="宋体" w:hAnsi="宋体" w:cs="宋体"/>
          <w:color w:val="000000" w:themeColor="text1"/>
          <w:sz w:val="36"/>
          <w:szCs w:val="36"/>
          <w14:textFill>
            <w14:solidFill>
              <w14:schemeClr w14:val="tx1"/>
            </w14:solidFill>
          </w14:textFill>
        </w:rPr>
        <w:sectPr>
          <w:headerReference w:type="default" r:id="rId13"/>
          <w:footerReference w:type="default" r:id="rId18"/>
          <w:footerReference w:type="first" r:id="rId19"/>
          <w:footnotePr/>
          <w:endnotePr/>
          <w:type w:val="nextPage"/>
          <w:pgSz w:w="11906" w:h="16838" w:orient="portrait"/>
          <w:pgMar w:top="1440" w:right="1213" w:bottom="1440" w:left="1327" w:header="851" w:footer="992" w:gutter="0"/>
          <w:cols w:num="1" w:sep="0" w:space="1701" w:equalWidth="1"/>
          <w:docGrid w:linePitch="360"/>
          <w:titlePg/>
        </w:sectPr>
      </w:pPr>
      <w:r>
        <w:rPr>
          <w:rFonts w:ascii="宋体" w:hAnsi="宋体" w:cs="宋体"/>
          <w:color w:val="000000" w:themeColor="text1"/>
          <w:sz w:val="36"/>
          <w:szCs w:val="36"/>
          <w14:textFill>
            <w14:solidFill>
              <w14:schemeClr w14:val="tx1"/>
            </w14:solidFill>
          </w14:textFill>
        </w:rPr>
      </w:r>
      <w:r/>
    </w:p>
    <w:p>
      <w:pPr>
        <w:jc w:val="center"/>
        <w:rPr>
          <w:rFonts w:ascii="宋体" w:hAnsi="宋体" w:cs="宋体"/>
          <w:b/>
          <w:color w:val="000000" w:themeColor="text1"/>
          <w:sz w:val="36"/>
          <w:szCs w:val="36"/>
          <w14:textFill>
            <w14:solidFill>
              <w14:schemeClr w14:val="tx1"/>
            </w14:solidFill>
          </w14:textFill>
        </w:rPr>
      </w:pPr>
      <w:r>
        <w:rPr>
          <w:rFonts w:hint="eastAsia" w:ascii="宋体" w:hAnsi="宋体" w:cs="宋体"/>
          <w:b/>
          <w:color w:val="000000" w:themeColor="text1"/>
          <w:sz w:val="36"/>
          <w:szCs w:val="36"/>
          <w14:textFill>
            <w14:solidFill>
              <w14:schemeClr w14:val="tx1"/>
            </w14:solidFill>
          </w14:textFill>
        </w:rPr>
        <w:t xml:space="preserve">13、具备履行合同所必需的设备和专业技术能力的</w:t>
      </w:r>
      <w:r/>
    </w:p>
    <w:p>
      <w:pPr>
        <w:jc w:val="center"/>
        <w:rPr>
          <w:rFonts w:ascii="宋体" w:hAnsi="宋体" w:cs="宋体"/>
          <w:b/>
          <w:color w:val="000000" w:themeColor="text1"/>
          <w:sz w:val="36"/>
          <w:szCs w:val="36"/>
          <w14:textFill>
            <w14:solidFill>
              <w14:schemeClr w14:val="tx1"/>
            </w14:solidFill>
          </w14:textFill>
        </w:rPr>
      </w:pPr>
      <w:r>
        <w:rPr>
          <w:rFonts w:hint="eastAsia" w:ascii="宋体" w:hAnsi="宋体" w:cs="宋体"/>
          <w:b/>
          <w:color w:val="000000" w:themeColor="text1"/>
          <w:sz w:val="36"/>
          <w:szCs w:val="36"/>
          <w14:textFill>
            <w14:solidFill>
              <w14:schemeClr w14:val="tx1"/>
            </w14:solidFill>
          </w14:textFill>
        </w:rPr>
        <w:t xml:space="preserve">书面声明</w:t>
      </w:r>
      <w:r/>
    </w:p>
    <w:p>
      <w:pPr>
        <w:ind w:firstLine="480"/>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ind w:firstLine="480"/>
        <w:spacing w:line="360" w:lineRule="auto"/>
        <w:rPr>
          <w:rFonts w:ascii="宋体" w:hAnsi="宋体" w:cs="宋体"/>
          <w:color w:val="000000" w:themeColor="text1"/>
          <w:sz w:val="24"/>
          <w:szCs w:val="21"/>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项目编号：JSZC-320324-JSRL-C</w:t>
      </w:r>
      <w:r>
        <w:rPr>
          <w:rFonts w:hint="eastAsia" w:ascii="宋体" w:hAnsi="宋体" w:cs="宋体"/>
          <w:color w:val="000000" w:themeColor="text1"/>
          <w:sz w:val="24"/>
          <w:lang w:eastAsia="zh-CN"/>
          <w14:textFill>
            <w14:solidFill>
              <w14:schemeClr w14:val="tx1"/>
            </w14:solidFill>
          </w14:textFill>
        </w:rPr>
        <w:t xml:space="preserve">2026-0003</w:t>
      </w:r>
      <w:r>
        <w:rPr>
          <w:rFonts w:hint="eastAsia" w:ascii="宋体" w:hAnsi="宋体" w:cs="宋体"/>
          <w:color w:val="000000" w:themeColor="text1"/>
          <w:sz w:val="24"/>
          <w14:textFill>
            <w14:solidFill>
              <w14:schemeClr w14:val="tx1"/>
            </w14:solidFill>
          </w14:textFill>
        </w:rPr>
        <w:t xml:space="preserve"> </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项目名称：</w:t>
      </w:r>
      <w:r>
        <w:rPr>
          <w:rFonts w:hint="eastAsia" w:ascii="宋体" w:hAnsi="宋体" w:cs="宋体"/>
          <w:color w:val="000000" w:themeColor="text1"/>
          <w:sz w:val="24"/>
          <w:lang w:eastAsia="zh-CN"/>
          <w14:textFill>
            <w14:solidFill>
              <w14:schemeClr w14:val="tx1"/>
            </w14:solidFill>
          </w14:textFill>
        </w:rPr>
        <w:t xml:space="preserve">双沟镇魏林安置小区10KV外线工程</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供应商郑重声明：供应商具备履行合同（项目名称：</w:t>
      </w:r>
      <w:r>
        <w:rPr>
          <w:rFonts w:hint="eastAsia" w:ascii="宋体" w:hAnsi="宋体" w:cs="宋体"/>
          <w:color w:val="000000" w:themeColor="text1"/>
          <w:sz w:val="24"/>
          <w:lang w:eastAsia="zh-CN"/>
          <w14:textFill>
            <w14:solidFill>
              <w14:schemeClr w14:val="tx1"/>
            </w14:solidFill>
          </w14:textFill>
        </w:rPr>
        <w:t xml:space="preserve">双沟镇魏林安置小区10KV外线工程</w:t>
      </w:r>
      <w:r>
        <w:rPr>
          <w:rFonts w:hint="eastAsia" w:ascii="宋体" w:hAnsi="宋体" w:cs="宋体"/>
          <w:color w:val="000000" w:themeColor="text1"/>
          <w:sz w:val="24"/>
          <w14:textFill>
            <w14:solidFill>
              <w14:schemeClr w14:val="tx1"/>
            </w14:solidFill>
          </w14:textFill>
        </w:rPr>
        <w:t xml:space="preserve">），项目编号：JSZC-320324-JSRL-C</w:t>
      </w:r>
      <w:r>
        <w:rPr>
          <w:rFonts w:hint="eastAsia" w:ascii="宋体" w:hAnsi="宋体" w:cs="宋体"/>
          <w:color w:val="000000" w:themeColor="text1"/>
          <w:sz w:val="24"/>
          <w:lang w:eastAsia="zh-CN"/>
          <w14:textFill>
            <w14:solidFill>
              <w14:schemeClr w14:val="tx1"/>
            </w14:solidFill>
          </w14:textFill>
        </w:rPr>
        <w:t xml:space="preserve">2026-0003</w:t>
      </w:r>
      <w:r>
        <w:rPr>
          <w:rFonts w:hint="eastAsia" w:ascii="宋体" w:hAnsi="宋体" w:cs="宋体"/>
          <w:color w:val="000000" w:themeColor="text1"/>
          <w:sz w:val="24"/>
          <w14:textFill>
            <w14:solidFill>
              <w14:schemeClr w14:val="tx1"/>
            </w14:solidFill>
          </w14:textFill>
        </w:rPr>
        <w:t xml:space="preserve">）所必需的设备和专业技术能力，具体为：</w:t>
      </w:r>
      <w:r/>
    </w:p>
    <w:p>
      <w:pPr>
        <w:pStyle w:val="1023"/>
        <w:ind w:left="0" w:firstLine="482"/>
        <w:spacing w:after="0" w:line="360" w:lineRule="auto"/>
        <w:widowControl w:val="off"/>
        <w:rPr>
          <w:rFonts w:ascii="宋体" w:hAnsi="宋体" w:cs="宋体"/>
          <w:sz w:val="24"/>
          <w:szCs w:val="24"/>
        </w:rPr>
      </w:pPr>
      <w:r>
        <w:rPr>
          <w:rFonts w:ascii="宋体" w:hAnsi="宋体" w:cs="宋体"/>
          <w:sz w:val="24"/>
          <w:szCs w:val="24"/>
        </w:rPr>
      </w:r>
      <w:r/>
    </w:p>
    <w:p>
      <w:pPr>
        <w:pStyle w:val="1020"/>
        <w:ind w:firstLine="482"/>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①供应商的</w:t>
      </w:r>
      <w:r>
        <w:rPr>
          <w:rFonts w:hint="eastAsia" w:ascii="宋体" w:hAnsi="宋体" w:cs="宋体"/>
          <w:bCs/>
          <w:color w:val="000000" w:themeColor="text1"/>
          <w:sz w:val="24"/>
          <w:szCs w:val="24"/>
          <w:highlight w:val="none"/>
          <w:lang w:eastAsia="zh-CN"/>
          <w14:textFill>
            <w14:solidFill>
              <w14:schemeClr w14:val="tx1"/>
            </w14:solidFill>
          </w14:textFill>
        </w:rPr>
        <w:t xml:space="preserve">电力工程施工总承包叁级（含） 以上资质或输变电工程专业承包叁级（含）以上资质，并同时具备承装（修、试）电力设施许可证五级（含）以上等级证书</w:t>
      </w:r>
      <w:r>
        <w:rPr>
          <w:rFonts w:hint="eastAsia" w:ascii="宋体" w:hAnsi="宋体" w:cs="宋体"/>
          <w:bCs/>
          <w:color w:val="000000" w:themeColor="text1"/>
          <w:sz w:val="24"/>
          <w:szCs w:val="24"/>
          <w14:textFill>
            <w14:solidFill>
              <w14:schemeClr w14:val="tx1"/>
            </w14:solidFill>
          </w14:textFill>
        </w:rPr>
        <w:t xml:space="preserve">；</w:t>
      </w:r>
      <w:r/>
    </w:p>
    <w:p>
      <w:pPr>
        <w:pStyle w:val="1020"/>
        <w:ind w:firstLine="482"/>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②供应商的有效的《安全生产许可证》证书；</w:t>
      </w:r>
      <w:r/>
    </w:p>
    <w:p>
      <w:pPr>
        <w:pStyle w:val="1020"/>
        <w:ind w:firstLine="482"/>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③拟派项目负责人须具备</w:t>
      </w:r>
      <w:r>
        <w:rPr>
          <w:rFonts w:hint="eastAsia" w:ascii="宋体" w:hAnsi="宋体" w:cs="宋体"/>
          <w:bCs/>
          <w:color w:val="000000" w:themeColor="text1"/>
          <w:sz w:val="24"/>
          <w:szCs w:val="24"/>
          <w:lang w:eastAsia="zh-CN"/>
          <w14:textFill>
            <w14:solidFill>
              <w14:schemeClr w14:val="tx1"/>
            </w14:solidFill>
          </w14:textFill>
        </w:rPr>
        <w:t xml:space="preserve">机电工程专业贰级（含）</w:t>
      </w:r>
      <w:r>
        <w:rPr>
          <w:rFonts w:hint="eastAsia" w:ascii="宋体" w:hAnsi="宋体" w:cs="宋体"/>
          <w:bCs/>
          <w:color w:val="000000" w:themeColor="text1"/>
          <w:sz w:val="24"/>
          <w:szCs w:val="24"/>
          <w14:textFill>
            <w14:solidFill>
              <w14:schemeClr w14:val="tx1"/>
            </w14:solidFill>
          </w14:textFill>
        </w:rPr>
        <w:t xml:space="preserve">以上注册建造师资格，《建筑施工企业安全生产考核合格证书》（B证）</w:t>
      </w:r>
      <w:r>
        <w:rPr>
          <w:rFonts w:hint="eastAsia" w:ascii="宋体" w:hAnsi="宋体" w:cs="宋体"/>
          <w:bCs/>
          <w:color w:val="000000" w:themeColor="text1"/>
          <w:sz w:val="24"/>
          <w:szCs w:val="24"/>
          <w:lang w:eastAsia="zh-CN"/>
          <w14:textFill>
            <w14:solidFill>
              <w14:schemeClr w14:val="tx1"/>
            </w14:solidFill>
          </w14:textFill>
        </w:rPr>
        <w:t xml:space="preserve">，</w:t>
      </w:r>
      <w:r>
        <w:rPr>
          <w:rFonts w:hint="eastAsia" w:ascii="宋体" w:hAnsi="宋体" w:cs="宋体"/>
          <w:bCs/>
          <w:color w:val="000000" w:themeColor="text1"/>
          <w:sz w:val="24"/>
          <w:szCs w:val="24"/>
          <w:lang w:val="en-US" w:eastAsia="zh-CN"/>
          <w14:textFill>
            <w14:solidFill>
              <w14:schemeClr w14:val="tx1"/>
            </w14:solidFill>
          </w14:textFill>
        </w:rPr>
        <w:t xml:space="preserve">及无在建工程证明材料或承诺书</w:t>
      </w:r>
      <w:r>
        <w:rPr>
          <w:rFonts w:hint="eastAsia" w:ascii="宋体" w:hAnsi="宋体" w:cs="宋体"/>
          <w:bCs/>
          <w:color w:val="000000" w:themeColor="text1"/>
          <w:sz w:val="24"/>
          <w:szCs w:val="24"/>
          <w14:textFill>
            <w14:solidFill>
              <w14:schemeClr w14:val="tx1"/>
            </w14:solidFill>
          </w14:textFill>
        </w:rPr>
        <w:t xml:space="preserve">；</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④供应商认为需要补充的其他资料。（如有）</w:t>
      </w:r>
      <w:r/>
    </w:p>
    <w:p>
      <w:pPr>
        <w:ind w:firstLine="480"/>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特此声明。</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供应商对上述声明的真实性负责。如有虚假，将依法承担相应责任。</w:t>
      </w:r>
      <w:r/>
    </w:p>
    <w:p>
      <w:pPr>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ind w:firstLine="3600"/>
        <w:spacing w:line="30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供应商：（电子签章）</w:t>
      </w:r>
      <w:r/>
    </w:p>
    <w:p>
      <w:pPr>
        <w:ind w:firstLine="3600"/>
        <w:spacing w:line="30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ind w:firstLine="3600"/>
        <w:spacing w:line="30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w:t>
      </w:r>
      <w:r/>
    </w:p>
    <w:p>
      <w:pPr>
        <w:ind w:firstLine="3600"/>
        <w:spacing w:line="30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日期：   年  月  日</w:t>
      </w:r>
      <w:r/>
    </w:p>
    <w:p>
      <w:pPr>
        <w:jc w:val="center"/>
        <w:spacing w:line="588" w:lineRule="exact"/>
        <w:rPr>
          <w:rFonts w:ascii="宋体" w:hAnsi="宋体" w:cs="宋体"/>
          <w:b/>
          <w:color w:val="000000" w:themeColor="text1"/>
          <w:sz w:val="36"/>
          <w:szCs w:val="36"/>
          <w14:textFill>
            <w14:solidFill>
              <w14:schemeClr w14:val="tx1"/>
            </w14:solidFill>
          </w14:textFill>
        </w:rPr>
      </w:pPr>
      <w:r>
        <w:rPr>
          <w:rFonts w:hint="eastAsia" w:ascii="宋体" w:hAnsi="宋体" w:cs="宋体"/>
          <w:b/>
          <w:color w:val="000000" w:themeColor="text1"/>
          <w:sz w:val="36"/>
          <w:szCs w:val="36"/>
          <w14:textFill>
            <w14:solidFill>
              <w14:schemeClr w14:val="tx1"/>
            </w14:solidFill>
          </w14:textFill>
        </w:rPr>
        <w:br w:type="page" w:clear="all"/>
      </w:r>
      <w:bookmarkStart w:id="379" w:name="OLE_LINK14"/>
      <w:r/>
      <w:bookmarkStart w:id="380" w:name="OLE_LINK13"/>
      <w:r>
        <w:rPr>
          <w:rFonts w:hint="eastAsia" w:ascii="宋体" w:hAnsi="宋体" w:cs="宋体"/>
          <w:b/>
          <w:color w:val="000000" w:themeColor="text1"/>
          <w:sz w:val="36"/>
          <w:szCs w:val="36"/>
          <w14:textFill>
            <w14:solidFill>
              <w14:schemeClr w14:val="tx1"/>
            </w14:solidFill>
          </w14:textFill>
        </w:rPr>
        <w:t xml:space="preserve">14、</w:t>
      </w:r>
      <w:bookmarkStart w:id="381" w:name="_Hlk81985305"/>
      <w:r>
        <w:rPr>
          <w:rFonts w:hint="eastAsia" w:ascii="宋体" w:hAnsi="宋体" w:cs="宋体"/>
          <w:b/>
          <w:color w:val="000000" w:themeColor="text1"/>
          <w:sz w:val="36"/>
          <w:szCs w:val="36"/>
          <w14:textFill>
            <w14:solidFill>
              <w14:schemeClr w14:val="tx1"/>
            </w14:solidFill>
          </w14:textFill>
        </w:rPr>
        <w:t xml:space="preserve">残疾人福利性单位声明函</w:t>
      </w:r>
      <w:bookmarkEnd w:id="379"/>
      <w:r/>
      <w:bookmarkEnd w:id="380"/>
      <w:r/>
      <w:r/>
    </w:p>
    <w:p>
      <w:pPr>
        <w:pStyle w:val="1020"/>
        <w:jc w:val="center"/>
        <w:spacing w:line="0" w:lineRule="atLeast"/>
        <w:rPr>
          <w:rFonts w:ascii="宋体" w:hAnsi="宋体" w:cs="宋体"/>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（注：如供应商不属于残疾人福利性单位，不需提供此声明函）</w:t>
      </w:r>
      <w:r/>
    </w:p>
    <w:p>
      <w:pPr>
        <w:jc w:val="center"/>
        <w:spacing w:line="520" w:lineRule="exact"/>
        <w:rPr>
          <w:rFonts w:ascii="宋体" w:hAnsi="宋体" w:cs="宋体"/>
          <w:color w:val="000000" w:themeColor="text1"/>
          <w:spacing w:val="6"/>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项</w:t>
      </w:r>
      <w:r>
        <w:rPr>
          <w:rFonts w:hint="eastAsia" w:ascii="宋体" w:hAnsi="宋体" w:cs="宋体"/>
          <w:color w:val="000000" w:themeColor="text1"/>
          <w:spacing w:val="6"/>
          <w:sz w:val="24"/>
          <w14:textFill>
            <w14:solidFill>
              <w14:schemeClr w14:val="tx1"/>
            </w14:solidFill>
          </w14:textFill>
        </w:rPr>
        <w:t xml:space="preserve">目编号：JSZC-320324-JSRL-C</w:t>
      </w:r>
      <w:r>
        <w:rPr>
          <w:rFonts w:hint="eastAsia" w:ascii="宋体" w:hAnsi="宋体" w:cs="宋体"/>
          <w:color w:val="000000" w:themeColor="text1"/>
          <w:spacing w:val="6"/>
          <w:sz w:val="24"/>
          <w:lang w:eastAsia="zh-CN"/>
          <w14:textFill>
            <w14:solidFill>
              <w14:schemeClr w14:val="tx1"/>
            </w14:solidFill>
          </w14:textFill>
        </w:rPr>
        <w:t xml:space="preserve">2026-0003</w:t>
      </w:r>
      <w:r>
        <w:rPr>
          <w:rFonts w:hint="eastAsia" w:ascii="宋体" w:hAnsi="宋体" w:cs="宋体"/>
          <w:color w:val="000000" w:themeColor="text1"/>
          <w:spacing w:val="6"/>
          <w:sz w:val="24"/>
          <w14:textFill>
            <w14:solidFill>
              <w14:schemeClr w14:val="tx1"/>
            </w14:solidFill>
          </w14:textFill>
        </w:rPr>
        <w:t xml:space="preserve"> </w:t>
      </w:r>
      <w:r/>
    </w:p>
    <w:p>
      <w:pPr>
        <w:ind w:firstLine="504"/>
        <w:spacing w:line="520" w:lineRule="exact"/>
        <w:rPr>
          <w:rFonts w:ascii="宋体" w:hAnsi="宋体" w:cs="宋体"/>
          <w:color w:val="000000" w:themeColor="text1"/>
          <w:spacing w:val="6"/>
          <w:sz w:val="24"/>
          <w14:textFill>
            <w14:solidFill>
              <w14:schemeClr w14:val="tx1"/>
            </w14:solidFill>
          </w14:textFill>
        </w:rPr>
      </w:pPr>
      <w:r>
        <w:rPr>
          <w:rFonts w:hint="eastAsia" w:ascii="宋体" w:hAnsi="宋体" w:cs="宋体"/>
          <w:color w:val="000000" w:themeColor="text1"/>
          <w:spacing w:val="6"/>
          <w:sz w:val="24"/>
          <w14:textFill>
            <w14:solidFill>
              <w14:schemeClr w14:val="tx1"/>
            </w14:solidFill>
          </w14:textFill>
        </w:rPr>
        <w:t xml:space="preserve">本单位郑重声明，根据《财政部 民政部 中国残疾人联合会关于促进残疾人就业政府采购政策的通知》（财库</w:t>
      </w:r>
      <w:r>
        <w:rPr>
          <w:rFonts w:hint="eastAsia" w:ascii="宋体" w:hAnsi="宋体" w:cs="宋体"/>
          <w:color w:val="000000" w:themeColor="text1"/>
          <w:sz w:val="24"/>
          <w14:textFill>
            <w14:solidFill>
              <w14:schemeClr w14:val="tx1"/>
            </w14:solidFill>
          </w14:textFill>
        </w:rPr>
        <w:t xml:space="preserve">〔2017〕141</w:t>
      </w:r>
      <w:r>
        <w:rPr>
          <w:rFonts w:hint="eastAsia" w:ascii="宋体" w:hAnsi="宋体" w:cs="宋体"/>
          <w:color w:val="000000" w:themeColor="text1"/>
          <w:spacing w:val="6"/>
          <w:sz w:val="24"/>
          <w14:textFill>
            <w14:solidFill>
              <w14:schemeClr w14:val="tx1"/>
            </w14:solidFill>
          </w14:textFill>
        </w:rPr>
        <w:t xml:space="preserve">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p>
    <w:p>
      <w:pPr>
        <w:ind w:firstLine="504"/>
        <w:spacing w:line="520" w:lineRule="exact"/>
        <w:rPr>
          <w:rFonts w:ascii="宋体" w:hAnsi="宋体" w:cs="宋体"/>
          <w:color w:val="000000" w:themeColor="text1"/>
          <w:spacing w:val="6"/>
          <w:sz w:val="24"/>
          <w14:textFill>
            <w14:solidFill>
              <w14:schemeClr w14:val="tx1"/>
            </w14:solidFill>
          </w14:textFill>
        </w:rPr>
      </w:pPr>
      <w:r>
        <w:rPr>
          <w:rFonts w:hint="eastAsia" w:ascii="宋体" w:hAnsi="宋体" w:cs="宋体"/>
          <w:color w:val="000000" w:themeColor="text1"/>
          <w:spacing w:val="6"/>
          <w:sz w:val="24"/>
          <w14:textFill>
            <w14:solidFill>
              <w14:schemeClr w14:val="tx1"/>
            </w14:solidFill>
          </w14:textFill>
        </w:rPr>
        <w:t xml:space="preserve">本单位对上述声明的真实性负责。如有虚假，将依法承担相应责任。</w:t>
      </w:r>
      <w:r/>
    </w:p>
    <w:p>
      <w:pPr>
        <w:ind w:firstLine="504"/>
        <w:spacing w:line="520" w:lineRule="exact"/>
        <w:rPr>
          <w:rFonts w:ascii="宋体" w:hAnsi="宋体" w:cs="宋体"/>
          <w:color w:val="000000" w:themeColor="text1"/>
          <w:spacing w:val="6"/>
          <w:sz w:val="24"/>
          <w14:textFill>
            <w14:solidFill>
              <w14:schemeClr w14:val="tx1"/>
            </w14:solidFill>
          </w14:textFill>
        </w:rPr>
      </w:pPr>
      <w:r>
        <w:rPr>
          <w:rFonts w:ascii="宋体" w:hAnsi="宋体" w:cs="宋体"/>
          <w:color w:val="000000" w:themeColor="text1"/>
          <w:spacing w:val="6"/>
          <w:sz w:val="24"/>
          <w14:textFill>
            <w14:solidFill>
              <w14:schemeClr w14:val="tx1"/>
            </w14:solidFill>
          </w14:textFill>
        </w:rPr>
      </w:r>
      <w:r/>
    </w:p>
    <w:p>
      <w:pPr>
        <w:ind w:firstLine="504"/>
        <w:spacing w:line="520" w:lineRule="exact"/>
        <w:rPr>
          <w:rFonts w:ascii="宋体" w:hAnsi="宋体" w:cs="宋体"/>
          <w:color w:val="000000" w:themeColor="text1"/>
          <w:spacing w:val="6"/>
          <w:sz w:val="24"/>
          <w14:textFill>
            <w14:solidFill>
              <w14:schemeClr w14:val="tx1"/>
            </w14:solidFill>
          </w14:textFill>
        </w:rPr>
      </w:pPr>
      <w:r>
        <w:rPr>
          <w:rFonts w:ascii="宋体" w:hAnsi="宋体" w:cs="宋体"/>
          <w:color w:val="000000" w:themeColor="text1"/>
          <w:spacing w:val="6"/>
          <w:sz w:val="24"/>
          <w14:textFill>
            <w14:solidFill>
              <w14:schemeClr w14:val="tx1"/>
            </w14:solidFill>
          </w14:textFill>
        </w:rPr>
      </w:r>
      <w:r/>
    </w:p>
    <w:p>
      <w:pPr>
        <w:ind w:right="1560" w:firstLine="504"/>
        <w:jc w:val="center"/>
        <w:spacing w:line="520" w:lineRule="exact"/>
        <w:tabs>
          <w:tab w:val="left" w:pos="4860" w:leader="none"/>
        </w:tabs>
        <w:rPr>
          <w:rFonts w:ascii="宋体" w:hAnsi="宋体" w:cs="宋体"/>
          <w:color w:val="000000" w:themeColor="text1"/>
          <w:spacing w:val="6"/>
          <w:sz w:val="24"/>
          <w14:textFill>
            <w14:solidFill>
              <w14:schemeClr w14:val="tx1"/>
            </w14:solidFill>
          </w14:textFill>
        </w:rPr>
      </w:pPr>
      <w:r>
        <w:rPr>
          <w:rFonts w:hint="eastAsia" w:ascii="宋体" w:hAnsi="宋体" w:cs="宋体"/>
          <w:color w:val="000000" w:themeColor="text1"/>
          <w:spacing w:val="6"/>
          <w:sz w:val="24"/>
          <w14:textFill>
            <w14:solidFill>
              <w14:schemeClr w14:val="tx1"/>
            </w14:solidFill>
          </w14:textFill>
        </w:rPr>
        <w:t xml:space="preserve">               单位名称（电子签章）：</w:t>
      </w:r>
      <w:r/>
    </w:p>
    <w:p>
      <w:pPr>
        <w:ind w:right="1560" w:firstLine="504"/>
        <w:jc w:val="center"/>
        <w:spacing w:line="520" w:lineRule="exact"/>
        <w:tabs>
          <w:tab w:val="left" w:pos="4860" w:leader="none"/>
        </w:tabs>
        <w:rPr>
          <w:rFonts w:ascii="宋体" w:hAnsi="宋体" w:cs="宋体"/>
          <w:color w:val="000000" w:themeColor="text1"/>
          <w:spacing w:val="6"/>
          <w:sz w:val="24"/>
          <w14:textFill>
            <w14:solidFill>
              <w14:schemeClr w14:val="tx1"/>
            </w14:solidFill>
          </w14:textFill>
        </w:rPr>
      </w:pPr>
      <w:r>
        <w:rPr>
          <w:rFonts w:hint="eastAsia" w:ascii="宋体" w:hAnsi="宋体" w:cs="宋体"/>
          <w:color w:val="000000" w:themeColor="text1"/>
          <w:spacing w:val="6"/>
          <w:sz w:val="24"/>
          <w14:textFill>
            <w14:solidFill>
              <w14:schemeClr w14:val="tx1"/>
            </w14:solidFill>
          </w14:textFill>
        </w:rPr>
        <w:t xml:space="preserve">  日  期：</w:t>
      </w:r>
      <w:r/>
    </w:p>
    <w:p>
      <w:pPr>
        <w:spacing w:line="520" w:lineRule="exac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jc w:val="left"/>
        <w:spacing w:line="520" w:lineRule="exact"/>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说明：</w:t>
      </w:r>
      <w:r/>
    </w:p>
    <w:p>
      <w:pPr>
        <w:ind w:firstLine="480"/>
        <w:jc w:val="left"/>
        <w:spacing w:line="520" w:lineRule="exact"/>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成交、成交供应商为残疾人福利性单位的，采购人或者其委托的采购代理机构应当随成交、成交结果同时公告其《残疾人福利性单位声明函》，接受社会监督。</w:t>
      </w:r>
      <w:r/>
    </w:p>
    <w:p>
      <w:pPr>
        <w:ind w:firstLine="480"/>
        <w:jc w:val="left"/>
        <w:spacing w:line="520" w:lineRule="exact"/>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供应商提供的《残疾人福利性单位声明函》与事实不符的，依照《政府采购法》第七十七条第一款的规定追究法律责任。</w:t>
      </w:r>
      <w:bookmarkEnd w:id="381"/>
      <w:r/>
      <w:r/>
    </w:p>
    <w:p>
      <w:pPr>
        <w:ind w:firstLine="600"/>
        <w:jc w:val="left"/>
        <w:widowControl/>
        <w:rPr>
          <w:rFonts w:ascii="宋体" w:hAnsi="宋体" w:cs="宋体"/>
          <w:color w:val="000000" w:themeColor="text1"/>
          <w:sz w:val="30"/>
          <w:szCs w:val="30"/>
          <w14:textFill>
            <w14:solidFill>
              <w14:schemeClr w14:val="tx1"/>
            </w14:solidFill>
          </w14:textFill>
        </w:rPr>
      </w:pPr>
      <w:r>
        <w:rPr>
          <w:rFonts w:ascii="宋体" w:hAnsi="宋体" w:cs="宋体"/>
          <w:color w:val="000000" w:themeColor="text1"/>
          <w:sz w:val="30"/>
          <w:szCs w:val="30"/>
          <w14:textFill>
            <w14:solidFill>
              <w14:schemeClr w14:val="tx1"/>
            </w14:solidFill>
          </w14:textFill>
        </w:rPr>
      </w:r>
      <w:r/>
    </w:p>
    <w:p>
      <w:pPr>
        <w:jc w:val="center"/>
        <w:spacing w:line="360" w:lineRule="auto"/>
        <w:rPr>
          <w:rFonts w:ascii="宋体" w:hAnsi="宋体" w:cs="宋体"/>
          <w:b/>
          <w:color w:val="000000" w:themeColor="text1"/>
          <w:sz w:val="36"/>
          <w:szCs w:val="36"/>
          <w14:textFill>
            <w14:solidFill>
              <w14:schemeClr w14:val="tx1"/>
            </w14:solidFill>
          </w14:textFill>
        </w:rPr>
      </w:pPr>
      <w:r>
        <w:rPr>
          <w:rFonts w:hint="eastAsia" w:ascii="宋体" w:hAnsi="宋体" w:cs="宋体"/>
          <w:color w:val="000000" w:themeColor="text1"/>
          <w:sz w:val="30"/>
          <w:szCs w:val="30"/>
          <w14:textFill>
            <w14:solidFill>
              <w14:schemeClr w14:val="tx1"/>
            </w14:solidFill>
          </w14:textFill>
        </w:rPr>
        <w:br w:type="page" w:clear="all"/>
      </w:r>
      <w:r>
        <w:rPr>
          <w:rFonts w:hint="eastAsia" w:ascii="宋体" w:hAnsi="宋体" w:cs="宋体"/>
          <w:b/>
          <w:color w:val="000000" w:themeColor="text1"/>
          <w:sz w:val="36"/>
          <w:szCs w:val="36"/>
          <w14:textFill>
            <w14:solidFill>
              <w14:schemeClr w14:val="tx1"/>
            </w14:solidFill>
          </w14:textFill>
        </w:rPr>
        <w:t xml:space="preserve">15、预付款保函支付条款模板</w:t>
      </w:r>
      <w:r/>
    </w:p>
    <w:p>
      <w:pPr>
        <w:pStyle w:val="991"/>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pStyle w:val="991"/>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付款条件一：提交预付款保函的</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（1）合同签订且乙方向甲方出具预付款保函后个工作日内，甲方应支付合同价款的百分之</w:t>
      </w:r>
      <w:r>
        <w:rPr>
          <w:rFonts w:hint="eastAsia" w:ascii="宋体" w:hAnsi="宋体" w:cs="宋体"/>
          <w:color w:val="000000" w:themeColor="text1"/>
          <w:sz w:val="24"/>
          <w:u w:val="single"/>
          <w14:textFill>
            <w14:solidFill>
              <w14:schemeClr w14:val="tx1"/>
            </w14:solidFill>
          </w14:textFill>
        </w:rPr>
        <w:t xml:space="preserve">  xx  </w:t>
      </w:r>
      <w:r>
        <w:rPr>
          <w:rFonts w:hint="eastAsia" w:ascii="宋体" w:hAnsi="宋体" w:cs="宋体"/>
          <w:color w:val="000000" w:themeColor="text1"/>
          <w:sz w:val="24"/>
          <w14:textFill>
            <w14:solidFill>
              <w14:schemeClr w14:val="tx1"/>
            </w14:solidFill>
          </w14:textFill>
        </w:rPr>
        <w:t xml:space="preserve">（</w:t>
      </w:r>
      <w:r>
        <w:rPr>
          <w:rFonts w:hint="eastAsia" w:ascii="宋体" w:hAnsi="宋体" w:cs="宋体"/>
          <w:color w:val="000000" w:themeColor="text1"/>
          <w:sz w:val="24"/>
          <w:u w:val="single"/>
          <w14:textFill>
            <w14:solidFill>
              <w14:schemeClr w14:val="tx1"/>
            </w14:solidFill>
          </w14:textFill>
        </w:rPr>
        <w:t xml:space="preserve"> xx </w:t>
      </w:r>
      <w:r>
        <w:rPr>
          <w:rFonts w:hint="eastAsia" w:ascii="宋体" w:hAnsi="宋体" w:cs="宋体"/>
          <w:color w:val="000000" w:themeColor="text1"/>
          <w:sz w:val="24"/>
          <w14:textFill>
            <w14:solidFill>
              <w14:schemeClr w14:val="tx1"/>
            </w14:solidFill>
          </w14:textFill>
        </w:rPr>
        <w:t xml:space="preserve">%)小写¥大写：人民币。</w:t>
      </w:r>
      <w:r/>
    </w:p>
    <w:p>
      <w:pPr>
        <w:pStyle w:val="991"/>
        <w:ind w:firstLine="480"/>
        <w:spacing w:line="360" w:lineRule="auto"/>
        <w:tabs>
          <w:tab w:val="left" w:pos="5508"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（2）验收合格后个工作日内，甲方应支付合同价款的百分之</w:t>
      </w:r>
      <w:r>
        <w:rPr>
          <w:rFonts w:hint="eastAsia" w:ascii="宋体" w:hAnsi="宋体" w:cs="宋体"/>
          <w:color w:val="000000" w:themeColor="text1"/>
          <w:sz w:val="24"/>
          <w:u w:val="single"/>
          <w14:textFill>
            <w14:solidFill>
              <w14:schemeClr w14:val="tx1"/>
            </w14:solidFill>
          </w14:textFill>
        </w:rPr>
        <w:t xml:space="preserve"> XX </w:t>
      </w:r>
      <w:r>
        <w:rPr>
          <w:rFonts w:hint="eastAsia" w:ascii="宋体" w:hAnsi="宋体" w:cs="宋体"/>
          <w:color w:val="000000" w:themeColor="text1"/>
          <w:sz w:val="24"/>
          <w14:textFill>
            <w14:solidFill>
              <w14:schemeClr w14:val="tx1"/>
            </w14:solidFill>
          </w14:textFill>
        </w:rPr>
        <w:t xml:space="preserve">（ %）小写￥大写：人民币。</w:t>
      </w:r>
      <w:r/>
    </w:p>
    <w:p>
      <w:pPr>
        <w:pStyle w:val="991"/>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w:t>
      </w:r>
      <w:r/>
    </w:p>
    <w:p>
      <w:pPr>
        <w:pStyle w:val="991"/>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付款条件二： 不提交预付款保函的</w:t>
      </w:r>
      <w:r/>
    </w:p>
    <w:p>
      <w:pPr>
        <w:pStyle w:val="991"/>
        <w:ind w:firstLine="480"/>
        <w:spacing w:line="360" w:lineRule="auto"/>
        <w:tabs>
          <w:tab w:val="left" w:pos="2017" w:leader="none"/>
          <w:tab w:val="left" w:pos="2468" w:leader="none"/>
          <w:tab w:val="left" w:pos="4313" w:leader="none"/>
          <w:tab w:val="left" w:pos="5811" w:leader="none"/>
          <w:tab w:val="left" w:pos="9007"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（1）合同签订后</w:t>
      </w:r>
      <w:r>
        <w:rPr>
          <w:rFonts w:hint="eastAsia" w:ascii="宋体" w:hAnsi="宋体" w:cs="宋体"/>
          <w:color w:val="000000" w:themeColor="text1"/>
          <w:sz w:val="24"/>
          <w:u w:val="single"/>
          <w14:textFill>
            <w14:solidFill>
              <w14:schemeClr w14:val="tx1"/>
            </w14:solidFill>
          </w14:textFill>
        </w:rPr>
        <w:tab/>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个工作日内，甲方应支付合同价款的百分之</w:t>
      </w:r>
      <w:r>
        <w:rPr>
          <w:rFonts w:hint="eastAsia" w:ascii="宋体" w:hAnsi="宋体" w:cs="宋体"/>
          <w:color w:val="000000" w:themeColor="text1"/>
          <w:sz w:val="24"/>
          <w:u w:val="single"/>
          <w14:textFill>
            <w14:solidFill>
              <w14:schemeClr w14:val="tx1"/>
            </w14:solidFill>
          </w14:textFill>
        </w:rPr>
        <w:t xml:space="preserve"> XX </w:t>
      </w:r>
      <w:r>
        <w:rPr>
          <w:rFonts w:hint="eastAsia" w:ascii="宋体" w:hAnsi="宋体" w:cs="宋体"/>
          <w:color w:val="000000" w:themeColor="text1"/>
          <w:sz w:val="24"/>
          <w14:textFill>
            <w14:solidFill>
              <w14:schemeClr w14:val="tx1"/>
            </w14:solidFill>
          </w14:textFill>
        </w:rPr>
        <w:t xml:space="preserve">（％）小写￥大写：人民币</w:t>
      </w:r>
      <w:r>
        <w:rPr>
          <w:rFonts w:hint="eastAsia" w:ascii="宋体" w:hAnsi="宋体" w:cs="宋体"/>
          <w:color w:val="000000" w:themeColor="text1"/>
          <w:sz w:val="24"/>
          <w:u w:val="single"/>
          <w14:textFill>
            <w14:solidFill>
              <w14:schemeClr w14:val="tx1"/>
            </w14:solidFill>
          </w14:textFill>
        </w:rPr>
        <w:tab/>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w:t>
      </w:r>
      <w:r/>
    </w:p>
    <w:p>
      <w:pPr>
        <w:pStyle w:val="991"/>
        <w:ind w:firstLine="480"/>
        <w:spacing w:line="360" w:lineRule="auto"/>
        <w:tabs>
          <w:tab w:val="left" w:pos="2151" w:leader="none"/>
          <w:tab w:val="left" w:pos="4183" w:leader="none"/>
          <w:tab w:val="left" w:pos="5500" w:leader="none"/>
          <w:tab w:val="left" w:pos="8573"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（2）验收合格后个工作日内，甲方应支付合同价款的百分之</w:t>
      </w:r>
      <w:r>
        <w:rPr>
          <w:rFonts w:hint="eastAsia" w:ascii="宋体" w:hAnsi="宋体" w:cs="宋体"/>
          <w:color w:val="000000" w:themeColor="text1"/>
          <w:sz w:val="24"/>
          <w:u w:val="single"/>
          <w14:textFill>
            <w14:solidFill>
              <w14:schemeClr w14:val="tx1"/>
            </w14:solidFill>
          </w14:textFill>
        </w:rPr>
        <w:t xml:space="preserve"> XX </w:t>
      </w:r>
      <w:r>
        <w:rPr>
          <w:rFonts w:hint="eastAsia" w:ascii="宋体" w:hAnsi="宋体" w:cs="宋体"/>
          <w:color w:val="000000" w:themeColor="text1"/>
          <w:sz w:val="24"/>
          <w14:textFill>
            <w14:solidFill>
              <w14:schemeClr w14:val="tx1"/>
            </w14:solidFill>
          </w14:textFill>
        </w:rPr>
        <w:t xml:space="preserve">（％）小写￥大写：人民币。</w:t>
      </w:r>
      <w:r/>
    </w:p>
    <w:p>
      <w:pPr>
        <w:pStyle w:val="991"/>
        <w:ind w:firstLine="480"/>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pStyle w:val="991"/>
        <w:ind w:firstLine="480"/>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pStyle w:val="991"/>
        <w:ind w:firstLine="480"/>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pStyle w:val="991"/>
        <w:ind w:firstLine="480"/>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pStyle w:val="994"/>
        <w:rPr>
          <w:rFonts w:ascii="宋体" w:hAnsi="宋体" w:cs="宋体"/>
          <w:color w:val="000000" w:themeColor="text1"/>
          <w:szCs w:val="24"/>
          <w14:textFill>
            <w14:solidFill>
              <w14:schemeClr w14:val="tx1"/>
            </w14:solidFill>
          </w14:textFill>
        </w:rPr>
      </w:pPr>
      <w:r>
        <w:rPr>
          <w:rFonts w:hint="eastAsia" w:ascii="宋体" w:hAnsi="宋体" w:cs="宋体"/>
          <w:color w:val="000000" w:themeColor="text1"/>
          <w:szCs w:val="24"/>
          <w14:textFill>
            <w14:solidFill>
              <w14:schemeClr w14:val="tx1"/>
            </w14:solidFill>
          </w14:textFill>
        </w:rPr>
        <w:t xml:space="preserve">注：1、付款条件一中，出具预付款保函后支付的合同款应当与保函金额一致。</w:t>
      </w:r>
      <w:r/>
    </w:p>
    <w:p>
      <w:pPr>
        <w:pStyle w:val="994"/>
        <w:rPr>
          <w:rFonts w:ascii="宋体" w:hAnsi="宋体" w:cs="宋体"/>
          <w:color w:val="000000" w:themeColor="text1"/>
          <w:szCs w:val="24"/>
          <w14:textFill>
            <w14:solidFill>
              <w14:schemeClr w14:val="tx1"/>
            </w14:solidFill>
          </w14:textFill>
        </w:rPr>
      </w:pPr>
      <w:r>
        <w:rPr>
          <w:rFonts w:hint="eastAsia" w:ascii="宋体" w:hAnsi="宋体" w:cs="宋体"/>
          <w:color w:val="000000" w:themeColor="text1"/>
          <w:szCs w:val="24"/>
          <w14:textFill>
            <w14:solidFill>
              <w14:schemeClr w14:val="tx1"/>
            </w14:solidFill>
          </w14:textFill>
        </w:rPr>
        <w:t xml:space="preserve">2、付款条件二中，预付款比例设定应符合《关于做好政府采购支持企业发展有关事项的通知》（苏财购（2020)52号）要求。</w:t>
      </w:r>
      <w:r/>
    </w:p>
    <w:p>
      <w:pPr>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br w:type="page" w:clear="all"/>
      </w:r>
      <w:r/>
    </w:p>
    <w:p>
      <w:pPr>
        <w:pStyle w:val="993"/>
        <w:numPr>
          <w:ilvl w:val="0"/>
          <w:numId w:val="9"/>
        </w:numPr>
        <w:jc w:val="center"/>
        <w:rPr>
          <w:rFonts w:hint="eastAsia" w:ascii="宋体" w:hAnsi="宋体" w:cs="宋体"/>
          <w:b/>
          <w:color w:val="000000" w:themeColor="text1"/>
          <w:sz w:val="36"/>
          <w:szCs w:val="36"/>
          <w14:textFill>
            <w14:solidFill>
              <w14:schemeClr w14:val="tx1"/>
            </w14:solidFill>
          </w14:textFill>
        </w:rPr>
      </w:pPr>
      <w:r>
        <w:rPr>
          <w:rFonts w:hint="eastAsia" w:ascii="宋体" w:hAnsi="宋体" w:cs="宋体"/>
          <w:b/>
          <w:color w:val="000000" w:themeColor="text1"/>
          <w:sz w:val="36"/>
          <w:szCs w:val="36"/>
          <w14:textFill>
            <w14:solidFill>
              <w14:schemeClr w14:val="tx1"/>
            </w14:solidFill>
          </w14:textFill>
        </w:rPr>
        <w:t xml:space="preserve">《代理服务收费标准》</w:t>
      </w:r>
      <w:r/>
    </w:p>
    <w:p>
      <w:pPr>
        <w:pStyle w:val="993"/>
        <w:numPr>
          <w:ilvl w:val="0"/>
          <w:numId w:val="0"/>
        </w:numPr>
        <w:jc w:val="both"/>
        <w:rPr>
          <w:rFonts w:hint="eastAsia" w:ascii="宋体" w:hAnsi="宋体" w:cs="宋体"/>
          <w:b/>
          <w:color w:val="000000" w:themeColor="text1"/>
          <w:sz w:val="36"/>
          <w:szCs w:val="36"/>
          <w:lang w:eastAsia="zh-CN"/>
          <w14:textFill>
            <w14:solidFill>
              <w14:schemeClr w14:val="tx1"/>
            </w14:solidFill>
          </w14:textFill>
        </w:rPr>
      </w:pPr>
      <w:r>
        <w:rPr>
          <w:rFonts w:hint="eastAsia" w:ascii="宋体" w:hAnsi="宋体" w:cs="宋体"/>
          <w:b/>
          <w:color w:val="000000" w:themeColor="text1"/>
          <w:sz w:val="36"/>
          <w:szCs w:val="36"/>
          <w:lang w:eastAsia="zh-CN"/>
          <w14:textFill>
            <w14:solidFill>
              <w14:schemeClr w14:val="tx1"/>
            </w14:solidFill>
          </w14:textFill>
        </w:rPr>
      </w:r>
      <w:r/>
    </w:p>
    <w:p>
      <w:pPr>
        <w:pStyle w:val="991"/>
        <w:ind w:left="596"/>
        <w:jc w:val="center"/>
        <w:spacing w:before="85" w:line="221" w:lineRule="auto"/>
        <w:rPr>
          <w:sz w:val="30"/>
          <w:szCs w:val="30"/>
        </w:rPr>
      </w:pPr>
      <w:r>
        <w:rPr>
          <w:b/>
          <w:bCs/>
          <w:spacing w:val="5"/>
          <w:sz w:val="30"/>
          <w:szCs w:val="30"/>
        </w:rPr>
        <w:t xml:space="preserve">徐州市政府采购代理服务行业收费指导价</w:t>
      </w:r>
      <w:r/>
    </w:p>
    <w:p>
      <w:pPr>
        <w:spacing w:line="188" w:lineRule="exact"/>
      </w:pPr>
      <w:r/>
      <w:r/>
    </w:p>
    <w:tbl>
      <w:tblPr>
        <w:tblStyle w:val="1228"/>
        <w:tblW w:w="8639" w:type="dxa"/>
        <w:tblInd w:w="13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257"/>
        <w:gridCol w:w="2382"/>
      </w:tblGrid>
      <w:tr>
        <w:trPr>
          <w:trHeight w:val="604"/>
        </w:trPr>
        <w:tc>
          <w:tcPr>
            <w:tcW w:w="6257" w:type="dxa"/>
            <w:vAlign w:val="top"/>
            <w:textDirection w:val="lrTb"/>
            <w:noWrap w:val="false"/>
          </w:tcPr>
          <w:p>
            <w:pPr>
              <w:pStyle w:val="1227"/>
              <w:ind w:left="1929"/>
              <w:spacing w:before="153" w:line="219" w:lineRule="auto"/>
              <w:rPr>
                <w:sz w:val="28"/>
                <w:szCs w:val="28"/>
              </w:rPr>
            </w:pPr>
            <w:r>
              <w:rPr>
                <w:b/>
                <w:bCs/>
                <w:spacing w:val="-3"/>
                <w:sz w:val="28"/>
                <w:szCs w:val="28"/>
              </w:rPr>
              <w:t xml:space="preserve">中标或者成交金额</w:t>
            </w:r>
            <w:r/>
          </w:p>
        </w:tc>
        <w:tc>
          <w:tcPr>
            <w:tcW w:w="2382" w:type="dxa"/>
            <w:vAlign w:val="top"/>
            <w:textDirection w:val="lrTb"/>
            <w:noWrap w:val="false"/>
          </w:tcPr>
          <w:p>
            <w:pPr>
              <w:pStyle w:val="1227"/>
              <w:ind w:left="932"/>
              <w:spacing w:before="153" w:line="219" w:lineRule="auto"/>
              <w:rPr>
                <w:sz w:val="28"/>
                <w:szCs w:val="28"/>
              </w:rPr>
            </w:pPr>
            <w:r>
              <w:rPr>
                <w:b/>
                <w:bCs/>
                <w:spacing w:val="-1"/>
                <w:sz w:val="28"/>
                <w:szCs w:val="28"/>
              </w:rPr>
              <w:t xml:space="preserve">费率</w:t>
            </w:r>
            <w:r/>
          </w:p>
        </w:tc>
      </w:tr>
      <w:tr>
        <w:trPr>
          <w:trHeight w:val="609"/>
        </w:trPr>
        <w:tc>
          <w:tcPr>
            <w:tcW w:w="6257" w:type="dxa"/>
            <w:vAlign w:val="top"/>
            <w:textDirection w:val="lrTb"/>
            <w:noWrap w:val="false"/>
          </w:tcPr>
          <w:p>
            <w:pPr>
              <w:pStyle w:val="1227"/>
              <w:ind w:left="114"/>
              <w:spacing w:before="153" w:line="219" w:lineRule="auto"/>
              <w:rPr>
                <w:sz w:val="28"/>
                <w:szCs w:val="28"/>
              </w:rPr>
            </w:pPr>
            <w:r>
              <w:rPr>
                <w:spacing w:val="4"/>
                <w:sz w:val="28"/>
                <w:szCs w:val="28"/>
              </w:rPr>
              <w:t xml:space="preserve">最低收费金额(每个委托项目)</w:t>
            </w:r>
            <w:r/>
          </w:p>
        </w:tc>
        <w:tc>
          <w:tcPr>
            <w:tcW w:w="2382" w:type="dxa"/>
            <w:vAlign w:val="top"/>
            <w:textDirection w:val="lrTb"/>
            <w:noWrap w:val="false"/>
          </w:tcPr>
          <w:p>
            <w:pPr>
              <w:pStyle w:val="1227"/>
              <w:ind w:left="87"/>
              <w:spacing w:before="154" w:line="220" w:lineRule="auto"/>
              <w:rPr>
                <w:sz w:val="28"/>
                <w:szCs w:val="28"/>
              </w:rPr>
            </w:pPr>
            <w:r>
              <w:rPr>
                <w:spacing w:val="2"/>
                <w:sz w:val="28"/>
                <w:szCs w:val="28"/>
              </w:rPr>
              <w:t xml:space="preserve">5000元</w:t>
            </w:r>
            <w:r/>
          </w:p>
        </w:tc>
      </w:tr>
      <w:tr>
        <w:trPr>
          <w:trHeight w:val="619"/>
        </w:trPr>
        <w:tc>
          <w:tcPr>
            <w:tcW w:w="6257" w:type="dxa"/>
            <w:vAlign w:val="top"/>
            <w:textDirection w:val="lrTb"/>
            <w:noWrap w:val="false"/>
          </w:tcPr>
          <w:p>
            <w:pPr>
              <w:pStyle w:val="1227"/>
              <w:ind w:left="114"/>
              <w:spacing w:before="164" w:line="219" w:lineRule="auto"/>
              <w:rPr>
                <w:sz w:val="28"/>
                <w:szCs w:val="28"/>
              </w:rPr>
            </w:pPr>
            <w:r>
              <w:rPr>
                <w:spacing w:val="5"/>
                <w:sz w:val="28"/>
                <w:szCs w:val="28"/>
              </w:rPr>
              <w:t xml:space="preserve">50万元以下(含50万元)</w:t>
            </w:r>
            <w:r/>
          </w:p>
        </w:tc>
        <w:tc>
          <w:tcPr>
            <w:tcW w:w="2382" w:type="dxa"/>
            <w:vAlign w:val="top"/>
            <w:textDirection w:val="lrTb"/>
            <w:noWrap w:val="false"/>
          </w:tcPr>
          <w:p>
            <w:pPr>
              <w:pStyle w:val="1227"/>
              <w:ind w:left="87"/>
              <w:spacing w:before="243" w:line="184" w:lineRule="auto"/>
              <w:rPr>
                <w:sz w:val="28"/>
                <w:szCs w:val="28"/>
              </w:rPr>
            </w:pPr>
            <w:r>
              <w:rPr>
                <w:spacing w:val="-7"/>
                <w:sz w:val="28"/>
                <w:szCs w:val="28"/>
              </w:rPr>
              <w:t xml:space="preserve">1.6%</w:t>
            </w:r>
            <w:r/>
          </w:p>
        </w:tc>
      </w:tr>
      <w:tr>
        <w:trPr>
          <w:trHeight w:val="619"/>
        </w:trPr>
        <w:tc>
          <w:tcPr>
            <w:tcW w:w="6257" w:type="dxa"/>
            <w:vAlign w:val="top"/>
            <w:textDirection w:val="lrTb"/>
            <w:noWrap w:val="false"/>
          </w:tcPr>
          <w:p>
            <w:pPr>
              <w:pStyle w:val="1227"/>
              <w:ind w:left="114"/>
              <w:spacing w:before="165" w:line="219" w:lineRule="auto"/>
              <w:rPr>
                <w:sz w:val="28"/>
                <w:szCs w:val="28"/>
              </w:rPr>
            </w:pPr>
            <w:r>
              <w:rPr>
                <w:spacing w:val="3"/>
                <w:sz w:val="28"/>
                <w:szCs w:val="28"/>
              </w:rPr>
              <w:t xml:space="preserve">50-400万元(含400万元)</w:t>
            </w:r>
            <w:r/>
          </w:p>
        </w:tc>
        <w:tc>
          <w:tcPr>
            <w:tcW w:w="2382" w:type="dxa"/>
            <w:vAlign w:val="top"/>
            <w:textDirection w:val="lrTb"/>
            <w:noWrap w:val="false"/>
          </w:tcPr>
          <w:p>
            <w:pPr>
              <w:pStyle w:val="1227"/>
              <w:ind w:left="87"/>
              <w:spacing w:before="244" w:line="184" w:lineRule="auto"/>
              <w:rPr>
                <w:sz w:val="28"/>
                <w:szCs w:val="28"/>
              </w:rPr>
            </w:pPr>
            <w:r>
              <w:rPr>
                <w:spacing w:val="-7"/>
                <w:sz w:val="28"/>
                <w:szCs w:val="28"/>
              </w:rPr>
              <w:t xml:space="preserve">1.5%</w:t>
            </w:r>
            <w:r/>
          </w:p>
        </w:tc>
      </w:tr>
      <w:tr>
        <w:trPr>
          <w:trHeight w:val="619"/>
        </w:trPr>
        <w:tc>
          <w:tcPr>
            <w:tcW w:w="6257" w:type="dxa"/>
            <w:vAlign w:val="top"/>
            <w:textDirection w:val="lrTb"/>
            <w:noWrap w:val="false"/>
          </w:tcPr>
          <w:p>
            <w:pPr>
              <w:pStyle w:val="1227"/>
              <w:ind w:left="114"/>
              <w:spacing w:before="166" w:line="219" w:lineRule="auto"/>
              <w:rPr>
                <w:sz w:val="28"/>
                <w:szCs w:val="28"/>
              </w:rPr>
            </w:pPr>
            <w:r>
              <w:rPr>
                <w:spacing w:val="3"/>
                <w:sz w:val="28"/>
                <w:szCs w:val="28"/>
              </w:rPr>
              <w:t xml:space="preserve">400-1000万元(含1000万元)</w:t>
            </w:r>
            <w:r/>
          </w:p>
        </w:tc>
        <w:tc>
          <w:tcPr>
            <w:tcW w:w="2382" w:type="dxa"/>
            <w:vAlign w:val="top"/>
            <w:textDirection w:val="lrTb"/>
            <w:noWrap w:val="false"/>
          </w:tcPr>
          <w:p>
            <w:pPr>
              <w:pStyle w:val="1227"/>
              <w:ind w:left="87"/>
              <w:spacing w:before="245" w:line="184" w:lineRule="auto"/>
              <w:rPr>
                <w:sz w:val="28"/>
                <w:szCs w:val="28"/>
              </w:rPr>
            </w:pPr>
            <w:r>
              <w:rPr>
                <w:spacing w:val="-5"/>
                <w:sz w:val="28"/>
                <w:szCs w:val="28"/>
              </w:rPr>
              <w:t xml:space="preserve">1.1%</w:t>
            </w:r>
            <w:r/>
          </w:p>
        </w:tc>
      </w:tr>
      <w:tr>
        <w:trPr>
          <w:trHeight w:val="609"/>
        </w:trPr>
        <w:tc>
          <w:tcPr>
            <w:tcW w:w="6257" w:type="dxa"/>
            <w:vAlign w:val="top"/>
            <w:textDirection w:val="lrTb"/>
            <w:noWrap w:val="false"/>
          </w:tcPr>
          <w:p>
            <w:pPr>
              <w:pStyle w:val="1227"/>
              <w:ind w:left="114"/>
              <w:spacing w:before="157" w:line="219" w:lineRule="auto"/>
              <w:rPr>
                <w:sz w:val="28"/>
                <w:szCs w:val="28"/>
              </w:rPr>
            </w:pPr>
            <w:r>
              <w:rPr>
                <w:spacing w:val="3"/>
                <w:sz w:val="28"/>
                <w:szCs w:val="28"/>
              </w:rPr>
              <w:t xml:space="preserve">1000-5000万元(含5000万元)</w:t>
            </w:r>
            <w:r/>
          </w:p>
        </w:tc>
        <w:tc>
          <w:tcPr>
            <w:tcW w:w="2382" w:type="dxa"/>
            <w:vAlign w:val="top"/>
            <w:textDirection w:val="lrTb"/>
            <w:noWrap w:val="false"/>
          </w:tcPr>
          <w:p>
            <w:pPr>
              <w:pStyle w:val="1227"/>
              <w:ind w:left="87"/>
              <w:spacing w:before="237" w:line="183" w:lineRule="auto"/>
              <w:rPr>
                <w:sz w:val="28"/>
                <w:szCs w:val="28"/>
              </w:rPr>
            </w:pPr>
            <w:r>
              <w:rPr>
                <w:spacing w:val="-2"/>
                <w:sz w:val="28"/>
                <w:szCs w:val="28"/>
              </w:rPr>
              <w:t xml:space="preserve">0.8%</w:t>
            </w:r>
            <w:r/>
          </w:p>
        </w:tc>
      </w:tr>
      <w:tr>
        <w:trPr>
          <w:trHeight w:val="619"/>
        </w:trPr>
        <w:tc>
          <w:tcPr>
            <w:tcW w:w="6257" w:type="dxa"/>
            <w:vAlign w:val="top"/>
            <w:textDirection w:val="lrTb"/>
            <w:noWrap w:val="false"/>
          </w:tcPr>
          <w:p>
            <w:pPr>
              <w:pStyle w:val="1227"/>
              <w:ind w:left="114"/>
              <w:spacing w:before="168" w:line="219" w:lineRule="auto"/>
              <w:rPr>
                <w:sz w:val="28"/>
                <w:szCs w:val="28"/>
              </w:rPr>
            </w:pPr>
            <w:r>
              <w:rPr>
                <w:spacing w:val="4"/>
                <w:sz w:val="28"/>
                <w:szCs w:val="28"/>
              </w:rPr>
              <w:t xml:space="preserve">5000-1亿元(含1亿元)</w:t>
            </w:r>
            <w:r/>
          </w:p>
        </w:tc>
        <w:tc>
          <w:tcPr>
            <w:tcW w:w="2382" w:type="dxa"/>
            <w:vAlign w:val="top"/>
            <w:textDirection w:val="lrTb"/>
            <w:noWrap w:val="false"/>
          </w:tcPr>
          <w:p>
            <w:pPr>
              <w:pStyle w:val="1227"/>
              <w:ind w:left="87"/>
              <w:spacing w:before="248" w:line="183" w:lineRule="auto"/>
              <w:rPr>
                <w:sz w:val="28"/>
                <w:szCs w:val="28"/>
              </w:rPr>
            </w:pPr>
            <w:r>
              <w:rPr>
                <w:spacing w:val="-2"/>
                <w:sz w:val="28"/>
                <w:szCs w:val="28"/>
              </w:rPr>
              <w:t xml:space="preserve">0.25%</w:t>
            </w:r>
            <w:r/>
          </w:p>
        </w:tc>
      </w:tr>
      <w:tr>
        <w:trPr>
          <w:trHeight w:val="619"/>
        </w:trPr>
        <w:tc>
          <w:tcPr>
            <w:tcW w:w="6257" w:type="dxa"/>
            <w:vAlign w:val="top"/>
            <w:textDirection w:val="lrTb"/>
            <w:noWrap w:val="false"/>
          </w:tcPr>
          <w:p>
            <w:pPr>
              <w:pStyle w:val="1227"/>
              <w:ind w:left="114"/>
              <w:spacing w:before="169" w:line="219" w:lineRule="auto"/>
              <w:rPr>
                <w:sz w:val="28"/>
                <w:szCs w:val="28"/>
              </w:rPr>
            </w:pPr>
            <w:r>
              <w:rPr>
                <w:spacing w:val="5"/>
                <w:sz w:val="28"/>
                <w:szCs w:val="28"/>
              </w:rPr>
              <w:t xml:space="preserve">1-10亿元(含10亿元)</w:t>
            </w:r>
            <w:r/>
          </w:p>
        </w:tc>
        <w:tc>
          <w:tcPr>
            <w:tcW w:w="2382" w:type="dxa"/>
            <w:vAlign w:val="top"/>
            <w:textDirection w:val="lrTb"/>
            <w:noWrap w:val="false"/>
          </w:tcPr>
          <w:p>
            <w:pPr>
              <w:pStyle w:val="1227"/>
              <w:ind w:left="87"/>
              <w:spacing w:before="249" w:line="183" w:lineRule="auto"/>
              <w:rPr>
                <w:sz w:val="28"/>
                <w:szCs w:val="28"/>
              </w:rPr>
            </w:pPr>
            <w:r>
              <w:rPr>
                <w:spacing w:val="-2"/>
                <w:sz w:val="28"/>
                <w:szCs w:val="28"/>
              </w:rPr>
              <w:t xml:space="preserve">0.05%</w:t>
            </w:r>
            <w:r/>
          </w:p>
        </w:tc>
      </w:tr>
      <w:tr>
        <w:trPr>
          <w:trHeight w:val="609"/>
        </w:trPr>
        <w:tc>
          <w:tcPr>
            <w:tcW w:w="6257" w:type="dxa"/>
            <w:vAlign w:val="top"/>
            <w:textDirection w:val="lrTb"/>
            <w:noWrap w:val="false"/>
          </w:tcPr>
          <w:p>
            <w:pPr>
              <w:pStyle w:val="1227"/>
              <w:ind w:left="114"/>
              <w:spacing w:before="160" w:line="219" w:lineRule="auto"/>
              <w:rPr>
                <w:sz w:val="28"/>
                <w:szCs w:val="28"/>
              </w:rPr>
            </w:pPr>
            <w:r>
              <w:rPr>
                <w:spacing w:val="4"/>
                <w:sz w:val="28"/>
                <w:szCs w:val="28"/>
              </w:rPr>
              <w:t xml:space="preserve">10-50亿元(含50亿元)</w:t>
            </w:r>
            <w:r/>
          </w:p>
        </w:tc>
        <w:tc>
          <w:tcPr>
            <w:tcW w:w="2382" w:type="dxa"/>
            <w:vAlign w:val="top"/>
            <w:textDirection w:val="lrTb"/>
            <w:noWrap w:val="false"/>
          </w:tcPr>
          <w:p>
            <w:pPr>
              <w:pStyle w:val="1227"/>
              <w:ind w:left="87"/>
              <w:spacing w:before="239" w:line="184" w:lineRule="auto"/>
              <w:rPr>
                <w:sz w:val="28"/>
                <w:szCs w:val="28"/>
              </w:rPr>
            </w:pPr>
            <w:r>
              <w:rPr>
                <w:spacing w:val="-2"/>
                <w:sz w:val="28"/>
                <w:szCs w:val="28"/>
              </w:rPr>
              <w:t xml:space="preserve">0.01%</w:t>
            </w:r>
            <w:r/>
          </w:p>
        </w:tc>
      </w:tr>
      <w:tr>
        <w:trPr>
          <w:trHeight w:val="634"/>
        </w:trPr>
        <w:tc>
          <w:tcPr>
            <w:tcW w:w="6257" w:type="dxa"/>
            <w:vAlign w:val="top"/>
            <w:textDirection w:val="lrTb"/>
            <w:noWrap w:val="false"/>
          </w:tcPr>
          <w:p>
            <w:pPr>
              <w:pStyle w:val="1227"/>
              <w:ind w:left="114"/>
              <w:spacing w:before="172" w:line="220" w:lineRule="auto"/>
              <w:rPr>
                <w:sz w:val="28"/>
                <w:szCs w:val="28"/>
              </w:rPr>
            </w:pPr>
            <w:r>
              <w:rPr>
                <w:spacing w:val="2"/>
                <w:sz w:val="28"/>
                <w:szCs w:val="28"/>
              </w:rPr>
              <w:t xml:space="preserve">50亿元以上</w:t>
            </w:r>
            <w:r/>
          </w:p>
        </w:tc>
        <w:tc>
          <w:tcPr>
            <w:tcW w:w="2382" w:type="dxa"/>
            <w:vAlign w:val="top"/>
            <w:textDirection w:val="lrTb"/>
            <w:noWrap w:val="false"/>
          </w:tcPr>
          <w:p>
            <w:pPr>
              <w:pStyle w:val="1227"/>
              <w:ind w:left="87"/>
              <w:spacing w:before="251" w:line="183" w:lineRule="auto"/>
              <w:rPr>
                <w:sz w:val="28"/>
                <w:szCs w:val="28"/>
              </w:rPr>
            </w:pPr>
            <w:r>
              <w:rPr>
                <w:spacing w:val="-2"/>
                <w:sz w:val="28"/>
                <w:szCs w:val="28"/>
              </w:rPr>
              <w:t xml:space="preserve">0.005%</w:t>
            </w:r>
            <w:r/>
          </w:p>
        </w:tc>
      </w:tr>
    </w:tbl>
    <w:p>
      <w:pPr>
        <w:spacing w:line="360" w:lineRule="auto"/>
        <w:rPr>
          <w:rFonts w:hint="eastAsia"/>
          <w:spacing w:val="-13"/>
          <w:sz w:val="24"/>
          <w:szCs w:val="24"/>
        </w:rPr>
      </w:pPr>
      <w:r>
        <w:rPr>
          <w:rFonts w:hint="eastAsia"/>
          <w:spacing w:val="-13"/>
          <w:sz w:val="24"/>
          <w:szCs w:val="24"/>
        </w:rPr>
      </w:r>
      <w:r/>
    </w:p>
    <w:p>
      <w:pPr>
        <w:ind w:firstLine="214"/>
        <w:spacing w:line="360" w:lineRule="auto"/>
        <w:rPr>
          <w:rFonts w:hint="eastAsia"/>
          <w:spacing w:val="-13"/>
          <w:sz w:val="24"/>
          <w:szCs w:val="24"/>
        </w:rPr>
      </w:pPr>
      <w:r>
        <w:rPr>
          <w:rFonts w:hint="eastAsia"/>
          <w:spacing w:val="-13"/>
          <w:sz w:val="24"/>
          <w:szCs w:val="24"/>
        </w:rPr>
        <w:t xml:space="preserve">说明：</w:t>
      </w:r>
      <w:r/>
    </w:p>
    <w:p>
      <w:pPr>
        <w:spacing w:line="360" w:lineRule="auto"/>
        <w:rPr>
          <w:rFonts w:hint="eastAsia"/>
          <w:spacing w:val="-13"/>
          <w:sz w:val="24"/>
          <w:szCs w:val="24"/>
        </w:rPr>
      </w:pPr>
      <w:r>
        <w:rPr>
          <w:rFonts w:hint="eastAsia"/>
          <w:spacing w:val="-13"/>
          <w:sz w:val="24"/>
          <w:szCs w:val="24"/>
        </w:rPr>
        <w:t xml:space="preserve">1.按上表计算的收费为代理服务全过程的收费金额。各社会代理机构不再收取采购文件制作售卖费用。</w:t>
      </w:r>
      <w:r/>
    </w:p>
    <w:p>
      <w:pPr>
        <w:spacing w:line="360" w:lineRule="auto"/>
        <w:rPr>
          <w:rFonts w:hint="eastAsia"/>
          <w:spacing w:val="-13"/>
          <w:sz w:val="24"/>
          <w:szCs w:val="24"/>
        </w:rPr>
      </w:pPr>
      <w:r>
        <w:rPr>
          <w:rFonts w:hint="eastAsia"/>
          <w:spacing w:val="-13"/>
          <w:sz w:val="24"/>
          <w:szCs w:val="24"/>
        </w:rPr>
        <w:t xml:space="preserve">2.代理服务费按差额定率累进法计算。</w:t>
      </w:r>
      <w:r/>
    </w:p>
    <w:p>
      <w:pPr>
        <w:spacing w:line="360" w:lineRule="auto"/>
        <w:rPr>
          <w:rFonts w:hint="eastAsia"/>
          <w:spacing w:val="-13"/>
          <w:sz w:val="24"/>
          <w:szCs w:val="24"/>
        </w:rPr>
      </w:pPr>
      <w:r>
        <w:rPr>
          <w:rFonts w:hint="eastAsia"/>
          <w:spacing w:val="-13"/>
          <w:sz w:val="24"/>
          <w:szCs w:val="24"/>
        </w:rPr>
        <w:t xml:space="preserve">3.代理服务费基准金额（按差额定率累进法计算的）=中标金额（按差额定率累进法计算的）*费率（%）。</w:t>
      </w:r>
      <w:r/>
    </w:p>
    <w:p>
      <w:pPr>
        <w:spacing w:line="360" w:lineRule="auto"/>
        <w:rPr>
          <w:rFonts w:hint="eastAsia"/>
          <w:spacing w:val="-13"/>
          <w:sz w:val="24"/>
          <w:szCs w:val="24"/>
        </w:rPr>
      </w:pPr>
      <w:r>
        <w:rPr>
          <w:rFonts w:hint="eastAsia"/>
          <w:spacing w:val="-13"/>
          <w:sz w:val="24"/>
          <w:szCs w:val="24"/>
        </w:rPr>
        <w:t xml:space="preserve">4.代理服务费应收取金额=代理服务费基准金额（按差额定率累进法计算的）的合计数。</w:t>
      </w:r>
      <w:r/>
    </w:p>
    <w:p>
      <w:pPr>
        <w:spacing w:line="360" w:lineRule="auto"/>
        <w:rPr>
          <w:rFonts w:hint="eastAsia"/>
          <w:spacing w:val="-13"/>
          <w:sz w:val="24"/>
          <w:szCs w:val="24"/>
        </w:rPr>
      </w:pPr>
      <w:r>
        <w:rPr>
          <w:rFonts w:hint="eastAsia"/>
          <w:spacing w:val="-13"/>
          <w:sz w:val="24"/>
          <w:szCs w:val="24"/>
        </w:rPr>
        <w:t xml:space="preserve">5.定点类等无金额或事先不能计算出价格总额的项目，按中标（成交）金额100万元计算服务费。</w:t>
      </w:r>
      <w:r/>
    </w:p>
    <w:p>
      <w:pPr>
        <w:spacing w:line="360" w:lineRule="auto"/>
        <w:rPr>
          <w:rFonts w:hint="eastAsia"/>
          <w:spacing w:val="-13"/>
          <w:sz w:val="24"/>
          <w:szCs w:val="24"/>
        </w:rPr>
      </w:pPr>
      <w:r>
        <w:rPr>
          <w:rFonts w:hint="eastAsia"/>
          <w:spacing w:val="-13"/>
          <w:sz w:val="24"/>
          <w:szCs w:val="24"/>
        </w:rPr>
        <w:t xml:space="preserve">6.根据《关于进一步规范政府采购活动相关费用管理的通知》（苏财规〔2026〕1号）规定，本项目代理服务费由采购人支付。</w:t>
      </w:r>
      <w:r/>
    </w:p>
    <w:p>
      <w:pPr>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sectPr>
      <w:footerReference w:type="default" r:id="rId20"/>
      <w:footerReference w:type="first" r:id="rId21"/>
      <w:footnotePr/>
      <w:endnotePr/>
      <w:type w:val="nextPage"/>
      <w:pgSz w:w="11906" w:h="16838" w:orient="portrait"/>
      <w:pgMar w:top="1440" w:right="1440" w:bottom="1440" w:left="1440"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等线">
    <w:panose1 w:val="02010600030101010101"/>
  </w:font>
  <w:font w:name="Cambria">
    <w:panose1 w:val="02040503050406030204"/>
  </w:font>
  <w:font w:name="Courier New">
    <w:panose1 w:val="02070309020205020404"/>
  </w:font>
  <w:font w:name="仿宋_GB2312">
    <w:panose1 w:val="02010609060101010101"/>
  </w:font>
  <w:font w:name="黑体">
    <w:panose1 w:val="02010609060101010101"/>
  </w:font>
  <w:font w:name="楷体_GB2312">
    <w:panose1 w:val="02010609060101010101"/>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tabs>
        <w:tab w:val="left" w:pos="4934"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0"/>
      <w:ind w:firstLine="36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00"/>
                          </w:pPr>
                          <w:r>
                            <w:fldChar w:fldCharType="begin"/>
                          </w:r>
                          <w:r>
                            <w:instrText xml:space="preserve"> PAGE  \* MERGEFORMAT </w:instrText>
                          </w:r>
                          <w:r>
                            <w:fldChar w:fldCharType="separate"/>
                          </w:r>
                          <w:r>
                            <w:t xml:space="preserve">15</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00"/>
                    </w:pPr>
                    <w:r>
                      <w:fldChar w:fldCharType="begin"/>
                    </w:r>
                    <w:r>
                      <w:instrText xml:space="preserve"> PAGE  \* MERGEFORMAT </w:instrText>
                    </w:r>
                    <w:r>
                      <w:fldChar w:fldCharType="separate"/>
                    </w:r>
                    <w:r>
                      <w:t xml:space="preserve">15</w:t>
                    </w:r>
                    <w:r>
                      <w:fldChar w:fldCharType="end"/>
                    </w:r>
                    <w:r/>
                  </w:p>
                </w:txbxContent>
              </v:textbox>
            </v:shape>
          </w:pict>
        </mc:Fallback>
      </mc:AlternateContent>
    </w:r>
    <w:r/>
  </w:p>
  <w:p>
    <w:pPr>
      <w:pStyle w:val="100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tabs>
        <w:tab w:val="center" w:pos="4153" w:leader="none"/>
        <w:tab w:val="right" w:pos="8306" w:leader="none"/>
      </w:tabs>
      <w:rPr>
        <w:rFonts w:ascii="Calibri" w:hAnsi="Calibri" w:eastAsia="仿宋_GB2312"/>
        <w:sz w:val="24"/>
        <w:szCs w:val="18"/>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00"/>
                          </w:pPr>
                          <w:r>
                            <w:fldChar w:fldCharType="begin"/>
                          </w:r>
                          <w:r>
                            <w:instrText xml:space="preserve"> PAGE  \* MERGEFORMAT </w:instrText>
                          </w:r>
                          <w:r>
                            <w:fldChar w:fldCharType="separate"/>
                          </w:r>
                          <w:r>
                            <w:t xml:space="preserve">58</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00"/>
                    </w:pPr>
                    <w:r>
                      <w:fldChar w:fldCharType="begin"/>
                    </w:r>
                    <w:r>
                      <w:instrText xml:space="preserve"> PAGE  \* MERGEFORMAT </w:instrText>
                    </w:r>
                    <w:r>
                      <w:fldChar w:fldCharType="separate"/>
                    </w:r>
                    <w:r>
                      <w:t xml:space="preserve">58</w:t>
                    </w:r>
                    <w:r>
                      <w:fldChar w:fldCharType="end"/>
                    </w:r>
                    <w:r/>
                  </w:p>
                </w:txbxContent>
              </v:textbox>
            </v:shape>
          </w:pict>
        </mc:Fallback>
      </mc:AlternateContent>
    </w:r>
    <w:r>
      <w:rPr>
        <w:rFonts w:ascii="Calibri" w:hAnsi="Calibri"/>
        <w:sz w:val="24"/>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229235" cy="147955"/>
              <wp:effectExtent l="0" t="0" r="0" b="0"/>
              <wp:wrapNone/>
              <wp:docPr id="3" name="文本框 10"/>
              <wp:cNvGraphicFramePr/>
              <a:graphic xmlns:a="http://schemas.openxmlformats.org/drawingml/2006/main">
                <a:graphicData uri="http://schemas.microsoft.com/office/word/2010/wordprocessingShape">
                  <wps:wsp>
                    <wps:cNvPr id="0" name=""/>
                    <wps:cNvSpPr txBox="1"/>
                    <wps:spPr bwMode="auto">
                      <a:xfrm>
                        <a:off x="0" y="0"/>
                        <a:ext cx="229235" cy="147955"/>
                      </a:xfrm>
                      <a:prstGeom prst="rect">
                        <a:avLst/>
                      </a:prstGeom>
                      <a:noFill/>
                      <a:ln>
                        <a:noFill/>
                      </a:ln>
                    </wps:spPr>
                    <wps:txbx>
                      <w:txbxContent>
                        <w:p>
                          <w:pPr>
                            <w:rPr>
                              <w:rFonts w:ascii="Calibri" w:hAnsi="Calibri"/>
                              <w:sz w:val="18"/>
                            </w:rPr>
                          </w:pPr>
                          <w:r>
                            <w:rPr>
                              <w:rFonts w:ascii="Calibri" w:hAnsi="Calibri"/>
                              <w:sz w:val="18"/>
                            </w:rPr>
                          </w:r>
                          <w:r/>
                        </w:p>
                        <w:p>
                          <w:pPr>
                            <w:rPr>
                              <w:rFonts w:ascii="Calibri" w:hAnsi="Calibri"/>
                            </w:rPr>
                          </w:pPr>
                          <w:r>
                            <w:rPr>
                              <w:rFonts w:ascii="Calibri" w:hAnsi="Calibri"/>
                            </w:rPr>
                          </w:r>
                          <w:r/>
                        </w:p>
                        <w:p>
                          <w:pPr>
                            <w:rPr>
                              <w:rFonts w:ascii="Calibri" w:hAnsi="Calibri"/>
                            </w:rPr>
                          </w:pPr>
                          <w:r>
                            <w:rPr>
                              <w:rFonts w:ascii="Calibri" w:hAnsi="Calibri"/>
                            </w:rPr>
                          </w:r>
                          <w:r/>
                        </w:p>
                      </w:txbxContent>
                    </wps:txbx>
                    <wps:bodyPr wrap="none" lIns="0" tIns="0" rIns="0" bIns="0" upright="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8.1pt;height:11.6pt;mso-wrap-distance-left:9.0pt;mso-wrap-distance-top:0.0pt;mso-wrap-distance-right:9.0pt;mso-wrap-distance-bottom:0.0pt;visibility:visible;" filled="f" stroked="f">
              <v:textbox inset="0,0,0,0">
                <w:txbxContent>
                  <w:p>
                    <w:pPr>
                      <w:rPr>
                        <w:rFonts w:ascii="Calibri" w:hAnsi="Calibri"/>
                        <w:sz w:val="18"/>
                      </w:rPr>
                    </w:pPr>
                    <w:r>
                      <w:rPr>
                        <w:rFonts w:ascii="Calibri" w:hAnsi="Calibri"/>
                        <w:sz w:val="18"/>
                      </w:rPr>
                    </w:r>
                    <w:r/>
                  </w:p>
                  <w:p>
                    <w:pPr>
                      <w:rPr>
                        <w:rFonts w:ascii="Calibri" w:hAnsi="Calibri"/>
                      </w:rPr>
                    </w:pPr>
                    <w:r>
                      <w:rPr>
                        <w:rFonts w:ascii="Calibri" w:hAnsi="Calibri"/>
                      </w:rPr>
                    </w:r>
                    <w:r/>
                  </w:p>
                  <w:p>
                    <w:pPr>
                      <w:rPr>
                        <w:rFonts w:ascii="Calibri" w:hAnsi="Calibri"/>
                      </w:rPr>
                    </w:pPr>
                    <w:r>
                      <w:rPr>
                        <w:rFonts w:ascii="Calibri" w:hAnsi="Calibri"/>
                      </w:r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0"/>
      <w:ind w:firstLine="36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00"/>
                          </w:pPr>
                          <w:r>
                            <w:fldChar w:fldCharType="begin"/>
                          </w:r>
                          <w:r>
                            <w:instrText xml:space="preserve"> PAGE  \* MERGEFORMAT </w:instrText>
                          </w:r>
                          <w:r>
                            <w:fldChar w:fldCharType="separate"/>
                          </w:r>
                          <w:r>
                            <w:t xml:space="preserve">69</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00"/>
                    </w:pPr>
                    <w:r>
                      <w:fldChar w:fldCharType="begin"/>
                    </w:r>
                    <w:r>
                      <w:instrText xml:space="preserve"> PAGE  \* MERGEFORMAT </w:instrText>
                    </w:r>
                    <w:r>
                      <w:fldChar w:fldCharType="separate"/>
                    </w:r>
                    <w:r>
                      <w:t xml:space="preserve">69</w:t>
                    </w:r>
                    <w:r>
                      <w:fldChar w:fldCharType="end"/>
                    </w:r>
                    <w:r/>
                  </w:p>
                </w:txbxContent>
              </v:textbox>
            </v:shape>
          </w:pict>
        </mc:Fallback>
      </mc:AlternateContent>
    </w:r>
    <w:r/>
  </w:p>
  <w:p>
    <w:pPr>
      <w:pStyle w:val="1000"/>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0"/>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00"/>
                          </w:pPr>
                          <w:r>
                            <w:fldChar w:fldCharType="begin"/>
                          </w:r>
                          <w:r>
                            <w:instrText xml:space="preserve"> PAGE  \* MERGEFORMAT </w:instrText>
                          </w:r>
                          <w:r>
                            <w:fldChar w:fldCharType="separate"/>
                          </w:r>
                          <w:r>
                            <w:t xml:space="preserve">59</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00"/>
                    </w:pPr>
                    <w:r>
                      <w:fldChar w:fldCharType="begin"/>
                    </w:r>
                    <w:r>
                      <w:instrText xml:space="preserve"> PAGE  \* MERGEFORMAT </w:instrText>
                    </w:r>
                    <w:r>
                      <w:fldChar w:fldCharType="separate"/>
                    </w:r>
                    <w:r>
                      <w:t xml:space="preserve">59</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0"/>
      <w:ind w:firstLine="36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00"/>
                          </w:pPr>
                          <w:r>
                            <w:fldChar w:fldCharType="begin"/>
                          </w:r>
                          <w:r>
                            <w:instrText xml:space="preserve"> PAGE  \* MERGEFORMAT </w:instrText>
                          </w:r>
                          <w:r>
                            <w:fldChar w:fldCharType="separate"/>
                          </w:r>
                          <w:r>
                            <w:t xml:space="preserve">73</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5" o:spid="_x0000_s5"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00"/>
                    </w:pPr>
                    <w:r>
                      <w:fldChar w:fldCharType="begin"/>
                    </w:r>
                    <w:r>
                      <w:instrText xml:space="preserve"> PAGE  \* MERGEFORMAT </w:instrText>
                    </w:r>
                    <w:r>
                      <w:fldChar w:fldCharType="separate"/>
                    </w:r>
                    <w:r>
                      <w:t xml:space="preserve">73</w:t>
                    </w:r>
                    <w:r>
                      <w:fldChar w:fldCharType="end"/>
                    </w:r>
                    <w:r/>
                  </w:p>
                </w:txbxContent>
              </v:textbox>
            </v:shape>
          </w:pict>
        </mc:Fallback>
      </mc:AlternateContent>
    </w:r>
    <w:r/>
  </w:p>
  <w:p>
    <w:pPr>
      <w:pStyle w:val="1000"/>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0"/>
    </w:pP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00"/>
                          </w:pPr>
                          <w:r>
                            <w:fldChar w:fldCharType="begin"/>
                          </w:r>
                          <w:r>
                            <w:instrText xml:space="preserve"> PAGE  \* MERGEFORMAT </w:instrText>
                          </w:r>
                          <w:r>
                            <w:fldChar w:fldCharType="separate"/>
                          </w:r>
                          <w:r>
                            <w:t xml:space="preserve">70</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6" o:spid="_x0000_s6"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00"/>
                    </w:pPr>
                    <w:r>
                      <w:fldChar w:fldCharType="begin"/>
                    </w:r>
                    <w:r>
                      <w:instrText xml:space="preserve"> PAGE  \* MERGEFORMAT </w:instrText>
                    </w:r>
                    <w:r>
                      <w:fldChar w:fldCharType="separate"/>
                    </w:r>
                    <w:r>
                      <w:t xml:space="preserve">70</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1"/>
      <w:jc w:val="left"/>
      <w:rPr>
        <w:rFonts w:ascii="仿宋" w:hAnsi="仿宋"/>
      </w:rPr>
      <w:pBdr>
        <w:bottom w:val="none" w:color="auto" w:sz="0" w:space="0"/>
      </w:pBdr>
    </w:pPr>
    <w:r>
      <w:rPr>
        <w:rFonts w:ascii="仿宋" w:hAnsi="仿宋"/>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1"/>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1"/>
      <w:ind w:left="5866" w:hanging="5866"/>
      <w:jc w:val="left"/>
      <w:pBdr>
        <w:bottom w:val="none" w:color="auto" w:sz="0" w:space="1"/>
      </w:pBdr>
    </w:pPr>
    <w:r>
      <w:rPr>
        <w:rFonts w:hint="eastAsia"/>
      </w:rPr>
      <w:tab/>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174"/>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iCs/>
        <w:sz w:val="18"/>
        <w:u w:val="single"/>
      </w:rPr>
    </w:pPr>
    <w:r>
      <w:rPr>
        <w:iCs/>
        <w:sz w:val="18"/>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8"/>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1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041"/>
      <w:isLgl w:val="false"/>
      <w:suff w:val="nothing"/>
      <w:lvlText w:val="%1、"/>
      <w:lvlJc w:val="left"/>
      <w:pPr>
        <w:ind w:left="-6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6">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7">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5"/>
  </w:num>
  <w:num w:numId="2">
    <w:abstractNumId w:val="1"/>
  </w:num>
  <w:num w:numId="3">
    <w:abstractNumId w:val="8"/>
  </w:num>
  <w:num w:numId="4">
    <w:abstractNumId w:val="6"/>
  </w:num>
  <w:num w:numId="5">
    <w:abstractNumId w:val="3"/>
  </w:num>
  <w:num w:numId="6">
    <w:abstractNumId w:val="2"/>
  </w:num>
  <w:num w:numId="7">
    <w:abstractNumId w:val="0"/>
  </w:num>
  <w:num w:numId="8">
    <w:abstractNumId w:val="7"/>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73">
    <w:name w:val="TOC Heading"/>
    <w:uiPriority w:val="39"/>
    <w:unhideWhenUsed/>
  </w:style>
  <w:style w:type="paragraph" w:styleId="974" w:default="1">
    <w:name w:val="Normal"/>
    <w:next w:val="986"/>
    <w:uiPriority w:val="0"/>
    <w:qFormat/>
    <w:pPr>
      <w:jc w:val="both"/>
      <w:widowControl w:val="off"/>
    </w:pPr>
    <w:rPr>
      <w:rFonts w:ascii="Times New Roman" w:hAnsi="Times New Roman" w:eastAsia="宋体" w:cs="Times New Roman"/>
      <w:sz w:val="21"/>
      <w:szCs w:val="24"/>
      <w:lang w:val="en-US" w:eastAsia="zh-CN" w:bidi="ar-SA"/>
    </w:rPr>
  </w:style>
  <w:style w:type="paragraph" w:styleId="975">
    <w:name w:val="Heading 1"/>
    <w:basedOn w:val="974"/>
    <w:next w:val="974"/>
    <w:link w:val="1060"/>
    <w:uiPriority w:val="9"/>
    <w:qFormat/>
    <w:pPr>
      <w:keepLines/>
      <w:keepNext/>
      <w:spacing w:before="480" w:after="200"/>
      <w:outlineLvl w:val="0"/>
    </w:pPr>
    <w:rPr>
      <w:rFonts w:ascii="Arial" w:hAnsi="Arial" w:eastAsia="Arial" w:cs="Arial"/>
      <w:sz w:val="40"/>
      <w:szCs w:val="40"/>
    </w:rPr>
  </w:style>
  <w:style w:type="paragraph" w:styleId="976">
    <w:name w:val="Heading 2"/>
    <w:basedOn w:val="974"/>
    <w:next w:val="974"/>
    <w:link w:val="1061"/>
    <w:uiPriority w:val="9"/>
    <w:unhideWhenUsed/>
    <w:qFormat/>
    <w:pPr>
      <w:keepLines/>
      <w:keepNext/>
      <w:spacing w:before="360" w:after="200"/>
      <w:outlineLvl w:val="1"/>
    </w:pPr>
    <w:rPr>
      <w:rFonts w:ascii="Arial" w:hAnsi="Arial" w:eastAsia="Arial" w:cs="Arial"/>
      <w:sz w:val="34"/>
    </w:rPr>
  </w:style>
  <w:style w:type="paragraph" w:styleId="977">
    <w:name w:val="Heading 3"/>
    <w:basedOn w:val="974"/>
    <w:next w:val="974"/>
    <w:link w:val="1062"/>
    <w:uiPriority w:val="9"/>
    <w:unhideWhenUsed/>
    <w:qFormat/>
    <w:pPr>
      <w:keepLines/>
      <w:keepNext/>
      <w:spacing w:before="320" w:after="200"/>
      <w:outlineLvl w:val="2"/>
    </w:pPr>
    <w:rPr>
      <w:rFonts w:ascii="Arial" w:hAnsi="Arial" w:eastAsia="Arial" w:cs="Arial"/>
      <w:sz w:val="30"/>
      <w:szCs w:val="30"/>
    </w:rPr>
  </w:style>
  <w:style w:type="paragraph" w:styleId="978">
    <w:name w:val="Heading 4"/>
    <w:basedOn w:val="974"/>
    <w:next w:val="974"/>
    <w:link w:val="1063"/>
    <w:uiPriority w:val="9"/>
    <w:unhideWhenUsed/>
    <w:qFormat/>
    <w:pPr>
      <w:keepLines/>
      <w:keepNext/>
      <w:spacing w:before="320" w:after="200"/>
      <w:outlineLvl w:val="3"/>
    </w:pPr>
    <w:rPr>
      <w:rFonts w:ascii="Arial" w:hAnsi="Arial" w:eastAsia="Arial" w:cs="Arial"/>
      <w:b/>
      <w:bCs/>
      <w:sz w:val="26"/>
      <w:szCs w:val="26"/>
    </w:rPr>
  </w:style>
  <w:style w:type="paragraph" w:styleId="979">
    <w:name w:val="Heading 5"/>
    <w:basedOn w:val="974"/>
    <w:next w:val="974"/>
    <w:link w:val="1064"/>
    <w:uiPriority w:val="9"/>
    <w:unhideWhenUsed/>
    <w:qFormat/>
    <w:pPr>
      <w:keepLines/>
      <w:keepNext/>
      <w:spacing w:before="320" w:after="200"/>
      <w:outlineLvl w:val="4"/>
    </w:pPr>
    <w:rPr>
      <w:rFonts w:ascii="Arial" w:hAnsi="Arial" w:eastAsia="Arial" w:cs="Arial"/>
      <w:b/>
      <w:bCs/>
      <w:sz w:val="24"/>
    </w:rPr>
  </w:style>
  <w:style w:type="paragraph" w:styleId="980">
    <w:name w:val="Heading 6"/>
    <w:basedOn w:val="974"/>
    <w:next w:val="974"/>
    <w:link w:val="1065"/>
    <w:uiPriority w:val="9"/>
    <w:unhideWhenUsed/>
    <w:qFormat/>
    <w:pPr>
      <w:keepLines/>
      <w:keepNext/>
      <w:spacing w:before="320" w:after="200"/>
      <w:outlineLvl w:val="5"/>
    </w:pPr>
    <w:rPr>
      <w:rFonts w:ascii="Arial" w:hAnsi="Arial" w:eastAsia="Arial" w:cs="Arial"/>
      <w:b/>
      <w:bCs/>
      <w:sz w:val="22"/>
      <w:szCs w:val="22"/>
    </w:rPr>
  </w:style>
  <w:style w:type="paragraph" w:styleId="981">
    <w:name w:val="Heading 7"/>
    <w:basedOn w:val="974"/>
    <w:next w:val="974"/>
    <w:link w:val="1066"/>
    <w:uiPriority w:val="9"/>
    <w:unhideWhenUsed/>
    <w:qFormat/>
    <w:pPr>
      <w:keepLines/>
      <w:keepNext/>
      <w:spacing w:before="320" w:after="200"/>
      <w:outlineLvl w:val="6"/>
    </w:pPr>
    <w:rPr>
      <w:rFonts w:ascii="Arial" w:hAnsi="Arial" w:eastAsia="Arial" w:cs="Arial"/>
      <w:b/>
      <w:bCs/>
      <w:i/>
      <w:iCs/>
      <w:sz w:val="22"/>
      <w:szCs w:val="22"/>
    </w:rPr>
  </w:style>
  <w:style w:type="paragraph" w:styleId="982">
    <w:name w:val="Heading 8"/>
    <w:basedOn w:val="974"/>
    <w:next w:val="974"/>
    <w:link w:val="1067"/>
    <w:uiPriority w:val="9"/>
    <w:unhideWhenUsed/>
    <w:qFormat/>
    <w:pPr>
      <w:keepLines/>
      <w:keepNext/>
      <w:spacing w:before="320" w:after="200"/>
      <w:outlineLvl w:val="7"/>
    </w:pPr>
    <w:rPr>
      <w:rFonts w:ascii="Arial" w:hAnsi="Arial" w:eastAsia="Arial" w:cs="Arial"/>
      <w:i/>
      <w:iCs/>
      <w:sz w:val="22"/>
      <w:szCs w:val="22"/>
    </w:rPr>
  </w:style>
  <w:style w:type="paragraph" w:styleId="983">
    <w:name w:val="Heading 9"/>
    <w:basedOn w:val="974"/>
    <w:next w:val="974"/>
    <w:link w:val="1068"/>
    <w:uiPriority w:val="9"/>
    <w:unhideWhenUsed/>
    <w:qFormat/>
    <w:pPr>
      <w:keepLines/>
      <w:keepNext/>
      <w:spacing w:before="320" w:after="200"/>
      <w:outlineLvl w:val="8"/>
    </w:pPr>
    <w:rPr>
      <w:rFonts w:ascii="Arial" w:hAnsi="Arial" w:eastAsia="Arial" w:cs="Arial"/>
      <w:i/>
      <w:iCs/>
      <w:szCs w:val="21"/>
    </w:rPr>
  </w:style>
  <w:style w:type="character" w:styleId="984" w:default="1">
    <w:name w:val="Default Paragraph Font"/>
    <w:uiPriority w:val="1"/>
    <w:semiHidden/>
    <w:unhideWhenUsed/>
    <w:qFormat/>
  </w:style>
  <w:style w:type="table" w:styleId="985" w:default="1">
    <w:name w:val="Normal Table"/>
    <w:uiPriority w:val="99"/>
    <w:semiHidden/>
    <w:unhideWhenUsed/>
    <w:qFormat/>
    <w:tblPr>
      <w:tblCellMar>
        <w:left w:w="108" w:type="dxa"/>
        <w:top w:w="0" w:type="dxa"/>
        <w:right w:w="108" w:type="dxa"/>
        <w:bottom w:w="0" w:type="dxa"/>
      </w:tblCellMar>
    </w:tblPr>
  </w:style>
  <w:style w:type="paragraph" w:styleId="986">
    <w:name w:val="footnote text"/>
    <w:basedOn w:val="974"/>
    <w:next w:val="987"/>
    <w:link w:val="1205"/>
    <w:uiPriority w:val="0"/>
    <w:unhideWhenUsed/>
    <w:qFormat/>
    <w:pPr>
      <w:spacing w:after="40"/>
    </w:pPr>
    <w:rPr>
      <w:sz w:val="18"/>
    </w:rPr>
  </w:style>
  <w:style w:type="paragraph" w:styleId="987">
    <w:name w:val="index 5"/>
    <w:basedOn w:val="974"/>
    <w:next w:val="974"/>
    <w:uiPriority w:val="0"/>
    <w:qFormat/>
    <w:pPr>
      <w:ind w:left="798"/>
      <w:jc w:val="left"/>
    </w:pPr>
    <w:rPr>
      <w:rFonts w:ascii="Calibri" w:hAnsi="Calibri"/>
    </w:rPr>
  </w:style>
  <w:style w:type="paragraph" w:styleId="988">
    <w:name w:val="toc 7"/>
    <w:basedOn w:val="974"/>
    <w:next w:val="974"/>
    <w:uiPriority w:val="39"/>
    <w:unhideWhenUsed/>
    <w:qFormat/>
    <w:pPr>
      <w:ind w:left="1701"/>
      <w:spacing w:after="57"/>
    </w:pPr>
  </w:style>
  <w:style w:type="paragraph" w:styleId="989">
    <w:name w:val="Caption"/>
    <w:basedOn w:val="974"/>
    <w:next w:val="97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90">
    <w:name w:val="annotation text"/>
    <w:basedOn w:val="974"/>
    <w:uiPriority w:val="99"/>
    <w:semiHidden/>
    <w:unhideWhenUsed/>
    <w:qFormat/>
    <w:pPr>
      <w:jc w:val="left"/>
    </w:pPr>
  </w:style>
  <w:style w:type="paragraph" w:styleId="991">
    <w:name w:val="Body Text"/>
    <w:basedOn w:val="974"/>
    <w:uiPriority w:val="0"/>
    <w:qFormat/>
    <w:pPr>
      <w:spacing w:after="120"/>
    </w:pPr>
  </w:style>
  <w:style w:type="paragraph" w:styleId="992">
    <w:name w:val="Body Text Indent"/>
    <w:basedOn w:val="974"/>
    <w:next w:val="993"/>
    <w:uiPriority w:val="99"/>
    <w:qFormat/>
    <w:pPr>
      <w:ind w:left="420"/>
      <w:spacing w:after="120"/>
    </w:pPr>
  </w:style>
  <w:style w:type="paragraph" w:styleId="993">
    <w:name w:val="envelope return"/>
    <w:basedOn w:val="974"/>
    <w:uiPriority w:val="0"/>
    <w:qFormat/>
    <w:rPr>
      <w:rFonts w:ascii="Arial" w:hAnsi="Arial"/>
    </w:rPr>
  </w:style>
  <w:style w:type="paragraph" w:styleId="994">
    <w:name w:val="Block Text"/>
    <w:basedOn w:val="974"/>
    <w:uiPriority w:val="6"/>
    <w:qFormat/>
    <w:pPr>
      <w:ind w:left="420" w:right="33"/>
      <w:jc w:val="left"/>
    </w:pPr>
    <w:rPr>
      <w:sz w:val="24"/>
      <w:szCs w:val="20"/>
    </w:rPr>
  </w:style>
  <w:style w:type="paragraph" w:styleId="995">
    <w:name w:val="toc 5"/>
    <w:basedOn w:val="974"/>
    <w:next w:val="974"/>
    <w:uiPriority w:val="39"/>
    <w:unhideWhenUsed/>
    <w:qFormat/>
    <w:pPr>
      <w:ind w:left="1134"/>
      <w:spacing w:after="57"/>
    </w:pPr>
  </w:style>
  <w:style w:type="paragraph" w:styleId="996">
    <w:name w:val="toc 3"/>
    <w:basedOn w:val="974"/>
    <w:next w:val="974"/>
    <w:uiPriority w:val="39"/>
    <w:unhideWhenUsed/>
    <w:qFormat/>
    <w:pPr>
      <w:ind w:left="567"/>
      <w:spacing w:after="57"/>
    </w:pPr>
  </w:style>
  <w:style w:type="paragraph" w:styleId="997">
    <w:name w:val="toc 8"/>
    <w:basedOn w:val="974"/>
    <w:next w:val="974"/>
    <w:uiPriority w:val="39"/>
    <w:unhideWhenUsed/>
    <w:qFormat/>
    <w:pPr>
      <w:ind w:left="1984"/>
      <w:spacing w:after="57"/>
    </w:pPr>
  </w:style>
  <w:style w:type="paragraph" w:styleId="998">
    <w:name w:val="endnote text"/>
    <w:basedOn w:val="974"/>
    <w:link w:val="1206"/>
    <w:uiPriority w:val="99"/>
    <w:semiHidden/>
    <w:unhideWhenUsed/>
    <w:qFormat/>
    <w:rPr>
      <w:sz w:val="20"/>
    </w:rPr>
  </w:style>
  <w:style w:type="paragraph" w:styleId="999">
    <w:name w:val="Balloon Text"/>
    <w:basedOn w:val="974"/>
    <w:link w:val="1226"/>
    <w:uiPriority w:val="99"/>
    <w:semiHidden/>
    <w:unhideWhenUsed/>
    <w:qFormat/>
    <w:rPr>
      <w:sz w:val="18"/>
      <w:szCs w:val="18"/>
    </w:rPr>
  </w:style>
  <w:style w:type="paragraph" w:styleId="1000">
    <w:name w:val="Footer"/>
    <w:basedOn w:val="974"/>
    <w:link w:val="1079"/>
    <w:uiPriority w:val="0"/>
    <w:unhideWhenUsed/>
    <w:qFormat/>
    <w:pPr>
      <w:jc w:val="left"/>
      <w:tabs>
        <w:tab w:val="center" w:pos="4153" w:leader="none"/>
        <w:tab w:val="right" w:pos="8306" w:leader="none"/>
      </w:tabs>
    </w:pPr>
    <w:rPr>
      <w:sz w:val="18"/>
      <w:szCs w:val="18"/>
    </w:rPr>
  </w:style>
  <w:style w:type="paragraph" w:styleId="1001">
    <w:name w:val="Header"/>
    <w:basedOn w:val="974"/>
    <w:link w:val="1077"/>
    <w:uiPriority w:val="0"/>
    <w:unhideWhenUsed/>
    <w:qFormat/>
    <w:pPr>
      <w:jc w:val="center"/>
      <w:tabs>
        <w:tab w:val="center" w:pos="4153" w:leader="none"/>
        <w:tab w:val="right" w:pos="8306" w:leader="none"/>
      </w:tabs>
      <w:pBdr>
        <w:bottom w:val="single" w:color="000000" w:sz="6" w:space="1"/>
      </w:pBdr>
    </w:pPr>
    <w:rPr>
      <w:sz w:val="18"/>
      <w:szCs w:val="18"/>
    </w:rPr>
  </w:style>
  <w:style w:type="paragraph" w:styleId="1002">
    <w:name w:val="toc 1"/>
    <w:basedOn w:val="974"/>
    <w:next w:val="974"/>
    <w:uiPriority w:val="39"/>
    <w:unhideWhenUsed/>
    <w:qFormat/>
    <w:pPr>
      <w:spacing w:after="57"/>
    </w:pPr>
  </w:style>
  <w:style w:type="paragraph" w:styleId="1003">
    <w:name w:val="toc 4"/>
    <w:basedOn w:val="974"/>
    <w:next w:val="974"/>
    <w:uiPriority w:val="39"/>
    <w:unhideWhenUsed/>
    <w:qFormat/>
    <w:pPr>
      <w:ind w:left="850"/>
      <w:spacing w:after="57"/>
    </w:pPr>
  </w:style>
  <w:style w:type="paragraph" w:styleId="1004">
    <w:name w:val="Subtitle"/>
    <w:basedOn w:val="974"/>
    <w:next w:val="974"/>
    <w:link w:val="1072"/>
    <w:uiPriority w:val="11"/>
    <w:qFormat/>
    <w:pPr>
      <w:spacing w:before="200" w:after="200"/>
    </w:pPr>
    <w:rPr>
      <w:sz w:val="24"/>
    </w:rPr>
  </w:style>
  <w:style w:type="paragraph" w:styleId="1005">
    <w:name w:val="toc 6"/>
    <w:basedOn w:val="974"/>
    <w:next w:val="974"/>
    <w:uiPriority w:val="39"/>
    <w:unhideWhenUsed/>
    <w:qFormat/>
    <w:pPr>
      <w:ind w:left="1417"/>
      <w:spacing w:after="57"/>
    </w:pPr>
  </w:style>
  <w:style w:type="paragraph" w:styleId="1006">
    <w:name w:val="table of figures"/>
    <w:basedOn w:val="974"/>
    <w:next w:val="974"/>
    <w:uiPriority w:val="99"/>
    <w:unhideWhenUsed/>
    <w:qFormat/>
  </w:style>
  <w:style w:type="paragraph" w:styleId="1007">
    <w:name w:val="toc 2"/>
    <w:basedOn w:val="974"/>
    <w:next w:val="974"/>
    <w:uiPriority w:val="39"/>
    <w:unhideWhenUsed/>
    <w:qFormat/>
    <w:pPr>
      <w:ind w:left="283"/>
      <w:spacing w:after="57"/>
    </w:pPr>
  </w:style>
  <w:style w:type="paragraph" w:styleId="1008">
    <w:name w:val="toc 9"/>
    <w:basedOn w:val="974"/>
    <w:next w:val="974"/>
    <w:uiPriority w:val="39"/>
    <w:unhideWhenUsed/>
    <w:qFormat/>
    <w:pPr>
      <w:ind w:left="2268"/>
      <w:spacing w:after="57"/>
    </w:pPr>
  </w:style>
  <w:style w:type="paragraph" w:styleId="1009">
    <w:name w:val="Body Text 2"/>
    <w:basedOn w:val="974"/>
    <w:uiPriority w:val="0"/>
    <w:qFormat/>
    <w:pPr>
      <w:jc w:val="center"/>
      <w:widowControl/>
    </w:pPr>
    <w:rPr>
      <w:rFonts w:ascii="楷体_GB2312" w:eastAsia="楷体_GB2312"/>
      <w:sz w:val="28"/>
      <w:szCs w:val="28"/>
    </w:rPr>
  </w:style>
  <w:style w:type="paragraph" w:styleId="1010">
    <w:name w:val="Normal (Web)"/>
    <w:basedOn w:val="974"/>
    <w:uiPriority w:val="0"/>
    <w:qFormat/>
    <w:pPr>
      <w:jc w:val="left"/>
      <w:spacing w:before="100" w:beforeAutospacing="1" w:after="100" w:afterAutospacing="1"/>
      <w:widowControl/>
    </w:pPr>
    <w:rPr>
      <w:rFonts w:ascii="宋体" w:hAnsi="宋体"/>
      <w:sz w:val="24"/>
    </w:rPr>
  </w:style>
  <w:style w:type="paragraph" w:styleId="1011">
    <w:name w:val="Title"/>
    <w:basedOn w:val="974"/>
    <w:next w:val="974"/>
    <w:link w:val="1071"/>
    <w:uiPriority w:val="10"/>
    <w:qFormat/>
    <w:pPr>
      <w:contextualSpacing/>
      <w:spacing w:before="300" w:after="200"/>
    </w:pPr>
    <w:rPr>
      <w:sz w:val="48"/>
      <w:szCs w:val="48"/>
    </w:rPr>
  </w:style>
  <w:style w:type="table" w:styleId="1012">
    <w:name w:val="Table Grid"/>
    <w:basedOn w:val="985"/>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13">
    <w:name w:val="endnote reference"/>
    <w:uiPriority w:val="99"/>
    <w:semiHidden/>
    <w:unhideWhenUsed/>
    <w:qFormat/>
    <w:rPr>
      <w:vertAlign w:val="superscript"/>
    </w:rPr>
  </w:style>
  <w:style w:type="character" w:styleId="1014">
    <w:name w:val="page number"/>
    <w:basedOn w:val="984"/>
    <w:uiPriority w:val="0"/>
    <w:unhideWhenUsed/>
    <w:qFormat/>
  </w:style>
  <w:style w:type="character" w:styleId="1015">
    <w:name w:val="Hyperlink"/>
    <w:basedOn w:val="984"/>
    <w:uiPriority w:val="0"/>
    <w:qFormat/>
    <w:rPr>
      <w:color w:val="0000ff"/>
      <w:u w:val="single"/>
    </w:rPr>
  </w:style>
  <w:style w:type="character" w:styleId="1016">
    <w:name w:val="footnote reference"/>
    <w:uiPriority w:val="99"/>
    <w:unhideWhenUsed/>
    <w:qFormat/>
    <w:rPr>
      <w:vertAlign w:val="superscript"/>
    </w:rPr>
  </w:style>
  <w:style w:type="paragraph" w:styleId="1017" w:customStyle="1">
    <w:name w:val="一级条标题"/>
    <w:basedOn w:val="1018"/>
    <w:next w:val="1026"/>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18" w:customStyle="1">
    <w:name w:val="章标题"/>
    <w:basedOn w:val="1019"/>
    <w:next w:val="974"/>
    <w:uiPriority w:val="0"/>
    <w:qFormat/>
    <w:pPr>
      <w:ind w:left="810" w:hanging="810"/>
      <w:spacing w:before="50" w:after="50"/>
      <w:tabs>
        <w:tab w:val="left" w:pos="810" w:leader="none"/>
        <w:tab w:val="left" w:pos="1265" w:leader="none"/>
      </w:tabs>
      <w:outlineLvl w:val="1"/>
    </w:pPr>
    <w:rPr>
      <w:rFonts w:ascii="黑体" w:hAnsi="Times New Roman" w:eastAsia="黑体"/>
      <w:sz w:val="21"/>
      <w:szCs w:val="22"/>
    </w:rPr>
  </w:style>
  <w:style w:type="paragraph" w:styleId="1019" w:customStyle="1">
    <w:name w:val="正文1"/>
    <w:basedOn w:val="1020"/>
    <w:next w:val="1025"/>
    <w:uiPriority w:val="0"/>
    <w:qFormat/>
    <w:pPr>
      <w:ind w:firstLine="361"/>
      <w:spacing w:line="360" w:lineRule="auto"/>
    </w:pPr>
    <w:rPr>
      <w:rFonts w:ascii="宋体" w:hAnsi="宋体" w:eastAsia="仿宋_GB2312"/>
      <w:sz w:val="24"/>
    </w:rPr>
  </w:style>
  <w:style w:type="paragraph" w:styleId="1020" w:customStyle="1">
    <w:name w:val="正文11"/>
    <w:next w:val="1021"/>
    <w:link w:val="1225"/>
    <w:uiPriority w:val="0"/>
    <w:qFormat/>
    <w:pPr>
      <w:jc w:val="both"/>
    </w:pPr>
    <w:rPr>
      <w:rFonts w:ascii="Times New Roman" w:hAnsi="Times New Roman" w:eastAsia="宋体" w:cs="Times New Roman"/>
      <w:lang w:val="en-US" w:eastAsia="zh-CN" w:bidi="ar-SA"/>
    </w:rPr>
  </w:style>
  <w:style w:type="paragraph" w:styleId="1021" w:customStyle="1">
    <w:name w:val="文本块1"/>
    <w:basedOn w:val="1022"/>
    <w:next w:val="974"/>
    <w:uiPriority w:val="0"/>
    <w:qFormat/>
    <w:pPr>
      <w:ind w:left="256" w:right="6" w:firstLine="624"/>
    </w:pPr>
    <w:rPr>
      <w:sz w:val="28"/>
    </w:rPr>
  </w:style>
  <w:style w:type="paragraph" w:styleId="1022" w:customStyle="1">
    <w:name w:val="正文111"/>
    <w:next w:val="1023"/>
    <w:uiPriority w:val="0"/>
    <w:qFormat/>
    <w:pPr>
      <w:jc w:val="both"/>
      <w:widowControl w:val="off"/>
    </w:pPr>
    <w:rPr>
      <w:rFonts w:ascii="Times New Roman" w:hAnsi="Times New Roman" w:eastAsia="宋体" w:cs="Times New Roman"/>
      <w:sz w:val="21"/>
      <w:szCs w:val="24"/>
      <w:lang w:val="en-US" w:eastAsia="zh-CN" w:bidi="ar-SA"/>
    </w:rPr>
  </w:style>
  <w:style w:type="paragraph" w:styleId="1023" w:customStyle="1">
    <w:name w:val="正文文本缩进1"/>
    <w:basedOn w:val="1020"/>
    <w:next w:val="1024"/>
    <w:uiPriority w:val="0"/>
    <w:qFormat/>
    <w:pPr>
      <w:ind w:left="420"/>
      <w:spacing w:after="120"/>
    </w:pPr>
  </w:style>
  <w:style w:type="paragraph" w:styleId="1024" w:customStyle="1">
    <w:name w:val="寄信人地址1"/>
    <w:basedOn w:val="1020"/>
    <w:uiPriority w:val="0"/>
    <w:qFormat/>
    <w:rPr>
      <w:rFonts w:ascii="Arial" w:hAnsi="Arial"/>
    </w:rPr>
  </w:style>
  <w:style w:type="paragraph" w:styleId="1025" w:customStyle="1">
    <w:name w:val="正文文本1"/>
    <w:basedOn w:val="1019"/>
    <w:next w:val="1017"/>
    <w:uiPriority w:val="0"/>
    <w:qFormat/>
    <w:pPr>
      <w:spacing w:after="120"/>
    </w:pPr>
  </w:style>
  <w:style w:type="paragraph" w:styleId="1026" w:customStyle="1">
    <w:name w:val="段"/>
    <w:basedOn w:val="1020"/>
    <w:next w:val="974"/>
    <w:uiPriority w:val="0"/>
    <w:qFormat/>
    <w:pPr>
      <w:ind w:firstLine="200"/>
    </w:pPr>
    <w:rPr>
      <w:rFonts w:hint="eastAsia" w:ascii="宋体"/>
    </w:rPr>
  </w:style>
  <w:style w:type="paragraph" w:styleId="1027" w:customStyle="1">
    <w:name w:val="标题1"/>
    <w:basedOn w:val="1019"/>
    <w:next w:val="1028"/>
    <w:uiPriority w:val="10"/>
    <w:qFormat/>
    <w:pPr>
      <w:contextualSpacing/>
      <w:spacing w:before="300" w:after="200"/>
    </w:pPr>
    <w:rPr>
      <w:sz w:val="48"/>
      <w:szCs w:val="48"/>
    </w:rPr>
  </w:style>
  <w:style w:type="paragraph" w:styleId="1028" w:customStyle="1">
    <w:name w:val="纯文本1"/>
    <w:basedOn w:val="1019"/>
    <w:uiPriority w:val="0"/>
    <w:qFormat/>
    <w:rPr>
      <w:rFonts w:hAnsi="Courier New"/>
      <w:szCs w:val="21"/>
    </w:rPr>
  </w:style>
  <w:style w:type="paragraph" w:styleId="1029" w:customStyle="1">
    <w:name w:val="标题 41"/>
    <w:basedOn w:val="1030"/>
    <w:next w:val="1020"/>
    <w:uiPriority w:val="0"/>
    <w:qFormat/>
    <w:pPr>
      <w:keepLines/>
      <w:keepNext/>
      <w:spacing w:before="280" w:after="290" w:line="376" w:lineRule="auto"/>
      <w:outlineLvl w:val="3"/>
    </w:pPr>
    <w:rPr>
      <w:rFonts w:ascii="Arial" w:hAnsi="Arial" w:eastAsia="黑体"/>
      <w:b/>
      <w:bCs/>
      <w:sz w:val="28"/>
      <w:szCs w:val="28"/>
    </w:rPr>
  </w:style>
  <w:style w:type="paragraph" w:styleId="1030" w:customStyle="1">
    <w:name w:val="正文12"/>
    <w:next w:val="1031"/>
    <w:uiPriority w:val="0"/>
    <w:qFormat/>
    <w:pPr>
      <w:ind w:firstLine="723"/>
      <w:jc w:val="both"/>
      <w:spacing w:line="360" w:lineRule="auto"/>
      <w:widowControl w:val="off"/>
    </w:pPr>
    <w:rPr>
      <w:rFonts w:ascii="Times New Roman" w:hAnsi="Times New Roman" w:eastAsia="宋体" w:cs="Times New Roman"/>
      <w:sz w:val="24"/>
      <w:szCs w:val="24"/>
      <w:lang w:val="en-US" w:eastAsia="zh-CN" w:bidi="ar-SA"/>
    </w:rPr>
  </w:style>
  <w:style w:type="paragraph" w:styleId="1031" w:customStyle="1">
    <w:name w:val="脚注文本1"/>
    <w:basedOn w:val="1019"/>
    <w:next w:val="1032"/>
    <w:uiPriority w:val="0"/>
    <w:qFormat/>
    <w:rPr>
      <w:sz w:val="18"/>
      <w:szCs w:val="18"/>
    </w:rPr>
  </w:style>
  <w:style w:type="paragraph" w:styleId="1032" w:customStyle="1">
    <w:name w:val="索引 51"/>
    <w:basedOn w:val="1019"/>
    <w:next w:val="1019"/>
    <w:uiPriority w:val="0"/>
    <w:qFormat/>
    <w:pPr>
      <w:ind w:left="798"/>
      <w:jc w:val="left"/>
    </w:pPr>
    <w:rPr>
      <w:rFonts w:ascii="Calibri" w:hAnsi="Calibri"/>
    </w:rPr>
  </w:style>
  <w:style w:type="paragraph" w:styleId="1033" w:customStyle="1">
    <w:name w:val="正文首行缩进1"/>
    <w:basedOn w:val="1034"/>
    <w:next w:val="1036"/>
    <w:uiPriority w:val="99"/>
    <w:unhideWhenUsed/>
    <w:qFormat/>
    <w:pPr>
      <w:ind w:firstLine="420"/>
    </w:pPr>
    <w:rPr>
      <w:sz w:val="22"/>
      <w:szCs w:val="22"/>
    </w:rPr>
  </w:style>
  <w:style w:type="paragraph" w:styleId="1034" w:customStyle="1">
    <w:name w:val="正文文本11"/>
    <w:basedOn w:val="1035"/>
    <w:next w:val="1020"/>
    <w:uiPriority w:val="0"/>
    <w:qFormat/>
    <w:pPr>
      <w:spacing w:after="120"/>
    </w:pPr>
  </w:style>
  <w:style w:type="paragraph" w:styleId="1035" w:customStyle="1">
    <w:name w:val="正文112"/>
    <w:next w:val="1034"/>
    <w:uiPriority w:val="0"/>
    <w:qFormat/>
    <w:pPr>
      <w:jc w:val="both"/>
      <w:widowControl w:val="off"/>
    </w:pPr>
    <w:rPr>
      <w:rFonts w:ascii="Times New Roman" w:hAnsi="Times New Roman" w:eastAsia="宋体" w:cs="Times New Roman"/>
      <w:sz w:val="21"/>
      <w:szCs w:val="24"/>
      <w:lang w:val="en-US" w:eastAsia="zh-CN" w:bidi="ar-SA"/>
    </w:rPr>
  </w:style>
  <w:style w:type="paragraph" w:styleId="1036" w:customStyle="1">
    <w:name w:val="正文首行缩进 21"/>
    <w:basedOn w:val="1023"/>
    <w:next w:val="1022"/>
    <w:uiPriority w:val="0"/>
    <w:qFormat/>
    <w:pPr>
      <w:ind w:firstLine="420"/>
    </w:pPr>
    <w:rPr>
      <w:sz w:val="28"/>
    </w:rPr>
  </w:style>
  <w:style w:type="paragraph" w:styleId="1037" w:customStyle="1">
    <w:name w:val="正文首行缩进11"/>
    <w:basedOn w:val="1025"/>
    <w:next w:val="1038"/>
    <w:uiPriority w:val="0"/>
    <w:qFormat/>
    <w:pPr>
      <w:ind w:firstLine="420"/>
    </w:pPr>
    <w:rPr>
      <w:rFonts w:ascii="仿宋_GB2312"/>
      <w:sz w:val="30"/>
      <w:szCs w:val="30"/>
    </w:rPr>
  </w:style>
  <w:style w:type="paragraph" w:styleId="1038" w:customStyle="1">
    <w:name w:val="正文首行缩进 211"/>
    <w:basedOn w:val="1039"/>
    <w:uiPriority w:val="99"/>
    <w:unhideWhenUsed/>
    <w:qFormat/>
    <w:pPr>
      <w:ind w:left="0" w:firstLine="420"/>
    </w:pPr>
  </w:style>
  <w:style w:type="paragraph" w:styleId="1039" w:customStyle="1">
    <w:name w:val="正文文本缩进11"/>
    <w:basedOn w:val="1030"/>
    <w:next w:val="1040"/>
    <w:uiPriority w:val="0"/>
    <w:qFormat/>
    <w:pPr>
      <w:ind w:left="420"/>
      <w:spacing w:after="120"/>
    </w:pPr>
  </w:style>
  <w:style w:type="paragraph" w:styleId="1040" w:customStyle="1">
    <w:name w:val="寄信人地址11"/>
    <w:basedOn w:val="1030"/>
    <w:uiPriority w:val="0"/>
    <w:qFormat/>
    <w:rPr>
      <w:rFonts w:ascii="Arial" w:hAnsi="Arial"/>
    </w:rPr>
  </w:style>
  <w:style w:type="paragraph" w:styleId="1041" w:customStyle="1">
    <w:name w:val="标题 21"/>
    <w:basedOn w:val="974"/>
    <w:next w:val="1020"/>
    <w:uiPriority w:val="9"/>
    <w:qFormat/>
    <w:pPr>
      <w:numPr>
        <w:ilvl w:val="0"/>
        <w:numId w:val="1"/>
      </w:numPr>
      <w:keepLines/>
      <w:keepNext/>
      <w:spacing w:before="260" w:after="260" w:line="416" w:lineRule="auto"/>
      <w:outlineLvl w:val="1"/>
    </w:pPr>
    <w:rPr>
      <w:rFonts w:ascii="Cambria" w:hAnsi="Cambria"/>
      <w:b/>
      <w:bCs/>
      <w:sz w:val="28"/>
      <w:szCs w:val="32"/>
    </w:rPr>
  </w:style>
  <w:style w:type="character" w:styleId="1042" w:customStyle="1">
    <w:name w:val="Heading 1 Char"/>
    <w:basedOn w:val="984"/>
    <w:uiPriority w:val="9"/>
    <w:qFormat/>
    <w:rPr>
      <w:rFonts w:ascii="Arial" w:hAnsi="Arial" w:eastAsia="Arial" w:cs="Arial"/>
      <w:sz w:val="40"/>
      <w:szCs w:val="40"/>
    </w:rPr>
  </w:style>
  <w:style w:type="character" w:styleId="1043" w:customStyle="1">
    <w:name w:val="Heading 2 Char"/>
    <w:basedOn w:val="984"/>
    <w:uiPriority w:val="9"/>
    <w:qFormat/>
    <w:rPr>
      <w:rFonts w:ascii="Arial" w:hAnsi="Arial" w:eastAsia="Arial" w:cs="Arial"/>
      <w:sz w:val="34"/>
    </w:rPr>
  </w:style>
  <w:style w:type="character" w:styleId="1044" w:customStyle="1">
    <w:name w:val="Heading 3 Char"/>
    <w:basedOn w:val="984"/>
    <w:uiPriority w:val="9"/>
    <w:qFormat/>
    <w:rPr>
      <w:rFonts w:ascii="Arial" w:hAnsi="Arial" w:eastAsia="Arial" w:cs="Arial"/>
      <w:sz w:val="30"/>
      <w:szCs w:val="30"/>
    </w:rPr>
  </w:style>
  <w:style w:type="character" w:styleId="1045" w:customStyle="1">
    <w:name w:val="Heading 4 Char"/>
    <w:basedOn w:val="984"/>
    <w:uiPriority w:val="9"/>
    <w:qFormat/>
    <w:rPr>
      <w:rFonts w:ascii="Arial" w:hAnsi="Arial" w:eastAsia="Arial" w:cs="Arial"/>
      <w:b/>
      <w:bCs/>
      <w:sz w:val="26"/>
      <w:szCs w:val="26"/>
    </w:rPr>
  </w:style>
  <w:style w:type="character" w:styleId="1046" w:customStyle="1">
    <w:name w:val="Heading 5 Char"/>
    <w:basedOn w:val="984"/>
    <w:uiPriority w:val="9"/>
    <w:qFormat/>
    <w:rPr>
      <w:rFonts w:ascii="Arial" w:hAnsi="Arial" w:eastAsia="Arial" w:cs="Arial"/>
      <w:b/>
      <w:bCs/>
      <w:sz w:val="24"/>
      <w:szCs w:val="24"/>
    </w:rPr>
  </w:style>
  <w:style w:type="character" w:styleId="1047" w:customStyle="1">
    <w:name w:val="Heading 6 Char"/>
    <w:basedOn w:val="984"/>
    <w:uiPriority w:val="9"/>
    <w:qFormat/>
    <w:rPr>
      <w:rFonts w:ascii="Arial" w:hAnsi="Arial" w:eastAsia="Arial" w:cs="Arial"/>
      <w:b/>
      <w:bCs/>
      <w:sz w:val="22"/>
      <w:szCs w:val="22"/>
    </w:rPr>
  </w:style>
  <w:style w:type="character" w:styleId="1048" w:customStyle="1">
    <w:name w:val="Heading 7 Char"/>
    <w:basedOn w:val="984"/>
    <w:uiPriority w:val="9"/>
    <w:qFormat/>
    <w:rPr>
      <w:rFonts w:ascii="Arial" w:hAnsi="Arial" w:eastAsia="Arial" w:cs="Arial"/>
      <w:b/>
      <w:bCs/>
      <w:i/>
      <w:iCs/>
      <w:sz w:val="22"/>
      <w:szCs w:val="22"/>
    </w:rPr>
  </w:style>
  <w:style w:type="character" w:styleId="1049" w:customStyle="1">
    <w:name w:val="Heading 8 Char"/>
    <w:basedOn w:val="984"/>
    <w:uiPriority w:val="9"/>
    <w:qFormat/>
    <w:rPr>
      <w:rFonts w:ascii="Arial" w:hAnsi="Arial" w:eastAsia="Arial" w:cs="Arial"/>
      <w:i/>
      <w:iCs/>
      <w:sz w:val="22"/>
      <w:szCs w:val="22"/>
    </w:rPr>
  </w:style>
  <w:style w:type="character" w:styleId="1050" w:customStyle="1">
    <w:name w:val="Heading 9 Char"/>
    <w:basedOn w:val="984"/>
    <w:uiPriority w:val="9"/>
    <w:qFormat/>
    <w:rPr>
      <w:rFonts w:ascii="Arial" w:hAnsi="Arial" w:eastAsia="Arial" w:cs="Arial"/>
      <w:i/>
      <w:iCs/>
      <w:sz w:val="21"/>
      <w:szCs w:val="21"/>
    </w:rPr>
  </w:style>
  <w:style w:type="character" w:styleId="1051" w:customStyle="1">
    <w:name w:val="Title Char"/>
    <w:basedOn w:val="984"/>
    <w:uiPriority w:val="10"/>
    <w:qFormat/>
    <w:rPr>
      <w:sz w:val="48"/>
      <w:szCs w:val="48"/>
    </w:rPr>
  </w:style>
  <w:style w:type="character" w:styleId="1052" w:customStyle="1">
    <w:name w:val="Subtitle Char"/>
    <w:basedOn w:val="984"/>
    <w:uiPriority w:val="11"/>
    <w:qFormat/>
    <w:rPr>
      <w:sz w:val="24"/>
      <w:szCs w:val="24"/>
    </w:rPr>
  </w:style>
  <w:style w:type="character" w:styleId="1053" w:customStyle="1">
    <w:name w:val="Quote Char"/>
    <w:uiPriority w:val="29"/>
    <w:qFormat/>
    <w:rPr>
      <w:i/>
    </w:rPr>
  </w:style>
  <w:style w:type="character" w:styleId="1054" w:customStyle="1">
    <w:name w:val="Intense Quote Char"/>
    <w:uiPriority w:val="30"/>
    <w:qFormat/>
    <w:rPr>
      <w:i/>
    </w:rPr>
  </w:style>
  <w:style w:type="character" w:styleId="1055" w:customStyle="1">
    <w:name w:val="Header Char"/>
    <w:basedOn w:val="984"/>
    <w:uiPriority w:val="99"/>
    <w:qFormat/>
  </w:style>
  <w:style w:type="character" w:styleId="1056" w:customStyle="1">
    <w:name w:val="Caption Char"/>
    <w:uiPriority w:val="99"/>
    <w:qFormat/>
  </w:style>
  <w:style w:type="character" w:styleId="1057" w:customStyle="1">
    <w:name w:val="Footnote Text Char"/>
    <w:uiPriority w:val="99"/>
    <w:qFormat/>
    <w:rPr>
      <w:sz w:val="18"/>
    </w:rPr>
  </w:style>
  <w:style w:type="character" w:styleId="1058" w:customStyle="1">
    <w:name w:val="Endnote Text Char"/>
    <w:uiPriority w:val="99"/>
    <w:qFormat/>
    <w:rPr>
      <w:sz w:val="20"/>
    </w:rPr>
  </w:style>
  <w:style w:type="paragraph" w:styleId="1059" w:customStyle="1">
    <w:name w:val="无间隔1"/>
    <w:uiPriority w:val="0"/>
    <w:qFormat/>
    <w:rPr>
      <w:rFonts w:ascii="Times New Roman" w:hAnsi="Times New Roman" w:eastAsia="宋体" w:cs="Times New Roman"/>
      <w:sz w:val="22"/>
      <w:szCs w:val="22"/>
      <w:lang w:val="en-US" w:eastAsia="en-US" w:bidi="ar-SA"/>
    </w:rPr>
  </w:style>
  <w:style w:type="character" w:styleId="1060" w:customStyle="1">
    <w:name w:val="标题 1 Char"/>
    <w:link w:val="975"/>
    <w:uiPriority w:val="9"/>
    <w:qFormat/>
    <w:rPr>
      <w:rFonts w:ascii="Arial" w:hAnsi="Arial" w:eastAsia="Arial" w:cs="Arial"/>
      <w:sz w:val="40"/>
      <w:szCs w:val="40"/>
    </w:rPr>
  </w:style>
  <w:style w:type="character" w:styleId="1061" w:customStyle="1">
    <w:name w:val="标题 2 Char"/>
    <w:link w:val="976"/>
    <w:uiPriority w:val="9"/>
    <w:qFormat/>
    <w:rPr>
      <w:rFonts w:ascii="Arial" w:hAnsi="Arial" w:eastAsia="Arial" w:cs="Arial"/>
      <w:sz w:val="34"/>
    </w:rPr>
  </w:style>
  <w:style w:type="character" w:styleId="1062" w:customStyle="1">
    <w:name w:val="标题 3 Char"/>
    <w:link w:val="977"/>
    <w:uiPriority w:val="9"/>
    <w:qFormat/>
    <w:rPr>
      <w:rFonts w:ascii="Arial" w:hAnsi="Arial" w:eastAsia="Arial" w:cs="Arial"/>
      <w:sz w:val="30"/>
      <w:szCs w:val="30"/>
    </w:rPr>
  </w:style>
  <w:style w:type="character" w:styleId="1063" w:customStyle="1">
    <w:name w:val="标题 4 Char"/>
    <w:link w:val="978"/>
    <w:uiPriority w:val="9"/>
    <w:qFormat/>
    <w:rPr>
      <w:rFonts w:ascii="Arial" w:hAnsi="Arial" w:eastAsia="Arial" w:cs="Arial"/>
      <w:b/>
      <w:bCs/>
      <w:sz w:val="26"/>
      <w:szCs w:val="26"/>
    </w:rPr>
  </w:style>
  <w:style w:type="character" w:styleId="1064" w:customStyle="1">
    <w:name w:val="标题 5 Char"/>
    <w:link w:val="979"/>
    <w:uiPriority w:val="9"/>
    <w:qFormat/>
    <w:rPr>
      <w:rFonts w:ascii="Arial" w:hAnsi="Arial" w:eastAsia="Arial" w:cs="Arial"/>
      <w:b/>
      <w:bCs/>
      <w:sz w:val="24"/>
      <w:szCs w:val="24"/>
    </w:rPr>
  </w:style>
  <w:style w:type="character" w:styleId="1065" w:customStyle="1">
    <w:name w:val="标题 6 Char"/>
    <w:link w:val="980"/>
    <w:uiPriority w:val="9"/>
    <w:qFormat/>
    <w:rPr>
      <w:rFonts w:ascii="Arial" w:hAnsi="Arial" w:eastAsia="Arial" w:cs="Arial"/>
      <w:b/>
      <w:bCs/>
      <w:sz w:val="22"/>
      <w:szCs w:val="22"/>
    </w:rPr>
  </w:style>
  <w:style w:type="character" w:styleId="1066" w:customStyle="1">
    <w:name w:val="标题 7 Char"/>
    <w:link w:val="981"/>
    <w:uiPriority w:val="9"/>
    <w:qFormat/>
    <w:rPr>
      <w:rFonts w:ascii="Arial" w:hAnsi="Arial" w:eastAsia="Arial" w:cs="Arial"/>
      <w:b/>
      <w:bCs/>
      <w:i/>
      <w:iCs/>
      <w:sz w:val="22"/>
      <w:szCs w:val="22"/>
    </w:rPr>
  </w:style>
  <w:style w:type="character" w:styleId="1067" w:customStyle="1">
    <w:name w:val="标题 8 Char"/>
    <w:link w:val="982"/>
    <w:uiPriority w:val="9"/>
    <w:qFormat/>
    <w:rPr>
      <w:rFonts w:ascii="Arial" w:hAnsi="Arial" w:eastAsia="Arial" w:cs="Arial"/>
      <w:i/>
      <w:iCs/>
      <w:sz w:val="22"/>
      <w:szCs w:val="22"/>
    </w:rPr>
  </w:style>
  <w:style w:type="character" w:styleId="1068" w:customStyle="1">
    <w:name w:val="标题 9 Char"/>
    <w:link w:val="983"/>
    <w:uiPriority w:val="9"/>
    <w:qFormat/>
    <w:rPr>
      <w:rFonts w:ascii="Arial" w:hAnsi="Arial" w:eastAsia="Arial" w:cs="Arial"/>
      <w:i/>
      <w:iCs/>
      <w:sz w:val="21"/>
      <w:szCs w:val="21"/>
    </w:rPr>
  </w:style>
  <w:style w:type="paragraph" w:styleId="1069">
    <w:name w:val="List Paragraph"/>
    <w:basedOn w:val="974"/>
    <w:uiPriority w:val="34"/>
    <w:qFormat/>
    <w:pPr>
      <w:contextualSpacing/>
      <w:ind w:left="720"/>
    </w:pPr>
  </w:style>
  <w:style w:type="paragraph" w:styleId="1070">
    <w:name w:val="No Spacing"/>
    <w:uiPriority w:val="1"/>
    <w:qFormat/>
    <w:rPr>
      <w:rFonts w:ascii="Times New Roman" w:hAnsi="Times New Roman" w:eastAsia="宋体" w:cs="Times New Roman"/>
      <w:lang w:val="en-US" w:eastAsia="zh-CN" w:bidi="ar-SA"/>
    </w:rPr>
  </w:style>
  <w:style w:type="character" w:styleId="1071" w:customStyle="1">
    <w:name w:val="标题 Char"/>
    <w:link w:val="1011"/>
    <w:uiPriority w:val="10"/>
    <w:qFormat/>
    <w:rPr>
      <w:sz w:val="48"/>
      <w:szCs w:val="48"/>
    </w:rPr>
  </w:style>
  <w:style w:type="character" w:styleId="1072" w:customStyle="1">
    <w:name w:val="副标题 Char"/>
    <w:link w:val="1004"/>
    <w:uiPriority w:val="11"/>
    <w:qFormat/>
    <w:rPr>
      <w:sz w:val="24"/>
      <w:szCs w:val="24"/>
    </w:rPr>
  </w:style>
  <w:style w:type="paragraph" w:styleId="1073">
    <w:name w:val="Quote"/>
    <w:basedOn w:val="974"/>
    <w:next w:val="974"/>
    <w:link w:val="1074"/>
    <w:uiPriority w:val="29"/>
    <w:qFormat/>
    <w:pPr>
      <w:ind w:left="720" w:right="720"/>
    </w:pPr>
    <w:rPr>
      <w:i/>
    </w:rPr>
  </w:style>
  <w:style w:type="character" w:styleId="1074" w:customStyle="1">
    <w:name w:val="引用 Char"/>
    <w:link w:val="1073"/>
    <w:uiPriority w:val="29"/>
    <w:qFormat/>
    <w:rPr>
      <w:i/>
    </w:rPr>
  </w:style>
  <w:style w:type="paragraph" w:styleId="1075">
    <w:name w:val="Intense Quote"/>
    <w:basedOn w:val="974"/>
    <w:next w:val="974"/>
    <w:link w:val="107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76" w:customStyle="1">
    <w:name w:val="明显引用 Char"/>
    <w:link w:val="1075"/>
    <w:uiPriority w:val="30"/>
    <w:qFormat/>
    <w:rPr>
      <w:i/>
    </w:rPr>
  </w:style>
  <w:style w:type="character" w:styleId="1077" w:customStyle="1">
    <w:name w:val="页眉 Char"/>
    <w:link w:val="1001"/>
    <w:uiPriority w:val="0"/>
    <w:qFormat/>
  </w:style>
  <w:style w:type="character" w:styleId="1078" w:customStyle="1">
    <w:name w:val="Footer Char"/>
    <w:uiPriority w:val="99"/>
    <w:qFormat/>
  </w:style>
  <w:style w:type="character" w:styleId="1079" w:customStyle="1">
    <w:name w:val="页脚 Char"/>
    <w:link w:val="1000"/>
    <w:uiPriority w:val="0"/>
    <w:qFormat/>
  </w:style>
  <w:style w:type="table" w:styleId="1080"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081"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82"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83"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84"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85"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86"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87"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088"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089"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090"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091"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092"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093"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94"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095"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096"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097"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98"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99"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100"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01"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02"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03"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04"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05"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06"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07"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108"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109"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110"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111"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112"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113"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114"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115"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116"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117"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118"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119"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120"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121"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122"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123"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124"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125"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126"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127"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128"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29"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130"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31"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132"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33"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134"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135"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36"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137"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138"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139"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140"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141"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142"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143"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144"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145"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146"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147"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148"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149"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50"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51"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152"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153"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154"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155"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156"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57"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58"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159"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160"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161"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162"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163"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64"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65"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66"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67"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68"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69"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70"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171"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172"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173"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174"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175"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176"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177"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78"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179"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80"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181"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82"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183"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184"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85"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86"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87"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88"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89"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90"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91"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92"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93"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94"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95"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96"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97"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98"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99"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200"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201"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202"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203"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204"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205" w:customStyle="1">
    <w:name w:val="脚注文本 Char"/>
    <w:link w:val="986"/>
    <w:uiPriority w:val="99"/>
    <w:qFormat/>
    <w:rPr>
      <w:sz w:val="18"/>
    </w:rPr>
  </w:style>
  <w:style w:type="character" w:styleId="1206" w:customStyle="1">
    <w:name w:val="尾注文本 Char"/>
    <w:link w:val="998"/>
    <w:uiPriority w:val="99"/>
    <w:qFormat/>
    <w:rPr>
      <w:sz w:val="20"/>
    </w:rPr>
  </w:style>
  <w:style w:type="paragraph" w:styleId="1207" w:customStyle="1">
    <w:name w:val="TOC 标题1"/>
    <w:uiPriority w:val="39"/>
    <w:unhideWhenUsed/>
    <w:qFormat/>
    <w:rPr>
      <w:rFonts w:ascii="Times New Roman" w:hAnsi="Times New Roman" w:eastAsia="宋体" w:cs="Times New Roman"/>
      <w:lang w:val="en-US" w:eastAsia="zh-CN" w:bidi="ar-SA"/>
    </w:rPr>
  </w:style>
  <w:style w:type="paragraph" w:styleId="1208" w:customStyle="1">
    <w:name w:val="目录 11"/>
    <w:basedOn w:val="1030"/>
    <w:next w:val="1030"/>
    <w:uiPriority w:val="0"/>
    <w:qFormat/>
    <w:pPr>
      <w:spacing w:after="100" w:line="259" w:lineRule="auto"/>
    </w:pPr>
    <w:rPr>
      <w:rFonts w:ascii="Calibri" w:hAnsi="Calibri"/>
      <w:sz w:val="22"/>
      <w:szCs w:val="22"/>
    </w:rPr>
  </w:style>
  <w:style w:type="character" w:styleId="1209" w:customStyle="1">
    <w:name w:val="NormalCharacter1"/>
    <w:uiPriority w:val="0"/>
    <w:semiHidden/>
    <w:qFormat/>
    <w:rPr>
      <w:rFonts w:ascii="Times New Roman" w:hAnsi="Times New Roman" w:eastAsia="宋体" w:cs="Times New Roman"/>
      <w:sz w:val="21"/>
      <w:szCs w:val="24"/>
    </w:rPr>
  </w:style>
  <w:style w:type="character" w:styleId="1210" w:customStyle="1">
    <w:name w:val="页码1"/>
    <w:basedOn w:val="1211"/>
    <w:uiPriority w:val="0"/>
    <w:qFormat/>
  </w:style>
  <w:style w:type="character" w:styleId="1211" w:customStyle="1">
    <w:name w:val="默认段落字体1"/>
    <w:uiPriority w:val="0"/>
    <w:semiHidden/>
    <w:qFormat/>
  </w:style>
  <w:style w:type="paragraph" w:styleId="1212" w:customStyle="1">
    <w:name w:val="正文1111"/>
    <w:next w:val="1213"/>
    <w:uiPriority w:val="0"/>
    <w:qFormat/>
    <w:pPr>
      <w:jc w:val="both"/>
      <w:widowControl w:val="off"/>
    </w:pPr>
    <w:rPr>
      <w:rFonts w:ascii="Times New Roman" w:hAnsi="Times New Roman" w:eastAsia="宋体" w:cs="Times New Roman"/>
      <w:sz w:val="21"/>
      <w:szCs w:val="24"/>
      <w:lang w:val="en-US" w:eastAsia="zh-CN" w:bidi="ar-SA"/>
    </w:rPr>
  </w:style>
  <w:style w:type="paragraph" w:styleId="1213" w:customStyle="1">
    <w:name w:val="文本块11"/>
    <w:basedOn w:val="1212"/>
    <w:uiPriority w:val="0"/>
    <w:qFormat/>
    <w:pPr>
      <w:ind w:left="567" w:right="454" w:firstLine="498"/>
      <w:jc w:val="left"/>
      <w:widowControl/>
    </w:pPr>
    <w:rPr>
      <w:rFonts w:ascii="仿宋_GB2312" w:eastAsia="仿宋_GB2312"/>
      <w:sz w:val="30"/>
      <w:szCs w:val="20"/>
    </w:rPr>
  </w:style>
  <w:style w:type="paragraph" w:styleId="1214" w:customStyle="1">
    <w:name w:val="正文文本111"/>
    <w:basedOn w:val="1030"/>
    <w:next w:val="1030"/>
    <w:uiPriority w:val="0"/>
    <w:qFormat/>
  </w:style>
  <w:style w:type="paragraph" w:styleId="1215" w:customStyle="1">
    <w:name w:val="页脚1"/>
    <w:basedOn w:val="974"/>
    <w:uiPriority w:val="99"/>
    <w:qFormat/>
    <w:pPr>
      <w:jc w:val="left"/>
      <w:tabs>
        <w:tab w:val="center" w:pos="4153" w:leader="none"/>
        <w:tab w:val="right" w:pos="8306" w:leader="none"/>
      </w:tabs>
    </w:pPr>
    <w:rPr>
      <w:sz w:val="18"/>
      <w:szCs w:val="18"/>
    </w:rPr>
  </w:style>
  <w:style w:type="paragraph" w:styleId="1216" w:customStyle="1">
    <w:name w:val="普通(网站)1"/>
    <w:basedOn w:val="1020"/>
    <w:uiPriority w:val="0"/>
    <w:qFormat/>
    <w:pPr>
      <w:jc w:val="left"/>
      <w:spacing w:before="100" w:beforeAutospacing="1" w:after="100" w:afterAutospacing="1"/>
    </w:pPr>
    <w:rPr>
      <w:rFonts w:ascii="宋体" w:hAnsi="宋体"/>
      <w:sz w:val="24"/>
      <w:szCs w:val="24"/>
    </w:rPr>
  </w:style>
  <w:style w:type="paragraph" w:styleId="1217" w:customStyle="1">
    <w:name w:val="正文_0"/>
    <w:uiPriority w:val="0"/>
    <w:unhideWhenUsed/>
    <w:qFormat/>
    <w:rPr>
      <w:rFonts w:hint="eastAsia" w:ascii="Times New Roman" w:hAnsi="Times New Roman" w:eastAsia="宋体" w:cs="Times New Roman"/>
      <w:sz w:val="21"/>
      <w:lang w:val="en-US" w:eastAsia="zh-CN" w:bidi="ar-SA"/>
    </w:rPr>
  </w:style>
  <w:style w:type="paragraph" w:styleId="1218" w:customStyle="1">
    <w:name w:val="Fließtext"/>
    <w:basedOn w:val="974"/>
    <w:uiPriority w:val="99"/>
    <w:qFormat/>
    <w:rPr>
      <w:rFonts w:ascii="Calibri" w:hAnsi="Calibri"/>
    </w:rPr>
  </w:style>
  <w:style w:type="paragraph" w:styleId="1219" w:customStyle="1">
    <w:name w:val="Default"/>
    <w:uiPriority w:val="0"/>
    <w:qFormat/>
    <w:pPr>
      <w:widowControl w:val="off"/>
    </w:pPr>
    <w:rPr>
      <w:rFonts w:ascii="Times New Roman" w:hAnsi="Times New Roman" w:eastAsia="宋体" w:cs="Times New Roman"/>
      <w:color w:val="000000"/>
      <w:sz w:val="24"/>
      <w:szCs w:val="24"/>
      <w:lang w:val="en-US" w:eastAsia="zh-CN" w:bidi="ar-SA"/>
    </w:rPr>
  </w:style>
  <w:style w:type="paragraph" w:styleId="1220" w:customStyle="1">
    <w:name w:val="页眉1"/>
    <w:basedOn w:val="1019"/>
    <w:uiPriority w:val="0"/>
    <w:qFormat/>
    <w:pPr>
      <w:jc w:val="center"/>
      <w:tabs>
        <w:tab w:val="center" w:pos="4153" w:leader="none"/>
        <w:tab w:val="right" w:pos="8306" w:leader="none"/>
      </w:tabs>
      <w:pBdr>
        <w:bottom w:val="single" w:color="000000" w:sz="6" w:space="1"/>
      </w:pBdr>
    </w:pPr>
    <w:rPr>
      <w:sz w:val="18"/>
      <w:szCs w:val="18"/>
    </w:rPr>
  </w:style>
  <w:style w:type="paragraph" w:styleId="1221" w:customStyle="1">
    <w:name w:val="正文_0_0"/>
    <w:uiPriority w:val="0"/>
    <w:qFormat/>
    <w:pPr>
      <w:jc w:val="both"/>
      <w:widowControl w:val="off"/>
    </w:pPr>
    <w:rPr>
      <w:rFonts w:ascii="Times New Roman" w:hAnsi="Times New Roman" w:eastAsia="宋体" w:cs="Times New Roman"/>
      <w:lang w:val="en-US" w:eastAsia="zh-CN" w:bidi="ar-SA"/>
    </w:rPr>
  </w:style>
  <w:style w:type="paragraph" w:styleId="1222" w:customStyle="1">
    <w:name w:val="标题 411"/>
    <w:basedOn w:val="1030"/>
    <w:next w:val="1030"/>
    <w:uiPriority w:val="0"/>
    <w:qFormat/>
    <w:pPr>
      <w:keepLines/>
      <w:keepNext/>
      <w:spacing w:before="320" w:after="200"/>
      <w:outlineLvl w:val="3"/>
    </w:pPr>
    <w:rPr>
      <w:rFonts w:ascii="Arial" w:hAnsi="Arial" w:eastAsia="Arial"/>
      <w:b/>
      <w:bCs/>
      <w:sz w:val="26"/>
      <w:szCs w:val="26"/>
    </w:rPr>
  </w:style>
  <w:style w:type="paragraph" w:styleId="1223" w:customStyle="1">
    <w:name w:val="标题 311"/>
    <w:basedOn w:val="1030"/>
    <w:next w:val="1030"/>
    <w:uiPriority w:val="0"/>
    <w:qFormat/>
    <w:pPr>
      <w:keepLines/>
      <w:keepNext/>
      <w:spacing w:before="320" w:after="200"/>
      <w:outlineLvl w:val="2"/>
    </w:pPr>
    <w:rPr>
      <w:rFonts w:ascii="Arial" w:hAnsi="Arial" w:eastAsia="Arial"/>
      <w:sz w:val="30"/>
      <w:szCs w:val="30"/>
    </w:rPr>
  </w:style>
  <w:style w:type="paragraph" w:styleId="1224" w:customStyle="1">
    <w:name w:val="Char Char Char Char Char Char Char"/>
    <w:basedOn w:val="974"/>
    <w:uiPriority w:val="0"/>
    <w:qFormat/>
    <w:pPr>
      <w:ind w:left="-60"/>
      <w:tabs>
        <w:tab w:val="left" w:pos="360" w:leader="none"/>
        <w:tab w:val="left" w:pos="720" w:leader="none"/>
      </w:tabs>
    </w:pPr>
    <w:rPr>
      <w:rFonts w:ascii="等线" w:hAnsi="等线"/>
    </w:rPr>
  </w:style>
  <w:style w:type="character" w:styleId="1225" w:customStyle="1">
    <w:name w:val="NormalCharacter"/>
    <w:link w:val="1020"/>
    <w:uiPriority w:val="0"/>
    <w:semiHidden/>
    <w:qFormat/>
    <w:rPr>
      <w:rFonts w:hint="default" w:ascii="Times New Roman" w:hAnsi="Times New Roman" w:eastAsia="宋体" w:cs="Times New Roman"/>
      <w:lang w:val="en-US" w:eastAsia="zh-CN" w:bidi="ar-SA"/>
    </w:rPr>
  </w:style>
  <w:style w:type="character" w:styleId="1226" w:customStyle="1">
    <w:name w:val="批注框文本 Char"/>
    <w:basedOn w:val="984"/>
    <w:link w:val="999"/>
    <w:uiPriority w:val="99"/>
    <w:semiHidden/>
    <w:qFormat/>
    <w:rPr>
      <w:sz w:val="18"/>
      <w:szCs w:val="18"/>
    </w:rPr>
  </w:style>
  <w:style w:type="paragraph" w:styleId="1227" w:customStyle="1">
    <w:name w:val="Table Text"/>
    <w:basedOn w:val="974"/>
    <w:uiPriority w:val="0"/>
    <w:semiHidden/>
    <w:qFormat/>
    <w:rPr>
      <w:rFonts w:ascii="宋体" w:hAnsi="宋体" w:eastAsia="宋体" w:cs="宋体"/>
      <w:sz w:val="31"/>
      <w:szCs w:val="31"/>
      <w:lang w:val="en-US" w:eastAsia="en-US" w:bidi="ar-SA"/>
    </w:rPr>
  </w:style>
  <w:style w:type="table" w:styleId="1228" w:customStyle="1">
    <w:name w:val="Table Normal"/>
    <w:uiPriority w:val="0"/>
    <w:semiHidden/>
    <w:unhideWhenUsed/>
    <w:qFormat/>
    <w:tblPr>
      <w:tblCellMar>
        <w:left w:w="0" w:type="dxa"/>
        <w:top w:w="0" w:type="dxa"/>
        <w:right w:w="0" w:type="dxa"/>
        <w:bottom w:w="0" w:type="dxa"/>
      </w:tblCellMar>
    </w:tblPr>
  </w:style>
  <w:style w:type="numbering" w:styleId="122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footer" Target="footer7.xml" /><Relationship Id="rId21" Type="http://schemas.openxmlformats.org/officeDocument/2006/relationships/footer" Target="footer8.xml" /><Relationship Id="rId22" Type="http://schemas.openxmlformats.org/officeDocument/2006/relationships/customXml" Target="../customXml/item1.xml" /><Relationship Id="rId23"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王霄霄</cp:lastModifiedBy>
  <cp:revision>36</cp:revision>
  <dcterms:created xsi:type="dcterms:W3CDTF">2023-09-09T08:12:00Z</dcterms:created>
  <dcterms:modified xsi:type="dcterms:W3CDTF">2026-06-16T07:43:46Z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E73154FDFE674BF29FE03C9C86E9D3B3_13</vt:lpwstr>
  </property>
  <property fmtid="{D5CDD505-2E9C-101B-9397-08002B2CF9AE}" pid="4" name="KSOTemplateDocerSaveRecord">
    <vt:lpwstr>eyJoZGlkIjoiNzRiNGVlNDMxMWYyNTFjODJmOGNlMmVkMTQxMTVjYjEiLCJ1c2VySWQiOiI1NzUzOTM2NTYifQ==</vt:lpwstr>
  </property>
</Properties>
</file>