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20"/>
        <w:jc w:val="right"/>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32"/>
          <w:highlight w:val="none"/>
        </w:rPr>
        <w:t xml:space="preserve">           </w:t>
      </w:r>
      <w:r/>
    </w:p>
    <w:p>
      <w:pPr>
        <w:jc w:val="center"/>
        <w:keepLines w:val="0"/>
        <w:keepNext w:val="0"/>
        <w:spacing w:line="360" w:lineRule="auto"/>
        <w:rPr>
          <w:rFonts w:hint="eastAsia" w:ascii="宋体" w:hAnsi="宋体" w:eastAsia="宋体" w:cs="宋体"/>
          <w:color w:val="auto"/>
          <w:spacing w:val="76"/>
          <w:sz w:val="144"/>
          <w:highlight w:val="none"/>
        </w:rPr>
      </w:pPr>
      <w:r>
        <w:rPr>
          <w:rFonts w:hint="eastAsia" w:ascii="宋体" w:hAnsi="宋体" w:eastAsia="宋体" w:cs="宋体"/>
          <w:color w:val="auto"/>
          <w:spacing w:val="76"/>
          <w:sz w:val="144"/>
          <w:highlight w:val="none"/>
        </w:rPr>
        <w:t xml:space="preserve">招标文件</w:t>
      </w:r>
      <w:r/>
    </w:p>
    <w:p>
      <w:pPr>
        <w:pStyle w:val="797"/>
        <w:keepLines w:val="0"/>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3"/>
        <w:jc w:val="left"/>
        <w:keepLines w:val="0"/>
        <w:keepNext w:val="0"/>
        <w:spacing w:line="360" w:lineRule="auto"/>
        <w:rPr>
          <w:rFonts w:hint="eastAsia" w:ascii="宋体" w:hAnsi="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徐州市云龙区垃圾资源转运及处理建设项目</w:t>
      </w:r>
      <w:r/>
    </w:p>
    <w:p>
      <w:pPr>
        <w:ind w:firstLine="2249"/>
        <w:jc w:val="left"/>
        <w:keepLines w:val="0"/>
        <w:keepNext w:val="0"/>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-渗滤液处理设备采购</w:t>
      </w:r>
      <w:r/>
    </w:p>
    <w:p>
      <w:pPr>
        <w:ind w:firstLine="643"/>
        <w:jc w:val="left"/>
        <w:keepLines w:val="0"/>
        <w:keepNext w:val="0"/>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JSZC-320303-JSRY-G2026-0004</w:t>
      </w:r>
      <w:r/>
    </w:p>
    <w:p>
      <w:pPr>
        <w:pStyle w:val="779"/>
        <w:ind w:firstLine="643"/>
        <w:keepLines w:val="0"/>
        <w:keepNext w:val="0"/>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 xml:space="preserve">采 购 </w:t>
      </w:r>
      <w:r>
        <w:rPr>
          <w:rFonts w:hint="eastAsia" w:ascii="宋体" w:hAnsi="宋体" w:eastAsia="宋体" w:cs="宋体"/>
          <w:b/>
          <w:bCs/>
          <w:color w:val="auto"/>
          <w:sz w:val="32"/>
          <w:szCs w:val="32"/>
          <w:highlight w:val="none"/>
        </w:rPr>
        <w:t xml:space="preserve">人：</w:t>
      </w:r>
      <w:r>
        <w:rPr>
          <w:rFonts w:hint="eastAsia" w:ascii="宋体" w:hAnsi="宋体" w:cs="宋体"/>
          <w:b/>
          <w:bCs/>
          <w:color w:val="auto"/>
          <w:sz w:val="32"/>
          <w:szCs w:val="32"/>
          <w:highlight w:val="none"/>
          <w:lang w:eastAsia="zh-CN"/>
        </w:rPr>
        <w:t xml:space="preserve">徐州市云龙区城市管理局</w:t>
      </w:r>
      <w:r/>
    </w:p>
    <w:p>
      <w:pPr>
        <w:pStyle w:val="842"/>
        <w:ind w:left="0" w:right="1470" w:firstLine="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1649730</wp:posOffset>
                </wp:positionH>
                <wp:positionV relativeFrom="paragraph">
                  <wp:posOffset>454025</wp:posOffset>
                </wp:positionV>
                <wp:extent cx="2016125" cy="1957705"/>
                <wp:effectExtent l="0" t="0" r="10795" b="8255"/>
                <wp:wrapSquare wrapText="bothSides"/>
                <wp:docPr id="4" name="图片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LOGO"/>
                        <pic:cNvPicPr>
                          <a:picLocks noChangeAspect="1"/>
                        </pic:cNvPicPr>
                        <pic:nvPr/>
                      </pic:nvPicPr>
                      <pic:blipFill>
                        <a:blip r:embed="rId17"/>
                        <a:stretch/>
                      </pic:blipFill>
                      <pic:spPr bwMode="auto">
                        <a:xfrm>
                          <a:off x="0" y="0"/>
                          <a:ext cx="2016125" cy="19577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29.9pt;mso-position-horizontal:absolute;mso-position-vertical-relative:text;margin-top:35.8pt;mso-position-vertical:absolute;width:158.8pt;height:154.2pt;mso-wrap-distance-left:9.0pt;mso-wrap-distance-top:0.0pt;mso-wrap-distance-right:9.0pt;mso-wrap-distance-bottom:0.0pt;" stroked="false">
                <v:path textboxrect="0,0,0,0"/>
                <w10:wrap type="square"/>
                <v:imagedata r:id="rId17" o:title=""/>
              </v:shape>
            </w:pict>
          </mc:Fallback>
        </mc:AlternateContent>
      </w:r>
      <w:r/>
    </w:p>
    <w:p>
      <w:pPr>
        <w:pStyle w:val="842"/>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ind w:left="0" w:right="1470" w:firstLine="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ind w:left="0" w:right="1470" w:firstLine="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205"/>
        <w:keepLines w:val="0"/>
        <w:keepNext w:val="0"/>
        <w:spacing w:line="360" w:lineRule="auto"/>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rPr>
        <w:t xml:space="preserve">采购代理机构：</w:t>
      </w:r>
      <w:r>
        <w:rPr>
          <w:rFonts w:hint="eastAsia" w:ascii="宋体" w:hAnsi="宋体" w:eastAsia="宋体" w:cs="宋体"/>
          <w:b/>
          <w:bCs/>
          <w:color w:val="auto"/>
          <w:sz w:val="30"/>
          <w:szCs w:val="30"/>
          <w:highlight w:val="none"/>
          <w:lang w:eastAsia="zh-CN"/>
        </w:rPr>
        <w:t xml:space="preserve">江苏瑞阳工程咨询有限公司</w:t>
      </w:r>
      <w:r/>
    </w:p>
    <w:p>
      <w:pPr>
        <w:pStyle w:val="779"/>
        <w:keepLines w:val="0"/>
        <w:keepNext w:val="0"/>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841"/>
        <w:ind w:firstLine="0"/>
        <w:jc w:val="center"/>
        <w:keepLines w:val="0"/>
        <w:keepNext w:val="0"/>
        <w:spacing w:line="360" w:lineRule="auto"/>
        <w:rPr>
          <w:rFonts w:hint="eastAsia" w:ascii="宋体" w:hAnsi="宋体" w:eastAsia="宋体" w:cs="宋体"/>
          <w:b/>
          <w:color w:val="auto"/>
          <w:sz w:val="44"/>
          <w:highlight w:val="none"/>
        </w:rPr>
      </w:pPr>
      <w:r>
        <w:rPr>
          <w:rFonts w:hint="eastAsia" w:ascii="宋体" w:hAnsi="宋体" w:eastAsia="宋体" w:cs="宋体"/>
          <w:b/>
          <w:bCs/>
          <w:color w:val="auto"/>
          <w:sz w:val="30"/>
          <w:szCs w:val="30"/>
          <w:highlight w:val="none"/>
        </w:rPr>
        <w:t xml:space="preserve">二〇二</w:t>
      </w:r>
      <w:r>
        <w:rPr>
          <w:rFonts w:hint="eastAsia" w:ascii="宋体" w:hAnsi="宋体" w:cs="宋体"/>
          <w:b/>
          <w:bCs/>
          <w:color w:val="auto"/>
          <w:sz w:val="30"/>
          <w:szCs w:val="30"/>
          <w:highlight w:val="none"/>
          <w:lang w:val="en-US" w:eastAsia="zh-CN"/>
        </w:rPr>
        <w:t xml:space="preserve">六</w:t>
      </w:r>
      <w:r>
        <w:rPr>
          <w:rFonts w:hint="eastAsia" w:ascii="宋体" w:hAnsi="宋体" w:eastAsia="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五</w:t>
      </w:r>
      <w:r>
        <w:rPr>
          <w:rFonts w:hint="eastAsia" w:ascii="宋体" w:hAnsi="宋体" w:eastAsia="宋体" w:cs="宋体"/>
          <w:b/>
          <w:bCs/>
          <w:color w:val="auto"/>
          <w:sz w:val="30"/>
          <w:szCs w:val="30"/>
          <w:highlight w:val="none"/>
        </w:rPr>
        <w:t xml:space="preserve">月</w:t>
      </w:r>
      <w:r/>
    </w:p>
    <w:p>
      <w:pPr>
        <w:pStyle w:val="841"/>
        <w:ind w:firstLine="0"/>
        <w:jc w:val="center"/>
        <w:keepLines w:val="0"/>
        <w:keepNext w:val="0"/>
        <w:spacing w:line="360" w:lineRule="auto"/>
        <w:rPr>
          <w:rFonts w:hint="eastAsia" w:ascii="宋体" w:hAnsi="宋体" w:eastAsia="宋体" w:cs="宋体"/>
          <w:b/>
          <w:color w:val="auto"/>
          <w:sz w:val="44"/>
          <w:highlight w:val="none"/>
        </w:rPr>
        <w:sectPr>
          <w:headerReference w:type="default" r:id="rId9"/>
          <w:footerReference w:type="default" r:id="rId12"/>
          <w:footerReference w:type="even" r:id="rId13"/>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hint="eastAsia" w:ascii="宋体" w:hAnsi="宋体" w:eastAsia="宋体" w:cs="宋体"/>
          <w:b/>
          <w:color w:val="auto"/>
          <w:sz w:val="44"/>
          <w:highlight w:val="none"/>
        </w:rPr>
      </w:r>
      <w:r/>
    </w:p>
    <w:p>
      <w:pPr>
        <w:pStyle w:val="841"/>
        <w:ind w:firstLine="0"/>
        <w:jc w:val="center"/>
        <w:keepLines w:val="0"/>
        <w:keepNext w:val="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t xml:space="preserve">总目录</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投标资料表</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评标标准</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拟签订的合同文本</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采购需求</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第七章 投标文件相关格式</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val="0"/>
        <w:keepNext w:val="0"/>
        <w:spacing w:line="360" w:lineRule="auto"/>
        <w:widowControl/>
        <w:rPr>
          <w:rFonts w:hint="eastAsia" w:ascii="宋体" w:hAnsi="宋体" w:eastAsia="宋体" w:cs="宋体"/>
          <w:color w:val="auto"/>
          <w:sz w:val="28"/>
          <w:szCs w:val="28"/>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8"/>
          <w:szCs w:val="28"/>
          <w:highlight w:val="none"/>
        </w:rPr>
      </w:r>
      <w:r/>
    </w:p>
    <w:p>
      <w:pPr>
        <w:numPr>
          <w:ilvl w:val="0"/>
          <w:numId w:val="2"/>
        </w:numPr>
        <w:jc w:val="center"/>
        <w:keepLines w:val="0"/>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投标邀请</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eastAsia="zh-CN"/>
        </w:rPr>
        <w:t xml:space="preserve">江苏瑞阳工程咨询有限公司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徐州市云龙区垃圾资源转运及处理建设项目-渗滤液处理设备采购</w:t>
      </w:r>
      <w:r>
        <w:rPr>
          <w:rFonts w:hint="eastAsia" w:ascii="宋体" w:hAnsi="宋体" w:eastAsia="宋体" w:cs="宋体"/>
          <w:color w:val="auto"/>
          <w:sz w:val="24"/>
          <w:highlight w:val="none"/>
        </w:rPr>
        <w:t xml:space="preserve">进行公开招标采购，现欢迎符合相关条件的供应商投标。</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一、项目名称和项目编号</w:t>
      </w:r>
      <w:r/>
    </w:p>
    <w:p>
      <w:pPr>
        <w:ind w:firstLine="480"/>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徐州市云龙区垃圾资源转运及处理建设项目-渗滤液处理设备采购</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JSZC-320303-JSRY-G2026-0004</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二、投标人的资格要求：</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见本项目公开招标公告。</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三、获取招标文件</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本项目采用网上注册登记方式。</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潜在投标人访问电子招标投标交易平台的网络地址和方法：</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（2）潜在投标人访问“苏采云”系统的网络地址和方法：“苏采云”系统的网址：http://jszfcg.jsczt.cn/；或进入徐州政府采购网（网址：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）--业务工作--用户登录，点击“苏采云”进入系统。</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（3）“CA数字证书”的获取：</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（5）招标代理机构（采购代理机构）将数据电文形式的招标文件加载至“苏采云”系统，供潜在投标人下载或者查阅。</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3.“苏采云”系统使用谷歌浏览器参与不见面开标。</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4.售价：免费。</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四、投标有关信息</w:t>
      </w:r>
      <w:r/>
    </w:p>
    <w:p>
      <w:pPr>
        <w:ind w:firstLine="480"/>
        <w:jc w:val="left"/>
        <w:keepLines w:val="0"/>
        <w:keepNext w:val="0"/>
        <w:spacing w:line="360" w:lineRule="auto"/>
        <w:rPr>
          <w:rFonts w:hint="eastAsia" w:ascii="宋体" w:hAnsi="宋体" w:eastAsia="宋体" w:cs="宋体"/>
          <w:color w:val="ff0000"/>
          <w:sz w:val="24"/>
          <w:highlight w:val="none"/>
          <w:lang w:eastAsia="zh-CN"/>
        </w:rPr>
      </w:pPr>
      <w:r>
        <w:rPr>
          <w:rFonts w:hint="eastAsia" w:ascii="宋体" w:hAnsi="宋体" w:eastAsia="宋体" w:cs="宋体"/>
          <w:color w:val="ff0000"/>
          <w:sz w:val="24"/>
          <w:highlight w:val="none"/>
        </w:rPr>
        <w:t xml:space="preserve">1.投标截止时间：</w:t>
      </w:r>
      <w:r>
        <w:rPr>
          <w:rFonts w:hint="eastAsia" w:ascii="宋体" w:hAnsi="宋体" w:cs="宋体"/>
          <w:color w:val="ff0000"/>
          <w:sz w:val="24"/>
          <w:highlight w:val="none"/>
          <w:lang w:eastAsia="zh-CN"/>
        </w:rPr>
        <w:t xml:space="preserve">2026年6月23日北京时间09:30</w:t>
      </w:r>
      <w:r/>
    </w:p>
    <w:p>
      <w:pPr>
        <w:ind w:firstLine="480"/>
        <w:keepLines w:val="0"/>
        <w:keepNext w:val="0"/>
        <w:spacing w:line="360" w:lineRule="auto"/>
        <w:rPr>
          <w:rFonts w:hint="eastAsia" w:ascii="宋体" w:hAnsi="宋体" w:eastAsia="宋体" w:cs="宋体"/>
          <w:color w:val="ff0000"/>
          <w:sz w:val="24"/>
          <w:highlight w:val="none"/>
          <w:lang w:eastAsia="zh-CN"/>
        </w:rPr>
      </w:pPr>
      <w:r>
        <w:rPr>
          <w:rFonts w:hint="eastAsia" w:ascii="宋体" w:hAnsi="宋体" w:eastAsia="宋体" w:cs="宋体"/>
          <w:color w:val="ff0000"/>
          <w:sz w:val="24"/>
          <w:highlight w:val="none"/>
        </w:rPr>
        <w:t xml:space="preserve">2.开标时间：</w:t>
      </w:r>
      <w:r>
        <w:rPr>
          <w:rFonts w:hint="eastAsia" w:ascii="宋体" w:hAnsi="宋体" w:cs="宋体"/>
          <w:color w:val="ff0000"/>
          <w:sz w:val="24"/>
          <w:highlight w:val="none"/>
          <w:lang w:eastAsia="zh-CN"/>
        </w:rPr>
        <w:t xml:space="preserve">2026年6月23日北京时间09:30</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3.开标地点：“苏采云”系统（网址： http://jszfcg.jsczt.cn/）“开标大厅”或进入徐州政府采购网（网址：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）-业务工作-用户登录，点击“苏采云”进入系统“开标大厅”。</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五、采购人</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1.名称:徐州市云龙区城市管理局</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2.地址:江苏省徐州市云龙区淮海文博园18号</w:t>
      </w:r>
      <w:r/>
    </w:p>
    <w:p>
      <w:pPr>
        <w:ind w:firstLine="480"/>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3.采购项目联系人:</w:t>
      </w:r>
      <w:r>
        <w:rPr>
          <w:rFonts w:hint="eastAsia" w:ascii="宋体" w:hAnsi="宋体" w:eastAsia="宋体" w:cs="宋体"/>
          <w:color w:val="auto"/>
          <w:sz w:val="24"/>
          <w:highlight w:val="none"/>
          <w:lang w:val="en-US" w:eastAsia="zh-CN"/>
        </w:rPr>
        <w:t xml:space="preserve">赵晨</w:t>
      </w:r>
      <w:r/>
    </w:p>
    <w:p>
      <w:pPr>
        <w:ind w:firstLine="480"/>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4.电话:</w:t>
      </w:r>
      <w:r>
        <w:rPr>
          <w:rFonts w:hint="eastAsia" w:ascii="宋体" w:hAnsi="宋体" w:eastAsia="宋体" w:cs="宋体"/>
          <w:color w:val="auto"/>
          <w:sz w:val="24"/>
          <w:highlight w:val="none"/>
          <w:lang w:val="en-US" w:eastAsia="zh-CN"/>
        </w:rPr>
        <w:t xml:space="preserve">0516-85901090</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六、采购代理机构</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江苏瑞阳工程咨询有限公司</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徐州市云龙区绿地商务城D座516室</w:t>
      </w:r>
      <w:r/>
    </w:p>
    <w:p>
      <w:pPr>
        <w:ind w:firstLine="480"/>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联系方法：</w:t>
      </w:r>
      <w:r>
        <w:rPr>
          <w:rFonts w:hint="eastAsia" w:ascii="宋体" w:hAnsi="宋体" w:eastAsia="宋体" w:cs="宋体"/>
          <w:color w:val="auto"/>
          <w:sz w:val="24"/>
          <w:highlight w:val="none"/>
          <w:lang w:val="en-US" w:eastAsia="zh-CN"/>
        </w:rPr>
        <w:t xml:space="preserve">0516-83200699</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采购项目联系人：</w:t>
      </w:r>
      <w:r>
        <w:rPr>
          <w:rFonts w:hint="eastAsia" w:ascii="宋体" w:hAnsi="宋体" w:cs="宋体"/>
          <w:color w:val="auto"/>
          <w:sz w:val="24"/>
          <w:highlight w:val="none"/>
          <w:lang w:eastAsia="zh-CN"/>
        </w:rPr>
        <w:t xml:space="preserve">宋雅、孙玉琦</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p>
      <w:pPr>
        <w:jc w:val="cente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highlight w:val="none"/>
          <w:u w:val="single"/>
        </w:rPr>
        <w:br w:type="page" w:clear="all"/>
      </w:r>
      <w:r>
        <w:rPr>
          <w:rFonts w:hint="eastAsia" w:ascii="宋体" w:hAnsi="宋体" w:eastAsia="宋体" w:cs="宋体"/>
          <w:b/>
          <w:bCs/>
          <w:color w:val="auto"/>
          <w:sz w:val="28"/>
          <w:szCs w:val="28"/>
          <w:highlight w:val="none"/>
        </w:rPr>
        <w:t xml:space="preserve">第二章  投标人须知</w:t>
      </w:r>
      <w:r/>
    </w:p>
    <w:p>
      <w:pPr>
        <w:jc w:val="cente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目录</w:t>
      </w:r>
      <w:r/>
    </w:p>
    <w:p>
      <w:pPr>
        <w:ind w:left="42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一、总则</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二、招标</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三、投标</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四、开标、评标</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五、中标和合同</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六、询问和质疑</w:t>
      </w:r>
      <w:r/>
    </w:p>
    <w:p>
      <w:pPr>
        <w:keepLines w:val="0"/>
        <w:keepNext w:val="0"/>
        <w:spacing w:line="360" w:lineRule="auto"/>
        <w:rPr>
          <w:rFonts w:hint="eastAsia" w:ascii="宋体" w:hAnsi="宋体" w:eastAsia="宋体" w:cs="宋体"/>
          <w:color w:val="auto"/>
          <w:sz w:val="28"/>
          <w:szCs w:val="28"/>
          <w:highlight w:val="none"/>
          <w:lang w:val="en-US" w:eastAsia="zh-CN"/>
        </w:rPr>
        <w:sectPr>
          <w:headerReference w:type="default" r:id="rId11"/>
          <w:footerReference w:type="default" r:id="rId15"/>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28"/>
          <w:szCs w:val="28"/>
          <w:highlight w:val="none"/>
          <w:lang w:val="en-US" w:eastAsia="zh-CN"/>
        </w:rPr>
        <w:t xml:space="preserve">七、电子招标投标交易平台</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一、总则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三、投标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.电子投标文件未按规定期限投标的；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.电子投标文件未按招标文件要求签章的；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.投标人未在规定时间内解密电子投标文件的；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.不具备招标文件中规定的资格要求的；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.报价超过招标文件中规定的预算金额或者最高限价的；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.投标文件含有采购人不能接受的附加条件的；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.法律、法规和招标文件规定的其他无效情形。</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四、开标</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（二十五）开标：</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2.开标由采购代理机构主持，邀请投标人参加。</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3.所有投标单位携带 CA 证书到达招标文件规定的开标地点，在到达开标时间时，解密各自投标文件，由工作人员操作系统进行开标。投标人不足3家的，不得开标。</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五、评标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①资格性审查。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lang w:eastAsia="zh-CN"/>
        </w:rPr>
        <w:t xml:space="preserve">）评审过程中出现下列情形之一的，评审委员会应当启动异常低价投标（响应）审查程序：</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1.投标(响应)报价低于采购项目预算50%的，即投标(响应)报价&lt;采购项目预算×50%；</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2.投标(响应)报价低于采购项目最高限价45%的，即投标(响应)报价&lt;采购项目最高限价×45%；</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3.评审委员会认定的供应商报价过低、有可能影响产品质量或者不能诚信履约的其他情形。</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或者提供的书面说明、证明材料不能证明其报价合理性的，评审委员会应当将其作为无效投标(响应)处理。审查相关情况应当在评审报告中进行记录。</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eastAsia="zh-CN"/>
        </w:rPr>
        <w:t xml:space="preserve">相关内容和要求见：《中华人民共和国政府采购法》、《中华人民共和国政府采购法实施条例》、《政府采购货物和服务招标投标管理办法》</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（财库〔2015〕124号文件</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六、定标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七、政府采购合同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（3）如果投标人在任何时候，被法院及政府有关管理部门认定为有腐败和欺诈行为，采购代理机构有权拒绝其投标、取消其中标资格和撤消其已签署的合同。</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八、询问和质疑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480"/>
        <w:jc w:val="left"/>
        <w:keepLines w:val="0"/>
        <w:keepNext w:val="0"/>
        <w:pageBreakBefore w:val="0"/>
        <w:spacing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highlight w:val="none"/>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p>
    <w:p>
      <w:pPr>
        <w:jc w:val="center"/>
        <w:keepLines w:val="0"/>
        <w:keepNext w:val="0"/>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第三章  投标资料表</w:t>
      </w:r>
      <w:r/>
    </w:p>
    <w:p>
      <w:pPr>
        <w:pStyle w:val="931"/>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该资料表的条款项号是与《投标人须知》中条款项号对应的，或增加的条款，是对《投标人须知》的补充、修改和完善，如果有矛盾的话，应以本资料表为准。</w:t>
      </w:r>
      <w:r/>
    </w:p>
    <w:tbl>
      <w:tblPr>
        <w:tblStyle w:val="773"/>
        <w:tblW w:w="90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条款项号</w:t>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一、总则</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徐州市云龙区城市管理局</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本次采购采用的政府采购方式：公开招标。</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采购人确定的采购项目属性：</w:t>
            </w:r>
            <w:r>
              <w:rPr>
                <w:rFonts w:hint="eastAsia" w:ascii="宋体" w:hAnsi="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 </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江苏瑞阳工程咨询有限公司</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b/>
                <w:bCs/>
                <w:color w:val="auto"/>
                <w:sz w:val="24"/>
                <w:szCs w:val="24"/>
                <w:highlight w:val="none"/>
              </w:rPr>
              <w:t xml:space="preserve">采购项目预算金额</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1500万元</w:t>
            </w:r>
            <w:r>
              <w:rPr>
                <w:rFonts w:hint="eastAsia" w:ascii="宋体" w:hAnsi="宋体" w:eastAsia="宋体" w:cs="宋体"/>
                <w:b/>
                <w:bCs/>
                <w:color w:val="auto"/>
                <w:sz w:val="24"/>
                <w:szCs w:val="24"/>
                <w:highlight w:val="none"/>
                <w:lang w:val="en-US" w:eastAsia="zh-CN"/>
              </w:rPr>
              <w:t xml:space="preserve">。</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本项目对样品的要求：</w:t>
            </w:r>
            <w:r>
              <w:rPr>
                <w:rFonts w:hint="eastAsia" w:ascii="宋体" w:hAnsi="宋体" w:eastAsia="宋体" w:cs="宋体"/>
                <w:color w:val="auto"/>
                <w:sz w:val="24"/>
                <w:szCs w:val="24"/>
                <w:highlight w:val="none"/>
                <w:lang w:val="en-US" w:eastAsia="zh-CN"/>
              </w:rPr>
              <w:t xml:space="preserve">详见采购需求</w:t>
            </w:r>
            <w:r>
              <w:rPr>
                <w:rFonts w:hint="eastAsia" w:ascii="宋体" w:hAnsi="宋体" w:eastAsia="宋体" w:cs="宋体"/>
                <w:color w:val="auto"/>
                <w:sz w:val="24"/>
                <w:szCs w:val="24"/>
                <w:highlight w:val="none"/>
              </w:rPr>
              <w:t xml:space="preserve">。</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90天。</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招标文件售价：免费。</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采购代理机构代理费用的收取标准和方式：</w:t>
            </w:r>
            <w:r>
              <w:rPr>
                <w:rFonts w:hint="eastAsia" w:ascii="宋体" w:hAnsi="宋体" w:eastAsia="宋体" w:cs="宋体"/>
                <w:color w:val="auto"/>
                <w:sz w:val="24"/>
                <w:szCs w:val="24"/>
                <w:highlight w:val="none"/>
                <w:lang w:val="en-US" w:eastAsia="zh-CN"/>
              </w:rPr>
              <w:t xml:space="preserve">按照徐州市政府采购协会发布的《徐州市政府采购代理服务行业收费指导价》标准的90%计取，由采购人支付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标准见《招标代理服务收费标准》（见附件）。</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现场考察：不组织现场考察。</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开标前答疑会：不召开开标前答疑会。</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w:t>
            </w:r>
            <w:r/>
          </w:p>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color w:val="auto"/>
                <w:sz w:val="24"/>
                <w:szCs w:val="24"/>
                <w:highlight w:val="none"/>
              </w:rPr>
              <w:t xml:space="preserve">发布本项目的“</w:t>
            </w:r>
            <w:r>
              <w:rPr>
                <w:rFonts w:hint="eastAsia" w:ascii="宋体" w:hAnsi="宋体" w:eastAsia="宋体" w:cs="宋体"/>
                <w:color w:val="auto"/>
                <w:sz w:val="24"/>
                <w:szCs w:val="24"/>
                <w:highlight w:val="none"/>
              </w:rPr>
              <w:t xml:space="preserve">终止公告</w:t>
            </w:r>
            <w:r>
              <w:rPr>
                <w:rFonts w:hint="eastAsia" w:ascii="宋体" w:hAnsi="宋体" w:eastAsia="宋体" w:cs="宋体"/>
                <w:bCs/>
                <w:color w:val="auto"/>
                <w:sz w:val="24"/>
                <w:szCs w:val="24"/>
                <w:highlight w:val="none"/>
              </w:rPr>
              <w:t xml:space="preserve">”后采购代理机构已尽通知义务。敬请各潜在投标人关注本项目的“</w:t>
            </w:r>
            <w:r>
              <w:rPr>
                <w:rFonts w:hint="eastAsia" w:ascii="宋体" w:hAnsi="宋体" w:eastAsia="宋体" w:cs="宋体"/>
                <w:color w:val="auto"/>
                <w:sz w:val="24"/>
                <w:szCs w:val="24"/>
                <w:highlight w:val="none"/>
              </w:rPr>
              <w:t xml:space="preserve">终止公告</w:t>
            </w:r>
            <w:r>
              <w:rPr>
                <w:rFonts w:hint="eastAsia" w:ascii="宋体" w:hAnsi="宋体" w:eastAsia="宋体" w:cs="宋体"/>
                <w:bCs/>
                <w:color w:val="auto"/>
                <w:sz w:val="24"/>
                <w:szCs w:val="24"/>
                <w:highlight w:val="none"/>
              </w:rPr>
              <w:t xml:space="preserve">”，否则，将自行承担相应的风险。</w:t>
            </w:r>
            <w:r/>
          </w:p>
        </w:tc>
      </w:tr>
      <w:tr>
        <w:trPr>
          <w:trHeight w:val="283"/>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投标人信用信息查询渠道及截止时点、信用信息查询记录和证据留存的具体方式、信用信息的使用规则等：</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由采购人查询信用信息。</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二、查询渠道：</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“信用中国”网（www.creditchina.gov.cn）；</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“中国政府采购”网（www.ccgp.gov.cn）；</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“信用江苏”网（http://credit.jiangsu.gov.cn）；</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“信用中国（江苏徐州）”网（www.xuzhoucredit.gov.cn）；</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三、截止时点（查询环节）：资格审查结束前。</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四、信用信息查询记录和证据留存的具体方式：</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网页截屏打印，与其他采购文件一并保存。</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五、信用信息的使用规则：</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投标人的资格要求：</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1</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符合《中华人民共和国政府采购法》第二十二条规定；</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落实政府采购政策需满足的资格要求：</w:t>
            </w:r>
            <w:r>
              <w:rPr>
                <w:rFonts w:hint="eastAsia" w:ascii="宋体" w:hAnsi="宋体" w:eastAsia="宋体" w:cs="宋体"/>
                <w:b/>
                <w:bCs w:val="0"/>
                <w:color w:val="auto"/>
                <w:sz w:val="24"/>
                <w:szCs w:val="24"/>
                <w:highlight w:val="none"/>
                <w:lang w:val="en-US" w:eastAsia="zh-CN"/>
              </w:rPr>
              <w:t xml:space="preserve">本</w:t>
            </w:r>
            <w:r>
              <w:rPr>
                <w:rFonts w:hint="eastAsia" w:ascii="宋体" w:hAnsi="宋体" w:eastAsia="宋体" w:cs="宋体"/>
                <w:b/>
                <w:bCs w:val="0"/>
                <w:color w:val="auto"/>
                <w:sz w:val="24"/>
                <w:szCs w:val="24"/>
                <w:highlight w:val="none"/>
              </w:rPr>
              <w:t xml:space="preserve">项目</w:t>
            </w:r>
            <w:r>
              <w:rPr>
                <w:rFonts w:hint="eastAsia" w:ascii="宋体" w:hAnsi="宋体" w:eastAsia="宋体" w:cs="宋体"/>
                <w:b/>
                <w:bCs w:val="0"/>
                <w:color w:val="auto"/>
                <w:sz w:val="24"/>
                <w:szCs w:val="24"/>
                <w:highlight w:val="none"/>
                <w:lang w:val="en-US" w:eastAsia="zh-CN"/>
              </w:rPr>
              <w:t xml:space="preserve">不</w:t>
            </w:r>
            <w:r>
              <w:rPr>
                <w:rFonts w:hint="eastAsia" w:ascii="宋体" w:hAnsi="宋体" w:eastAsia="宋体" w:cs="宋体"/>
                <w:b/>
                <w:bCs w:val="0"/>
                <w:color w:val="auto"/>
                <w:sz w:val="24"/>
                <w:szCs w:val="24"/>
                <w:highlight w:val="none"/>
              </w:rPr>
              <w:t xml:space="preserve">属于专门面向中小微企业采购的项目。</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3</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本项目的特定资格要求：</w:t>
            </w:r>
            <w:r>
              <w:rPr>
                <w:rFonts w:hint="eastAsia" w:ascii="宋体" w:hAnsi="宋体" w:cs="宋体"/>
                <w:b/>
                <w:bCs w:val="0"/>
                <w:color w:val="auto"/>
                <w:sz w:val="24"/>
                <w:szCs w:val="24"/>
                <w:highlight w:val="none"/>
                <w:lang w:val="en-US" w:eastAsia="zh-CN"/>
              </w:rPr>
              <w:t xml:space="preserve">无</w:t>
            </w:r>
            <w:r>
              <w:rPr>
                <w:rFonts w:hint="eastAsia" w:ascii="宋体" w:hAnsi="宋体" w:eastAsia="宋体" w:cs="宋体"/>
                <w:b/>
                <w:bCs w:val="0"/>
                <w:color w:val="auto"/>
                <w:sz w:val="24"/>
                <w:szCs w:val="24"/>
                <w:highlight w:val="none"/>
                <w:lang w:val="en-US" w:eastAsia="zh-CN"/>
              </w:rPr>
              <w:t xml:space="preserve">。</w:t>
            </w:r>
            <w:r/>
          </w:p>
          <w:p>
            <w:pPr>
              <w:ind w:left="0" w:righ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同时明确相关事项如下：</w:t>
            </w:r>
            <w:r/>
          </w:p>
          <w:p>
            <w:pPr>
              <w:ind w:left="0" w:right="0" w:firstLine="0"/>
              <w:jc w:val="both"/>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本项目</w:t>
            </w:r>
            <w:r>
              <w:rPr>
                <w:rFonts w:hint="eastAsia" w:ascii="宋体" w:hAnsi="宋体" w:cs="宋体"/>
                <w:b w:val="0"/>
                <w:bCs w:val="0"/>
                <w:sz w:val="24"/>
                <w:szCs w:val="24"/>
                <w:highlight w:val="none"/>
                <w:lang w:val="en-US" w:eastAsia="zh-CN"/>
              </w:rPr>
              <w:t xml:space="preserve">不</w:t>
            </w:r>
            <w:r>
              <w:rPr>
                <w:rFonts w:hint="eastAsia" w:ascii="宋体" w:hAnsi="宋体" w:eastAsia="宋体" w:cs="宋体"/>
                <w:b w:val="0"/>
                <w:bCs w:val="0"/>
                <w:sz w:val="24"/>
                <w:szCs w:val="24"/>
                <w:highlight w:val="none"/>
              </w:rPr>
              <w:t xml:space="preserve">接受联合体投标</w:t>
            </w:r>
            <w:r>
              <w:rPr>
                <w:rFonts w:hint="eastAsia" w:ascii="宋体" w:hAnsi="宋体" w:eastAsia="宋体" w:cs="宋体"/>
                <w:b w:val="0"/>
                <w:bCs w:val="0"/>
                <w:sz w:val="24"/>
                <w:szCs w:val="24"/>
                <w:highlight w:val="none"/>
                <w:lang w:val="en-US" w:eastAsia="zh-CN"/>
              </w:rPr>
              <w:t xml:space="preserve">。</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单位负责人为同一人或者存在直接控股、管理关系的不同供应商，不得参加同一合同项下的政府采购活动。</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为本采购项目提供整体设计、规范编制或者项目管理、监理、检测等服务的投标人，不得再参加本采购项目的采购活动。</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投标人须用政府采购客户端工具导入“苏采云”系统下载的招标文件后，离线编制投标文件。招标文件、供应商操作手册及政府采购客户端工具可通过“苏采云”系统（网址：</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"http://jszfcg.jsczt.cn/"</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http://jszfcg.jsc</w:t>
            </w:r>
            <w:bookmarkStart w:id="0" w:name="_Hlt91509264"/>
            <w:r/>
            <w:bookmarkStart w:id="1" w:name="_Hlt91509263"/>
            <w:r>
              <w:rPr>
                <w:rFonts w:hint="eastAsia" w:ascii="宋体" w:hAnsi="宋体" w:eastAsia="宋体" w:cs="宋体"/>
                <w:bCs/>
                <w:color w:val="auto"/>
                <w:sz w:val="24"/>
                <w:szCs w:val="24"/>
                <w:highlight w:val="none"/>
              </w:rPr>
              <w:t xml:space="preserve">z</w:t>
            </w:r>
            <w:bookmarkEnd w:id="0"/>
            <w:r/>
            <w:bookmarkEnd w:id="1"/>
            <w:r>
              <w:rPr>
                <w:rFonts w:hint="eastAsia" w:ascii="宋体" w:hAnsi="宋体" w:eastAsia="宋体" w:cs="宋体"/>
                <w:bCs/>
                <w:color w:val="auto"/>
                <w:sz w:val="24"/>
                <w:szCs w:val="24"/>
                <w:highlight w:val="none"/>
              </w:rPr>
              <w:t xml:space="preserve">t.cn/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特别说明：政府采购客户端工具需要导出加密的投标文件（后缀名为zip）。投标文件不得超过150M！</w:t>
            </w:r>
            <w:r/>
          </w:p>
        </w:tc>
      </w:tr>
      <w:tr>
        <w:trPr>
          <w:trHeight w:val="90"/>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投标文件编制要求：</w:t>
            </w:r>
            <w:r>
              <w:rPr>
                <w:rFonts w:hint="eastAsia" w:ascii="宋体" w:hAnsi="宋体" w:eastAsia="宋体" w:cs="宋体"/>
                <w:b/>
                <w:bCs/>
                <w:color w:val="auto"/>
                <w:sz w:val="24"/>
                <w:szCs w:val="24"/>
                <w:highlight w:val="none"/>
              </w:rPr>
              <w:t xml:space="preserve">（以电子采购文件提供的格式和要求为准）</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基本目录</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1</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《开标一览表》（加盖电子签章，政府采购客户端工具输入报价自动生成，）；</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w:t>
            </w:r>
            <w:r>
              <w:rPr>
                <w:rFonts w:hint="eastAsia" w:ascii="宋体" w:hAnsi="宋体" w:eastAsia="宋体" w:cs="宋体"/>
                <w:b/>
                <w:color w:val="auto"/>
                <w:sz w:val="24"/>
                <w:szCs w:val="24"/>
                <w:highlight w:val="none"/>
              </w:rPr>
              <w:t xml:space="preserve">资格条件</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项</w:t>
            </w:r>
            <w:r>
              <w:rPr>
                <w:rFonts w:hint="eastAsia" w:ascii="宋体" w:hAnsi="宋体" w:eastAsia="宋体" w:cs="宋体"/>
                <w:b/>
                <w:color w:val="auto"/>
                <w:sz w:val="24"/>
                <w:szCs w:val="24"/>
                <w:highlight w:val="none"/>
              </w:rPr>
              <w:t xml:space="preserve">必须提供，否则投标将被拒绝）</w:t>
            </w:r>
            <w:r>
              <w:rPr>
                <w:rFonts w:hint="eastAsia" w:ascii="宋体" w:hAnsi="宋体" w:eastAsia="宋体" w:cs="宋体"/>
                <w:bCs/>
                <w:color w:val="auto"/>
                <w:sz w:val="24"/>
                <w:szCs w:val="24"/>
                <w:highlight w:val="none"/>
              </w:rPr>
              <w:t xml:space="preserve">：</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投标人合法有效的法人或者其他组织的营业执照等证明文件，自然人的身份证明，以上证明文件提供原件的扫描件</w:t>
            </w:r>
            <w:r>
              <w:rPr>
                <w:rFonts w:hint="eastAsia" w:ascii="宋体" w:hAnsi="宋体" w:eastAsia="宋体" w:cs="宋体"/>
                <w:sz w:val="24"/>
                <w:szCs w:val="24"/>
                <w:highlight w:val="none"/>
              </w:rPr>
              <w:t xml:space="preserve">。</w:t>
            </w:r>
            <w:r/>
          </w:p>
          <w:p>
            <w:pPr>
              <w:ind w:left="0" w:firstLine="0"/>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2、财务状况报告，</w:t>
            </w:r>
            <w:r>
              <w:rPr>
                <w:rFonts w:hint="eastAsia" w:ascii="宋体" w:hAnsi="宋体" w:eastAsia="宋体" w:cs="宋体"/>
                <w:sz w:val="24"/>
                <w:szCs w:val="24"/>
                <w:highlight w:val="none"/>
                <w:lang w:val="en-US" w:eastAsia="zh-CN"/>
              </w:rPr>
              <w:t xml:space="preserve">至少提供：</w:t>
            </w:r>
            <w:r/>
          </w:p>
          <w:p>
            <w:pPr>
              <w:ind w:left="0" w:firstLine="0"/>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投标人的提交首次投标文件时间前6个月内</w:t>
            </w:r>
            <w:r>
              <w:rPr>
                <w:rFonts w:hint="eastAsia" w:ascii="宋体" w:hAnsi="宋体" w:eastAsia="宋体" w:cs="宋体"/>
                <w:sz w:val="24"/>
                <w:szCs w:val="24"/>
                <w:highlight w:val="none"/>
                <w:lang w:eastAsia="zh-CN"/>
              </w:rPr>
              <w:t xml:space="preserve">（不含“首次投标文件提交的截止时间”当月）</w:t>
            </w:r>
            <w:r>
              <w:rPr>
                <w:rFonts w:hint="eastAsia" w:ascii="宋体" w:hAnsi="宋体" w:eastAsia="宋体" w:cs="宋体"/>
                <w:sz w:val="24"/>
                <w:szCs w:val="24"/>
                <w:highlight w:val="none"/>
                <w:lang w:val="en-US" w:eastAsia="zh-CN"/>
              </w:rPr>
              <w:t xml:space="preserve">任何日期的资产负债表和利润表月报表扫描件各一份；或投标人基本开户银行出具的有效的资信证明扫描件；或其上一年度经审计的财务报告扫描件；</w:t>
            </w:r>
            <w:r/>
          </w:p>
          <w:p>
            <w:pPr>
              <w:ind w:left="0" w:firstLine="0"/>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3、投标人的提交首次投标文件时间前6个月内任何1月</w:t>
            </w:r>
            <w:r>
              <w:rPr>
                <w:rFonts w:hint="eastAsia" w:ascii="宋体" w:hAnsi="宋体" w:eastAsia="宋体" w:cs="宋体"/>
                <w:sz w:val="24"/>
                <w:szCs w:val="24"/>
                <w:highlight w:val="none"/>
                <w:lang w:eastAsia="zh-CN"/>
              </w:rPr>
              <w:t xml:space="preserve">（不含“首次投标文件提交的截止时间”当月）</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lang w:val="en-US" w:eastAsia="zh-CN"/>
              </w:rPr>
              <w:t xml:space="preserve">依法缴纳税收和社会保障资金的相关材料扫描件各一份</w:t>
            </w:r>
            <w:r>
              <w:rPr>
                <w:rFonts w:hint="eastAsia" w:ascii="宋体" w:hAnsi="宋体" w:eastAsia="宋体" w:cs="宋体"/>
                <w:sz w:val="24"/>
                <w:szCs w:val="24"/>
                <w:highlight w:val="none"/>
                <w:lang w:val="en-US" w:eastAsia="zh-CN"/>
              </w:rPr>
              <w:t xml:space="preserve">；或依法免税或不需要缴纳社会保障资金的投标人应提供相应其依法免税或不需要缴纳社会保障资金的证明文件扫描件；</w:t>
            </w:r>
            <w:r/>
          </w:p>
          <w:p>
            <w:pPr>
              <w:ind w:left="0" w:firstLine="0"/>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4、具备履行合同所必需的设备和专业技术能力的证明材料。</w:t>
            </w:r>
            <w:r>
              <w:rPr>
                <w:rFonts w:hint="eastAsia" w:ascii="宋体" w:hAnsi="宋体" w:eastAsia="宋体" w:cs="宋体"/>
                <w:b w:val="0"/>
                <w:bCs w:val="0"/>
                <w:sz w:val="24"/>
                <w:szCs w:val="24"/>
                <w:highlight w:val="none"/>
              </w:rPr>
              <w:t xml:space="preserve">即提供投标人</w:t>
            </w:r>
            <w:r>
              <w:rPr>
                <w:rFonts w:hint="eastAsia" w:ascii="宋体" w:hAnsi="宋体" w:eastAsia="宋体" w:cs="宋体"/>
                <w:b w:val="0"/>
                <w:bCs w:val="0"/>
                <w:sz w:val="24"/>
                <w:szCs w:val="24"/>
                <w:highlight w:val="none"/>
                <w:lang w:val="en-US" w:eastAsia="zh-CN"/>
              </w:rPr>
              <w:t xml:space="preserve">具备履行合同所必需的设备和专业技术能力的书面声明，</w:t>
            </w:r>
            <w:r>
              <w:rPr>
                <w:rFonts w:hint="eastAsia" w:ascii="宋体" w:hAnsi="宋体" w:eastAsia="宋体" w:cs="宋体"/>
                <w:b w:val="0"/>
                <w:bCs w:val="0"/>
                <w:sz w:val="24"/>
                <w:szCs w:val="24"/>
                <w:highlight w:val="none"/>
              </w:rPr>
              <w:t xml:space="preserve">加盖电子签章，格式见招标文件第七章《投标文件相关格式》）</w:t>
            </w:r>
            <w:r>
              <w:rPr>
                <w:rFonts w:hint="eastAsia" w:ascii="宋体" w:hAnsi="宋体" w:eastAsia="宋体" w:cs="宋体"/>
                <w:sz w:val="24"/>
                <w:szCs w:val="24"/>
                <w:highlight w:val="none"/>
                <w:lang w:val="en-US" w:eastAsia="zh-CN"/>
              </w:rPr>
              <w:t xml:space="preserve">；</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sz w:val="24"/>
                <w:szCs w:val="24"/>
                <w:highlight w:val="none"/>
                <w:lang w:val="en-US" w:eastAsia="zh-CN"/>
              </w:rPr>
              <w:t xml:space="preserve">5、投标人参加政府采购活动前3年内在经营活动中没有重大违法记录的书面声明(原件，格式见招标文件第七章《投标文件相关格式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三、符合条件（</w:t>
            </w:r>
            <w:r>
              <w:rPr>
                <w:rFonts w:hint="eastAsia" w:ascii="宋体" w:hAnsi="宋体" w:eastAsia="宋体" w:cs="宋体"/>
                <w:b/>
                <w:color w:val="auto"/>
                <w:sz w:val="24"/>
                <w:szCs w:val="24"/>
                <w:highlight w:val="none"/>
              </w:rPr>
              <w:t xml:space="preserve">必须提供，否则在符合性审查时按照投标无效处理</w:t>
            </w:r>
            <w:r>
              <w:rPr>
                <w:rFonts w:hint="eastAsia" w:ascii="宋体" w:hAnsi="宋体" w:eastAsia="宋体" w:cs="宋体"/>
                <w:b/>
                <w:bCs w:val="0"/>
                <w:color w:val="auto"/>
                <w:sz w:val="24"/>
                <w:szCs w:val="24"/>
                <w:highlight w:val="none"/>
              </w:rPr>
              <w:t xml:space="preserve">）</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（一）报价</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1、《开标一览表》（加盖电子签章，格式见招标文件第七章《投标文件相关格式》）；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2、《分项价格表》（加盖电子签章，格式见招标文件第七章《投标文件相关格式》）；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（二）商务资信</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1、《投标函》（加盖电子签章，格式见招标文件第七章《投标文件相关格式》）；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 w:val="0"/>
                <w:bCs w:val="0"/>
                <w:sz w:val="24"/>
                <w:szCs w:val="24"/>
                <w:highlight w:val="none"/>
              </w:rPr>
              <w:t xml:space="preserve">法定代表人授权书</w:t>
            </w:r>
            <w:r>
              <w:rPr>
                <w:rFonts w:hint="eastAsia" w:ascii="宋体" w:hAnsi="宋体" w:eastAsia="宋体" w:cs="宋体"/>
                <w:bCs/>
                <w:color w:val="auto"/>
                <w:sz w:val="24"/>
                <w:szCs w:val="24"/>
                <w:highlight w:val="none"/>
                <w:lang w:val="en-US" w:eastAsia="zh-CN"/>
              </w:rPr>
              <w:t xml:space="preserve">》（加盖电子签章，格式见招标文件第七章《投标文件相关格式》）；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（三）技术响应</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1、《偏离表》（加盖电子签章，格式见招标文件第七章《投标文件相关格式》）。</w:t>
            </w:r>
            <w:r/>
          </w:p>
          <w:p>
            <w:pPr>
              <w:numPr>
                <w:ilvl w:val="0"/>
                <w:numId w:val="0"/>
              </w:numPr>
              <w:ind w:left="0" w:right="0" w:firstLine="0"/>
              <w:jc w:val="both"/>
              <w:keepLines w:val="0"/>
              <w:keepNext w:val="0"/>
              <w:pageBreakBefore w:val="0"/>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sz w:val="24"/>
                <w:szCs w:val="24"/>
                <w:highlight w:val="none"/>
              </w:rPr>
              <w:t xml:space="preserve">综合评审评分项</w:t>
            </w:r>
            <w:r/>
          </w:p>
          <w:p>
            <w:pPr>
              <w:ind w:left="0" w:right="0" w:firstLine="0"/>
              <w:jc w:val="both"/>
              <w:keepLines w:val="0"/>
              <w:keepNext w:val="0"/>
              <w:pageBreakBefore w:val="0"/>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ind w:left="0" w:right="0" w:firstLine="0"/>
              <w:jc w:val="both"/>
              <w:keepLines w:val="0"/>
              <w:keepNext w:val="0"/>
              <w:pageBreakBefore w:val="0"/>
              <w:spacing w:line="36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要求见招标文件第四章《评标标准》、第六章《采购需求》</w:t>
            </w:r>
            <w:r/>
          </w:p>
          <w:p>
            <w:pPr>
              <w:ind w:left="0" w:right="0" w:firstLine="0"/>
              <w:jc w:val="both"/>
              <w:keepLines w:val="0"/>
              <w:keepNext w:val="0"/>
              <w:pageBreakBefore w:val="0"/>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w:t>
            </w:r>
            <w:r>
              <w:rPr>
                <w:rFonts w:hint="eastAsia" w:ascii="宋体" w:hAnsi="宋体" w:eastAsia="宋体" w:cs="宋体"/>
                <w:b/>
                <w:bCs/>
                <w:sz w:val="24"/>
                <w:szCs w:val="24"/>
                <w:highlight w:val="none"/>
              </w:rPr>
              <w:t xml:space="preserve">商务部分</w:t>
            </w:r>
            <w:r/>
          </w:p>
          <w:p>
            <w:pPr>
              <w:ind w:left="0" w:right="0" w:firstLine="0"/>
              <w:jc w:val="both"/>
              <w:keepLines w:val="0"/>
              <w:keepNext w:val="0"/>
              <w:pageBreakBefore w:val="0"/>
              <w:spacing w:line="36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要求见招标文件第四章《评标标准》。</w:t>
            </w:r>
            <w:r/>
          </w:p>
          <w:p>
            <w:pPr>
              <w:numPr>
                <w:ilvl w:val="0"/>
                <w:numId w:val="0"/>
              </w:numPr>
              <w:ind w:left="0" w:right="0" w:firstLine="0"/>
              <w:jc w:val="both"/>
              <w:keepLines w:val="0"/>
              <w:keepNext w:val="0"/>
              <w:pageBreakBefore w:val="0"/>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价格折扣文件格式：</w:t>
            </w:r>
            <w:r/>
          </w:p>
          <w:p>
            <w:pPr>
              <w:ind w:left="0" w:firstLine="0"/>
              <w:jc w:val="both"/>
              <w:keepLines w:val="0"/>
              <w:keepNext w:val="0"/>
              <w:pageBreakBefore w:val="0"/>
              <w:spacing w:line="360" w:lineRule="auto"/>
              <w:rPr>
                <w:rFonts w:hint="eastAsia" w:ascii="宋体" w:hAnsi="宋体" w:eastAsia="宋体" w:cs="宋体"/>
                <w:b w:val="0"/>
                <w:bCs w:val="0"/>
                <w:color w:val="auto"/>
                <w:sz w:val="24"/>
                <w:highlight w:val="none"/>
                <w:lang w:val="en-US" w:eastAsia="zh-CN"/>
              </w:rPr>
            </w:pP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本项目</w:t>
            </w:r>
            <w:r>
              <w:rPr>
                <w:rFonts w:hint="eastAsia" w:ascii="宋体" w:hAnsi="宋体" w:cs="宋体"/>
                <w:b/>
                <w:bCs/>
                <w:sz w:val="24"/>
                <w:szCs w:val="24"/>
                <w:highlight w:val="none"/>
                <w:lang w:val="en-US" w:eastAsia="zh-CN"/>
              </w:rPr>
              <w:t xml:space="preserve">不</w:t>
            </w:r>
            <w:r>
              <w:rPr>
                <w:rFonts w:hint="eastAsia" w:ascii="宋体" w:hAnsi="宋体" w:eastAsia="宋体" w:cs="宋体"/>
                <w:b/>
                <w:bCs/>
                <w:sz w:val="24"/>
                <w:szCs w:val="24"/>
                <w:highlight w:val="none"/>
              </w:rPr>
              <w:t xml:space="preserve">属于专门面向中小微企业采购的项目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b w:val="0"/>
                <w:bCs w:val="0"/>
                <w:color w:val="auto"/>
                <w:sz w:val="24"/>
                <w:highlight w:val="none"/>
                <w:lang w:val="en-US" w:eastAsia="zh-CN"/>
              </w:rPr>
              <w:t xml:space="preserve">如为中小微企业（含中型、小型、微型企业，下同），</w:t>
            </w:r>
            <w:r>
              <w:rPr>
                <w:rFonts w:hint="eastAsia" w:ascii="宋体" w:hAnsi="宋体" w:eastAsia="宋体" w:cs="宋体"/>
                <w:b/>
                <w:bCs/>
                <w:color w:val="auto"/>
                <w:sz w:val="24"/>
                <w:highlight w:val="none"/>
                <w:lang w:val="en-US" w:eastAsia="zh-CN"/>
              </w:rPr>
              <w:t xml:space="preserve">投标文件中提供《中小企业声明函》（加盖电子签章，必须提供，填写完整，</w:t>
            </w:r>
            <w:r>
              <w:rPr>
                <w:rFonts w:hint="eastAsia" w:ascii="宋体" w:hAnsi="宋体" w:eastAsia="宋体" w:cs="宋体"/>
                <w:b/>
                <w:bCs/>
                <w:sz w:val="24"/>
                <w:szCs w:val="24"/>
                <w:highlight w:val="none"/>
                <w:lang w:val="en-US" w:eastAsia="zh-CN"/>
              </w:rPr>
              <w:t xml:space="preserve">格式见招标文件第七章《投标文件相关格式</w:t>
            </w:r>
            <w:r>
              <w:rPr>
                <w:rFonts w:hint="eastAsia" w:ascii="宋体" w:hAnsi="宋体" w:cs="宋体"/>
                <w:b/>
                <w:bCs/>
                <w:sz w:val="24"/>
                <w:szCs w:val="24"/>
                <w:highlight w:val="none"/>
                <w:lang w:val="en-US" w:eastAsia="zh-CN"/>
              </w:rPr>
              <w:t xml:space="preserve">》</w:t>
            </w:r>
            <w:r>
              <w:rPr>
                <w:rFonts w:hint="eastAsia" w:ascii="宋体" w:hAnsi="宋体" w:eastAsia="宋体" w:cs="宋体"/>
                <w:b/>
                <w:bCs/>
                <w:color w:val="auto"/>
                <w:sz w:val="24"/>
                <w:highlight w:val="none"/>
                <w:lang w:val="en-US" w:eastAsia="zh-CN"/>
              </w:rPr>
              <w:t xml:space="preserve">，如不填写完整或未按要求填写的，视为无效）。</w:t>
            </w:r>
            <w:r>
              <w:rPr>
                <w:rFonts w:hint="eastAsia" w:ascii="宋体" w:hAnsi="宋体" w:eastAsia="宋体" w:cs="宋体"/>
                <w:b w:val="0"/>
                <w:bCs w:val="0"/>
                <w:color w:val="auto"/>
                <w:sz w:val="24"/>
                <w:highlight w:val="none"/>
                <w:lang w:val="en-US" w:eastAsia="zh-CN"/>
              </w:rPr>
              <w:t xml:space="preserve">《中小企业声明函》查询渠道用微信搜索“中小企业规模类型自测小程序”。</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注：具体以《政府采购促进中小企业发展管理办法》（财库[2020]46号）和《关于印发中小企业划型标准规定的通知》（工信部联企业[2011]300号）的规定为准。</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投标人为监狱企业的，提供省级以上监狱管理局、戒毒管理局（含新疆生产建设兵团）出具的属于监狱企业的证明文件的扫描件。</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注：具体以《财政部 司法部关于政府采购支持监狱企业发展有关问题的通知》（财库〔2014〕68号）的规定为准。</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投标人为享受政府采购支持政策的残疾人福利性单位的，提供《残疾人福利性单位声明函》（加盖电子签章，格式见招标文件第七章《投标文件相关格式》）。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享受政府采购支持政策的残疾人福利性单位应当同时满足以下条件：</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①安置的残疾人占本单位在职职工人数的比例不低于25%（含25%），并且安置的残疾人人数不少于10人（含10人）；</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②依法与安置的每位残疾人签订了一年以上（含一年）的劳动合同或服务协议；</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③为安置的每位残疾人按月足额缴纳了基本养老保险、基本医疗保险、失业保险、工伤保险和生育保险等社会保险费；</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④通过银行等金融机构向安置的每位残疾人，按月支付了不低于单位所在区县适用的经省级人民政府批准的月最低工资标准的工资；</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⑤提供本单位制造的货物、承担的工程或者服务（以下简称产品），或者提供其他残疾人福利性单位制造的货物（不包括使用非残疾人福利性单位注册商标的货物）。</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0"/>
              <w:jc w:val="both"/>
              <w:keepLines w:val="0"/>
              <w:keepNext w:val="0"/>
              <w:pageBreakBefore w:val="0"/>
              <w:spacing w:line="360" w:lineRule="auto"/>
              <w:rPr>
                <w:rFonts w:hint="eastAsia" w:ascii="宋体" w:hAnsi="宋体" w:cs="宋体"/>
                <w:b/>
                <w:bCs/>
                <w:sz w:val="24"/>
                <w:szCs w:val="24"/>
                <w:highlight w:val="none"/>
                <w:lang w:val="en-US" w:eastAsia="zh-CN"/>
              </w:rPr>
            </w:pPr>
            <w:r>
              <w:rPr>
                <w:rFonts w:hint="eastAsia" w:ascii="宋体" w:hAnsi="宋体" w:eastAsia="宋体" w:cs="宋体"/>
                <w:sz w:val="24"/>
                <w:szCs w:val="24"/>
                <w:highlight w:val="none"/>
              </w:rPr>
              <w:t xml:space="preserve">   具体以《三部门联合发布关于促进残疾人就业政府采购政策的通知》（财库〔2017〕141号）规定为准。</w:t>
            </w:r>
            <w:r/>
          </w:p>
          <w:p>
            <w:pPr>
              <w:numPr>
                <w:ilvl w:val="0"/>
                <w:numId w:val="0"/>
              </w:numPr>
              <w:ind w:left="0" w:right="0" w:firstLine="0"/>
              <w:jc w:val="both"/>
              <w:keepLines w:val="0"/>
              <w:keepNext w:val="0"/>
              <w:pageBreakBefore w:val="0"/>
              <w:spacing w:line="360" w:lineRule="auto"/>
              <w:rPr>
                <w:rFonts w:hint="eastAsia" w:ascii="宋体" w:hAnsi="宋体" w:eastAsia="宋体" w:cs="宋体"/>
                <w:b w:val="0"/>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val="en-US" w:eastAsia="zh-CN"/>
              </w:rPr>
              <w:t xml:space="preserve">2、</w:t>
            </w:r>
            <w:r>
              <w:rPr>
                <w:rFonts w:hint="eastAsia" w:ascii="宋体" w:hAnsi="宋体" w:eastAsia="宋体" w:cs="宋体"/>
                <w:b/>
                <w:sz w:val="24"/>
                <w:szCs w:val="24"/>
                <w:highlight w:val="none"/>
                <w:lang w:eastAsia="zh-CN"/>
              </w:rPr>
              <w:t xml:space="preserve">投标人《关于符合本国产品标准的声明函》</w:t>
            </w:r>
            <w:r>
              <w:rPr>
                <w:rFonts w:hint="eastAsia" w:ascii="宋体" w:hAnsi="宋体" w:eastAsia="宋体" w:cs="宋体"/>
                <w:b w:val="0"/>
                <w:bCs/>
                <w:sz w:val="24"/>
                <w:szCs w:val="24"/>
                <w:highlight w:val="none"/>
                <w:lang w:eastAsia="zh-CN"/>
              </w:rPr>
              <w:t xml:space="preserve">（填写完整，加盖电子签章，格式见招标文件第七章《投标文件相关格式》）</w:t>
            </w:r>
            <w:r>
              <w:rPr>
                <w:rFonts w:hint="eastAsia" w:ascii="宋体" w:hAnsi="宋体" w:eastAsia="宋体" w:cs="宋体"/>
                <w:b w:val="0"/>
                <w:bCs/>
                <w:sz w:val="24"/>
                <w:szCs w:val="24"/>
                <w:highlight w:val="none"/>
              </w:rPr>
              <w:t xml:space="preserve">。（请填写完整，如不填写完整或未按要求填写的，视为无效）</w:t>
            </w:r>
            <w:r>
              <w:rPr>
                <w:rFonts w:hint="eastAsia" w:ascii="宋体" w:hAnsi="宋体" w:eastAsia="宋体" w:cs="宋体"/>
                <w:b w:val="0"/>
                <w:bCs/>
                <w:sz w:val="24"/>
                <w:szCs w:val="24"/>
                <w:highlight w:val="none"/>
                <w:lang w:eastAsia="zh-CN"/>
              </w:rPr>
              <w:t xml:space="preserve">。</w:t>
            </w:r>
            <w:r/>
          </w:p>
          <w:p>
            <w:pPr>
              <w:ind w:left="0" w:firstLine="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政府采购中实施本国产品标准及相关政策</w:t>
            </w:r>
            <w:r/>
          </w:p>
          <w:p>
            <w:pPr>
              <w:ind w:left="0" w:firstLine="0"/>
              <w:jc w:val="both"/>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ind w:left="0" w:firstLine="0"/>
              <w:jc w:val="both"/>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0"/>
              <w:jc w:val="both"/>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0"/>
              <w:jc w:val="both"/>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rPr>
                <w:rFonts w:hint="eastAsia" w:ascii="宋体" w:hAnsi="宋体" w:cs="宋体"/>
                <w:b w:val="0"/>
                <w:bCs/>
                <w:color w:val="auto"/>
                <w:sz w:val="24"/>
                <w:szCs w:val="24"/>
                <w:highlight w:val="none"/>
                <w:lang w:eastAsia="zh-CN"/>
              </w:rPr>
              <w:t xml:space="preserve">。</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1、投标人应对以上文件的合法性、真实性负责。</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19.4</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投标人应当通过“苏采云”系统提交数据电文形式的投标文件（即电子投标文件）。</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19.5</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投标文件的退还：投标文件不退还投标人，若采购人索取中标人的数据电文形式的投标文件，须在双方</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政府采购合同后，由采购代理机构提供给采购人。</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19.6</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投标文件的密封、签署、盖章要求：</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的密封（加密）要求：投标人应当按照招标文件和“苏采云”系统的要求编制并加密投标文件。本项目投标人须通过“苏采云”系统提供的政府采购客户端工具（使用“CA数字证书”）对其数据电文形式的投标文件加密。</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二、投标文件的签署要求：见招标文件第七章《投标文件相关格式》。</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rHeight w:val="274"/>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19.8</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投标人未按规定加密的投标文件，“苏采云”系统应当拒收并提示。</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19.9</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20.6</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 xml:space="preserve">本项目</w:t>
            </w:r>
            <w:r>
              <w:rPr>
                <w:rFonts w:hint="eastAsia" w:ascii="宋体" w:hAnsi="宋体" w:eastAsia="宋体" w:cs="宋体"/>
                <w:b/>
                <w:bCs w:val="0"/>
                <w:color w:val="auto"/>
                <w:sz w:val="24"/>
                <w:szCs w:val="24"/>
                <w:highlight w:val="none"/>
                <w:lang w:val="en-US" w:eastAsia="zh-CN"/>
              </w:rPr>
              <w:t xml:space="preserve">不接受超过</w:t>
            </w:r>
            <w:r>
              <w:rPr>
                <w:rFonts w:hint="eastAsia" w:ascii="宋体" w:hAnsi="宋体" w:cs="宋体"/>
                <w:b/>
                <w:bCs w:val="0"/>
                <w:color w:val="auto"/>
                <w:sz w:val="24"/>
                <w:szCs w:val="24"/>
                <w:highlight w:val="none"/>
                <w:lang w:val="en-US" w:eastAsia="zh-CN"/>
              </w:rPr>
              <w:t xml:space="preserve">1500万元</w:t>
            </w:r>
            <w:r>
              <w:rPr>
                <w:rFonts w:hint="eastAsia" w:ascii="宋体" w:hAnsi="宋体" w:eastAsia="宋体" w:cs="宋体"/>
                <w:b/>
                <w:bCs w:val="0"/>
                <w:color w:val="auto"/>
                <w:sz w:val="24"/>
                <w:szCs w:val="24"/>
                <w:highlight w:val="none"/>
                <w:lang w:val="en-US" w:eastAsia="zh-CN"/>
              </w:rPr>
              <w:t xml:space="preserve">（人民币）</w:t>
            </w:r>
            <w:r>
              <w:rPr>
                <w:rFonts w:hint="eastAsia" w:ascii="宋体" w:hAnsi="宋体" w:eastAsia="宋体" w:cs="宋体"/>
                <w:b/>
                <w:bCs w:val="0"/>
                <w:color w:val="auto"/>
                <w:sz w:val="24"/>
                <w:szCs w:val="24"/>
                <w:highlight w:val="none"/>
              </w:rPr>
              <w:t xml:space="preserve">（采购预算金额）</w:t>
            </w:r>
            <w:bookmarkStart w:id="2" w:name="OLE_LINK1"/>
            <w:r>
              <w:rPr>
                <w:rFonts w:hint="eastAsia" w:ascii="宋体" w:hAnsi="宋体" w:eastAsia="宋体" w:cs="宋体"/>
                <w:b/>
                <w:bCs w:val="0"/>
                <w:color w:val="auto"/>
                <w:sz w:val="24"/>
                <w:szCs w:val="24"/>
                <w:highlight w:val="none"/>
                <w:lang w:val="en-US" w:eastAsia="zh-CN"/>
              </w:rPr>
              <w:t xml:space="preserve">的投标报价。</w:t>
            </w:r>
            <w:bookmarkEnd w:id="2"/>
            <w:r>
              <w:rPr>
                <w:rFonts w:ascii="宋体" w:hAnsi="宋体" w:cs="宋体"/>
                <w:b/>
                <w:bCs/>
                <w:color w:val="auto"/>
                <w:sz w:val="24"/>
                <w:highlight w:val="none"/>
              </w:rPr>
              <w:t xml:space="preserve">报价包括但不限于产品价、税金、运费、安装、</w:t>
            </w:r>
            <w:r>
              <w:rPr>
                <w:rFonts w:hint="eastAsia" w:ascii="宋体" w:hAnsi="宋体" w:cs="宋体"/>
                <w:b/>
                <w:bCs/>
                <w:color w:val="auto"/>
                <w:sz w:val="24"/>
                <w:highlight w:val="none"/>
                <w:lang w:val="en-US" w:eastAsia="zh-CN"/>
              </w:rPr>
              <w:t xml:space="preserve">调试</w:t>
            </w:r>
            <w:r>
              <w:rPr>
                <w:rFonts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运行维护、</w:t>
            </w:r>
            <w:r>
              <w:rPr>
                <w:rFonts w:ascii="宋体" w:hAnsi="宋体" w:cs="宋体"/>
                <w:b/>
                <w:bCs/>
                <w:color w:val="auto"/>
                <w:sz w:val="24"/>
                <w:highlight w:val="none"/>
              </w:rPr>
              <w:t xml:space="preserve">保险、培训、售后服务、投标人的利润等全部费用。采购人不再支付报价以外的任何费用。</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投标人不需</w:t>
            </w:r>
            <w:r>
              <w:rPr>
                <w:rFonts w:hint="eastAsia" w:ascii="宋体" w:hAnsi="宋体" w:eastAsia="宋体" w:cs="宋体"/>
                <w:b/>
                <w:bCs/>
                <w:color w:val="auto"/>
                <w:sz w:val="24"/>
                <w:szCs w:val="24"/>
                <w:highlight w:val="none"/>
                <w:lang w:eastAsia="zh-CN"/>
              </w:rPr>
              <w:t xml:space="preserve">缴纳</w:t>
            </w:r>
            <w:r>
              <w:rPr>
                <w:rFonts w:hint="eastAsia" w:ascii="宋体" w:hAnsi="宋体" w:eastAsia="宋体" w:cs="宋体"/>
                <w:b/>
                <w:bCs/>
                <w:color w:val="auto"/>
                <w:sz w:val="24"/>
                <w:szCs w:val="24"/>
                <w:highlight w:val="none"/>
              </w:rPr>
              <w:t xml:space="preserve">投标保证金。</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ff0000"/>
                <w:sz w:val="24"/>
                <w:szCs w:val="24"/>
                <w:highlight w:val="none"/>
              </w:rPr>
              <w:t xml:space="preserve">投标截止时间：</w:t>
            </w:r>
            <w:r>
              <w:rPr>
                <w:rFonts w:hint="eastAsia" w:ascii="宋体" w:hAnsi="宋体" w:cs="宋体"/>
                <w:b/>
                <w:bCs/>
                <w:color w:val="ff0000"/>
                <w:sz w:val="24"/>
                <w:szCs w:val="24"/>
                <w:highlight w:val="none"/>
                <w:lang w:eastAsia="zh-CN"/>
              </w:rPr>
              <w:t xml:space="preserve">2026年6月23日</w:t>
            </w:r>
            <w:r>
              <w:rPr>
                <w:rFonts w:hint="eastAsia" w:ascii="宋体" w:hAnsi="宋体" w:eastAsia="宋体" w:cs="宋体"/>
                <w:b/>
                <w:bCs/>
                <w:color w:val="ff0000"/>
                <w:sz w:val="24"/>
                <w:szCs w:val="24"/>
                <w:highlight w:val="none"/>
                <w:lang w:eastAsia="zh-CN"/>
              </w:rPr>
              <w:t xml:space="preserve">北京时间</w:t>
            </w:r>
            <w:r>
              <w:rPr>
                <w:rFonts w:hint="eastAsia" w:ascii="宋体" w:hAnsi="宋体" w:cs="宋体"/>
                <w:b/>
                <w:bCs/>
                <w:color w:val="ff0000"/>
                <w:sz w:val="24"/>
                <w:szCs w:val="24"/>
                <w:highlight w:val="none"/>
                <w:lang w:eastAsia="zh-CN"/>
              </w:rPr>
              <w:t xml:space="preserve">09:30</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投标文件的提交与接收：</w:t>
            </w:r>
            <w:r/>
          </w:p>
          <w:p>
            <w:pPr>
              <w:numPr>
                <w:ilvl w:val="0"/>
                <w:numId w:val="3"/>
              </w:numPr>
              <w:ind w:left="0" w:firstLine="0"/>
              <w:jc w:val="both"/>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投标文件提交与接收时间</w:t>
            </w:r>
            <w:r>
              <w:rPr>
                <w:rFonts w:hint="eastAsia" w:ascii="宋体" w:hAnsi="宋体" w:eastAsia="宋体" w:cs="宋体"/>
                <w:b/>
                <w:bCs/>
                <w:color w:val="auto"/>
                <w:sz w:val="24"/>
                <w:szCs w:val="24"/>
                <w:highlight w:val="none"/>
              </w:rPr>
              <w:t xml:space="preserve">：</w:t>
            </w:r>
            <w:r/>
          </w:p>
          <w:p>
            <w:pPr>
              <w:numPr>
                <w:ilvl w:val="0"/>
                <w:numId w:val="0"/>
              </w:numPr>
              <w:ind w:left="0" w:firstLine="0"/>
              <w:jc w:val="both"/>
              <w:keepLines w:val="0"/>
              <w:keepNext w:val="0"/>
              <w:pageBreakBefore w:val="0"/>
              <w:spacing w:line="360" w:lineRule="auto"/>
              <w:widowControl/>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提交投标文件截止时间（</w:t>
            </w:r>
            <w:r>
              <w:rPr>
                <w:rFonts w:hint="eastAsia" w:ascii="宋体" w:hAnsi="宋体" w:cs="宋体"/>
                <w:b/>
                <w:bCs/>
                <w:color w:val="ff0000"/>
                <w:sz w:val="24"/>
                <w:szCs w:val="24"/>
                <w:highlight w:val="none"/>
                <w:lang w:eastAsia="zh-CN"/>
              </w:rPr>
              <w:t xml:space="preserve">2026年6月23日</w:t>
            </w:r>
            <w:r>
              <w:rPr>
                <w:rFonts w:hint="eastAsia" w:ascii="宋体" w:hAnsi="宋体" w:eastAsia="宋体" w:cs="宋体"/>
                <w:b/>
                <w:bCs/>
                <w:color w:val="ff0000"/>
                <w:sz w:val="24"/>
                <w:szCs w:val="24"/>
                <w:highlight w:val="none"/>
                <w:lang w:eastAsia="zh-CN"/>
              </w:rPr>
              <w:t xml:space="preserve">北京时间</w:t>
            </w:r>
            <w:r>
              <w:rPr>
                <w:rFonts w:hint="eastAsia" w:ascii="宋体" w:hAnsi="宋体" w:cs="宋体"/>
                <w:b/>
                <w:bCs/>
                <w:color w:val="ff0000"/>
                <w:sz w:val="24"/>
                <w:szCs w:val="24"/>
                <w:highlight w:val="none"/>
                <w:lang w:eastAsia="zh-CN"/>
              </w:rPr>
              <w:t xml:space="preserve">09:30</w:t>
            </w:r>
            <w:r>
              <w:rPr>
                <w:rFonts w:hint="eastAsia" w:ascii="宋体" w:hAnsi="宋体" w:eastAsia="宋体" w:cs="宋体"/>
                <w:b/>
                <w:bCs/>
                <w:color w:val="ff0000"/>
                <w:sz w:val="24"/>
                <w:szCs w:val="24"/>
                <w:highlight w:val="none"/>
              </w:rPr>
              <w:t xml:space="preserve">）前。</w:t>
            </w:r>
            <w:r/>
          </w:p>
          <w:p>
            <w:pPr>
              <w:numPr>
                <w:ilvl w:val="0"/>
                <w:numId w:val="0"/>
              </w:numPr>
              <w:ind w:left="0" w:firstLine="0"/>
              <w:jc w:val="both"/>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投标文件提交与接收地点：</w:t>
            </w:r>
            <w:r>
              <w:rPr>
                <w:rFonts w:hint="eastAsia" w:ascii="宋体" w:hAnsi="宋体" w:eastAsia="宋体" w:cs="宋体"/>
                <w:b/>
                <w:bCs/>
                <w:color w:val="auto"/>
                <w:sz w:val="24"/>
                <w:szCs w:val="24"/>
                <w:highlight w:val="none"/>
              </w:rPr>
              <w:t xml:space="preserve">投标人应当通过“苏采云”系统提交数据电文形式的投标文件（即电子投标），“苏采云”系统自动接收，在达到开标时间后，使用CA数字证书解密各自投标文件。</w:t>
            </w:r>
            <w:r/>
          </w:p>
          <w:p>
            <w:pPr>
              <w:numPr>
                <w:ilvl w:val="0"/>
                <w:numId w:val="0"/>
              </w:num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特别说明：政府采购客户端工具需要导出加密的投标文件（后缀名为zip）。投标文件不得超过150M！（以系统为准）名为“.kedt”）后，离线编制投标文件。采购文件（后缀名为“.kedt”）。</w:t>
            </w:r>
            <w:r/>
          </w:p>
        </w:tc>
      </w:tr>
      <w:tr>
        <w:trPr>
          <w:trHeight w:val="582"/>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招标文件对本项目分包的规定：采购人不允许采用分包方式履行合同。</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四、开标、评标</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开标时间及地点：</w:t>
            </w:r>
            <w:r/>
          </w:p>
          <w:p>
            <w:pPr>
              <w:pStyle w:val="785"/>
              <w:ind w:left="0" w:firstLine="0"/>
              <w:jc w:val="both"/>
              <w:keepLines w:val="0"/>
              <w:keepNext w:val="0"/>
              <w:pageBreakBefore w:val="0"/>
              <w:spacing w:line="360" w:lineRule="auto"/>
              <w:widowControl/>
              <w:rPr>
                <w:rFonts w:hint="eastAsia" w:ascii="宋体" w:hAnsi="宋体" w:eastAsia="宋体" w:cs="宋体"/>
                <w:b/>
                <w:bCs/>
                <w:color w:val="ff0000"/>
                <w:sz w:val="24"/>
                <w:szCs w:val="24"/>
                <w:highlight w:val="none"/>
                <w:lang w:eastAsia="zh-CN"/>
              </w:rPr>
            </w:pPr>
            <w:r>
              <w:rPr>
                <w:rFonts w:hint="eastAsia" w:ascii="宋体" w:hAnsi="宋体" w:eastAsia="宋体" w:cs="宋体"/>
                <w:b/>
                <w:bCs/>
                <w:color w:val="ff0000"/>
                <w:sz w:val="24"/>
                <w:szCs w:val="24"/>
                <w:highlight w:val="none"/>
              </w:rPr>
              <w:t xml:space="preserve">1</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开标时间：</w:t>
            </w:r>
            <w:r>
              <w:rPr>
                <w:rFonts w:hint="eastAsia" w:ascii="宋体" w:hAnsi="宋体" w:cs="宋体"/>
                <w:b/>
                <w:bCs/>
                <w:color w:val="ff0000"/>
                <w:sz w:val="24"/>
                <w:szCs w:val="24"/>
                <w:highlight w:val="none"/>
                <w:lang w:eastAsia="zh-CN"/>
              </w:rPr>
              <w:t xml:space="preserve">2026年6月23日</w:t>
            </w:r>
            <w:r>
              <w:rPr>
                <w:rFonts w:hint="eastAsia" w:ascii="宋体" w:hAnsi="宋体" w:eastAsia="宋体" w:cs="宋体"/>
                <w:b/>
                <w:bCs/>
                <w:color w:val="ff0000"/>
                <w:sz w:val="24"/>
                <w:szCs w:val="24"/>
                <w:highlight w:val="none"/>
                <w:lang w:eastAsia="zh-CN"/>
              </w:rPr>
              <w:t xml:space="preserve">北京时间</w:t>
            </w:r>
            <w:r>
              <w:rPr>
                <w:rFonts w:hint="eastAsia" w:ascii="宋体" w:hAnsi="宋体" w:cs="宋体"/>
                <w:b/>
                <w:bCs/>
                <w:color w:val="ff0000"/>
                <w:sz w:val="24"/>
                <w:szCs w:val="24"/>
                <w:highlight w:val="none"/>
                <w:lang w:eastAsia="zh-CN"/>
              </w:rPr>
              <w:t xml:space="preserve">09:30</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开标地点：“苏采云”系统（网址： http://jszfcg.jsczt.cn/）“开标大厅”或进入徐州政府采购网（网址：</w:t>
            </w:r>
            <w:r>
              <w:rPr>
                <w:rFonts w:hint="eastAsia" w:ascii="宋体" w:hAnsi="宋体" w:cs="宋体"/>
                <w:b/>
                <w:bCs/>
                <w:color w:val="auto"/>
                <w:sz w:val="24"/>
                <w:szCs w:val="24"/>
                <w:highlight w:val="none"/>
                <w:lang w:eastAsia="zh-CN"/>
              </w:rPr>
              <w:t xml:space="preserve">https://czj.xz.gov.cn/zfcg/index.html</w:t>
            </w:r>
            <w:r>
              <w:rPr>
                <w:rFonts w:hint="eastAsia" w:ascii="宋体" w:hAnsi="宋体" w:eastAsia="宋体" w:cs="宋体"/>
                <w:b/>
                <w:bCs/>
                <w:color w:val="auto"/>
                <w:sz w:val="24"/>
                <w:szCs w:val="24"/>
                <w:highlight w:val="none"/>
              </w:rPr>
              <w:t xml:space="preserve">）--业务工作--用户登录，点击“苏采云”进入系统“开标大厅”。</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26.4</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1.评标中需要投标人对投标文件澄清或者说明的，应当通过“苏采云”系统交换数据电文。</w:t>
            </w:r>
            <w:r>
              <w:rPr>
                <w:rFonts w:hint="eastAsia" w:ascii="宋体" w:hAnsi="宋体" w:eastAsia="宋体" w:cs="宋体"/>
                <w:b/>
                <w:bCs/>
                <w:color w:val="auto"/>
                <w:sz w:val="24"/>
                <w:szCs w:val="24"/>
                <w:highlight w:val="none"/>
              </w:rPr>
              <w:t xml:space="preserve">在评标期间，请投标人保持在线。</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本项目的评标方法：综合评分法。</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五、中标和合同</w:t>
            </w:r>
            <w:r/>
          </w:p>
        </w:tc>
      </w:tr>
      <w:tr>
        <w:trPr>
          <w:trHeight w:val="90"/>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38.2</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候选人并列的，招标文件规定的确定中标人方式：采用综合评分法的，评标结果按评审后得分由高到低顺序排列。得分相同的，按投标报价由低到高顺序排列。得分且投标报价相同的，按项目实施方案优劣顺序排列。中标候选人应当不超过3个，并标明排序。</w:t>
            </w:r>
            <w:r/>
          </w:p>
        </w:tc>
      </w:tr>
      <w:tr>
        <w:trPr>
          <w:trHeight w:val="1323"/>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特别说明：按照《政府采购法》及其实施条例以及相关规定，中标或者成交后无正当理由拒不与采购人签订政府采购合同的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在一至三年内禁止参加政府采购活动，列入政府采购严重违法失信行为记录名单。</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六、询问和质疑</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2、供应商在法定质疑期内一次性提出针对同一采购程序环节的质疑。</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宋雅</w:t>
            </w:r>
            <w:r>
              <w:rPr>
                <w:rFonts w:hint="eastAsia" w:ascii="宋体" w:hAnsi="宋体" w:eastAsia="宋体" w:cs="宋体"/>
                <w:color w:val="auto"/>
                <w:sz w:val="24"/>
                <w:szCs w:val="24"/>
                <w:highlight w:val="none"/>
                <w:lang w:val="en-US" w:eastAsia="zh-CN"/>
              </w:rPr>
              <w:t xml:space="preserve">、孙玉琦  </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val="en-US" w:eastAsia="zh-CN"/>
              </w:rPr>
              <w:t xml:space="preserve">0516-83200699</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徐州市云龙区绿地商务城D座516室</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附加说明</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中标人在收到中标通知书时，须向采购代理机构提交《开标一览表》和《分项价格表》的数据文件（WORD格式）。</w:t>
            </w:r>
            <w:r/>
          </w:p>
        </w:tc>
      </w:tr>
    </w:tbl>
    <w:p>
      <w:pPr>
        <w:pStyle w:val="780"/>
        <w:ind w:left="0" w:firstLine="0"/>
        <w:keepLines w:val="0"/>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pStyle w:val="797"/>
        <w:keepLines w:val="0"/>
        <w:rPr>
          <w:rFonts w:hint="eastAsia" w:ascii="宋体" w:hAnsi="宋体" w:eastAsia="宋体" w:cs="宋体"/>
          <w:color w:val="auto"/>
          <w:sz w:val="24"/>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附件</w:t>
      </w:r>
      <w:r/>
    </w:p>
    <w:p>
      <w:pPr>
        <w:ind w:left="0" w:right="0" w:firstLine="48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招标代理服务收费标准</w:t>
      </w:r>
      <w:r/>
    </w:p>
    <w:tbl>
      <w:tblPr>
        <w:tblStyle w:val="810"/>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50万元以</w:t>
            </w:r>
            <w:r>
              <w:rPr>
                <w:rFonts w:hint="eastAsia" w:ascii="宋体" w:hAnsi="宋体" w:eastAsia="宋体" w:cs="宋体"/>
                <w:color w:val="auto"/>
                <w:sz w:val="24"/>
                <w:highlight w:val="none"/>
                <w:lang w:val="en-US" w:eastAsia="zh-CN"/>
              </w:rPr>
              <w:t xml:space="preserve">下</w:t>
            </w:r>
            <w:r>
              <w:rPr>
                <w:rFonts w:hint="eastAsia" w:ascii="宋体" w:hAnsi="宋体" w:eastAsia="宋体" w:cs="宋体"/>
                <w:color w:val="auto"/>
                <w:sz w:val="24"/>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50亿元</w:t>
            </w:r>
            <w:r>
              <w:rPr>
                <w:rFonts w:hint="eastAsia" w:ascii="宋体" w:hAnsi="宋体" w:eastAsia="宋体" w:cs="宋体"/>
                <w:color w:val="auto"/>
                <w:sz w:val="24"/>
                <w:highlight w:val="none"/>
                <w:lang w:val="en-US" w:eastAsia="zh-CN"/>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bl>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1.按上表计算的收费为代理服务全过程的收费金额。各社会代理机构不另外收取采购文件制作售卖费用。</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2.代理服务费按差额定率累进法计算。</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5.定点类等无金额或事先不能计算出价格总额的项目，按中标（成交）金额100万元计算服务费。</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6.有分包（分</w:t>
      </w:r>
      <w:r>
        <w:rPr>
          <w:rFonts w:hint="eastAsia" w:ascii="宋体" w:hAnsi="宋体" w:eastAsia="宋体" w:cs="宋体"/>
          <w:color w:val="auto"/>
          <w:sz w:val="24"/>
          <w:highlight w:val="none"/>
          <w:lang w:eastAsia="zh-CN"/>
        </w:rPr>
        <w:t xml:space="preserve">采购包</w:t>
      </w:r>
      <w:r>
        <w:rPr>
          <w:rFonts w:hint="eastAsia" w:ascii="宋体" w:hAnsi="宋体" w:eastAsia="宋体" w:cs="宋体"/>
          <w:color w:val="auto"/>
          <w:sz w:val="24"/>
          <w:highlight w:val="none"/>
        </w:rPr>
        <w:t xml:space="preserve">）的按一个项目计算。</w:t>
      </w:r>
      <w:r/>
    </w:p>
    <w:p>
      <w:pPr>
        <w:ind w:left="0" w:right="0" w:firstLine="0"/>
        <w:jc w:val="both"/>
        <w:keepLines w:val="0"/>
        <w:keepNext w:val="0"/>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7.以上价格为协会指导价，双方可根据项目难易程度和优质优价原则协商确定。</w:t>
      </w:r>
      <w:r/>
    </w:p>
    <w:p>
      <w:pPr>
        <w:pStyle w:val="779"/>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8.账户信息</w:t>
      </w:r>
      <w:r/>
    </w:p>
    <w:p>
      <w:pPr>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收款人：江苏瑞阳工程咨询有限公司 </w:t>
      </w:r>
      <w:r/>
    </w:p>
    <w:p>
      <w:pPr>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开户银行：江苏银行股份有限公司徐州泰隆支行 </w:t>
      </w:r>
      <w:r/>
    </w:p>
    <w:p>
      <w:pPr>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账号：60120188000169389</w:t>
      </w:r>
      <w:r/>
    </w:p>
    <w:p>
      <w:pPr>
        <w:keepLines w:val="0"/>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numPr>
          <w:ilvl w:val="0"/>
          <w:numId w:val="4"/>
        </w:numPr>
        <w:jc w:val="center"/>
        <w:keepLines w:val="0"/>
        <w:keepNext w:val="0"/>
        <w:spacing w:line="360" w:lineRule="auto"/>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评标标准</w:t>
      </w:r>
      <w:r/>
    </w:p>
    <w:tbl>
      <w:tblPr>
        <w:tblStyle w:val="773"/>
        <w:tblW w:w="88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9"/>
        <w:gridCol w:w="1261"/>
        <w:gridCol w:w="6390"/>
      </w:tblGrid>
      <w:tr>
        <w:trPr>
          <w:jc w:val="center"/>
          <w:trHeight w:val="257"/>
        </w:trPr>
        <w:tc>
          <w:tcPr>
            <w:gridSpan w:val="2"/>
            <w:tcW w:w="24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W w:w="6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评审因素细则</w:t>
            </w:r>
            <w:r/>
          </w:p>
        </w:tc>
      </w:tr>
      <w:tr>
        <w:trPr>
          <w:jc w:val="center"/>
          <w:trHeight w:val="679"/>
        </w:trPr>
        <w:tc>
          <w:tcPr>
            <w:gridSpan w:val="2"/>
            <w:tcW w:w="24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价格部分</w:t>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各投标人价格得分=最低报价（投标人的最低评审价格）÷各投标人评审价格×30。</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投标人为“小型、微型、监狱企业、享受政府采购支持政策的残疾人福利性单位的（以投标人投标文件中提供的相关材料为准），投标人评审价格=《开标一览表》中的“总价” *（1-10%）得分四舍五入保留小数点后2位。</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该投标人的评审价格=《开标一览表》中的“总价”*（100%-20%）</w:t>
            </w:r>
            <w:r/>
          </w:p>
        </w:tc>
      </w:tr>
      <w:tr>
        <w:trPr>
          <w:jc w:val="center"/>
          <w:trHeight w:val="679"/>
        </w:trPr>
        <w:tc>
          <w:tcPr>
            <w:tcW w:w="1229"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商务部分</w:t>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分）</w:t>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企业综合实力</w:t>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投标人具有有效的ISO三体系认证（ISO9001质量管理体系认证、ISO14001环境管理体系认证、ISO45001职业健康安全管理体系）证书，每有一项得1分，最高得3分。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认证须在国家市场监督管理总局全国认证认可信息公共服务平台(http://cx.cnca.cn/CertECloud/result/skipResultList)可查询，且证书状态须为有效，否则不得分。提供证书原件彩色扫描件及查询截图加盖公章，未提供的不得分。）</w:t>
            </w:r>
            <w:r/>
          </w:p>
        </w:tc>
      </w:tr>
      <w:tr>
        <w:trPr>
          <w:jc w:val="center"/>
          <w:trHeight w:val="416"/>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公司资质</w:t>
            </w:r>
            <w:r>
              <w:rPr>
                <w:rFonts w:hint="eastAsia" w:ascii="宋体" w:hAnsi="宋体" w:eastAsia="宋体" w:cs="宋体"/>
                <w:sz w:val="24"/>
                <w:szCs w:val="24"/>
                <w:highlight w:val="none"/>
              </w:rPr>
              <w:t xml:space="preserve">（2分）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投标人具有环保工程专业承包三级及以上证书，提供环保工程专业承包三级得1分；提供环保工程专业承包二级及以上得2分。本项最高得2分。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（注：须提供证书原件的彩色扫描件，不提供不得分；证书须在有效期内。）</w:t>
            </w:r>
            <w:r/>
          </w:p>
        </w:tc>
      </w:tr>
      <w:tr>
        <w:trPr>
          <w:jc w:val="center"/>
          <w:trHeight w:val="679"/>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项目人员配置</w:t>
            </w:r>
            <w:r/>
          </w:p>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项目技术负责人具有</w:t>
            </w:r>
            <w:r>
              <w:rPr>
                <w:rFonts w:hint="eastAsia" w:ascii="宋体" w:hAnsi="宋体" w:eastAsia="宋体" w:cs="宋体"/>
                <w:color w:val="000000" w:themeColor="text1"/>
                <w:sz w:val="24"/>
                <w:szCs w:val="24"/>
                <w:highlight w:val="none"/>
                <w14:textFill>
                  <w14:solidFill>
                    <w14:schemeClr w14:val="tx1"/>
                  </w14:solidFill>
                </w14:textFill>
              </w:rPr>
              <w:t xml:space="preserve">环保类高级及以上工程师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职称证书</w:t>
            </w:r>
            <w:r>
              <w:rPr>
                <w:rFonts w:hint="eastAsia" w:ascii="宋体" w:hAnsi="宋体" w:eastAsia="宋体" w:cs="宋体"/>
                <w:color w:val="000000" w:themeColor="text1"/>
                <w:sz w:val="24"/>
                <w:szCs w:val="24"/>
                <w:highlight w:val="none"/>
                <w14:textFill>
                  <w14:solidFill>
                    <w14:schemeClr w14:val="tx1"/>
                  </w14:solidFill>
                </w14:textFill>
              </w:rPr>
              <w:t xml:space="preserve">得2分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；其他人员具有</w:t>
            </w:r>
            <w:r>
              <w:rPr>
                <w:rFonts w:hint="eastAsia" w:ascii="宋体" w:hAnsi="宋体" w:eastAsia="宋体" w:cs="宋体"/>
                <w:color w:val="000000" w:themeColor="text1"/>
                <w:sz w:val="24"/>
                <w:szCs w:val="24"/>
                <w:highlight w:val="none"/>
                <w14:textFill>
                  <w14:solidFill>
                    <w14:schemeClr w14:val="tx1"/>
                  </w14:solidFill>
                </w14:textFill>
              </w:rPr>
              <w:t xml:space="preserve">环保类中级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z w:val="24"/>
                <w:szCs w:val="24"/>
                <w:highlight w:val="none"/>
                <w14:textFill>
                  <w14:solidFill>
                    <w14:schemeClr w14:val="tx1"/>
                  </w14:solidFill>
                </w14:textFill>
              </w:rPr>
              <w:t xml:space="preserve">工程师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职称证书</w:t>
            </w:r>
            <w:r>
              <w:rPr>
                <w:rFonts w:hint="eastAsia" w:ascii="宋体" w:hAnsi="宋体" w:eastAsia="宋体" w:cs="宋体"/>
                <w:color w:val="000000" w:themeColor="text1"/>
                <w:sz w:val="24"/>
                <w:szCs w:val="24"/>
                <w:highlight w:val="none"/>
                <w14:textFill>
                  <w14:solidFill>
                    <w14:schemeClr w14:val="tx1"/>
                  </w14:solidFill>
                </w14:textFill>
              </w:rPr>
              <w:t xml:space="preserve">得1分，本项最高得3分。</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拟投入</w:t>
            </w:r>
            <w:r>
              <w:rPr>
                <w:rFonts w:hint="eastAsia" w:ascii="宋体" w:hAnsi="宋体" w:eastAsia="宋体" w:cs="宋体"/>
                <w:color w:val="000000" w:themeColor="text1"/>
                <w:sz w:val="24"/>
                <w:szCs w:val="24"/>
                <w:highlight w:val="none"/>
                <w14:textFill>
                  <w14:solidFill>
                    <w14:schemeClr w14:val="tx1"/>
                  </w14:solidFill>
                </w14:textFill>
              </w:rPr>
              <w:t xml:space="preserve">本项目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服务团队中具有机电</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专业</w:t>
            </w:r>
            <w:r>
              <w:rPr>
                <w:rFonts w:hint="eastAsia" w:ascii="宋体" w:hAnsi="宋体" w:eastAsia="宋体" w:cs="宋体"/>
                <w:color w:val="000000" w:themeColor="text1"/>
                <w:sz w:val="24"/>
                <w:szCs w:val="24"/>
                <w:highlight w:val="none"/>
                <w14:textFill>
                  <w14:solidFill>
                    <w14:schemeClr w14:val="tx1"/>
                  </w14:solidFill>
                </w14:textFill>
              </w:rPr>
              <w:t xml:space="preserve">二级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z w:val="24"/>
                <w:szCs w:val="24"/>
                <w:highlight w:val="none"/>
                <w14:textFill>
                  <w14:solidFill>
                    <w14:schemeClr w14:val="tx1"/>
                  </w14:solidFill>
                </w14:textFill>
              </w:rPr>
              <w:t xml:space="preserve">建造师证书得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以上人员不重复得分，满足多个条件的，仅计取一个。</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（注：须提供人员证书原件彩色扫描件，以及本单位开标前6个月内任意一月为其缴纳社保的证明，人员需为投标人自有人员，投标人以挂靠公司、投资子公司等方式提供的人员不予认可。）</w:t>
            </w:r>
            <w:r/>
          </w:p>
        </w:tc>
      </w:tr>
      <w:tr>
        <w:trPr>
          <w:jc w:val="center"/>
          <w:trHeight w:val="679"/>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w:t>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投标人自2023年5月1日（含）以来承担过与本项目相同或类似项目业绩的，每个得2分，最高得4分。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w:t>
            </w:r>
            <w:r>
              <w:rPr>
                <w:rFonts w:hint="eastAsia" w:ascii="宋体" w:hAnsi="宋体" w:eastAsia="宋体" w:cs="宋体"/>
                <w:b/>
                <w:bCs/>
                <w:color w:val="000000"/>
                <w:sz w:val="24"/>
                <w:szCs w:val="24"/>
                <w:highlight w:val="none"/>
              </w:rPr>
              <w:t xml:space="preserve">提供项目合同原件扫描件，时间以合同签订时间为准</w:t>
            </w:r>
            <w:r>
              <w:rPr>
                <w:rFonts w:hint="eastAsia" w:ascii="宋体" w:hAnsi="宋体" w:eastAsia="宋体" w:cs="宋体"/>
                <w:b/>
                <w:bCs/>
                <w:sz w:val="24"/>
                <w:szCs w:val="24"/>
                <w:highlight w:val="none"/>
              </w:rPr>
              <w:t xml:space="preserve">）</w:t>
            </w:r>
            <w:r/>
          </w:p>
        </w:tc>
      </w:tr>
      <w:tr>
        <w:trPr>
          <w:jc w:val="center"/>
          <w:trHeight w:val="755"/>
        </w:trPr>
        <w:tc>
          <w:tcPr>
            <w:tcBorders>
              <w:top w:val="single" w:color="auto" w:sz="4" w:space="0"/>
            </w:tcBorders>
            <w:tcW w:w="1229"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w:t>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部分</w:t>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56</w:t>
            </w:r>
            <w:r>
              <w:rPr>
                <w:rFonts w:hint="eastAsia" w:ascii="宋体" w:hAnsi="宋体" w:eastAsia="宋体" w:cs="宋体"/>
                <w:sz w:val="24"/>
                <w:szCs w:val="24"/>
                <w:highlight w:val="none"/>
              </w:rPr>
              <w:t xml:space="preserve">分）</w:t>
            </w:r>
            <w:r/>
          </w:p>
        </w:tc>
        <w:tc>
          <w:tcPr>
            <w:tcW w:w="126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工艺设计方案</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根据投标人工艺设计方案进行打分：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1、包括但不限于工艺设计、工艺成熟程度、技术先进性、设备选型是否满足技术要求；</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（1）方案合理、逻辑清晰，切实可行的得5分；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（2）方案合理、逻辑清晰，较可行的得3分；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（3）方案合理、逻辑清晰，基本可行的得1分；</w:t>
            </w:r>
            <w:r/>
          </w:p>
          <w:p>
            <w:pP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未提供方案或方案不满足要求得0分。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2、包括但不限于药剂添加、系统完整度、自控程度及控制逻辑是否清晰等；</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（1）方案合理、逻辑清晰，切实可行的得5分；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（2）方案合理、逻辑清晰，较可行的得3分；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（3）方案合理、逻辑清晰，基本可行的得1分；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未提供方案或方案不满足要求得0分。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本项最高得10分，最低得0分。</w:t>
            </w:r>
            <w:r/>
          </w:p>
        </w:tc>
      </w:tr>
      <w:tr>
        <w:trPr>
          <w:jc w:val="center"/>
          <w:trHeight w:val="763"/>
        </w:trPr>
        <w:tc>
          <w:tcPr>
            <w:tcBorders>
              <w:top w:val="single" w:color="auto" w:sz="4" w:space="0"/>
            </w:tcBorders>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实施方案</w:t>
            </w:r>
            <w:r/>
          </w:p>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（10分）</w:t>
            </w:r>
            <w:r/>
          </w:p>
        </w:tc>
        <w:tc>
          <w:tcPr>
            <w:shd w:val="clear" w:color="auto" w:fill="auto"/>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根据投标人提供的实施方案合理性和完备性进行打分：现场提出具体实施方案，按时保质的情况下完工，包括但不限于实施内容、进度要求等。</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（1）方案、流程合理、切实可行的得10分；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（2）方案、流程较合理、较可行的得6分；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（3）方案、流程不够合理、基本可行的得4分；</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方案、流程不合理、</w:t>
            </w:r>
            <w:r>
              <w:rPr>
                <w:rFonts w:hint="eastAsia" w:ascii="宋体" w:hAnsi="宋体" w:eastAsia="宋体" w:cs="宋体"/>
                <w:sz w:val="24"/>
                <w:szCs w:val="24"/>
                <w:highlight w:val="none"/>
                <w:lang w:val="en-US" w:eastAsia="zh-CN"/>
              </w:rPr>
              <w:t xml:space="preserve">可行性低</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未提供方案或方案不满足要求得0分。</w:t>
            </w:r>
            <w:r/>
          </w:p>
          <w:p>
            <w:pPr>
              <w:pStyle w:val="797"/>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rPr>
              <w:t xml:space="preserve">本项最高得10分，最低得0分。</w:t>
            </w:r>
            <w:r/>
          </w:p>
        </w:tc>
      </w:tr>
      <w:tr>
        <w:trPr>
          <w:jc w:val="center"/>
          <w:trHeight w:val="473"/>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126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安装、调试、培训方案</w:t>
            </w:r>
            <w:r/>
          </w:p>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（10分）</w:t>
            </w:r>
            <w:r/>
          </w:p>
        </w:tc>
        <w:tc>
          <w:tcPr>
            <w:shd w:val="clear" w:color="auto" w:fill="auto"/>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1、根据投标人提供的方案合理性和完备性进行打分：项目实施过程中有切实可行的运输、设备进场、吊装就位，及安装等内容。</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（1）方案、流程合理、切实可行的得5分；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（2）方案、流程较合理、较可行的得3分；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（3）方案、流程不够合理、基本可行的得1分；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未提供方案或方案不满足要求得0分。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2、根据投标人提供的培训、调试方案合理性和完备性进行打分：投标人的调试方案、试运行方案、培训方案等方面进行打分。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（1）方案、流程合理、切实可行的得5分；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（2）方案、流程较合理、较可行的得3分；</w:t>
            </w:r>
            <w:r/>
          </w:p>
          <w:p>
            <w:pPr>
              <w:pStyle w:val="797"/>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（3）方案、流程不够合理、基本可行的得1分；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未提供方案或方案不满足要求得0分。</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rPr>
              <w:t xml:space="preserve">本项最高得10分，最低得0分。</w:t>
            </w:r>
            <w:r/>
          </w:p>
        </w:tc>
      </w:tr>
      <w:tr>
        <w:trPr>
          <w:jc w:val="center"/>
          <w:trHeight w:val="473"/>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环保措施</w:t>
            </w:r>
            <w:r/>
          </w:p>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（5分）</w:t>
            </w:r>
            <w:r/>
          </w:p>
        </w:tc>
        <w:tc>
          <w:tcPr>
            <w:shd w:val="clear" w:color="auto" w:fill="auto"/>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根据投标人采用的环保措施方案合理性和完备性进行打分：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投标人应具备的减少环境影响的措施包括并不限于减少排放、减少噪音、减少能耗、减少水耗、减少废物产生等；</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（1）环保措施方案措施合理，切实可行的得5分；；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（2）环保措施方案措施合理、较可行的得3分；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（3）环保措施方案措施合理、基本可行的得1分；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未提供方案或方案不满足要求得0分。</w:t>
            </w:r>
            <w:r/>
          </w:p>
          <w:p>
            <w:pPr>
              <w:pStyle w:val="797"/>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rPr>
              <w:t xml:space="preserve">本项最高得5分，最低得0分。</w:t>
            </w:r>
            <w:r/>
          </w:p>
        </w:tc>
      </w:tr>
      <w:tr>
        <w:trPr>
          <w:jc w:val="center"/>
          <w:trHeight w:val="473"/>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应急预案</w:t>
            </w:r>
            <w:r/>
          </w:p>
          <w:p>
            <w:pPr>
              <w:pStyle w:val="797"/>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w:t>
            </w:r>
            <w:r/>
          </w:p>
        </w:tc>
        <w:tc>
          <w:tcPr>
            <w:tcW w:w="6390"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根据投标人提供的应急预案合理性和完备性进行打分：项目实施过程中有切实可行的应急预案、安全施工预案等。</w:t>
            </w:r>
            <w:r/>
          </w:p>
          <w:p>
            <w:pPr>
              <w:spacing w:line="360" w:lineRule="auto"/>
              <w:rPr>
                <w:rFonts w:ascii="宋体" w:hAnsi="宋体" w:cs="宋体"/>
                <w:sz w:val="24"/>
                <w:highlight w:val="none"/>
              </w:rPr>
            </w:pPr>
            <w:r>
              <w:rPr>
                <w:rFonts w:hint="eastAsia" w:ascii="宋体" w:hAnsi="宋体" w:cs="宋体"/>
                <w:sz w:val="24"/>
                <w:highlight w:val="none"/>
              </w:rPr>
              <w:t xml:space="preserve">（1）预案合理、切实可行的得5分；</w:t>
            </w:r>
            <w:r/>
          </w:p>
          <w:p>
            <w:pPr>
              <w:spacing w:line="360" w:lineRule="auto"/>
              <w:rPr>
                <w:rFonts w:ascii="宋体" w:hAnsi="宋体" w:cs="宋体"/>
                <w:sz w:val="24"/>
                <w:highlight w:val="none"/>
              </w:rPr>
            </w:pPr>
            <w:r>
              <w:rPr>
                <w:rFonts w:hint="eastAsia" w:ascii="宋体" w:hAnsi="宋体" w:cs="宋体"/>
                <w:sz w:val="24"/>
                <w:highlight w:val="none"/>
              </w:rPr>
              <w:t xml:space="preserve">（2）预案较合理、较可行的得3分；</w:t>
            </w:r>
            <w:r/>
          </w:p>
          <w:p>
            <w:pPr>
              <w:spacing w:line="360" w:lineRule="auto"/>
              <w:rPr>
                <w:rFonts w:ascii="宋体" w:hAnsi="宋体" w:cs="宋体"/>
                <w:sz w:val="24"/>
                <w:highlight w:val="none"/>
              </w:rPr>
            </w:pPr>
            <w:r>
              <w:rPr>
                <w:rFonts w:hint="eastAsia" w:ascii="宋体" w:hAnsi="宋体" w:cs="宋体"/>
                <w:sz w:val="24"/>
                <w:highlight w:val="none"/>
              </w:rPr>
              <w:t xml:space="preserve">（3）预案不够合理、基本可行的得1分；</w:t>
            </w:r>
            <w:r/>
          </w:p>
          <w:p>
            <w:pPr>
              <w:spacing w:line="360" w:lineRule="auto"/>
              <w:rPr>
                <w:rFonts w:ascii="宋体" w:hAnsi="宋体" w:cs="宋体"/>
                <w:sz w:val="24"/>
                <w:highlight w:val="none"/>
              </w:rPr>
            </w:pPr>
            <w:r>
              <w:rPr>
                <w:rFonts w:hint="eastAsia" w:ascii="宋体" w:hAnsi="宋体" w:cs="宋体"/>
                <w:sz w:val="24"/>
                <w:highlight w:val="none"/>
              </w:rPr>
              <w:t xml:space="preserve">（4）未提供预案或预案不满足要求得0分。</w:t>
            </w:r>
            <w:r/>
          </w:p>
          <w:p>
            <w:pPr>
              <w:pStyle w:val="797"/>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b/>
                <w:bCs/>
                <w:sz w:val="24"/>
                <w:highlight w:val="none"/>
              </w:rPr>
              <w:t xml:space="preserve">本项最高得5分，最低得0分。</w:t>
            </w:r>
            <w:r/>
          </w:p>
        </w:tc>
      </w:tr>
      <w:tr>
        <w:trPr>
          <w:jc w:val="center"/>
          <w:trHeight w:val="473"/>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合理化建议</w:t>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根据投标人提供有指导性的合理化建议进行评分。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（1）方案、流程合理、切实可行的得5分；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（2）方案、流程较合理、较可行的得3分；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（3）方案、流程不够合理、基本可行的得1分；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未提供方案或方案不满足要求得0分。</w:t>
            </w:r>
            <w:r/>
          </w:p>
          <w:p>
            <w:pPr>
              <w:pStyle w:val="797"/>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本项最高得5分，最低得0分。</w:t>
            </w:r>
            <w:r/>
          </w:p>
        </w:tc>
      </w:tr>
      <w:tr>
        <w:trPr>
          <w:jc w:val="center"/>
          <w:trHeight w:val="473"/>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w:t>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1、根据投标人提供的售后服务方案（内容包括：技术服务、培训、售后服务响应等内容），由评审小组综合评审后打分；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（1）售后服务方案全面详尽、措施切实可行的得</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（2）售后服务方案全面详尽、措施较可行的得4分；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（3）售后服务方案全面详尽、措施可行的得2分；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未提供方案或方案不满足要求得0分。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2、在满足招标文件要求的质保期时间上，每多一年加</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rPr>
              <w:t xml:space="preserve">分，最多得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3、为保证该项目稳定运行，自项目验收合格交付后，投标人承诺提供免费运维服务，每一年加1分，最多得3分。</w:t>
            </w:r>
            <w:r/>
          </w:p>
          <w:p>
            <w:pPr>
              <w:pStyle w:val="797"/>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本项最高得</w:t>
            </w:r>
            <w:r>
              <w:rPr>
                <w:rFonts w:hint="eastAsia" w:ascii="宋体" w:hAnsi="宋体" w:cs="宋体"/>
                <w:b/>
                <w:bCs/>
                <w:sz w:val="24"/>
                <w:szCs w:val="24"/>
                <w:highlight w:val="none"/>
                <w:lang w:val="en-US" w:eastAsia="zh-CN"/>
              </w:rPr>
              <w:t xml:space="preserve">11</w:t>
            </w:r>
            <w:r>
              <w:rPr>
                <w:rFonts w:hint="eastAsia" w:ascii="宋体" w:hAnsi="宋体" w:eastAsia="宋体" w:cs="宋体"/>
                <w:b/>
                <w:bCs/>
                <w:sz w:val="24"/>
                <w:szCs w:val="24"/>
                <w:highlight w:val="none"/>
                <w:lang w:val="en-US" w:eastAsia="zh-CN"/>
              </w:rPr>
              <w:t xml:space="preserve">分，最低得0分。</w:t>
            </w:r>
            <w:r/>
          </w:p>
        </w:tc>
      </w:tr>
    </w:tbl>
    <w:p>
      <w:pPr>
        <w:pStyle w:val="817"/>
        <w:keepLines w:val="0"/>
        <w:keepNext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注：本项目采用综合评分法，评标结果精确到小数点后两位。</w:t>
      </w:r>
      <w:r/>
    </w:p>
    <w:p>
      <w:pPr>
        <w:numPr>
          <w:ilvl w:val="0"/>
          <w:numId w:val="4"/>
        </w:numPr>
        <w:ind w:left="0" w:firstLine="0"/>
        <w:jc w:val="center"/>
        <w:keepLines w:val="0"/>
        <w:keepNext w:val="0"/>
        <w:pageBreakBefore/>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拟签订的合同文本</w:t>
      </w:r>
      <w:r/>
    </w:p>
    <w:p>
      <w:pPr>
        <w:pStyle w:val="797"/>
        <w:numPr>
          <w:ilvl w:val="0"/>
          <w:numId w:val="0"/>
        </w:numPr>
        <w:ind w:right="0"/>
        <w:keepLines w:val="0"/>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spacing w:line="360" w:lineRule="auto"/>
        <w:rPr>
          <w:rFonts w:hint="eastAsia" w:ascii="宋体" w:hAnsi="宋体" w:eastAsia="宋体" w:cs="宋体"/>
          <w:b w:val="0"/>
          <w:bCs w:val="0"/>
          <w:color w:val="auto"/>
          <w:sz w:val="96"/>
          <w:szCs w:val="96"/>
          <w:highlight w:val="none"/>
        </w:rPr>
      </w:pPr>
      <w:r>
        <w:rPr>
          <w:rFonts w:hint="eastAsia" w:ascii="宋体" w:hAnsi="宋体" w:eastAsia="宋体" w:cs="宋体"/>
          <w:b/>
          <w:color w:val="auto"/>
          <w:sz w:val="24"/>
          <w:szCs w:val="24"/>
          <w:highlight w:val="none"/>
        </w:rPr>
        <w:t xml:space="preserve">（以采购人与</w:t>
      </w:r>
      <w:r>
        <w:rPr>
          <w:rFonts w:hint="eastAsia" w:ascii="宋体" w:hAnsi="宋体" w:eastAsia="宋体" w:cs="宋体"/>
          <w:b/>
          <w:color w:val="auto"/>
          <w:sz w:val="24"/>
          <w:szCs w:val="24"/>
          <w:highlight w:val="none"/>
          <w:lang w:val="en-US" w:eastAsia="zh-CN"/>
        </w:rPr>
        <w:t xml:space="preserve">中标人</w:t>
      </w:r>
      <w:r>
        <w:rPr>
          <w:rFonts w:hint="eastAsia" w:ascii="宋体" w:hAnsi="宋体" w:eastAsia="宋体" w:cs="宋体"/>
          <w:b/>
          <w:color w:val="auto"/>
          <w:sz w:val="24"/>
          <w:szCs w:val="24"/>
          <w:highlight w:val="none"/>
        </w:rPr>
        <w:t xml:space="preserve">最终签订版本为准）</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政</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府</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采</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购</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合</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同</w:t>
      </w:r>
      <w:r/>
    </w:p>
    <w:p>
      <w:pPr>
        <w:pStyle w:val="797"/>
        <w:keepLines w:val="0"/>
        <w:rPr>
          <w:rFonts w:hint="eastAsia"/>
          <w:highlight w:val="none"/>
        </w:rPr>
      </w:pPr>
      <w:r>
        <w:rPr>
          <w:rFonts w:hint="eastAsia"/>
          <w:highlight w:val="none"/>
        </w:rPr>
      </w:r>
      <w:r/>
    </w:p>
    <w:p>
      <w:pPr>
        <w:keepLines w:val="0"/>
        <w:keepNext w:val="0"/>
        <w:spacing w:before="210" w:after="12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采购人（甲方）：</w:t>
      </w:r>
      <w:r/>
    </w:p>
    <w:p>
      <w:pPr>
        <w:keepLines w:val="0"/>
        <w:keepNext w:val="0"/>
        <w:spacing w:before="210" w:after="12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中标人（乙方）：</w:t>
      </w:r>
      <w:r/>
    </w:p>
    <w:p>
      <w:pPr>
        <w:keepLines w:val="0"/>
        <w:keepNext w:val="0"/>
        <w:spacing w:before="210" w:after="12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合同签订日期：  年  月  日</w:t>
      </w:r>
      <w:r/>
    </w:p>
    <w:p>
      <w:pPr>
        <w:ind w:firstLine="562"/>
        <w:keepLines w:val="0"/>
        <w:keepNext w:val="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友情提醒：采购人与中标、成交供应商应当在中标、成交通知书发出之日起三十日内，按照采购文件确定的事项签订政府采购合同。</w:t>
      </w:r>
      <w:r/>
    </w:p>
    <w:p>
      <w:pPr>
        <w:ind w:firstLine="562"/>
        <w:keepLines w:val="0"/>
        <w:keepNext w:val="0"/>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17"/>
        <w:ind w:right="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 xml:space="preserve">       </w:t>
      </w:r>
      <w:r/>
    </w:p>
    <w:p>
      <w:pPr>
        <w:ind w:right="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u w:val="none"/>
          <w:lang w:val="en-US" w:eastAsia="zh-CN" w:bidi="ar-SA"/>
        </w:rPr>
        <w:t xml:space="preserve">   </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合同通用条款</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定义</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合同范围</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价格</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支付</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交货</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包装和标记</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技术资料</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安装</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验收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售后服务和技术培训</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索赔</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不可抗力</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  合同的终止</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  争议的解决</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第十五条  适用法律</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第十六条  权利保证</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第十七条  保密</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  合同生效及其他</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合同通用条款</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定义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除本合同上下文中另有规定外，下列各词语定义如下：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1.1“买方”见《合同专用条款》。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1.2“卖方”见《合同专用条款》。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1.3“工作现场”见《合同专用条款》。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1.4“合同标的”见合同附件4。</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1.5“技术资料”是指与合同标的的安装、试运行、验收、操作以及维修有关的技术指标、规格、图纸和文件。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1.6“技术培训”是指在合同标的的安装、试运行、验收、操作、维修以及其他方面卖方给予买方的培训。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1.7“安装”是指有关合同标的、备件和材料的安装工作。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1.8“试运行”是指为验明合同标的的技术性能，在安装完毕后对合同标的进行的测试。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1.10“合同货币”见《合同专用条款》。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1.11“合同价格”见合同附件4。</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1.12“合同生效日”见《合同协议书》（合同附件1）第5 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1.13“日”是指日历天数。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1.14“月”是指日历月数。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1.15“采购需求” 见合同附件6。</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合同范围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2.1买方同意从卖方购买、卖方同意向买方出售和提供的合同标的以及相关售后服务、技术培训和技术资料。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价格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合同总价见《合同专用条款》。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合同总价是固定价格。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支付（采购资金的支付方式、时间、条件）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交货（货物、服务提供的时间、地点、方式）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5.1交货期限、批次和交货条件见《合同专用条款》。</w:t>
      </w:r>
      <w:r/>
    </w:p>
    <w:p>
      <w:pPr>
        <w:ind w:firstLine="480"/>
        <w:keepLines w:val="0"/>
        <w:keepNext w:val="0"/>
        <w:pageBreakBefore w:val="0"/>
        <w:spacing w:line="360"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5.2交货地点见《合同专用条款》。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5.4卖方应按下列规定交付合同标的：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5.4.1卖方负责将合同标的送至《合同专用条款》规定的交货地点。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5.4.2买方出具的收据日期是合同标的的实际交货日期。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5.5如果卖方未能按照合同规定的交货期限交货，卖方应按《合同专用条款》的规定支付违约金或提供其他救济。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包装与标记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6.1除非合同中另有规定，合同标的应保持产品制造企业原包装完好。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6.2在合同标的的每件包装中都应附有下列单据： </w:t>
      </w:r>
      <w:r/>
    </w:p>
    <w:p>
      <w:pPr>
        <w:ind w:firstLine="480"/>
        <w:keepLines w:val="0"/>
        <w:keepNext w:val="0"/>
        <w:pageBreakBefore w:val="0"/>
        <w:spacing w:line="360"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A. 装箱明细单； </w:t>
      </w:r>
      <w:r/>
    </w:p>
    <w:p>
      <w:pPr>
        <w:ind w:firstLine="480"/>
        <w:keepLines w:val="0"/>
        <w:keepNext w:val="0"/>
        <w:pageBreakBefore w:val="0"/>
        <w:spacing w:line="360"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B. 质量合格证； </w:t>
      </w:r>
      <w:r/>
    </w:p>
    <w:p>
      <w:pPr>
        <w:ind w:firstLine="480"/>
        <w:keepLines w:val="0"/>
        <w:keepNext w:val="0"/>
        <w:pageBreakBefore w:val="0"/>
        <w:spacing w:line="360"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C. 技术资料。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技术资料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技术资料交付的期限和方式见《合同专用条款》。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安装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合同标的的安装期限见《合同专用条款》。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项目实施</w:t>
      </w:r>
      <w:r>
        <w:rPr>
          <w:rFonts w:hint="eastAsia" w:ascii="宋体" w:hAnsi="宋体" w:eastAsia="宋体" w:cs="宋体"/>
          <w:color w:val="auto"/>
          <w:sz w:val="24"/>
          <w:szCs w:val="24"/>
          <w:highlight w:val="none"/>
        </w:rPr>
        <w:t xml:space="preserve">方案详见合同附件7。</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9.1合同标的的试运行、验收见《合同专用条款》。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9.2如果合同附件2 所规定的所有技术性能在验收中都已经达到，双方应在验收合格后5日内签署验收书。</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9.3验收标准（验收要求、验收标准和程序）：见合同附件5。</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售后服务和技术培训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10.1售后服务和技术培训见合同附件3。</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索赔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卖方替换不符合合同规定的合同标的。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按质量低劣的程度、买方受损害的程度及损失的数额对合同标的进行降价。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拒收合同标的。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赔偿由卖方违约引起的其他损失。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不可抗力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 合同的终止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卖方在合同规定的交货期限后未能按《合同专用条款》中规定的最终期限交付合同标的和/或技术资料；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合同标的未能达到合同附件2 规定的技术性能；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13.3如果买方认定卖方在投标或执行合同中有腐败或欺诈行为,买方有权在任何时候发出书面通知终止合同。</w:t>
      </w:r>
      <w:r/>
    </w:p>
    <w:p>
      <w:pPr>
        <w:ind w:left="1" w:firstLine="537"/>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在买方全部或部分终止合同的情况下，卖方应按《合同专用条款》的规定对买方给予补偿。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 争议的解决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第十五条 适用法律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本合同的执行和争议的解决适用中华人民共和国的法律并按中华人民共和国的法律进行解释。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第十六条  权利保证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第十七条  保密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17.2上述秘密，卖方只能用于本合同，而且只能由卖方相应的人员使用；没有必要接触的卖方人员，不得接触。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17.3卖方应当采取适当有效的方式保护所获取的上述秘密。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 合同生效及其他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本合同在合同协议书（合同附件1）规定的条件全部满足后生效。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合同双方各自承担与本合同有关的应负税费。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18.5对本合同的任何补充、增添或修改以书面方式进行。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18.6没有另一方的事先书面同意，合同任何一方不得将合同项下的任何权利和义务转让给第三方。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18.8合同条款中的标题和边注仅供参考使用，不应视为合同的一部分，也不影响本文的解释。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r>
      <w:r/>
    </w:p>
    <w:p>
      <w:pPr>
        <w:ind w:firstLine="20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r>
      <w:r/>
    </w:p>
    <w:p>
      <w:pPr>
        <w:ind w:firstLine="20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r>
      <w:r/>
    </w:p>
    <w:p>
      <w:pPr>
        <w:ind w:firstLine="20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r>
      <w:r/>
    </w:p>
    <w:p>
      <w:pPr>
        <w:ind w:firstLine="20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r>
      <w:r/>
    </w:p>
    <w:p>
      <w:pPr>
        <w:ind w:firstLine="20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24"/>
          <w:szCs w:val="24"/>
          <w:highlight w:val="none"/>
          <w:lang w:val="en-US" w:eastAsia="zh-CN" w:bidi="ar-SA"/>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合同专用条款</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定义</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“买方”为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“卖方”为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“工作现场”为</w:t>
      </w:r>
      <w:r>
        <w:rPr>
          <w:rFonts w:hint="eastAsia" w:ascii="宋体" w:hAnsi="宋体" w:eastAsia="宋体" w:cs="宋体"/>
          <w:color w:val="auto"/>
          <w:sz w:val="24"/>
          <w:szCs w:val="24"/>
          <w:highlight w:val="none"/>
          <w:u w:val="single"/>
        </w:rPr>
        <w:t xml:space="preserve">买方指定地点</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“合同货币”即</w:t>
      </w:r>
      <w:r>
        <w:rPr>
          <w:rFonts w:hint="eastAsia" w:ascii="宋体" w:hAnsi="宋体" w:eastAsia="宋体" w:cs="宋体"/>
          <w:color w:val="auto"/>
          <w:sz w:val="24"/>
          <w:szCs w:val="24"/>
          <w:highlight w:val="none"/>
          <w:u w:val="single"/>
        </w:rPr>
        <w:t xml:space="preserve">人民币</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价格</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支付（采购资金的支付方式、时间、条件）</w:t>
      </w:r>
      <w:r/>
    </w:p>
    <w:p>
      <w:pPr>
        <w:ind w:firstLine="54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firstLine="54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（一）付款方式（提交预付款保函的）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（1）合同签订且乙方向甲方出具</w:t>
      </w:r>
      <w:r>
        <w:rPr>
          <w:rFonts w:hint="eastAsia" w:ascii="宋体" w:hAnsi="宋体" w:eastAsia="宋体" w:cs="宋体"/>
          <w:color w:val="auto"/>
          <w:sz w:val="24"/>
          <w:szCs w:val="24"/>
          <w:highlight w:val="none"/>
          <w:lang w:eastAsia="zh-CN"/>
        </w:rPr>
        <w:t xml:space="preserve">等额</w:t>
      </w:r>
      <w:r>
        <w:rPr>
          <w:rFonts w:hint="eastAsia" w:ascii="宋体" w:hAnsi="宋体" w:eastAsia="宋体" w:cs="宋体"/>
          <w:color w:val="auto"/>
          <w:sz w:val="24"/>
          <w:szCs w:val="24"/>
          <w:highlight w:val="none"/>
        </w:rPr>
        <w:t xml:space="preserve">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lang w:eastAsia="zh-CN"/>
        </w:rPr>
        <w:t xml:space="preserve">四十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40</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。将资金支付到合同约定的卖方账户。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卖方需提交的支付文件包括：</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卖方出具的相应金额的正式发票；如卖方未提供发票的，买方有权拒绝付款。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（2）合同标的全部交付并安装完毕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lang w:eastAsia="zh-CN"/>
        </w:rPr>
        <w:t xml:space="preserve">六十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single"/>
          <w:lang w:val="en-US" w:eastAsia="zh-CN"/>
        </w:rPr>
        <w:t xml:space="preserve">60</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。将资金支付到合同约定的卖方账户。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卖方需提交的支付文件包括：</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1、卖方出具的相应金额的正式发票；如卖方未提供发票的，买方有权拒绝付款。</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2、买方出具的验收合格证明。</w:t>
      </w:r>
      <w:r/>
    </w:p>
    <w:p>
      <w:pPr>
        <w:ind w:firstLine="54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（二）付款方式（不提交预付款保函的）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lang w:val="en-US" w:eastAsia="zh-CN"/>
        </w:rPr>
        <w:t xml:space="preserve">三十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。将资金支付到合同约定的卖方账户。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卖方需提交的支付文件包括：</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卖方出具的相应金额的正式发票；如卖方未提供发票的，买方有权拒绝付款。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（2）合同标的全部交付并安装完毕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lang w:val="en-US" w:eastAsia="zh-CN"/>
        </w:rPr>
        <w:t xml:space="preserve">七十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70</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。将资金支付到合同约定的卖方账户。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卖方需提交的支付文件包括：</w:t>
      </w:r>
      <w:r/>
    </w:p>
    <w:p>
      <w:pPr>
        <w:ind w:lef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1、卖方出具的相应金额的正式发票；如卖方未提供发票的，买方有权拒绝付款。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2、买方出具的验收合格证明。</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合同约定的卖方账户：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w:t>
      </w:r>
      <w:r>
        <w:rPr>
          <w:rFonts w:hint="eastAsia" w:ascii="宋体" w:hAnsi="宋体" w:eastAsia="宋体" w:cs="宋体"/>
          <w:color w:val="auto"/>
          <w:sz w:val="24"/>
          <w:szCs w:val="24"/>
          <w:highlight w:val="none"/>
          <w:lang w:eastAsia="zh-CN"/>
        </w:rPr>
        <w:t xml:space="preserve">账</w:t>
      </w:r>
      <w:r>
        <w:rPr>
          <w:rFonts w:hint="eastAsia" w:ascii="宋体" w:hAnsi="宋体" w:eastAsia="宋体" w:cs="宋体"/>
          <w:color w:val="auto"/>
          <w:sz w:val="24"/>
          <w:szCs w:val="24"/>
          <w:highlight w:val="none"/>
        </w:rPr>
        <w:t xml:space="preserve">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收</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款</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交货（货物、服务提供的时间、地点、方式）</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5.1卖方应于合同生效日后，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日内将合同标的全部交付并安装完毕。</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交货地点为</w:t>
      </w:r>
      <w:r>
        <w:rPr>
          <w:rFonts w:hint="eastAsia" w:ascii="宋体" w:hAnsi="宋体" w:eastAsia="宋体" w:cs="宋体"/>
          <w:color w:val="auto"/>
          <w:sz w:val="24"/>
          <w:szCs w:val="24"/>
          <w:highlight w:val="none"/>
          <w:u w:val="single"/>
        </w:rPr>
        <w:t xml:space="preserve">买方指定地点</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5.3卖方应在不迟于每批合同标的备妥待运前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日通知买方。</w:t>
      </w:r>
      <w:r/>
    </w:p>
    <w:p>
      <w:pPr>
        <w:ind w:firstLine="54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5.5如果卖方未能按照合同规定的交货期限交货，卖方应按每天迟交合同标的金额的百分之</w:t>
      </w:r>
      <w:r>
        <w:rPr>
          <w:rFonts w:hint="eastAsia" w:ascii="宋体" w:hAnsi="宋体" w:eastAsia="宋体" w:cs="宋体"/>
          <w:color w:val="auto"/>
          <w:sz w:val="24"/>
          <w:szCs w:val="24"/>
          <w:highlight w:val="none"/>
          <w:u w:val="single"/>
        </w:rPr>
        <w:t xml:space="preserve">一</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%)的比率支付违约金。违约金的支付不能免除卖方继续交付相关合同标的的义务。</w:t>
      </w:r>
      <w:r>
        <w:rPr>
          <w:rFonts w:hint="eastAsia" w:ascii="宋体" w:hAnsi="宋体" w:cs="宋体"/>
          <w:color w:val="auto"/>
          <w:sz w:val="24"/>
          <w:szCs w:val="24"/>
          <w:highlight w:val="none"/>
          <w:lang w:val="en-US" w:eastAsia="zh-CN"/>
        </w:rPr>
        <w:t xml:space="preserve">逾期超过  日的，买方有权解除合同追究卖方违约责任，卖方应退还已收取的全部费用。卖方造成买方损失的，还应全额赔偿。</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如果卖方在合同规定的交货期限后</w:t>
      </w:r>
      <w:r>
        <w:rPr>
          <w:rFonts w:hint="eastAsia" w:ascii="宋体" w:hAnsi="宋体" w:eastAsia="宋体" w:cs="宋体"/>
          <w:color w:val="auto"/>
          <w:sz w:val="24"/>
          <w:szCs w:val="24"/>
          <w:highlight w:val="none"/>
          <w:u w:val="single"/>
        </w:rPr>
        <w:t xml:space="preserve">十</w:t>
      </w:r>
      <w:r>
        <w:rPr>
          <w:rFonts w:hint="eastAsia" w:ascii="宋体" w:hAnsi="宋体" w:eastAsia="宋体" w:cs="宋体"/>
          <w:color w:val="auto"/>
          <w:sz w:val="24"/>
          <w:szCs w:val="24"/>
          <w:highlight w:val="none"/>
        </w:rPr>
        <w:t xml:space="preserve">日内仍未能交付全部或部分标的，在不妨碍买方采取其他救济手段的情况下，买方可以向卖方发出书面违约通知从而全部或部分地终止合同。</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技术资料</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技术资料随合同标的同时交付给买方。</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安装</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8.1卖方应于合同生效日后，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日内将合同标的全部交付并安装完毕。</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项目实施</w:t>
      </w:r>
      <w:r>
        <w:rPr>
          <w:rFonts w:hint="eastAsia" w:ascii="宋体" w:hAnsi="宋体" w:eastAsia="宋体" w:cs="宋体"/>
          <w:color w:val="auto"/>
          <w:sz w:val="24"/>
          <w:szCs w:val="24"/>
          <w:highlight w:val="none"/>
        </w:rPr>
        <w:t xml:space="preserve">方案详见合同附件7。</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验收</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日进行试运行、验收。如果试运行和/或验收因卖方原因发生迟延和/ 或在其它情况下发生额外费用，买方有权就因迟延发生的损害和损失和/或任何额外费用请求赔偿。</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索赔</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11.1买方有权选择本条款规定的任意或全部救济方式。</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不可抗力</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如果不可抗力事件的影响持续超过20日，合同任何一方均有权发出书面通知终止合同。</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 合同的终止</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13.1如果卖方有下述违约行为，买方可以全部或部分地终止合同：</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卖方在合同规定的交货期限后</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日内仍未能交付合同标的和/或技术资料；或者卖方未能履行合同项下任何其它义务，并且在收到买方违约通知后</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日内仍未能对其违约行为作出补救。</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 争议的解决</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14.1如果不能协商一致，合同任何一方有权向买方所在地人民法院提起诉讼。</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 合同生效及其他</w:t>
      </w:r>
      <w:r/>
    </w:p>
    <w:p>
      <w:pPr>
        <w:ind w:firstLine="54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部分涉及商业秘密，该涉及商业秘密部分不公告。</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18.11 合同双方的通讯地址：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合同附件</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合同附件1：合同协议书</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合同附件2：技术规格和技术</w:t>
      </w:r>
      <w:r>
        <w:rPr>
          <w:rFonts w:hint="eastAsia" w:ascii="宋体" w:hAnsi="宋体" w:eastAsia="宋体" w:cs="宋体"/>
          <w:color w:val="auto"/>
          <w:sz w:val="24"/>
          <w:szCs w:val="24"/>
          <w:highlight w:val="none"/>
          <w:lang w:eastAsia="zh-CN"/>
        </w:rPr>
        <w:t xml:space="preserve">性能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(要求见招标文件第六章《采购需求》；合同见卖方投标文件中《所投产品的技术规格</w:t>
      </w:r>
      <w:r>
        <w:rPr>
          <w:rFonts w:hint="eastAsia" w:ascii="宋体" w:hAnsi="宋体" w:eastAsia="宋体" w:cs="宋体"/>
          <w:color w:val="auto"/>
          <w:sz w:val="24"/>
          <w:szCs w:val="24"/>
          <w:highlight w:val="none"/>
          <w:lang w:eastAsia="zh-CN"/>
        </w:rPr>
        <w:t xml:space="preserve">和技术参数</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合同附件3：售后服务</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(要求见招标文件第六章《采购需求》；合同见卖方投标文件中《售后服务方案》。)</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合同附件4：供货范围和价格清单</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(要求见招标文件第七章《投标文件相关格式》中《开标一览表》和《分项价格表》；合同见卖方投标文件中《开标一览表》和《分项价格表》。)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合同附件5：验收标准（验收要求、验收标准和程序）</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(要求见招标文件第六章《采购需求》。</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合同附件6：采购需求</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(见招标文件第六章《采购需求》。)</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合同附件7：项目实施</w:t>
      </w:r>
      <w:r>
        <w:rPr>
          <w:rFonts w:hint="eastAsia" w:ascii="宋体" w:hAnsi="宋体" w:eastAsia="宋体" w:cs="宋体"/>
          <w:color w:val="auto"/>
          <w:sz w:val="24"/>
          <w:szCs w:val="24"/>
          <w:highlight w:val="none"/>
          <w:lang w:eastAsia="zh-CN"/>
        </w:rPr>
        <w:t xml:space="preserve">方案</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(要求见招标文件第六章《采购需求》；合同见卖方投标文件中《项目实施方案》。)</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7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7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7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27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7"/>
        <w:rPr>
          <w:rFonts w:hint="eastAsia"/>
          <w:highlight w:val="none"/>
        </w:rPr>
      </w:pPr>
      <w:r>
        <w:rPr>
          <w:rFonts w:hint="eastAsia"/>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合同协议书</w:t>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合同编号:____________ </w:t>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签字日期:____________ </w:t>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签字地点:____________ </w:t>
      </w:r>
      <w:r/>
    </w:p>
    <w:p>
      <w:pPr>
        <w:ind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徐州市云龙区城市管理局 </w:t>
      </w:r>
      <w:r>
        <w:rPr>
          <w:rFonts w:hint="eastAsia" w:ascii="宋体" w:hAnsi="宋体" w:eastAsia="宋体" w:cs="宋体"/>
          <w:color w:val="auto"/>
          <w:sz w:val="24"/>
          <w:szCs w:val="24"/>
          <w:highlight w:val="none"/>
        </w:rPr>
        <w:t xml:space="preserve">（买方名称）（以下简称“买方”）已接受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（卖方名称）（以下简称“卖方”）对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）的投标。买方和卖方共同达成如下协议。</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本合同协议书中的词语和术语的含义与合同条款中定义的相同。</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以下文件应构成买方和卖方之间达成的合同，若各文件之间存在含糊不清或互相冲突之处，优先顺序应按下列文件顺序解释。</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合同协议书</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中标通知书</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合同专用条款</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合同通用条款</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除合同附件1外的合同附件</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其他文件</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3.考虑到买方将按照本合同向卖方支付合同价款，卖方在此保证全部按照合同的规定向买方提供合同标的、技术资料、售后服务及技术培训。</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4.考虑到卖方将按合同规定提供合同标的、技术资料、售后服务及技术培训，买方在此保证按照合同规定的时间和方式向卖方支付合同价款。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5.本合同在下列条件全部满足后生效，生效日期以下列条件全部满足的最晚日期为准： </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双方加盖公章或合同专用章；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买方收到卖方按政府采购合同金额（合同总价）的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%提交的履约保证金（不得超过政府采购合同金额的10%）。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份，具有同等法律效力，买方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份，卖方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江苏沛源工程项目管理有限公司</w:t>
      </w:r>
      <w:r>
        <w:rPr>
          <w:rFonts w:hint="eastAsia" w:ascii="宋体" w:hAnsi="宋体" w:eastAsia="宋体" w:cs="宋体"/>
          <w:color w:val="auto"/>
          <w:sz w:val="24"/>
          <w:szCs w:val="24"/>
          <w:highlight w:val="none"/>
        </w:rPr>
        <w:t xml:space="preserve">一份存档。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7.本合同其他未尽事宜及与采购文件有矛盾之处，以采购文件[项目编号：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为准。</w:t>
      </w:r>
      <w:r/>
    </w:p>
    <w:p>
      <w:pPr>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买方和卖方由其正式授权代表于上述所写日期和地点签订本合同。</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买方（签章）：_________________________________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__________________ </w:t>
      </w:r>
      <w:r/>
    </w:p>
    <w:p>
      <w:pPr>
        <w:ind w:firstLine="3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卖方（签章）： ________________________________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法定代表人：___________________ </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rPr>
          <w:rFonts w:hint="eastAsia" w:ascii="宋体" w:hAnsi="宋体" w:eastAsia="宋体" w:cs="宋体"/>
          <w:color w:val="auto"/>
          <w:sz w:val="24"/>
          <w:szCs w:val="24"/>
          <w:highlight w:val="none"/>
        </w:rPr>
        <w:t xml:space="preserve">___________________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开户银行：_____________________________________ </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银行帐号：_____________________________________</w:t>
      </w:r>
      <w:r>
        <w:rPr>
          <w:rFonts w:hint="eastAsia" w:ascii="宋体" w:hAnsi="宋体" w:eastAsia="宋体" w:cs="宋体"/>
          <w:color w:val="auto"/>
          <w:sz w:val="24"/>
          <w:szCs w:val="24"/>
          <w:highlight w:val="none"/>
          <w:lang w:val="en-US" w:eastAsia="zh-CN"/>
        </w:rPr>
        <w:t xml:space="preserve"> </w:t>
      </w:r>
      <w:r/>
    </w:p>
    <w:p>
      <w:pPr>
        <w:ind w:left="420" w:right="3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highlight w:val="none"/>
        </w:rPr>
      </w:pPr>
      <w:r>
        <w:rPr>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78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83"/>
        <w:jc w:val="center"/>
        <w:keepLines w:val="0"/>
        <w:keepNext w:val="0"/>
        <w:pageBreakBefore/>
        <w:spacing w:line="360" w:lineRule="auto"/>
        <w:rPr>
          <w:rFonts w:hint="eastAsia" w:ascii="宋体" w:hAnsi="宋体" w:eastAsia="宋体" w:cs="宋体"/>
          <w:sz w:val="22"/>
          <w:szCs w:val="22"/>
          <w:highlight w:val="none"/>
          <w:lang w:val="en-US" w:eastAsia="zh-CN" w:bidi="ar-SA"/>
        </w:rPr>
      </w:pPr>
      <w:r>
        <w:rPr>
          <w:rFonts w:hint="eastAsia" w:ascii="宋体" w:hAnsi="宋体" w:eastAsia="宋体" w:cs="宋体"/>
          <w:b/>
          <w:color w:val="auto"/>
          <w:sz w:val="28"/>
          <w:szCs w:val="28"/>
          <w:highlight w:val="none"/>
        </w:rPr>
        <w:t xml:space="preserve">第六章</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采购需求</w:t>
      </w:r>
      <w:r/>
    </w:p>
    <w:p>
      <w:pPr>
        <w:keepLines w:val="0"/>
        <w:keepNext w:val="0"/>
        <w:pageBreakBefore w:val="0"/>
        <w:spacing w:line="440" w:lineRule="exact"/>
        <w:widowControl w:val="off"/>
        <w:rPr>
          <w:rFonts w:ascii="宋体" w:hAnsi="宋体" w:cs="宋体"/>
          <w:b/>
          <w:color w:val="auto"/>
          <w:sz w:val="24"/>
          <w:highlight w:val="none"/>
        </w:rPr>
      </w:pPr>
      <w:r>
        <w:rPr>
          <w:rFonts w:ascii="宋体" w:hAnsi="宋体" w:cs="宋体"/>
          <w:b/>
          <w:bCs/>
          <w:color w:val="auto"/>
          <w:sz w:val="24"/>
          <w:highlight w:val="none"/>
        </w:rPr>
        <w:t xml:space="preserve">一、</w:t>
      </w:r>
      <w:r>
        <w:rPr>
          <w:rFonts w:ascii="宋体" w:hAnsi="宋体" w:cs="宋体"/>
          <w:b/>
          <w:color w:val="auto"/>
          <w:sz w:val="24"/>
          <w:highlight w:val="none"/>
        </w:rPr>
        <w:t xml:space="preserve">本项目采购的是非进口产品。</w:t>
      </w:r>
      <w:r/>
    </w:p>
    <w:p>
      <w:pPr>
        <w:keepLines w:val="0"/>
        <w:keepNext w:val="0"/>
        <w:pageBreakBefore w:val="0"/>
        <w:spacing w:line="440" w:lineRule="exact"/>
        <w:widowControl w:val="off"/>
        <w:rPr>
          <w:rFonts w:ascii="宋体" w:hAnsi="宋体" w:cs="宋体"/>
          <w:b/>
          <w:bCs/>
          <w:color w:val="auto"/>
          <w:sz w:val="24"/>
          <w:highlight w:val="none"/>
        </w:rPr>
      </w:pPr>
      <w:r>
        <w:rPr>
          <w:rFonts w:ascii="宋体" w:hAnsi="宋体" w:cs="宋体"/>
          <w:b/>
          <w:color w:val="auto"/>
          <w:sz w:val="24"/>
          <w:highlight w:val="none"/>
        </w:rPr>
        <w:t xml:space="preserve">二、本项目不接受超过</w:t>
      </w:r>
      <w:r>
        <w:rPr>
          <w:rFonts w:hint="eastAsia" w:ascii="宋体" w:hAnsi="宋体" w:cs="宋体"/>
          <w:b/>
          <w:color w:val="auto"/>
          <w:sz w:val="24"/>
          <w:highlight w:val="none"/>
          <w:lang w:val="en-US" w:eastAsia="zh-CN"/>
        </w:rPr>
        <w:t xml:space="preserve">1500</w:t>
      </w:r>
      <w:r>
        <w:rPr>
          <w:rFonts w:ascii="宋体" w:hAnsi="宋体" w:cs="宋体"/>
          <w:b/>
          <w:color w:val="auto"/>
          <w:sz w:val="24"/>
          <w:highlight w:val="none"/>
        </w:rPr>
        <w:t xml:space="preserve">万元（采购项目预算金额）</w:t>
      </w:r>
      <w:r>
        <w:rPr>
          <w:rFonts w:hint="eastAsia" w:ascii="宋体" w:hAnsi="宋体" w:cs="宋体"/>
          <w:b/>
          <w:color w:val="auto"/>
          <w:sz w:val="24"/>
          <w:highlight w:val="none"/>
          <w:lang w:val="en-US" w:eastAsia="zh-CN"/>
        </w:rPr>
        <w:t xml:space="preserve">的投标报价</w:t>
      </w:r>
      <w:r>
        <w:rPr>
          <w:rFonts w:ascii="宋体" w:hAnsi="宋体" w:cs="宋体"/>
          <w:b/>
          <w:color w:val="auto"/>
          <w:sz w:val="24"/>
          <w:highlight w:val="none"/>
        </w:rPr>
        <w:t xml:space="preserve">，</w:t>
      </w:r>
      <w:r>
        <w:rPr>
          <w:rFonts w:ascii="宋体" w:hAnsi="宋体" w:cs="宋体"/>
          <w:b/>
          <w:bCs/>
          <w:color w:val="auto"/>
          <w:sz w:val="24"/>
          <w:highlight w:val="none"/>
        </w:rPr>
        <w:t xml:space="preserve">报价包括但不限于产品价、税金、运费、安装、</w:t>
      </w:r>
      <w:r>
        <w:rPr>
          <w:rFonts w:hint="eastAsia" w:ascii="宋体" w:hAnsi="宋体" w:cs="宋体"/>
          <w:b/>
          <w:bCs/>
          <w:color w:val="auto"/>
          <w:sz w:val="24"/>
          <w:highlight w:val="none"/>
          <w:lang w:val="en-US" w:eastAsia="zh-CN"/>
        </w:rPr>
        <w:t xml:space="preserve">调试</w:t>
      </w:r>
      <w:r>
        <w:rPr>
          <w:rFonts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运行维护、</w:t>
      </w:r>
      <w:r>
        <w:rPr>
          <w:rFonts w:ascii="宋体" w:hAnsi="宋体" w:cs="宋体"/>
          <w:b/>
          <w:bCs/>
          <w:color w:val="auto"/>
          <w:sz w:val="24"/>
          <w:highlight w:val="none"/>
        </w:rPr>
        <w:t xml:space="preserve">保险、培训、售后服务、投标人的利润等全部费用。采购人不再支付报价以外的任何费用。</w:t>
      </w:r>
      <w:r/>
    </w:p>
    <w:p>
      <w:pPr>
        <w:pStyle w:val="783"/>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项目说明</w:t>
      </w:r>
      <w:r/>
    </w:p>
    <w:p>
      <w:pPr>
        <w:pStyle w:val="783"/>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采购人：</w:t>
      </w:r>
      <w:r>
        <w:rPr>
          <w:rFonts w:hint="eastAsia" w:ascii="宋体" w:hAnsi="宋体" w:eastAsia="宋体" w:cs="宋体"/>
          <w:b w:val="0"/>
          <w:bCs w:val="0"/>
          <w:color w:val="000000"/>
          <w:sz w:val="24"/>
          <w:szCs w:val="24"/>
          <w:highlight w:val="none"/>
          <w:lang w:eastAsia="zh-CN"/>
        </w:rPr>
        <w:t xml:space="preserve">徐州市云龙区城市管理局</w:t>
      </w:r>
      <w:r>
        <w:rPr>
          <w:rFonts w:hint="eastAsia" w:ascii="宋体" w:hAnsi="宋体" w:eastAsia="宋体" w:cs="宋体"/>
          <w:b w:val="0"/>
          <w:bCs w:val="0"/>
          <w:color w:val="000000"/>
          <w:sz w:val="24"/>
          <w:szCs w:val="24"/>
          <w:highlight w:val="none"/>
        </w:rPr>
        <w:t xml:space="preserve">。</w:t>
      </w:r>
      <w:r/>
    </w:p>
    <w:p>
      <w:pPr>
        <w:pStyle w:val="783"/>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项目名称</w:t>
      </w: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eastAsia="zh-CN"/>
        </w:rPr>
        <w:t xml:space="preserve">徐州市云龙区垃圾资源转运及处理建设项目-渗滤液处理设备采购</w:t>
      </w:r>
      <w:r>
        <w:rPr>
          <w:rFonts w:hint="eastAsia" w:ascii="宋体" w:hAnsi="宋体" w:eastAsia="宋体" w:cs="宋体"/>
          <w:b w:val="0"/>
          <w:bCs w:val="0"/>
          <w:color w:val="000000"/>
          <w:sz w:val="24"/>
          <w:szCs w:val="24"/>
          <w:highlight w:val="none"/>
          <w:lang w:eastAsia="zh-CN"/>
        </w:rPr>
        <w:t xml:space="preserve">。</w:t>
      </w:r>
      <w:r/>
    </w:p>
    <w:p>
      <w:pPr>
        <w:pStyle w:val="783"/>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3、采购包划分：本项目共分为1个采购包。</w:t>
      </w:r>
      <w:r/>
    </w:p>
    <w:p>
      <w:pPr>
        <w:pStyle w:val="783"/>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4、项目概况：</w:t>
      </w:r>
      <w:r>
        <w:rPr>
          <w:rFonts w:hint="eastAsia" w:ascii="宋体" w:hAnsi="宋体" w:cs="宋体"/>
          <w:b w:val="0"/>
          <w:bCs w:val="0"/>
          <w:color w:val="000000"/>
          <w:sz w:val="24"/>
          <w:szCs w:val="24"/>
          <w:highlight w:val="none"/>
          <w:lang w:val="en-US" w:eastAsia="zh-CN"/>
        </w:rPr>
        <w:t xml:space="preserve">徐州市云龙区垃圾资源转运及处理建设项目-渗滤液处理设备采购</w:t>
      </w:r>
      <w:r>
        <w:rPr>
          <w:rFonts w:hint="eastAsia" w:ascii="宋体" w:hAnsi="宋体" w:eastAsia="宋体" w:cs="宋体"/>
          <w:b w:val="0"/>
          <w:bCs w:val="0"/>
          <w:color w:val="000000"/>
          <w:sz w:val="24"/>
          <w:szCs w:val="24"/>
          <w:highlight w:val="none"/>
          <w:lang w:val="en-US" w:eastAsia="zh-CN"/>
        </w:rPr>
        <w:t xml:space="preserve">；包含但不限于采购、安装、调试一体化。</w:t>
      </w:r>
      <w:r/>
    </w:p>
    <w:p>
      <w:pPr>
        <w:pStyle w:val="783"/>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供货期（含安装调试工期）：</w:t>
      </w:r>
      <w:r>
        <w:rPr>
          <w:rFonts w:hint="eastAsia" w:ascii="宋体" w:hAnsi="宋体" w:eastAsia="宋体" w:cs="宋体"/>
          <w:b w:val="0"/>
          <w:bCs w:val="0"/>
          <w:color w:val="000000"/>
          <w:sz w:val="24"/>
          <w:szCs w:val="24"/>
          <w:highlight w:val="none"/>
          <w:lang w:val="en-US" w:eastAsia="zh-CN" w:bidi="ar-SA"/>
        </w:rPr>
        <w:t xml:space="preserve">120日历天，签订合同且接到采购人通知后 120 日历天内完成所有设备供货、安装、调试。</w:t>
      </w:r>
      <w:r/>
    </w:p>
    <w:p>
      <w:pPr>
        <w:keepLines w:val="0"/>
        <w:keepNext w:val="0"/>
        <w:pageBreakBefore w:val="0"/>
        <w:spacing w:line="440" w:lineRule="exact"/>
        <w:widowControl w:val="off"/>
        <w:rPr>
          <w:rFonts w:hint="eastAsia" w:ascii="宋体" w:hAnsi="宋体" w:cs="宋体"/>
          <w:b/>
          <w:bCs/>
          <w:color w:val="auto"/>
          <w:sz w:val="24"/>
          <w:highlight w:val="none"/>
        </w:rPr>
      </w:pPr>
      <w:r>
        <w:rPr>
          <w:rFonts w:hint="eastAsia" w:ascii="宋体" w:hAnsi="宋体" w:cs="宋体"/>
          <w:b/>
          <w:color w:val="auto"/>
          <w:sz w:val="24"/>
          <w:highlight w:val="none"/>
          <w:lang w:val="en-US" w:eastAsia="zh-CN"/>
        </w:rPr>
        <w:t xml:space="preserve">四</w:t>
      </w:r>
      <w:r>
        <w:rPr>
          <w:rFonts w:ascii="宋体" w:hAnsi="宋体" w:cs="宋体"/>
          <w:b/>
          <w:color w:val="auto"/>
          <w:sz w:val="24"/>
          <w:highlight w:val="none"/>
        </w:rPr>
        <w:t xml:space="preserve">、项目内容</w:t>
      </w:r>
      <w:r>
        <w:rPr>
          <w:rFonts w:hint="eastAsia" w:ascii="宋体" w:hAnsi="宋体" w:cs="宋体"/>
          <w:b/>
          <w:color w:val="auto"/>
          <w:sz w:val="24"/>
          <w:highlight w:val="none"/>
          <w:lang w:val="en-US" w:eastAsia="zh-CN"/>
        </w:rPr>
        <w:t xml:space="preserve">及技术参数要求</w:t>
      </w:r>
      <w:r/>
    </w:p>
    <w:p>
      <w:pPr>
        <w:pStyle w:val="783"/>
        <w:jc w:val="left"/>
        <w:keepLines w:val="0"/>
        <w:keepNext w:val="0"/>
        <w:pageBreakBefore w:val="0"/>
        <w:spacing w:line="360" w:lineRule="auto"/>
        <w:rPr>
          <w:rFonts w:hint="eastAsia" w:ascii="宋体" w:hAnsi="宋体" w:eastAsia="宋体" w:cs="宋体"/>
          <w:b w:val="0"/>
          <w:bCs w:val="0"/>
          <w:color w:val="000000"/>
          <w:sz w:val="24"/>
          <w:szCs w:val="24"/>
          <w:highlight w:val="none"/>
        </w:rPr>
      </w:pPr>
      <w:r/>
      <w:bookmarkStart w:id="3" w:name="_Toc497019427"/>
      <w:r/>
      <w:bookmarkEnd w:id="3"/>
      <w:r/>
      <w:bookmarkStart w:id="4" w:name="_Toc255822704"/>
      <w:r/>
      <w:bookmarkEnd w:id="4"/>
      <w:r/>
      <w:bookmarkStart w:id="5" w:name="_Toc493005306"/>
      <w:r/>
      <w:bookmarkEnd w:id="5"/>
      <w:r/>
      <w:bookmarkStart w:id="6" w:name="_Toc152043787"/>
      <w:r/>
      <w:bookmarkEnd w:id="6"/>
      <w:r/>
      <w:bookmarkStart w:id="7" w:name="_Toc484743320"/>
      <w:r/>
      <w:bookmarkEnd w:id="7"/>
      <w:r/>
      <w:bookmarkStart w:id="8" w:name="_Toc255822703"/>
      <w:r/>
      <w:bookmarkEnd w:id="8"/>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项目背景</w:t>
      </w:r>
      <w:r/>
    </w:p>
    <w:p>
      <w:pPr>
        <w:pStyle w:val="783"/>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本项目渗滤液处理系统处理对象为新鲜渗滤液、设备冲洗水、场地冲洗水、除臭废水的混合污水，处理规模为150 t/d，采用“预处理+两级AO+外置式膜生物反应器UF+高级氧化/NF（保障）”工艺，排水执行污水排入城镇下水道要求。</w:t>
      </w:r>
      <w:r/>
    </w:p>
    <w:p>
      <w:pPr>
        <w:pStyle w:val="783"/>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（二）主要内容及要求</w:t>
      </w:r>
      <w:r/>
    </w:p>
    <w:p>
      <w:pPr>
        <w:pageBreakBefore w:val="0"/>
        <w:spacing w:after="0" w:line="360" w:lineRule="auto"/>
        <w:rPr>
          <w:rFonts w:hint="eastAsia" w:ascii="宋体" w:hAnsi="宋体" w:eastAsia="宋体" w:cs="宋体"/>
          <w:b/>
          <w:sz w:val="24"/>
          <w:szCs w:val="24"/>
          <w:highlight w:val="none"/>
        </w:rPr>
        <w:outlineLvl w:val="0"/>
      </w:pPr>
      <w:r/>
      <w:bookmarkStart w:id="9" w:name="_Toc229738162"/>
      <w:r>
        <w:rPr>
          <w:rFonts w:hint="eastAsia" w:ascii="宋体" w:hAnsi="宋体" w:eastAsia="宋体" w:cs="宋体"/>
          <w:b/>
          <w:sz w:val="24"/>
          <w:szCs w:val="24"/>
          <w:highlight w:val="none"/>
        </w:rPr>
        <w:t xml:space="preserve">1．总体要求</w:t>
      </w:r>
      <w:bookmarkEnd w:id="9"/>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本项目为</w:t>
      </w:r>
      <w:r>
        <w:rPr>
          <w:rFonts w:hint="eastAsia" w:ascii="宋体" w:hAnsi="宋体" w:eastAsia="宋体" w:cs="宋体"/>
          <w:sz w:val="24"/>
          <w:szCs w:val="24"/>
          <w:highlight w:val="none"/>
        </w:rPr>
        <w:t xml:space="preserve">徐州市云龙区垃圾资源化转运及处理建设项目污水处理系统，对项目污水处理系统的功能设计、设备构成、供货、结构、性能、安装和调试试验、培训等方面提出了具体技术要求。投标人应提供满足本技术规格书要求所必需的全套设备及各项服务，包括：水泵、电机、轴承等所有附件及随机备品配件等，并对系统完整性、成熟性及先进性负责。如有遗漏投标人应予以免费提供补充。</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招标人使用要求，保证能通过招标人的质量验收、竣工验收等各类验收。</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保证招标人在使用其所供货物时不受第三方提出侵犯其专利权、著作权和工业产权等知识产权的起诉。一旦出现侵权，一律由投标人承担全部责任。同时，供应商对招标人采购的货物所涉及的技术、产能等信息负有保密义务。</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投标人中标后须与招标人在投标产品的“功能配置、技术要求等”方面及时交底沟通；中标人开始制造产品之前，招标人有权要求中标人对产品进行微调，最终的产品须经招标人确认同意。</w:t>
      </w:r>
      <w:r/>
    </w:p>
    <w:p>
      <w:pPr>
        <w:pageBreakBefore w:val="0"/>
        <w:spacing w:after="0" w:line="360" w:lineRule="auto"/>
        <w:rPr>
          <w:rFonts w:hint="eastAsia" w:ascii="宋体" w:hAnsi="宋体" w:eastAsia="宋体" w:cs="宋体"/>
          <w:b/>
          <w:sz w:val="24"/>
          <w:szCs w:val="24"/>
          <w:highlight w:val="none"/>
        </w:rPr>
        <w:outlineLvl w:val="0"/>
      </w:pPr>
      <w:r/>
      <w:bookmarkStart w:id="10" w:name="_Toc14586"/>
      <w:r/>
      <w:bookmarkStart w:id="11" w:name="_Toc229738163"/>
      <w:r>
        <w:rPr>
          <w:rFonts w:hint="eastAsia" w:ascii="宋体" w:hAnsi="宋体" w:eastAsia="宋体" w:cs="宋体"/>
          <w:b/>
          <w:sz w:val="24"/>
          <w:szCs w:val="24"/>
          <w:highlight w:val="none"/>
        </w:rPr>
        <w:t xml:space="preserve">2．项目分界面</w:t>
      </w:r>
      <w:bookmarkEnd w:id="10"/>
      <w:r/>
      <w:bookmarkEnd w:id="11"/>
      <w:r/>
      <w:r/>
    </w:p>
    <w:p>
      <w:pPr>
        <w:pageBreakBefore w:val="0"/>
        <w:spacing w:after="0" w:line="360" w:lineRule="auto"/>
        <w:rPr>
          <w:rFonts w:hint="eastAsia" w:ascii="宋体" w:hAnsi="宋体" w:eastAsia="宋体" w:cs="宋体"/>
          <w:b/>
          <w:sz w:val="24"/>
          <w:szCs w:val="24"/>
          <w:highlight w:val="none"/>
        </w:rPr>
        <w:outlineLvl w:val="0"/>
      </w:pPr>
      <w:r/>
      <w:bookmarkStart w:id="12" w:name="_Toc22328"/>
      <w:r/>
      <w:bookmarkStart w:id="13" w:name="_Toc229738164"/>
      <w:r>
        <w:rPr>
          <w:rFonts w:hint="eastAsia" w:ascii="宋体" w:hAnsi="宋体" w:eastAsia="宋体" w:cs="宋体"/>
          <w:b/>
          <w:sz w:val="24"/>
          <w:szCs w:val="24"/>
          <w:highlight w:val="none"/>
        </w:rPr>
        <w:t xml:space="preserve">2.1 与各工艺设备</w:t>
      </w:r>
      <w:r>
        <w:rPr>
          <w:rFonts w:hint="eastAsia" w:ascii="宋体" w:hAnsi="宋体" w:eastAsia="宋体" w:cs="宋体"/>
          <w:b/>
          <w:sz w:val="24"/>
          <w:szCs w:val="24"/>
          <w:highlight w:val="none"/>
          <w:lang w:eastAsia="zh-CN"/>
        </w:rPr>
        <w:t xml:space="preserve">项目</w:t>
      </w:r>
      <w:r>
        <w:rPr>
          <w:rFonts w:hint="eastAsia" w:ascii="宋体" w:hAnsi="宋体" w:eastAsia="宋体" w:cs="宋体"/>
          <w:b/>
          <w:sz w:val="24"/>
          <w:szCs w:val="24"/>
          <w:highlight w:val="none"/>
        </w:rPr>
        <w:t xml:space="preserve">界面</w:t>
      </w:r>
      <w:bookmarkEnd w:id="12"/>
      <w:r/>
      <w:bookmarkEnd w:id="13"/>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进水（渗滤液及生产废水）：垃圾压缩转运系统</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负责将渗滤液泵送至调节池指定位置，冲洗废水由排水沟、管道收集至地下一层集水坑内。地下一层集水坑及之后、调节池及之后的设备、管道、阀门均在本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范围内。出水池应预留接至槽罐车的泵送系统，含输送泵、管道及阀门，泵送系统属于本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范围内。</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出水：本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负责将达标尾水送至污水在线监测井。</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污泥：污水处理系统产生的所有污泥均需要妥善处理，污泥处理相关的所有设备、管道、阀门均属于本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范围内，</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将污泥的含水率降至80%以下，并输送至转运卸料槽。</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臭气：气浮设备需配备除臭罩，其他需除臭的设备、或水池（水罐）预留臭气接口法兰，并提供臭气指标及除臭风量。</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污水处理系统水池池上空间及风管设置有毒有害气体及易燃气体在线监测报警装置，属于自控</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w:t>
      </w:r>
      <w:r/>
    </w:p>
    <w:p>
      <w:pPr>
        <w:pageBreakBefore w:val="0"/>
        <w:spacing w:after="0" w:line="360" w:lineRule="auto"/>
        <w:rPr>
          <w:rFonts w:hint="eastAsia" w:ascii="宋体" w:hAnsi="宋体" w:eastAsia="宋体" w:cs="宋体"/>
          <w:b/>
          <w:sz w:val="24"/>
          <w:szCs w:val="24"/>
          <w:highlight w:val="none"/>
        </w:rPr>
        <w:outlineLvl w:val="0"/>
      </w:pPr>
      <w:r/>
      <w:bookmarkStart w:id="14" w:name="_Toc229738165"/>
      <w:r/>
      <w:bookmarkStart w:id="15" w:name="_Toc26269"/>
      <w:r>
        <w:rPr>
          <w:rFonts w:hint="eastAsia" w:ascii="宋体" w:hAnsi="宋体" w:eastAsia="宋体" w:cs="宋体"/>
          <w:b/>
          <w:sz w:val="24"/>
          <w:szCs w:val="24"/>
          <w:highlight w:val="none"/>
        </w:rPr>
        <w:t xml:space="preserve">2.2 与土建工程界面</w:t>
      </w:r>
      <w:bookmarkEnd w:id="14"/>
      <w:r/>
      <w:bookmarkEnd w:id="15"/>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1）设备基础等</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设备基础、预埋件、预埋管、预埋套管、水池墙体的预留洞等由设备安装单位出条件图，设备基础、预留洞及盖板由土建单位施工，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进行现场指导并确认；预埋管、预埋套管、预埋件由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供货，土建单位施工，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进行现场指导并确认。设备需要的钢结构基础/支撑、减振装置由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供货并施工。</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2）给水</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土建单位敷设给水管道至污水处理设备间指定位置，土建预留接口和手动控制阀门。接口至各用水点（包含接口施工、含生产用水点、洗手盆、洗涤池等用水点）均属于</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实施范围。供水管支路设水表（水表由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负责，水表安装位置应满足规范测量的相关要求）。</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3）污水</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工艺排水采用管道收集，排至调节池后，由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负责安装。</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需明确工艺排水量，膜组件规模的配置必须考虑这部分水量。</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4）电气</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污水处理系统设备安装范围内的电气设备以设备控制柜的进线电源电缆头为界，电缆头以下为本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范围，电缆头以上（包括电缆头）为土建范围。</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接地系统（工作接地，保护接地等）以接地预埋连接板为界，界面以上室内外接地连接线、电缆支架接地、桥架接地以及各设备接地（包括上述但不限于此）的供货及施工等属本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范围；其余内容（包括接地预埋连接板、利用构筑物自然金属体的接地装置以及构筑物防雷保护装置）属土建范围。除利用构筑物自然金属体作为接地装置外，因电气设备接地所需的人工接地极的供货及施工等属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范围。</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污水处理系统设备安装范围内的需室外直埋敷设的电缆所需沟槽的开挖及电缆敷设完毕后的回填均属本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范围。</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5）管架、桥架等</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所有室内管道、电缆所需的管道支架、吊架、电缆桥架等均由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实施。室外工艺管廊架基础（若有）由土建单位实施，管廊架、工艺管道及管道固定支架等（若有）由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实施。</w:t>
      </w:r>
      <w:r/>
    </w:p>
    <w:p>
      <w:pPr>
        <w:pageBreakBefore w:val="0"/>
        <w:spacing w:after="0" w:line="360" w:lineRule="auto"/>
        <w:rPr>
          <w:rFonts w:hint="eastAsia" w:ascii="宋体" w:hAnsi="宋体" w:eastAsia="宋体" w:cs="宋体"/>
          <w:b/>
          <w:sz w:val="24"/>
          <w:szCs w:val="24"/>
          <w:highlight w:val="none"/>
        </w:rPr>
        <w:outlineLvl w:val="0"/>
      </w:pPr>
      <w:r/>
      <w:bookmarkStart w:id="16" w:name="_Toc21886"/>
      <w:r/>
      <w:bookmarkStart w:id="17" w:name="_Toc229738166"/>
      <w:r>
        <w:rPr>
          <w:rFonts w:hint="eastAsia" w:ascii="宋体" w:hAnsi="宋体" w:eastAsia="宋体" w:cs="宋体"/>
          <w:b/>
          <w:sz w:val="24"/>
          <w:szCs w:val="24"/>
          <w:highlight w:val="none"/>
        </w:rPr>
        <w:t xml:space="preserve">2.3 与全厂自控系统</w:t>
      </w:r>
      <w:r>
        <w:rPr>
          <w:rFonts w:hint="eastAsia" w:ascii="宋体" w:hAnsi="宋体" w:eastAsia="宋体" w:cs="宋体"/>
          <w:b/>
          <w:sz w:val="24"/>
          <w:szCs w:val="24"/>
          <w:highlight w:val="none"/>
          <w:lang w:eastAsia="zh-CN"/>
        </w:rPr>
        <w:t xml:space="preserve">项目</w:t>
      </w:r>
      <w:r>
        <w:rPr>
          <w:rFonts w:hint="eastAsia" w:ascii="宋体" w:hAnsi="宋体" w:eastAsia="宋体" w:cs="宋体"/>
          <w:b/>
          <w:sz w:val="24"/>
          <w:szCs w:val="24"/>
          <w:highlight w:val="none"/>
        </w:rPr>
        <w:t xml:space="preserve">界面</w:t>
      </w:r>
      <w:bookmarkEnd w:id="16"/>
      <w:r/>
      <w:bookmarkEnd w:id="17"/>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PLC接口形式采用以太网光口或电口，现场配套工业以太网交换机，以配套工业以太网交换机通讯接口为界，接口以下为本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范围，接口连接至厂区整体监控系统的光缆或网线及其敷设由全厂自控系统</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负责，不属本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范围。</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需对上位全厂自控系统开放通讯协议，使上位系统对污水处理系统实现监控及远程控制功能，本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需要配合全厂自控系统标完成整个控制系统的数据采集及联动调试。</w:t>
      </w:r>
      <w:r/>
    </w:p>
    <w:p>
      <w:pPr>
        <w:pageBreakBefore w:val="0"/>
        <w:spacing w:after="0" w:line="360" w:lineRule="auto"/>
        <w:rPr>
          <w:rFonts w:hint="eastAsia" w:ascii="宋体" w:hAnsi="宋体" w:eastAsia="宋体" w:cs="宋体"/>
          <w:b/>
          <w:sz w:val="24"/>
          <w:szCs w:val="24"/>
          <w:highlight w:val="none"/>
        </w:rPr>
        <w:outlineLvl w:val="0"/>
      </w:pPr>
      <w:r/>
      <w:bookmarkStart w:id="18" w:name="_Toc24411"/>
      <w:r/>
      <w:bookmarkStart w:id="19" w:name="_Toc229738167"/>
      <w:r>
        <w:rPr>
          <w:rFonts w:hint="eastAsia" w:ascii="宋体" w:hAnsi="宋体" w:eastAsia="宋体" w:cs="宋体"/>
          <w:b/>
          <w:sz w:val="24"/>
          <w:szCs w:val="24"/>
          <w:highlight w:val="none"/>
        </w:rPr>
        <w:t xml:space="preserve">3．主要技术参数、性能</w:t>
      </w:r>
      <w:bookmarkEnd w:id="18"/>
      <w:r/>
      <w:bookmarkEnd w:id="19"/>
      <w:r/>
      <w:r/>
    </w:p>
    <w:p>
      <w:pPr>
        <w:pageBreakBefore w:val="0"/>
        <w:spacing w:after="0" w:line="360" w:lineRule="auto"/>
        <w:rPr>
          <w:rFonts w:hint="eastAsia" w:ascii="宋体" w:hAnsi="宋体" w:eastAsia="宋体" w:cs="宋体"/>
          <w:b/>
          <w:sz w:val="24"/>
          <w:szCs w:val="24"/>
          <w:highlight w:val="none"/>
        </w:rPr>
        <w:outlineLvl w:val="0"/>
      </w:pPr>
      <w:r/>
      <w:bookmarkStart w:id="20" w:name="_Toc229738168"/>
      <w:r/>
      <w:bookmarkStart w:id="21" w:name="_Toc30001"/>
      <w:r>
        <w:rPr>
          <w:rFonts w:hint="eastAsia" w:ascii="宋体" w:hAnsi="宋体" w:eastAsia="宋体" w:cs="宋体"/>
          <w:b/>
          <w:sz w:val="24"/>
          <w:szCs w:val="24"/>
          <w:highlight w:val="none"/>
        </w:rPr>
        <w:t xml:space="preserve">3.1 设计条件</w:t>
      </w:r>
      <w:bookmarkEnd w:id="20"/>
      <w:r/>
      <w:bookmarkEnd w:id="21"/>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22" w:name="_Toc13464"/>
      <w:r/>
      <w:bookmarkStart w:id="23" w:name="_Toc229738169"/>
      <w:r>
        <w:rPr>
          <w:rFonts w:hint="eastAsia" w:ascii="宋体" w:hAnsi="宋体" w:eastAsia="宋体" w:cs="宋体"/>
          <w:b/>
          <w:bCs/>
          <w:sz w:val="24"/>
          <w:szCs w:val="24"/>
          <w:highlight w:val="none"/>
        </w:rPr>
        <w:t xml:space="preserve">3.1.1 </w:t>
      </w:r>
      <w:r>
        <w:rPr>
          <w:rFonts w:hint="eastAsia" w:ascii="宋体" w:hAnsi="宋体" w:eastAsia="宋体" w:cs="宋体"/>
          <w:b/>
          <w:bCs/>
          <w:sz w:val="24"/>
          <w:szCs w:val="24"/>
          <w:highlight w:val="none"/>
        </w:rPr>
        <w:t xml:space="preserve">处理对象及设计规模</w:t>
      </w:r>
      <w:bookmarkEnd w:id="22"/>
      <w:r/>
      <w:bookmarkEnd w:id="23"/>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本渗滤液处理系统处理对象为渗滤液、冲洗废水、废气处理系统废水、生活污水的混合污水，处理规模为150 t/d。</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24" w:name="_Toc25113"/>
      <w:r/>
      <w:bookmarkStart w:id="25" w:name="_Toc229738170"/>
      <w:r>
        <w:rPr>
          <w:rFonts w:hint="eastAsia" w:ascii="宋体" w:hAnsi="宋体" w:eastAsia="宋体" w:cs="宋体"/>
          <w:b/>
          <w:bCs/>
          <w:sz w:val="24"/>
          <w:szCs w:val="24"/>
          <w:highlight w:val="none"/>
        </w:rPr>
        <w:t xml:space="preserve">3.1.2 设计进水水质</w:t>
      </w:r>
      <w:bookmarkEnd w:id="24"/>
      <w:r/>
      <w:bookmarkEnd w:id="25"/>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垃圾转运站产生的渗滤液均为新鲜渗滤液，其污染物浓度很高，设备冲洗水中掺杂了部分的渗滤液，其污染物浓度相对较高，场地冲洗水中污染物浓度相对较低。根据工程设计基础资料及类似工程经验，预测进水水质指标见下表：</w:t>
      </w:r>
      <w:r/>
    </w:p>
    <w:p>
      <w:pPr>
        <w:jc w:val="center"/>
        <w:pageBreakBefore w:val="0"/>
        <w:spacing w:after="0" w:line="360" w:lineRule="auto"/>
        <w:rPr>
          <w:rFonts w:hint="eastAsia" w:ascii="宋体" w:hAnsi="宋体" w:eastAsia="宋体" w:cs="宋体"/>
          <w:b/>
          <w:bCs/>
          <w:sz w:val="24"/>
          <w:szCs w:val="24"/>
          <w:highlight w:val="none"/>
          <w14:ligatures w14:val="none"/>
        </w:rPr>
      </w:pPr>
      <w:r>
        <w:rPr>
          <w:rFonts w:hint="eastAsia" w:ascii="宋体" w:hAnsi="宋体" w:eastAsia="宋体" w:cs="宋体"/>
          <w:b/>
          <w:bCs/>
          <w:sz w:val="24"/>
          <w:szCs w:val="24"/>
          <w:highlight w:val="none"/>
          <w14:ligatures w14:val="none"/>
        </w:rPr>
        <w:t xml:space="preserve">表 设计进水主要水质</w:t>
      </w:r>
      <w:r/>
    </w:p>
    <w:tbl>
      <w:tblPr>
        <w:tblStyle w:val="773"/>
        <w:tblW w:w="49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9"/>
        <w:gridCol w:w="1196"/>
        <w:gridCol w:w="1196"/>
        <w:gridCol w:w="1196"/>
        <w:gridCol w:w="1200"/>
        <w:gridCol w:w="1200"/>
        <w:gridCol w:w="933"/>
        <w:gridCol w:w="918"/>
      </w:tblGrid>
      <w:tr>
        <w:trPr>
          <w:jc w:val="center"/>
          <w:trHeight w:val="1106"/>
        </w:trPr>
        <w:tc>
          <w:tcPr>
            <w:tcW w:w="710"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类别</w:t>
            </w:r>
            <w:r/>
          </w:p>
        </w:tc>
        <w:tc>
          <w:tcPr>
            <w:tcW w:w="654"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COD（mg/L）</w:t>
            </w:r>
            <w:r/>
          </w:p>
        </w:tc>
        <w:tc>
          <w:tcPr>
            <w:tcW w:w="654"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BOD（mg/L）</w:t>
            </w:r>
            <w:r/>
          </w:p>
        </w:tc>
        <w:tc>
          <w:tcPr>
            <w:tcW w:w="654"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NH</w:t>
            </w:r>
            <w:r>
              <w:rPr>
                <w:rFonts w:hint="eastAsia" w:ascii="宋体" w:hAnsi="宋体" w:eastAsia="宋体" w:cs="宋体"/>
                <w:sz w:val="24"/>
                <w:szCs w:val="24"/>
                <w:highlight w:val="none"/>
                <w:vertAlign w:val="subscript"/>
                <w14:ligatures w14:val="none"/>
              </w:rPr>
              <w:t xml:space="preserve">3</w:t>
            </w:r>
            <w:r>
              <w:rPr>
                <w:rFonts w:hint="eastAsia" w:ascii="宋体" w:hAnsi="宋体" w:eastAsia="宋体" w:cs="宋体"/>
                <w:sz w:val="24"/>
                <w:szCs w:val="24"/>
                <w:highlight w:val="none"/>
                <w14:ligatures w14:val="none"/>
              </w:rPr>
              <w:t xml:space="preserve">-N（mg/L）</w:t>
            </w:r>
            <w:r/>
          </w:p>
        </w:tc>
        <w:tc>
          <w:tcPr>
            <w:tcW w:w="656"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TN（mg/L）</w:t>
            </w:r>
            <w:r/>
          </w:p>
        </w:tc>
        <w:tc>
          <w:tcPr>
            <w:tcW w:w="656"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SS</w:t>
            </w:r>
            <w:r/>
          </w:p>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（mg/L）</w:t>
            </w:r>
            <w:r/>
          </w:p>
        </w:tc>
        <w:tc>
          <w:tcPr>
            <w:tcW w:w="510"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T</w:t>
            </w:r>
            <w:r>
              <w:rPr>
                <w:rFonts w:hint="eastAsia" w:ascii="宋体" w:hAnsi="宋体" w:cs="宋体"/>
                <w:sz w:val="24"/>
                <w:szCs w:val="24"/>
                <w:highlight w:val="none"/>
                <w:lang w:val="en-US" w:eastAsia="zh-CN"/>
                <w14:ligatures w14:val="none"/>
              </w:rPr>
              <w:t xml:space="preserve">P</w:t>
            </w:r>
            <w:r>
              <w:rPr>
                <w:rFonts w:hint="eastAsia" w:ascii="宋体" w:hAnsi="宋体" w:eastAsia="宋体" w:cs="宋体"/>
                <w:sz w:val="24"/>
                <w:szCs w:val="24"/>
                <w:highlight w:val="none"/>
                <w14:ligatures w14:val="none"/>
              </w:rPr>
              <w:t xml:space="preserve">（mg/L）</w:t>
            </w:r>
            <w:r/>
          </w:p>
        </w:tc>
        <w:tc>
          <w:tcPr>
            <w:tcW w:w="502"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pH</w:t>
            </w:r>
            <w:r/>
          </w:p>
        </w:tc>
      </w:tr>
      <w:tr>
        <w:trPr>
          <w:jc w:val="center"/>
          <w:trHeight w:val="1126"/>
        </w:trPr>
        <w:tc>
          <w:tcPr>
            <w:tcW w:w="710"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综合设计进水水质</w:t>
            </w:r>
            <w:r/>
          </w:p>
        </w:tc>
        <w:tc>
          <w:tcPr>
            <w:tcW w:w="654"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40000</w:t>
            </w:r>
            <w:r/>
          </w:p>
        </w:tc>
        <w:tc>
          <w:tcPr>
            <w:tcW w:w="654"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20000</w:t>
            </w:r>
            <w:r/>
          </w:p>
        </w:tc>
        <w:tc>
          <w:tcPr>
            <w:tcW w:w="654"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600</w:t>
            </w:r>
            <w:r/>
          </w:p>
        </w:tc>
        <w:tc>
          <w:tcPr>
            <w:tcW w:w="656"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800</w:t>
            </w:r>
            <w:r/>
          </w:p>
        </w:tc>
        <w:tc>
          <w:tcPr>
            <w:tcW w:w="656"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3000</w:t>
            </w:r>
            <w:r/>
          </w:p>
        </w:tc>
        <w:tc>
          <w:tcPr>
            <w:tcW w:w="510"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lang w:bidi="zh-CN"/>
                <w14:ligatures w14:val="none"/>
              </w:rPr>
            </w:pPr>
            <w:r>
              <w:rPr>
                <w:rFonts w:hint="eastAsia" w:ascii="宋体" w:hAnsi="宋体" w:eastAsia="宋体" w:cs="宋体"/>
                <w:sz w:val="24"/>
                <w:szCs w:val="24"/>
                <w:highlight w:val="none"/>
                <w14:ligatures w14:val="none"/>
              </w:rPr>
              <w:t xml:space="preserve">100</w:t>
            </w:r>
            <w:r/>
          </w:p>
        </w:tc>
        <w:tc>
          <w:tcPr>
            <w:tcW w:w="502"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lang w:bidi="zh-CN"/>
                <w14:ligatures w14:val="none"/>
              </w:rPr>
            </w:pPr>
            <w:r>
              <w:rPr>
                <w:rFonts w:hint="eastAsia" w:ascii="宋体" w:hAnsi="宋体" w:eastAsia="宋体" w:cs="宋体"/>
                <w:sz w:val="24"/>
                <w:szCs w:val="24"/>
                <w:highlight w:val="none"/>
                <w:lang w:bidi="zh-CN"/>
                <w14:ligatures w14:val="none"/>
              </w:rPr>
              <w:t xml:space="preserve">6-9</w:t>
            </w:r>
            <w:r/>
          </w:p>
        </w:tc>
      </w:tr>
    </w:tbl>
    <w:p>
      <w:pPr>
        <w:jc w:val="both"/>
        <w:pageBreakBefore w:val="0"/>
        <w:spacing w:after="0" w:line="360" w:lineRule="auto"/>
        <w:rPr>
          <w:rFonts w:hint="eastAsia" w:ascii="宋体" w:hAnsi="宋体" w:eastAsia="宋体" w:cs="宋体"/>
          <w:b/>
          <w:bCs/>
          <w:sz w:val="24"/>
          <w:szCs w:val="24"/>
          <w:highlight w:val="none"/>
          <w14:ligatures w14:val="none"/>
        </w:rPr>
      </w:pPr>
      <w:r>
        <w:rPr>
          <w:rFonts w:hint="eastAsia" w:ascii="宋体" w:hAnsi="宋体" w:eastAsia="宋体" w:cs="宋体"/>
          <w:b/>
          <w:bCs/>
          <w:sz w:val="24"/>
          <w:szCs w:val="24"/>
          <w:highlight w:val="none"/>
          <w14:ligatures w14:val="none"/>
        </w:rPr>
      </w:r>
      <w:r/>
    </w:p>
    <w:p>
      <w:pPr>
        <w:jc w:val="both"/>
        <w:pageBreakBefore w:val="0"/>
        <w:spacing w:after="0" w:line="360" w:lineRule="auto"/>
        <w:rPr>
          <w:rFonts w:hint="eastAsia" w:ascii="宋体" w:hAnsi="宋体" w:eastAsia="宋体" w:cs="宋体"/>
          <w:b/>
          <w:bCs/>
          <w:sz w:val="24"/>
          <w:szCs w:val="24"/>
          <w:highlight w:val="none"/>
          <w14:ligatures w14:val="none"/>
        </w:rPr>
      </w:pPr>
      <w:r>
        <w:rPr>
          <w:rFonts w:hint="eastAsia" w:ascii="宋体" w:hAnsi="宋体" w:eastAsia="宋体" w:cs="宋体"/>
          <w:b/>
          <w:bCs/>
          <w:sz w:val="24"/>
          <w:szCs w:val="24"/>
          <w:highlight w:val="none"/>
          <w14:ligatures w14:val="none"/>
        </w:rPr>
        <w:t xml:space="preserve">设计水质指标供参考，具体需投标人根据以往运行经验进行复核确定。</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26" w:name="_Toc229738171"/>
      <w:r>
        <w:rPr>
          <w:rFonts w:hint="eastAsia" w:ascii="宋体" w:hAnsi="宋体" w:eastAsia="宋体" w:cs="宋体"/>
          <w:b/>
          <w:bCs/>
          <w:sz w:val="24"/>
          <w:szCs w:val="24"/>
          <w:highlight w:val="none"/>
        </w:rPr>
        <w:t xml:space="preserve">3.1.3 设计出水水质</w:t>
      </w:r>
      <w:bookmarkEnd w:id="26"/>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根据环评批复，本项目排水pH值、COD、BOD</w:t>
      </w:r>
      <w:r>
        <w:rPr>
          <w:rFonts w:hint="eastAsia" w:ascii="宋体" w:hAnsi="宋体" w:eastAsia="宋体" w:cs="宋体"/>
          <w:sz w:val="24"/>
          <w:szCs w:val="24"/>
          <w:highlight w:val="none"/>
          <w:vertAlign w:val="subscript"/>
          <w14:ligatures w14:val="none"/>
        </w:rPr>
        <w:t xml:space="preserve">5</w:t>
      </w:r>
      <w:r>
        <w:rPr>
          <w:rFonts w:hint="eastAsia" w:ascii="宋体" w:hAnsi="宋体" w:eastAsia="宋体" w:cs="宋体"/>
          <w:sz w:val="24"/>
          <w:szCs w:val="24"/>
          <w:highlight w:val="none"/>
          <w14:ligatures w14:val="none"/>
        </w:rPr>
        <w:t xml:space="preserve">、SS、NH</w:t>
      </w:r>
      <w:r>
        <w:rPr>
          <w:rFonts w:hint="eastAsia" w:ascii="宋体" w:hAnsi="宋体" w:eastAsia="宋体" w:cs="宋体"/>
          <w:sz w:val="24"/>
          <w:szCs w:val="24"/>
          <w:highlight w:val="none"/>
          <w:vertAlign w:val="subscript"/>
          <w14:ligatures w14:val="none"/>
        </w:rPr>
        <w:t xml:space="preserve">3</w:t>
      </w:r>
      <w:r>
        <w:rPr>
          <w:rFonts w:hint="eastAsia" w:ascii="宋体" w:hAnsi="宋体" w:eastAsia="宋体" w:cs="宋体"/>
          <w:sz w:val="24"/>
          <w:szCs w:val="24"/>
          <w:highlight w:val="none"/>
          <w14:ligatures w14:val="none"/>
        </w:rPr>
        <w:t xml:space="preserve">-N、TN、TP执行徐州市新城区污水处理厂接管标准，具体要求见下表：</w:t>
      </w:r>
      <w:r/>
    </w:p>
    <w:p>
      <w:pPr>
        <w:jc w:val="center"/>
        <w:pageBreakBefore w:val="0"/>
        <w:spacing w:after="0" w:line="360" w:lineRule="auto"/>
        <w:rPr>
          <w:rFonts w:hint="eastAsia" w:ascii="宋体" w:hAnsi="宋体" w:eastAsia="宋体" w:cs="宋体"/>
          <w:b/>
          <w:bCs/>
          <w:sz w:val="24"/>
          <w:szCs w:val="24"/>
          <w:highlight w:val="none"/>
          <w14:ligatures w14:val="none"/>
        </w:rPr>
      </w:pPr>
      <w:r>
        <w:rPr>
          <w:rFonts w:hint="eastAsia" w:ascii="宋体" w:hAnsi="宋体" w:eastAsia="宋体" w:cs="宋体"/>
          <w:b/>
          <w:bCs/>
          <w:sz w:val="24"/>
          <w:szCs w:val="24"/>
          <w:highlight w:val="none"/>
          <w14:ligatures w14:val="none"/>
        </w:rPr>
        <w:t xml:space="preserve">表 </w:t>
      </w:r>
      <w:r>
        <w:rPr>
          <w:rFonts w:hint="eastAsia" w:ascii="宋体" w:hAnsi="宋体" w:eastAsia="宋体" w:cs="宋体"/>
          <w:sz w:val="24"/>
          <w:szCs w:val="24"/>
          <w:highlight w:val="none"/>
          <w14:ligatures w14:val="none"/>
        </w:rPr>
        <w:t xml:space="preserve">★</w:t>
      </w:r>
      <w:r>
        <w:rPr>
          <w:rFonts w:hint="eastAsia" w:ascii="宋体" w:hAnsi="宋体" w:eastAsia="宋体" w:cs="宋体"/>
          <w:b/>
          <w:bCs/>
          <w:sz w:val="24"/>
          <w:szCs w:val="24"/>
          <w:highlight w:val="none"/>
          <w14:ligatures w14:val="none"/>
        </w:rPr>
        <w:t xml:space="preserve">出水主要水质指标</w:t>
      </w:r>
      <w:r/>
    </w:p>
    <w:tbl>
      <w:tblPr>
        <w:tblStyle w:val="773"/>
        <w:tblW w:w="48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160"/>
        <w:gridCol w:w="1328"/>
        <w:gridCol w:w="1321"/>
        <w:gridCol w:w="1155"/>
        <w:gridCol w:w="1155"/>
        <w:gridCol w:w="1157"/>
        <w:gridCol w:w="821"/>
      </w:tblGrid>
      <w:tr>
        <w:trPr>
          <w:cantSplit/>
          <w:jc w:val="center"/>
          <w:trHeight w:val="1521"/>
        </w:trPr>
        <w:tc>
          <w:tcPr>
            <w:tcW w:w="459"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指标</w:t>
            </w:r>
            <w:r/>
          </w:p>
        </w:tc>
        <w:tc>
          <w:tcPr>
            <w:tcW w:w="650"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CODcr</w:t>
            </w:r>
            <w:r/>
          </w:p>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（mg/L）</w:t>
            </w:r>
            <w:r/>
          </w:p>
        </w:tc>
        <w:tc>
          <w:tcPr>
            <w:tcW w:w="744"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BOD</w:t>
            </w:r>
            <w:r>
              <w:rPr>
                <w:rFonts w:hint="eastAsia" w:ascii="宋体" w:hAnsi="宋体" w:eastAsia="宋体" w:cs="宋体"/>
                <w:sz w:val="24"/>
                <w:szCs w:val="24"/>
                <w:highlight w:val="none"/>
                <w:vertAlign w:val="subscript"/>
                <w14:ligatures w14:val="none"/>
              </w:rPr>
              <w:t xml:space="preserve">5</w:t>
            </w:r>
            <w:r/>
          </w:p>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（mg/L）</w:t>
            </w:r>
            <w:r/>
          </w:p>
        </w:tc>
        <w:tc>
          <w:tcPr>
            <w:tcW w:w="740"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NH</w:t>
            </w:r>
            <w:r>
              <w:rPr>
                <w:rFonts w:hint="eastAsia" w:ascii="宋体" w:hAnsi="宋体" w:eastAsia="宋体" w:cs="宋体"/>
                <w:sz w:val="24"/>
                <w:szCs w:val="24"/>
                <w:highlight w:val="none"/>
                <w:vertAlign w:val="subscript"/>
                <w14:ligatures w14:val="none"/>
              </w:rPr>
              <w:t xml:space="preserve">3</w:t>
            </w:r>
            <w:r>
              <w:rPr>
                <w:rFonts w:hint="eastAsia" w:ascii="宋体" w:hAnsi="宋体" w:eastAsia="宋体" w:cs="宋体"/>
                <w:sz w:val="24"/>
                <w:szCs w:val="24"/>
                <w:highlight w:val="none"/>
                <w14:ligatures w14:val="none"/>
              </w:rPr>
              <w:t xml:space="preserve">-N</w:t>
            </w:r>
            <w:r/>
          </w:p>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（mg/L）</w:t>
            </w:r>
            <w:r/>
          </w:p>
        </w:tc>
        <w:tc>
          <w:tcPr>
            <w:tcW w:w="647"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TN</w:t>
            </w:r>
            <w:r/>
          </w:p>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（mg/L）</w:t>
            </w:r>
            <w:r/>
          </w:p>
        </w:tc>
        <w:tc>
          <w:tcPr>
            <w:tcW w:w="647"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TP</w:t>
            </w:r>
            <w:r/>
          </w:p>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（mg/L）</w:t>
            </w:r>
            <w:r/>
          </w:p>
        </w:tc>
        <w:tc>
          <w:tcPr>
            <w:tcW w:w="648"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SS</w:t>
            </w:r>
            <w:r/>
          </w:p>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（mg/L）</w:t>
            </w:r>
            <w:r/>
          </w:p>
        </w:tc>
        <w:tc>
          <w:tcPr>
            <w:tcW w:w="460"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pH值</w:t>
            </w:r>
            <w:r/>
          </w:p>
        </w:tc>
      </w:tr>
      <w:tr>
        <w:trPr>
          <w:cantSplit/>
          <w:jc w:val="center"/>
          <w:trHeight w:val="1041"/>
        </w:trPr>
        <w:tc>
          <w:tcPr>
            <w:tcW w:w="459"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限值</w:t>
            </w:r>
            <w:r/>
          </w:p>
        </w:tc>
        <w:tc>
          <w:tcPr>
            <w:tcW w:w="650"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≤350</w:t>
            </w:r>
            <w:r/>
          </w:p>
        </w:tc>
        <w:tc>
          <w:tcPr>
            <w:tcW w:w="744"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≤200</w:t>
            </w:r>
            <w:r/>
          </w:p>
        </w:tc>
        <w:tc>
          <w:tcPr>
            <w:tcW w:w="740"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≤30</w:t>
            </w:r>
            <w:r/>
          </w:p>
        </w:tc>
        <w:tc>
          <w:tcPr>
            <w:tcW w:w="647"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≤40</w:t>
            </w:r>
            <w:r/>
          </w:p>
        </w:tc>
        <w:tc>
          <w:tcPr>
            <w:tcW w:w="647"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w:t>
            </w:r>
            <w:r/>
          </w:p>
        </w:tc>
        <w:tc>
          <w:tcPr>
            <w:tcW w:w="648"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≤250</w:t>
            </w:r>
            <w:r/>
          </w:p>
        </w:tc>
        <w:tc>
          <w:tcPr>
            <w:tcW w:w="460" w:type="pct"/>
            <w:vAlign w:val="center"/>
            <w:textDirection w:val="lrTb"/>
            <w:noWrap w:val="false"/>
          </w:tcPr>
          <w:p>
            <w:pPr>
              <w:jc w:val="center"/>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6~9</w:t>
            </w:r>
            <w:r/>
          </w:p>
        </w:tc>
      </w:tr>
    </w:tbl>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其他要求：色度、总汞、总镉、总铬、六价铬、总砷、总铅执行《生活垃圾填埋场污染控制标准》（GB16889-2024）中表4排放浓度限值，粪大肠菌群排放浓度参照执行《生活垃圾填埋场污染控制标准》（GB16889-2024）中表2排放浓度限值，动植物油参照执行《污水排入城镇下水道水质标准》（GB/T 31962-2015）中B级标准。</w:t>
      </w:r>
      <w:r/>
    </w:p>
    <w:p>
      <w:pPr>
        <w:pageBreakBefore w:val="0"/>
        <w:spacing w:after="0" w:line="360" w:lineRule="auto"/>
        <w:rPr>
          <w:rFonts w:hint="eastAsia" w:ascii="宋体" w:hAnsi="宋体" w:eastAsia="宋体" w:cs="宋体"/>
          <w:b/>
          <w:sz w:val="24"/>
          <w:szCs w:val="24"/>
          <w:highlight w:val="none"/>
        </w:rPr>
        <w:outlineLvl w:val="0"/>
      </w:pPr>
      <w:r/>
      <w:bookmarkStart w:id="27" w:name="_Toc229738172"/>
      <w:r>
        <w:rPr>
          <w:rFonts w:hint="eastAsia" w:ascii="宋体" w:hAnsi="宋体" w:eastAsia="宋体" w:cs="宋体"/>
          <w:b/>
          <w:sz w:val="24"/>
          <w:szCs w:val="24"/>
          <w:highlight w:val="none"/>
        </w:rPr>
        <w:t xml:space="preserve">3.2 工艺系统描述</w:t>
      </w:r>
      <w:bookmarkEnd w:id="27"/>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★本项目工艺流程为：预处理+两级AO+外置式膜生物反应器UF+高级氧化/NF（保障）。具体工艺流程如下：</w:t>
      </w:r>
      <w:r/>
    </w:p>
    <w:p>
      <w:pPr>
        <w:pStyle w:val="775"/>
        <w:ind w:firstLine="48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2504440" cy="6858000"/>
                <wp:effectExtent l="0" t="0" r="1016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601509" name="图片 4"/>
                        <pic:cNvPicPr>
                          <a:picLocks noChangeAspect="1"/>
                        </pic:cNvPicPr>
                        <pic:nvPr/>
                      </pic:nvPicPr>
                      <pic:blipFill>
                        <a:blip r:embed="rId18"/>
                        <a:stretch/>
                      </pic:blipFill>
                      <pic:spPr bwMode="auto">
                        <a:xfrm>
                          <a:off x="0" y="0"/>
                          <a:ext cx="2504925" cy="685806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7.2pt;height:540.0pt;mso-wrap-distance-left:0.0pt;mso-wrap-distance-top:0.0pt;mso-wrap-distance-right:0.0pt;mso-wrap-distance-bottom:0.0pt;" stroked="false">
                <v:path textboxrect="0,0,0,0"/>
                <v:imagedata r:id="rId18" o:title=""/>
              </v:shape>
            </w:pict>
          </mc:Fallback>
        </mc:AlternateContent>
      </w:r>
      <w:r/>
    </w:p>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14:ligatures w14:val="none"/>
        </w:rPr>
        <w:t xml:space="preserve">图 工艺流程图</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混合污水首先通过格栅去除大颗粒污染物后进入暂存池，达到设定液位时，提升泵将污水泵送至微滤机/隔油设备等，去除污水中的小颗粒污染物、悬浮物和油类。</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之后污水通过提升泵进入混凝气浮单元，该单元需要分别投加混凝剂PAC和助凝剂PAM，进一步去除污水中的油类、部分悬浮物和总磷，混凝气浮产生的浮渣（物化污泥）经储泥池暂存后泵送至叠螺脱水机进行处理。混凝气浮出水自流进入调节池，进行水质水量的调节。</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调节池的污水通过提升泵送入A/O池（缺氧/好氧池）进行生化处理，降解污水中的大部分有机物（COD）和氨氮、总氮。A/O池的混合液出水进入外置式超滤（UF）系统实现泥水分离；超滤膜截留的活性污泥浓缩液回流至A/O池以维持系统污泥浓度，确保生化反应高效进行，同时产生生化污泥经储泥池暂存后泵送至叠螺脱水机处理。</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超滤产生的清液进入高级氧化系统或NF系统，出水最终通过泵输送至室外污水管网达标排放。</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叠螺脱水机同时处理预处理污泥、生化段产生的污泥以及后续高级氧化段产生的污泥。叠螺处理后的出水进入调节池，脱水产生的干污泥则通过螺旋输送机输送至垃圾坑外运处置。</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污水设备生化区和污泥脱水区以及调节池区域存在臭气，由中转站除臭系统统一设计。</w:t>
      </w:r>
      <w:r/>
    </w:p>
    <w:p>
      <w:pPr>
        <w:pageBreakBefore w:val="0"/>
        <w:spacing w:after="0" w:line="360" w:lineRule="auto"/>
        <w:rPr>
          <w:rFonts w:hint="eastAsia" w:ascii="宋体" w:hAnsi="宋体" w:eastAsia="宋体" w:cs="宋体"/>
          <w:b/>
          <w:sz w:val="24"/>
          <w:szCs w:val="24"/>
          <w:highlight w:val="none"/>
        </w:rPr>
        <w:outlineLvl w:val="0"/>
      </w:pPr>
      <w:r/>
      <w:bookmarkStart w:id="28" w:name="_Toc229738173"/>
      <w:r/>
      <w:bookmarkStart w:id="29" w:name="_Toc6489"/>
      <w:r>
        <w:rPr>
          <w:rFonts w:hint="eastAsia" w:ascii="宋体" w:hAnsi="宋体" w:eastAsia="宋体" w:cs="宋体"/>
          <w:b/>
          <w:sz w:val="24"/>
          <w:szCs w:val="24"/>
          <w:highlight w:val="none"/>
        </w:rPr>
        <w:t xml:space="preserve">3.3 基本技术要求</w:t>
      </w:r>
      <w:bookmarkEnd w:id="28"/>
      <w:r/>
      <w:bookmarkEnd w:id="29"/>
      <w:r/>
      <w:r/>
    </w:p>
    <w:p>
      <w:pPr>
        <w:ind w:firstLine="482"/>
        <w:jc w:val="both"/>
        <w:pageBreakBefore w:val="0"/>
        <w:spacing w:after="0" w:line="360" w:lineRule="auto"/>
        <w:rPr>
          <w:rFonts w:hint="eastAsia" w:ascii="宋体" w:hAnsi="宋体" w:eastAsia="宋体" w:cs="宋体"/>
          <w:b/>
          <w:bCs/>
          <w:sz w:val="24"/>
          <w:szCs w:val="24"/>
          <w:highlight w:val="none"/>
          <w14:ligatures w14:val="none"/>
        </w:rPr>
      </w:pPr>
      <w:r>
        <w:rPr>
          <w:rFonts w:hint="eastAsia" w:ascii="宋体" w:hAnsi="宋体" w:eastAsia="宋体" w:cs="宋体"/>
          <w:b/>
          <w:bCs/>
          <w:sz w:val="24"/>
          <w:szCs w:val="24"/>
          <w:highlight w:val="none"/>
          <w14:ligatures w14:val="none"/>
        </w:rPr>
        <w:t xml:space="preserve">以下处理系统各单体部分的工艺要求描述</w:t>
      </w:r>
      <w:r>
        <w:rPr>
          <w:rFonts w:hint="eastAsia" w:ascii="宋体" w:hAnsi="宋体" w:eastAsia="宋体" w:cs="宋体"/>
          <w:b/>
          <w:bCs/>
          <w:sz w:val="24"/>
          <w:szCs w:val="24"/>
          <w:highlight w:val="none"/>
          <w:lang w:val="en-US" w:eastAsia="zh-CN"/>
          <w14:ligatures w14:val="none"/>
        </w:rPr>
        <w:t xml:space="preserve">包括但不限于</w:t>
      </w:r>
      <w:r>
        <w:rPr>
          <w:rFonts w:hint="eastAsia" w:ascii="宋体" w:hAnsi="宋体" w:eastAsia="宋体" w:cs="宋体"/>
          <w:b/>
          <w:bCs/>
          <w:sz w:val="24"/>
          <w:szCs w:val="24"/>
          <w:highlight w:val="none"/>
          <w14:ligatures w14:val="none"/>
        </w:rPr>
        <w:t xml:space="preserve">采购需求已限定处理工艺及所含单元与设备，投标人应根据科学实效的垃圾渗滤液处理工艺理论，实际设备的规格、材质与性能，确定应采用的工艺流程与单元设计，并按工艺流程的路线顺序提具所有单元及设备的设计参数等。</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30" w:name="_Toc10954"/>
      <w:r/>
      <w:bookmarkStart w:id="31" w:name="_Toc229738174"/>
      <w:r>
        <w:rPr>
          <w:rFonts w:hint="eastAsia" w:ascii="宋体" w:hAnsi="宋体" w:eastAsia="宋体" w:cs="宋体"/>
          <w:b/>
          <w:bCs/>
          <w:sz w:val="24"/>
          <w:szCs w:val="24"/>
          <w:highlight w:val="none"/>
        </w:rPr>
        <w:t xml:space="preserve">3.3.1 预处理系统</w:t>
      </w:r>
      <w:bookmarkEnd w:id="30"/>
      <w:r/>
      <w:bookmarkEnd w:id="31"/>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1、调节池</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调节池对渗滤液及生产废水进行水量、水质调节。</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调节池2格，设置潜水搅拌器和调节池提升泵。</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2、混凝气浮单元</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包含混凝气浮设备及配套的加药系统。</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加药系统应配备准确的计量装置。</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加药罐体需设置液位计，信号上传至PLC，并配备低液位报警。</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所有工艺设备的状态信号（开、停、故障）均需上传至PLC，同时中央控制室均能远程控制设备的启停（具体控制设备待中标后由业主、设计院确定）；</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3、中间水池/调节池</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中间水池1格，设置潜水搅拌器和中间水池提升泵。</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★调节池内所有设备电机、仪表均需考虑防爆，防爆等级为EX、IIA、T1，仪表采用隔爆型。</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所有工艺设备的状态信号（开、停、故障）均需上传至PLC，同时中央控制室均能远程控制设备的启停（具体控制设备待中标后由业主、设计院确定）；</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32" w:name="_Toc229738175"/>
      <w:r/>
      <w:bookmarkStart w:id="33" w:name="_Toc32513"/>
      <w:r>
        <w:rPr>
          <w:rFonts w:hint="eastAsia" w:ascii="宋体" w:hAnsi="宋体" w:eastAsia="宋体" w:cs="宋体"/>
          <w:b/>
          <w:bCs/>
          <w:sz w:val="24"/>
          <w:szCs w:val="24"/>
          <w:highlight w:val="none"/>
        </w:rPr>
        <w:t xml:space="preserve">3.3.2 MBR生化系统</w:t>
      </w:r>
      <w:bookmarkEnd w:id="32"/>
      <w:r/>
      <w:bookmarkEnd w:id="33"/>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MBR系统由“AO生化反应池+外置式超滤膜”组成，主要作用为削减大部分污染物。MBR系统需具备较强的脱除氨氮和总氮的能力。</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MBR系统包括反硝化池、硝化池、超滤系统（采用外置式超滤膜）、冷却系统、曝气系统、消泡剂投加系统等。</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★MBR系统需采用较高充氧能力的曝气系统。</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鼓风机采用空气悬浮鼓风机，安装在室内。</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风机进硝化池曝气管需设置电动调节阀，信号上传至PLC，同时中央控制室能远程控制电动调节阀的开度，并满足超风量运转。</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反硝化池、硝化池内的设备需耐受本项目污水的腐蚀。</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★硝化池需配备溶解氧、pH、温度、液位、污泥浓度等在线测量仪表，并将测量数据传输至在线控制系统。</w:t>
      </w:r>
      <w:r/>
    </w:p>
    <w:p>
      <w:pPr>
        <w:ind w:firstLine="480"/>
        <w:jc w:val="both"/>
        <w:pageBreakBefore w:val="0"/>
        <w:spacing w:after="0" w:line="360" w:lineRule="auto"/>
        <w:rPr>
          <w:rFonts w:hint="eastAsia" w:ascii="宋体" w:hAnsi="宋体" w:eastAsia="宋体" w:cs="宋体"/>
          <w:color w:val="ff0000"/>
          <w:sz w:val="24"/>
          <w:szCs w:val="24"/>
          <w:highlight w:val="none"/>
          <w14:ligatures w14:val="none"/>
        </w:rPr>
      </w:pPr>
      <w:r>
        <w:rPr>
          <w:rFonts w:hint="eastAsia" w:ascii="宋体" w:hAnsi="宋体" w:eastAsia="宋体" w:cs="宋体"/>
          <w:color w:val="ff0000"/>
          <w:sz w:val="24"/>
          <w:szCs w:val="24"/>
          <w:highlight w:val="none"/>
          <w14:ligatures w14:val="none"/>
        </w:rPr>
        <w:t xml:space="preserve">★投标方应采用外置式管式超滤系统，为集成式一体化设备，投标方按照招标文件对资料的要求提供详细的资料和图纸。</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color w:val="ff0000"/>
          <w:sz w:val="24"/>
          <w:szCs w:val="24"/>
          <w:highlight w:val="none"/>
          <w14:ligatures w14:val="none"/>
        </w:rPr>
        <w:t xml:space="preserve">★投标方在投标文件中需提供超滤膜类型的选取说明，</w:t>
      </w:r>
      <w:r>
        <w:rPr>
          <w:rFonts w:hint="eastAsia" w:ascii="宋体" w:hAnsi="宋体" w:eastAsia="宋体" w:cs="宋体"/>
          <w:sz w:val="24"/>
          <w:szCs w:val="24"/>
          <w:highlight w:val="none"/>
          <w14:ligatures w14:val="none"/>
        </w:rPr>
        <w:t xml:space="preserve">包括膜材质、孔径、规格型号、设计通量、设计使用面积、运行压力及各项参数等；列出膜壳的选取，规格型号、材质、各项参数；超滤膜的清洗条件、周期、清洗方式与设置；膜的使用寿命、更换周期、年通量衰减率。</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所有工艺设备的状态信号（开、停、故障）均需上传至PLC，同时中央控制室均能远程控制设备的启停（具体控制设备待中标后由业主、设计院确定）；所有≥15 kW的电机均需设置电流表，电流信号均需上传至PLC。</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MBR系统需采取有效的泡沫控制措施，避免泡沫外溢。</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MBR系统需采取有效的温度控制措施，在夏天和设计流量下，曝气池温度不超过38 ℃。</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MBR系统需设置完善的自控系统，自控仪表、PLC等需为知名品牌。</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MBR系统中液下搅拌器、泵类、加药设备需为国内或国际知名品牌。</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34" w:name="_Toc32959088"/>
      <w:r/>
      <w:bookmarkStart w:id="35" w:name="_Toc594"/>
      <w:r/>
      <w:bookmarkStart w:id="36" w:name="_Toc229738176"/>
      <w:r>
        <w:rPr>
          <w:rFonts w:hint="eastAsia" w:ascii="宋体" w:hAnsi="宋体" w:eastAsia="宋体" w:cs="宋体"/>
          <w:b/>
          <w:bCs/>
          <w:sz w:val="24"/>
          <w:szCs w:val="24"/>
          <w:highlight w:val="none"/>
        </w:rPr>
        <w:t xml:space="preserve">3.3.3 加热恒温与冷却系统</w:t>
      </w:r>
      <w:bookmarkEnd w:id="34"/>
      <w:r/>
      <w:bookmarkEnd w:id="35"/>
      <w:r/>
      <w:bookmarkEnd w:id="36"/>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（1）如需对好氧反应装置内的水体进行冷却，可根据水量大小，自行合理设计冷却水系统。</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（2）加热与冷却系统，需根据在线温度监控仪表的数据，进行在线连续控制。</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37" w:name="_Toc17057"/>
      <w:r/>
      <w:bookmarkStart w:id="38" w:name="_Toc229738177"/>
      <w:r>
        <w:rPr>
          <w:rFonts w:hint="eastAsia" w:ascii="宋体" w:hAnsi="宋体" w:eastAsia="宋体" w:cs="宋体"/>
          <w:b/>
          <w:bCs/>
          <w:sz w:val="24"/>
          <w:szCs w:val="24"/>
          <w:highlight w:val="none"/>
        </w:rPr>
        <w:t xml:space="preserve">3.3.4 高级氧化系统</w:t>
      </w:r>
      <w:bookmarkEnd w:id="37"/>
      <w:r/>
      <w:bookmarkEnd w:id="38"/>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高级氧化系统作为本项目的污水处理系统的保安系统，需保证最终出水能达到本工程出水要求。</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所有工艺设备的状态信号（开、停、故障）均需上传至PLC，同时中央控制室均能远程控制设备的启停（具体控制设备待中标后由业主、设计院确定）；所有≥15 kW的电机均需设置电流表，电流信号均需上传至PLC。</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39" w:name="_Toc229738178"/>
      <w:r>
        <w:rPr>
          <w:rFonts w:hint="eastAsia" w:ascii="宋体" w:hAnsi="宋体" w:eastAsia="宋体" w:cs="宋体"/>
          <w:b/>
          <w:bCs/>
          <w:sz w:val="24"/>
          <w:szCs w:val="24"/>
          <w:highlight w:val="none"/>
        </w:rPr>
        <w:t xml:space="preserve">3.3.5 纳滤系统</w:t>
      </w:r>
      <w:bookmarkEnd w:id="39"/>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纳滤系统在工艺中主要对渗滤液中COD</w:t>
      </w:r>
      <w:r>
        <w:rPr>
          <w:rFonts w:hint="eastAsia" w:ascii="宋体" w:hAnsi="宋体" w:eastAsia="宋体" w:cs="宋体"/>
          <w:sz w:val="24"/>
          <w:szCs w:val="24"/>
          <w:highlight w:val="none"/>
          <w:vertAlign w:val="subscript"/>
          <w14:ligatures w14:val="none"/>
        </w:rPr>
        <w:t xml:space="preserve">Cr</w:t>
      </w:r>
      <w:r>
        <w:rPr>
          <w:rFonts w:hint="eastAsia" w:ascii="宋体" w:hAnsi="宋体" w:eastAsia="宋体" w:cs="宋体"/>
          <w:sz w:val="24"/>
          <w:szCs w:val="24"/>
          <w:highlight w:val="none"/>
          <w14:ligatures w14:val="none"/>
        </w:rPr>
        <w:t xml:space="preserve">及重金属的去除。</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投标方应采用一体化撬装设备，投标方按照招标文件要求提供详细资料。</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color w:val="ff0000"/>
          <w:sz w:val="24"/>
          <w:szCs w:val="24"/>
          <w:highlight w:val="none"/>
          <w14:ligatures w14:val="none"/>
        </w:rPr>
        <w:t xml:space="preserve">★投标方在投标文件中需提供纳滤膜类型的选取说明，</w:t>
      </w:r>
      <w:r>
        <w:rPr>
          <w:rFonts w:hint="eastAsia" w:ascii="宋体" w:hAnsi="宋体" w:eastAsia="宋体" w:cs="宋体"/>
          <w:sz w:val="24"/>
          <w:szCs w:val="24"/>
          <w:highlight w:val="none"/>
          <w14:ligatures w14:val="none"/>
        </w:rPr>
        <w:t xml:space="preserve">包括膜材质、孔径、规格型号、设计通量、设计使用面积、运行压力及各项参数等；列出膜壳的选取，规格型号、材质、各项参数；纳滤膜的清洗条件、周期、清洗方式与设置；膜的使用寿命、更换周期、年通量衰减率；浓液的产量及处理方式。</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所有工艺设备的状态信号（开、停、故障）均需上传至PLC，同时中央控制室均能远程控制设备的启停（具体控制设备待中标后由业主、设计院确定）；所有≥15 kW的电机均需设置电流表，电流信号均需上传至PLC。</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40" w:name="_Toc229738179"/>
      <w:r>
        <w:rPr>
          <w:rFonts w:hint="eastAsia" w:ascii="宋体" w:hAnsi="宋体" w:eastAsia="宋体" w:cs="宋体"/>
          <w:b/>
          <w:bCs/>
          <w:sz w:val="24"/>
          <w:szCs w:val="24"/>
          <w:highlight w:val="none"/>
        </w:rPr>
        <w:t xml:space="preserve">3.3.6 </w:t>
      </w:r>
      <w:bookmarkStart w:id="41" w:name="_Toc19813"/>
      <w:r>
        <w:rPr>
          <w:rFonts w:hint="eastAsia" w:ascii="宋体" w:hAnsi="宋体" w:eastAsia="宋体" w:cs="宋体"/>
          <w:b/>
          <w:bCs/>
          <w:sz w:val="24"/>
          <w:szCs w:val="24"/>
          <w:highlight w:val="none"/>
        </w:rPr>
        <w:t xml:space="preserve">叠螺脱水系统</w:t>
      </w:r>
      <w:bookmarkEnd w:id="40"/>
      <w:r/>
      <w:bookmarkEnd w:id="41"/>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叠螺脱水系统处理的对象包括预处理、MBR单元产生的剩余污泥和混凝气浮单元产生的化学污泥，叠螺脱水系统位于车间一层的污泥脱水车间。</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★污泥脱水后的含水率应不高于80%，输送至垃圾斗，后续由</w:t>
      </w:r>
      <w:r>
        <w:rPr>
          <w:rFonts w:hint="eastAsia" w:ascii="宋体" w:hAnsi="宋体" w:cs="宋体"/>
          <w:sz w:val="24"/>
          <w:szCs w:val="24"/>
          <w:highlight w:val="none"/>
          <w:lang w:eastAsia="zh-CN"/>
          <w14:ligatures w14:val="none"/>
        </w:rPr>
        <w:t xml:space="preserve">采购人</w:t>
      </w:r>
      <w:r>
        <w:rPr>
          <w:rFonts w:hint="eastAsia" w:ascii="宋体" w:hAnsi="宋体" w:eastAsia="宋体" w:cs="宋体"/>
          <w:sz w:val="24"/>
          <w:szCs w:val="24"/>
          <w:highlight w:val="none"/>
          <w14:ligatures w14:val="none"/>
        </w:rPr>
        <w:t xml:space="preserve">负责外运处置。</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叠螺脱水系统设备需为国内知名品牌。</w:t>
      </w:r>
      <w:r/>
    </w:p>
    <w:p>
      <w:pPr>
        <w:ind w:firstLine="480"/>
        <w:jc w:val="both"/>
        <w:pageBreakBefore w:val="0"/>
        <w:spacing w:after="0" w:line="360" w:lineRule="auto"/>
        <w:rPr>
          <w:rFonts w:hint="eastAsia" w:ascii="宋体" w:hAnsi="宋体" w:eastAsia="宋体" w:cs="宋体"/>
          <w:sz w:val="24"/>
          <w:szCs w:val="24"/>
          <w:highlight w:val="none"/>
          <w14:ligatures w14:val="none"/>
        </w:rPr>
      </w:pPr>
      <w:r/>
      <w:bookmarkStart w:id="42" w:name="OLE_LINK3"/>
      <w:r>
        <w:rPr>
          <w:rFonts w:hint="eastAsia" w:ascii="宋体" w:hAnsi="宋体" w:eastAsia="宋体" w:cs="宋体"/>
          <w:sz w:val="24"/>
          <w:szCs w:val="24"/>
          <w:highlight w:val="none"/>
          <w14:ligatures w14:val="none"/>
        </w:rPr>
        <w:t xml:space="preserve">叠螺脱水系统需配套加药系统。</w:t>
      </w:r>
      <w:bookmarkEnd w:id="42"/>
      <w:r/>
      <w:r/>
    </w:p>
    <w:p>
      <w:pPr>
        <w:ind w:firstLine="480"/>
        <w:jc w:val="both"/>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14:ligatures w14:val="none"/>
        </w:rPr>
        <w:t xml:space="preserve">所有工艺设备的状态信号（开、停、故障）均需上传至PLC，同时中央控制室均能远程控制设备的启停（具体控制设备待中标后由业主、设计院确定）；所有≥15 kW的电机均需设置电流表，电流信号均需上传至PLC。</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43" w:name="_Toc10976"/>
      <w:r/>
      <w:bookmarkStart w:id="44" w:name="_Toc229738180"/>
      <w:r>
        <w:rPr>
          <w:rFonts w:hint="eastAsia" w:ascii="宋体" w:hAnsi="宋体" w:eastAsia="宋体" w:cs="宋体"/>
          <w:b/>
          <w:bCs/>
          <w:sz w:val="24"/>
          <w:szCs w:val="24"/>
          <w:highlight w:val="none"/>
        </w:rPr>
        <w:t xml:space="preserve">3.3.7 噪声控制</w:t>
      </w:r>
      <w:bookmarkEnd w:id="43"/>
      <w:r/>
      <w:bookmarkEnd w:id="44"/>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选用低噪声设备，对高噪声设各采取有效的减振、隔声、消声等降噪措施，确保厂界噪声满足《工业企业厂界环境噪声排放标准》（GB 12348-2008）2类标准。相关降噪标准同时符合环评及其批复要求。</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45" w:name="_Toc7885"/>
      <w:r/>
      <w:bookmarkStart w:id="46" w:name="_Toc229738181"/>
      <w:r/>
      <w:bookmarkStart w:id="47" w:name="_Toc32959093"/>
      <w:r>
        <w:rPr>
          <w:rFonts w:hint="eastAsia" w:ascii="宋体" w:hAnsi="宋体" w:eastAsia="宋体" w:cs="宋体"/>
          <w:b/>
          <w:bCs/>
          <w:sz w:val="24"/>
          <w:szCs w:val="24"/>
          <w:highlight w:val="none"/>
        </w:rPr>
        <w:t xml:space="preserve">3.3.8 管道系统</w:t>
      </w:r>
      <w:bookmarkEnd w:id="45"/>
      <w:r/>
      <w:bookmarkEnd w:id="46"/>
      <w:r/>
      <w:bookmarkEnd w:id="47"/>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管道系统设计寿命30年。</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所有管道要求能耐受1.6 MPa压力。</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所有管道系统必须采用防腐材料，管道适应渗滤液的水质要求。</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★鼓风机向MBR生反池供气的空气管道全部采用304不锈钢材质；室内≤DN200的重力流污水管道采用UPVC，其他污水重力流管道均采用HDPE双壁波纹管；所有压力流污水管道采用PE实壁管，压力等级1.6 MPa。</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48" w:name="_Toc1142"/>
      <w:r/>
      <w:bookmarkStart w:id="49" w:name="_Toc229738182"/>
      <w:r>
        <w:rPr>
          <w:rFonts w:hint="eastAsia" w:ascii="宋体" w:hAnsi="宋体" w:eastAsia="宋体" w:cs="宋体"/>
          <w:b/>
          <w:bCs/>
          <w:sz w:val="24"/>
          <w:szCs w:val="24"/>
          <w:highlight w:val="none"/>
        </w:rPr>
        <w:t xml:space="preserve">3.3.9 在线监测要求</w:t>
      </w:r>
      <w:bookmarkEnd w:id="48"/>
      <w:r/>
      <w:bookmarkEnd w:id="49"/>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系统中需设置的在线检测项目如下：</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调节池仪表采用隔爆型。</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生产废水进水流量；初期雨水进水流量；渗滤液进水流量；调节池出水管流量。</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各水池（根据需要）、药剂罐液位，且具备高低液位报警。</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加药泵出口流量计。</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自清洗过滤器进出口压力。</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反硝化池温度、ORP；硝化池DO、pH、温度；风机风量、风压；生反池污泥浓度。</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冷却塔温度、污泥进水口温度；冷却污泥泵出口温度、冷却污泥回流管温度、冷却水管换热前后温度。</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各排泥管流量计。</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膜组件进出水流量、pH、电导率、温度；膜组件进水过滤器进出口压力；膜组件回流流量、压力；膜组件清液罐液位（需现场显示）、pH。</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脱水机进口流量计。</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对可能存在可燃或有毒气体泄漏的场所设置可燃及有毒气体探测器，并在危险区域外设置声光报警器。</w:t>
      </w:r>
      <w:r/>
    </w:p>
    <w:p>
      <w:pPr>
        <w:ind w:firstLine="480"/>
        <w:jc w:val="both"/>
        <w:spacing w:line="360" w:lineRule="auto"/>
        <w:rPr>
          <w:rFonts w:ascii="Times New Roman" w:hAnsi="Times New Roman" w:eastAsia="宋体" w:cs="Times New Roman"/>
          <w:color w:val="ff0000"/>
          <w:sz w:val="24"/>
        </w:rPr>
      </w:pPr>
      <w:r/>
      <w:bookmarkStart w:id="50" w:name="_Toc229738184"/>
      <w:r>
        <w:rPr>
          <w:rFonts w:ascii="Times New Roman" w:hAnsi="Times New Roman" w:eastAsia="宋体" w:cs="Times New Roman"/>
          <w:color w:val="ff0000"/>
          <w:sz w:val="24"/>
        </w:rPr>
        <w:t xml:space="preserve">出水在线监测仪表（位于在线监测间）如下表所示，信号上传至中控室及当地环保局。应满足当地环保局要求并通过相关验收。</w:t>
      </w:r>
      <w:r/>
    </w:p>
    <w:tbl>
      <w:tblPr>
        <w:tblStyle w:val="77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
        <w:gridCol w:w="2379"/>
        <w:gridCol w:w="5027"/>
        <w:gridCol w:w="1071"/>
        <w:gridCol w:w="281"/>
      </w:tblGrid>
      <w:tr>
        <w:trPr>
          <w:cantSplit/>
          <w:jc w:val="center"/>
          <w:trHeight w:val="454"/>
        </w:trPr>
        <w:tc>
          <w:tcPr>
            <w:tcW w:w="262"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1</w:t>
            </w:r>
            <w:r/>
          </w:p>
        </w:tc>
        <w:tc>
          <w:tcPr>
            <w:tcW w:w="1286"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pH/T在线检测仪</w:t>
            </w:r>
            <w:r/>
          </w:p>
        </w:tc>
        <w:tc>
          <w:tcPr>
            <w:tcW w:w="2718"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pH：1~14、T：0～100℃，满足环保要求</w:t>
            </w:r>
            <w:r/>
          </w:p>
        </w:tc>
        <w:tc>
          <w:tcPr>
            <w:tcW w:w="579"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1套</w:t>
            </w:r>
            <w:r/>
          </w:p>
        </w:tc>
        <w:tc>
          <w:tcPr>
            <w:tcW w:w="152"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r>
      <w:tr>
        <w:trPr>
          <w:cantSplit/>
          <w:jc w:val="center"/>
          <w:trHeight w:val="454"/>
        </w:trPr>
        <w:tc>
          <w:tcPr>
            <w:tcW w:w="262"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w:t>
            </w:r>
            <w:r/>
          </w:p>
        </w:tc>
        <w:tc>
          <w:tcPr>
            <w:tcW w:w="1286"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COD在线检测仪</w:t>
            </w:r>
            <w:r/>
          </w:p>
        </w:tc>
        <w:tc>
          <w:tcPr>
            <w:tcW w:w="2718"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重铬酸钾法0～1000 mg/L，满足环保要求</w:t>
            </w:r>
            <w:r/>
          </w:p>
        </w:tc>
        <w:tc>
          <w:tcPr>
            <w:tcW w:w="579"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1套</w:t>
            </w:r>
            <w:r/>
          </w:p>
        </w:tc>
        <w:tc>
          <w:tcPr>
            <w:tcW w:w="152"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r>
      <w:tr>
        <w:trPr>
          <w:cantSplit/>
          <w:jc w:val="center"/>
          <w:trHeight w:val="454"/>
        </w:trPr>
        <w:tc>
          <w:tcPr>
            <w:tcW w:w="262"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3</w:t>
            </w:r>
            <w:r/>
          </w:p>
        </w:tc>
        <w:tc>
          <w:tcPr>
            <w:tcW w:w="1286"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NH3-N在线检测仪</w:t>
            </w:r>
            <w:r/>
          </w:p>
        </w:tc>
        <w:tc>
          <w:tcPr>
            <w:tcW w:w="2718"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0~100 mg/L，满足环保要求</w:t>
            </w:r>
            <w:r/>
          </w:p>
        </w:tc>
        <w:tc>
          <w:tcPr>
            <w:tcW w:w="579"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1套</w:t>
            </w:r>
            <w:r/>
          </w:p>
        </w:tc>
        <w:tc>
          <w:tcPr>
            <w:tcW w:w="152"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r>
      <w:tr>
        <w:trPr>
          <w:cantSplit/>
          <w:jc w:val="center"/>
          <w:trHeight w:val="454"/>
        </w:trPr>
        <w:tc>
          <w:tcPr>
            <w:tcW w:w="262"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4</w:t>
            </w:r>
            <w:r/>
          </w:p>
        </w:tc>
        <w:tc>
          <w:tcPr>
            <w:tcW w:w="1286"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总磷在线检测仪</w:t>
            </w:r>
            <w:r/>
          </w:p>
        </w:tc>
        <w:tc>
          <w:tcPr>
            <w:tcW w:w="2718"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0~10 mg/L，满足环保要求</w:t>
            </w:r>
            <w:r/>
          </w:p>
        </w:tc>
        <w:tc>
          <w:tcPr>
            <w:tcW w:w="579"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1套</w:t>
            </w:r>
            <w:r/>
          </w:p>
        </w:tc>
        <w:tc>
          <w:tcPr>
            <w:tcW w:w="152"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r>
      <w:tr>
        <w:trPr>
          <w:cantSplit/>
          <w:jc w:val="center"/>
          <w:trHeight w:val="454"/>
        </w:trPr>
        <w:tc>
          <w:tcPr>
            <w:tcW w:w="262"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5</w:t>
            </w:r>
            <w:r/>
          </w:p>
        </w:tc>
        <w:tc>
          <w:tcPr>
            <w:tcW w:w="1286"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TN在线检测仪</w:t>
            </w:r>
            <w:r/>
          </w:p>
        </w:tc>
        <w:tc>
          <w:tcPr>
            <w:tcW w:w="2718"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0~100 mg/L，满足环保要求</w:t>
            </w:r>
            <w:r/>
          </w:p>
        </w:tc>
        <w:tc>
          <w:tcPr>
            <w:tcW w:w="579"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1套</w:t>
            </w:r>
            <w:r/>
          </w:p>
        </w:tc>
        <w:tc>
          <w:tcPr>
            <w:tcW w:w="152"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r>
      <w:tr>
        <w:trPr>
          <w:cantSplit/>
          <w:jc w:val="center"/>
          <w:trHeight w:val="454"/>
        </w:trPr>
        <w:tc>
          <w:tcPr>
            <w:tcW w:w="262"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6</w:t>
            </w:r>
            <w:r/>
          </w:p>
        </w:tc>
        <w:tc>
          <w:tcPr>
            <w:tcW w:w="1286"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数采仪</w:t>
            </w:r>
            <w:r/>
          </w:p>
        </w:tc>
        <w:tc>
          <w:tcPr>
            <w:tcW w:w="2718"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带Modbus接口，预留与环保部门通讯接口，满足环保要求</w:t>
            </w:r>
            <w:r/>
          </w:p>
        </w:tc>
        <w:tc>
          <w:tcPr>
            <w:tcW w:w="579"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1套</w:t>
            </w:r>
            <w:r/>
          </w:p>
        </w:tc>
        <w:tc>
          <w:tcPr>
            <w:tcW w:w="152"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r>
      <w:tr>
        <w:trPr>
          <w:cantSplit/>
          <w:jc w:val="center"/>
          <w:trHeight w:val="454"/>
        </w:trPr>
        <w:tc>
          <w:tcPr>
            <w:tcW w:w="262"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7</w:t>
            </w:r>
            <w:r/>
          </w:p>
        </w:tc>
        <w:tc>
          <w:tcPr>
            <w:tcW w:w="1286"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取样系统</w:t>
            </w:r>
            <w:r/>
          </w:p>
        </w:tc>
        <w:tc>
          <w:tcPr>
            <w:tcW w:w="2718"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包含采样泵、采样管路等，满足环保要求</w:t>
            </w:r>
            <w:r/>
          </w:p>
        </w:tc>
        <w:tc>
          <w:tcPr>
            <w:tcW w:w="579"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1套</w:t>
            </w:r>
            <w:r/>
          </w:p>
        </w:tc>
        <w:tc>
          <w:tcPr>
            <w:tcW w:w="152" w:type="pct"/>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r>
    </w:tbl>
    <w:p>
      <w:pPr>
        <w:pageBreakBefore w:val="0"/>
        <w:spacing w:after="0"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pageBreakBefore w:val="0"/>
        <w:spacing w:after="0"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3.4 </w:t>
      </w:r>
      <w:bookmarkStart w:id="51" w:name="_Toc11885"/>
      <w:r>
        <w:rPr>
          <w:rFonts w:hint="eastAsia" w:ascii="宋体" w:hAnsi="宋体" w:eastAsia="宋体" w:cs="宋体"/>
          <w:b/>
          <w:sz w:val="24"/>
          <w:szCs w:val="24"/>
          <w:highlight w:val="none"/>
        </w:rPr>
        <w:t xml:space="preserve">主要设备清单（参考）</w:t>
      </w:r>
      <w:bookmarkEnd w:id="50"/>
      <w:r/>
      <w:bookmarkEnd w:id="51"/>
      <w:r/>
      <w:r/>
    </w:p>
    <w:tbl>
      <w:tblPr>
        <w:tblStyle w:val="773"/>
        <w:tblW w:w="8926" w:type="dxa"/>
        <w:tblInd w:w="0" w:type="dxa"/>
        <w:tblLayout w:type="fixed"/>
        <w:tblCellMar>
          <w:left w:w="108" w:type="dxa"/>
          <w:top w:w="0" w:type="dxa"/>
          <w:right w:w="108" w:type="dxa"/>
          <w:bottom w:w="0" w:type="dxa"/>
        </w:tblCellMar>
        <w:tblLook w:val="04A0" w:firstRow="1" w:lastRow="0" w:firstColumn="1" w:lastColumn="0" w:noHBand="0" w:noVBand="1"/>
      </w:tblPr>
      <w:tblGrid>
        <w:gridCol w:w="562"/>
        <w:gridCol w:w="939"/>
        <w:gridCol w:w="1368"/>
        <w:gridCol w:w="3331"/>
        <w:gridCol w:w="856"/>
        <w:gridCol w:w="736"/>
        <w:gridCol w:w="1134"/>
      </w:tblGrid>
      <w:tr>
        <w:trPr>
          <w:trHeight w:val="278"/>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939"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系统</w:t>
            </w:r>
            <w:r/>
          </w:p>
        </w:tc>
        <w:tc>
          <w:tcPr>
            <w:tcBorders>
              <w:top w:val="single" w:color="auto" w:sz="4" w:space="0"/>
              <w:left w:val="none" w:color="000000" w:sz="4" w:space="0"/>
              <w:bottom w:val="single" w:color="auto" w:sz="4" w:space="0"/>
              <w:right w:val="single" w:color="auto" w:sz="4" w:space="0"/>
            </w:tcBorders>
            <w:tcW w:w="1368"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设备名称</w:t>
            </w:r>
            <w:r/>
          </w:p>
        </w:tc>
        <w:tc>
          <w:tcPr>
            <w:tcBorders>
              <w:top w:val="single" w:color="auto" w:sz="4" w:space="0"/>
              <w:left w:val="none" w:color="000000" w:sz="4" w:space="0"/>
              <w:bottom w:val="single" w:color="auto" w:sz="4" w:space="0"/>
              <w:right w:val="single" w:color="auto" w:sz="4" w:space="0"/>
            </w:tcBorders>
            <w:tcW w:w="3331"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核心参数</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trHeight w:val="555"/>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single" w:color="auto" w:sz="4" w:space="0"/>
              <w:bottom w:val="single" w:color="auto" w:sz="4" w:space="0"/>
              <w:right w:val="single" w:color="auto" w:sz="4" w:space="0"/>
            </w:tcBorders>
            <w:tcW w:w="939"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收集池系统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格栅机</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栅间隙3 mm，流量&gt;8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/h，安装角度75°材质：304，耙齿：ABS</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93"/>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搅拌机</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潜水搅拌器，功率大于1.5 kW，主机材质304材质，导轨及提升材质SUS304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6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提升泵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切割潜污泵泵，流量15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/h，扬程20 m，过流部件不锈钢304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1用1备</w:t>
            </w:r>
            <w:r/>
          </w:p>
        </w:tc>
      </w:tr>
      <w:tr>
        <w:trPr>
          <w:trHeight w:val="525"/>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single" w:color="auto" w:sz="4" w:space="0"/>
              <w:bottom w:val="single" w:color="auto" w:sz="4" w:space="0"/>
              <w:right w:val="single" w:color="auto" w:sz="4" w:space="0"/>
            </w:tcBorders>
            <w:tcW w:w="939"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预处理系统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微滤机</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进水流量Q=20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/h，不锈钢304材质，内网60目</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隔油设备</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进水流量Q=20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/h，不锈钢304材质</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排泥泵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Q=5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/h，H=20 m，不锈钢304，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搅拌机</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潜水搅拌器，功率大于1.5 kW，主机材质304材质，导轨及提升材质SUS304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提升泵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潜污泵，流量15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/h，扬程20 m，不锈钢304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气浮机</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溶气气浮，处理量20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/h，带2个反应槽，碳钢防腐材质</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single" w:color="auto" w:sz="4" w:space="0"/>
              <w:bottom w:val="single" w:color="auto" w:sz="4" w:space="0"/>
              <w:right w:val="single" w:color="auto" w:sz="4" w:space="0"/>
            </w:tcBorders>
            <w:tcW w:w="939"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调节池系统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搅拌机</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潜水搅拌器，功率大于2.5 kW，主机材质304材质，导轨及提升材质SUS304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提升泵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流量8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/h，扬程15 m，不锈钢304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single" w:color="auto" w:sz="4" w:space="0"/>
              <w:bottom w:val="single" w:color="auto" w:sz="4" w:space="0"/>
              <w:right w:val="single" w:color="auto" w:sz="4" w:space="0"/>
            </w:tcBorders>
            <w:tcW w:w="939"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缺氧生化系统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进水过滤器</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袋式过滤器，过流量20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/h，壳体SUS304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8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搅拌机</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潜水搅拌器，功率3.0 kW，主机材质304材质，导轨及提升材质SUS304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none" w:color="000000" w:sz="4" w:space="0"/>
              <w:left w:val="single" w:color="auto" w:sz="4" w:space="0"/>
              <w:bottom w:val="single" w:color="auto" w:sz="4" w:space="0"/>
              <w:right w:val="single" w:color="auto" w:sz="4" w:space="0"/>
            </w:tcBorders>
            <w:tcW w:w="939"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好氧生化系统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空气悬浮</w:t>
            </w:r>
            <w:r/>
          </w:p>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风机</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风量大于50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/min，水深大于6000 mm</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曝气器</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专用曝气器，PP材质，总曝气风量大于100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/min</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内回流泵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卧式离心泵，Q=15 0m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/h，H=13 m，过流材质304不锈钢</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none" w:color="000000" w:sz="4" w:space="0"/>
              <w:left w:val="single" w:color="auto" w:sz="4" w:space="0"/>
              <w:bottom w:val="single" w:color="auto" w:sz="4" w:space="0"/>
              <w:right w:val="single" w:color="auto" w:sz="4" w:space="0"/>
            </w:tcBorders>
            <w:tcW w:w="939"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生化冷却系统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冷却污泥泵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卧式离心泵，Q=150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/h，H=20 m，过流材质304不锈钢</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1用1备</w:t>
            </w:r>
            <w:r/>
          </w:p>
        </w:tc>
      </w:tr>
      <w:tr>
        <w:trPr>
          <w:trHeight w:val="54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换热器</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热端流量150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/h，40-35 ℃，冷端流量150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/h，27-32 ℃，换热面积板大于70 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；片材质SS304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冷却塔</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循环量150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/h，材质FRP，进出温度37~32 ℃，湿球温度28 ℃</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ind w:firstLine="40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ind w:firstLine="40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25"/>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清水泵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立式离心泵，流量150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/h，扬程15 m，泵体及叶轮材质铸铁</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Borders>
              <w:top w:val="none" w:color="000000" w:sz="4" w:space="0"/>
              <w:left w:val="single" w:color="auto" w:sz="4" w:space="0"/>
              <w:bottom w:val="single" w:color="auto" w:sz="4" w:space="0"/>
              <w:right w:val="single" w:color="auto" w:sz="4" w:space="0"/>
            </w:tcBorders>
            <w:tcW w:w="939"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超滤系统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超滤进水泵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卧式离心泵，污水流量7</w:t>
            </w:r>
            <w:r>
              <w:rPr>
                <w:rFonts w:hint="eastAsia" w:ascii="宋体" w:hAnsi="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5 m</w:t>
            </w:r>
            <w:r>
              <w:rPr>
                <w:rFonts w:hint="eastAsia" w:ascii="宋体" w:hAnsi="宋体" w:eastAsia="宋体" w:cs="宋体"/>
                <w:color w:val="ff0000"/>
                <w:sz w:val="24"/>
                <w:szCs w:val="24"/>
                <w:highlight w:val="none"/>
                <w:vertAlign w:val="superscript"/>
              </w:rPr>
              <w:t xml:space="preserve">3</w:t>
            </w:r>
            <w:r>
              <w:rPr>
                <w:rFonts w:hint="eastAsia" w:ascii="宋体" w:hAnsi="宋体" w:eastAsia="宋体" w:cs="宋体"/>
                <w:color w:val="ff0000"/>
                <w:sz w:val="24"/>
                <w:szCs w:val="24"/>
                <w:highlight w:val="none"/>
              </w:rPr>
              <w:t xml:space="preserve">/h，扬程35 m，泵体及叶轮材质SS304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超滤系统</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外置管式超滤膜系统，处理能力150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/d，含进水过滤器、循环泵、膜、集成支架、电气自控等。</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Borders>
              <w:top w:val="none" w:color="000000" w:sz="4" w:space="0"/>
              <w:left w:val="single" w:color="auto" w:sz="4" w:space="0"/>
              <w:bottom w:val="single" w:color="auto" w:sz="4" w:space="0"/>
              <w:right w:val="single" w:color="auto" w:sz="4" w:space="0"/>
            </w:tcBorders>
            <w:tcW w:w="939"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纳滤系统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纳滤进水泵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卧式离心泵，污水流量7</w:t>
            </w:r>
            <w:r>
              <w:rPr>
                <w:rFonts w:hint="eastAsia" w:ascii="宋体" w:hAnsi="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5 m</w:t>
            </w:r>
            <w:r>
              <w:rPr>
                <w:rFonts w:hint="eastAsia" w:ascii="宋体" w:hAnsi="宋体" w:eastAsia="宋体" w:cs="宋体"/>
                <w:color w:val="ff0000"/>
                <w:sz w:val="24"/>
                <w:szCs w:val="24"/>
                <w:highlight w:val="none"/>
                <w:vertAlign w:val="superscript"/>
              </w:rPr>
              <w:t xml:space="preserve">3</w:t>
            </w:r>
            <w:r>
              <w:rPr>
                <w:rFonts w:hint="eastAsia" w:ascii="宋体" w:hAnsi="宋体" w:eastAsia="宋体" w:cs="宋体"/>
                <w:color w:val="ff0000"/>
                <w:sz w:val="24"/>
                <w:szCs w:val="24"/>
                <w:highlight w:val="none"/>
              </w:rPr>
              <w:t xml:space="preserve">/h，扬程35 m，泵体及叶轮材质SS304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纳滤系统</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处理能力150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/d，含进水过滤器、循环泵、膜、集成支架、电气自控等。</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产水外排泵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立式离心泵，流量8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/h，扬程20 m，泵体及叶轮材质SS304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高级氧化系统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设计配套，处理规模10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/h，碳钢防腐材质</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25"/>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加药系统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设计配套，含搅拌机，溶药桶，加药泵（流量可调）</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Borders>
              <w:top w:val="none" w:color="000000" w:sz="4" w:space="0"/>
              <w:left w:val="single" w:color="auto" w:sz="4" w:space="0"/>
              <w:bottom w:val="single" w:color="auto" w:sz="4" w:space="0"/>
              <w:right w:val="single" w:color="auto" w:sz="4" w:space="0"/>
            </w:tcBorders>
            <w:tcW w:w="939"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污泥处理系统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污泥进料泵</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螺杆泵，Q=5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/h，H=20 m，不锈钢304 </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污泥脱水机</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叠螺脱水机，主体材质SS304，干接点通讯</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螺旋输送机</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长度5m，直径Ø260，碳钢防腐，内衬尼龙板</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39"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絮凝剂</w:t>
            </w:r>
            <w:r/>
          </w:p>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投加装置</w:t>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0-500 L/h，流量可调</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自控系统</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PLC自控，大屏显示，工业上位机，就地柜等</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仪器仪表</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设计配套，含液位计、温度计、压力传感器、流量计、DO传感器等</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管道阀门</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设计配套</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78"/>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Borders>
              <w:top w:val="single" w:color="auto" w:sz="4" w:space="0"/>
              <w:left w:val="none" w:color="000000" w:sz="4" w:space="0"/>
              <w:bottom w:val="single" w:color="auto" w:sz="4" w:space="0"/>
              <w:right w:val="single" w:color="auto" w:sz="4" w:space="0"/>
            </w:tcBorders>
            <w:tcW w:w="939"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安装调试</w:t>
            </w:r>
            <w:r/>
          </w:p>
        </w:tc>
        <w:tc>
          <w:tcPr>
            <w:tcBorders>
              <w:top w:val="single" w:color="auto" w:sz="4" w:space="0"/>
              <w:left w:val="none" w:color="000000" w:sz="4" w:space="0"/>
              <w:bottom w:val="single" w:color="auto" w:sz="4" w:space="0"/>
              <w:right w:val="single" w:color="auto" w:sz="4" w:space="0"/>
            </w:tcBorders>
            <w:tcW w:w="1368"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3331"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设计配套，含污泥、菌种、药剂、营养盐等</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w:t>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ageBreakBefore w:val="0"/>
        <w:spacing w:after="0" w:line="360" w:lineRule="auto"/>
        <w:rPr>
          <w:rFonts w:hint="eastAsia" w:ascii="宋体" w:hAnsi="宋体" w:eastAsia="宋体" w:cs="宋体"/>
          <w:b/>
          <w:sz w:val="24"/>
          <w:szCs w:val="24"/>
          <w:highlight w:val="none"/>
        </w:rPr>
        <w:outlineLvl w:val="0"/>
      </w:pPr>
      <w:r/>
      <w:bookmarkStart w:id="52" w:name="_Toc229738185"/>
      <w:r/>
      <w:bookmarkStart w:id="53" w:name="_Toc30164"/>
      <w:r/>
      <w:bookmarkStart w:id="114" w:name="_GoBack"/>
      <w:r/>
      <w:bookmarkEnd w:id="114"/>
      <w:r>
        <w:rPr>
          <w:rFonts w:hint="eastAsia" w:ascii="宋体" w:hAnsi="宋体" w:eastAsia="宋体" w:cs="宋体"/>
          <w:b/>
          <w:sz w:val="24"/>
          <w:szCs w:val="24"/>
          <w:highlight w:val="none"/>
        </w:rPr>
        <w:t xml:space="preserve">4．工艺设备技术要求</w:t>
      </w:r>
      <w:bookmarkEnd w:id="52"/>
      <w:r/>
      <w:r/>
    </w:p>
    <w:p>
      <w:pPr>
        <w:pageBreakBefore w:val="0"/>
        <w:spacing w:after="0" w:line="360" w:lineRule="auto"/>
        <w:rPr>
          <w:rFonts w:hint="eastAsia" w:ascii="宋体" w:hAnsi="宋体" w:eastAsia="宋体" w:cs="宋体"/>
          <w:b/>
          <w:sz w:val="24"/>
          <w:szCs w:val="24"/>
          <w:highlight w:val="none"/>
        </w:rPr>
        <w:outlineLvl w:val="0"/>
      </w:pPr>
      <w:r/>
      <w:bookmarkStart w:id="54" w:name="_Toc229738186"/>
      <w:r>
        <w:rPr>
          <w:rFonts w:hint="eastAsia" w:ascii="宋体" w:hAnsi="宋体" w:eastAsia="宋体" w:cs="宋体"/>
          <w:b/>
          <w:sz w:val="24"/>
          <w:szCs w:val="24"/>
          <w:highlight w:val="none"/>
        </w:rPr>
        <w:t xml:space="preserve">4.1 总体要求</w:t>
      </w:r>
      <w:bookmarkEnd w:id="54"/>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污水处理系统设备（包括所有需要的辅助设备）应满足以下总体要求：</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w:t>
      </w:r>
      <w:r>
        <w:rPr>
          <w:rFonts w:hint="eastAsia" w:ascii="宋体" w:hAnsi="宋体" w:eastAsia="宋体" w:cs="宋体"/>
          <w:sz w:val="24"/>
          <w:szCs w:val="24"/>
          <w:highlight w:val="none"/>
          <w:lang w:eastAsia="zh-CN"/>
          <w14:ligatures w14:val="none"/>
        </w:rPr>
        <w:t xml:space="preserve">投标人</w:t>
      </w:r>
      <w:r>
        <w:rPr>
          <w:rFonts w:hint="eastAsia" w:ascii="宋体" w:hAnsi="宋体" w:eastAsia="宋体" w:cs="宋体"/>
          <w:sz w:val="24"/>
          <w:szCs w:val="24"/>
          <w:highlight w:val="none"/>
          <w14:ligatures w14:val="none"/>
        </w:rPr>
        <w:t xml:space="preserve">提供的设备应能保证在所在地区的气象条件下每日24小时连续平稳运转，并能在长期停运后，仍然能够正常启动运转。</w:t>
      </w:r>
      <w:r>
        <w:rPr>
          <w:rFonts w:hint="eastAsia" w:ascii="宋体" w:hAnsi="宋体" w:eastAsia="宋体" w:cs="宋体"/>
          <w:sz w:val="24"/>
          <w:szCs w:val="24"/>
          <w:highlight w:val="none"/>
          <w:lang w:eastAsia="zh-CN"/>
          <w14:ligatures w14:val="none"/>
        </w:rPr>
        <w:t xml:space="preserve">投标人</w:t>
      </w:r>
      <w:r>
        <w:rPr>
          <w:rFonts w:hint="eastAsia" w:ascii="宋体" w:hAnsi="宋体" w:eastAsia="宋体" w:cs="宋体"/>
          <w:sz w:val="24"/>
          <w:szCs w:val="24"/>
          <w:highlight w:val="none"/>
          <w14:ligatures w14:val="none"/>
        </w:rPr>
        <w:t xml:space="preserve">应根据本项目处理介质，并结合自身经验对污水处理系统成套设备进行优化配置，并在投标文件中提供详细计算过程和主要设计参数。</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w:t>
      </w:r>
      <w:r>
        <w:rPr>
          <w:rFonts w:hint="eastAsia" w:ascii="宋体" w:hAnsi="宋体" w:eastAsia="宋体" w:cs="宋体"/>
          <w:sz w:val="24"/>
          <w:szCs w:val="24"/>
          <w:highlight w:val="none"/>
          <w:lang w:eastAsia="zh-CN"/>
          <w14:ligatures w14:val="none"/>
        </w:rPr>
        <w:t xml:space="preserve">投标人</w:t>
      </w:r>
      <w:r>
        <w:rPr>
          <w:rFonts w:hint="eastAsia" w:ascii="宋体" w:hAnsi="宋体" w:eastAsia="宋体" w:cs="宋体"/>
          <w:sz w:val="24"/>
          <w:szCs w:val="24"/>
          <w:highlight w:val="none"/>
          <w14:ligatures w14:val="none"/>
        </w:rPr>
        <w:t xml:space="preserve">提供的所有设备和材料应是全新的，同类设备和配件应统一品牌。所有转动部分应设置保护壳，以防止事故发生。</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3）除本章节中明确要求外，其余各设备过流部件材质应不低于304不锈钢。</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4）“主要设备及性能要求”应满足章节本章节相关指标，若投标方因工艺优化导致设备与本招标文件描述不一致，则投标方同类或类似功能的设备在建设标准上也需满足本招标文件中对设备性能的要求。</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5）距离设备1 m处噪声不高于85 dB（A）；</w:t>
      </w:r>
      <w:r/>
    </w:p>
    <w:p>
      <w:pPr>
        <w:pageBreakBefore w:val="0"/>
        <w:spacing w:after="0" w:line="360" w:lineRule="auto"/>
        <w:rPr>
          <w:rFonts w:hint="eastAsia" w:ascii="宋体" w:hAnsi="宋体" w:eastAsia="宋体" w:cs="宋体"/>
          <w:b/>
          <w:sz w:val="24"/>
          <w:szCs w:val="24"/>
          <w:highlight w:val="none"/>
        </w:rPr>
        <w:outlineLvl w:val="0"/>
      </w:pPr>
      <w:r/>
      <w:bookmarkStart w:id="55" w:name="_Toc229738187"/>
      <w:r>
        <w:rPr>
          <w:rFonts w:hint="eastAsia" w:ascii="宋体" w:hAnsi="宋体" w:eastAsia="宋体" w:cs="宋体"/>
          <w:b/>
          <w:sz w:val="24"/>
          <w:szCs w:val="24"/>
          <w:highlight w:val="none"/>
        </w:rPr>
        <w:t xml:space="preserve">4.2 专用设备要求</w:t>
      </w:r>
      <w:bookmarkEnd w:id="55"/>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56" w:name="_Toc229738188"/>
      <w:r>
        <w:rPr>
          <w:rFonts w:hint="eastAsia" w:ascii="宋体" w:hAnsi="宋体" w:eastAsia="宋体" w:cs="宋体"/>
          <w:b/>
          <w:bCs/>
          <w:sz w:val="24"/>
          <w:szCs w:val="24"/>
          <w:highlight w:val="none"/>
        </w:rPr>
        <w:t xml:space="preserve">4.2.1 气浮成套设备</w:t>
      </w:r>
      <w:bookmarkEnd w:id="56"/>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lang w:eastAsia="zh-CN"/>
          <w14:ligatures w14:val="none"/>
        </w:rPr>
        <w:t xml:space="preserve">投标人</w:t>
      </w:r>
      <w:r>
        <w:rPr>
          <w:rFonts w:hint="eastAsia" w:ascii="宋体" w:hAnsi="宋体" w:eastAsia="宋体" w:cs="宋体"/>
          <w:sz w:val="24"/>
          <w:szCs w:val="24"/>
          <w:highlight w:val="none"/>
          <w14:ligatures w14:val="none"/>
        </w:rPr>
        <w:t xml:space="preserve">供货的渗滤液气浮设备应为成套装置，必须包括气浮池体及走道平台、刮渣机、溶气系统、加药装置、反应搅拌装置、喷淋装置、排泥装置、仪表、电控柜、电缆、阀门、管线等安全、有效、可靠运行的附件。</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材质不低于如下要求：</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（1）气浮池体：碳钢材质，抛丸除锈后达2.5a级后，内部三布五油FRP玻璃钢加强型防腐，外部底漆1道及面漆2道，内部管路UPVC材质。</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走道平台：走道板采用玻璃钢格板，含扶梯及操作走道平台，爬梯扶手碳钢防腐。</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（2）刮渣机：</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链条：PA6；</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链轮：尼龙材质；</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刮板：不锈钢304+平带板；</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传动轴：碳钢+FRP材质；</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液位控制系统，调节堰、丝杆：304不锈钢；</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（3）溶气系统：</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溶气罐：内部全部组件304不锈钢；</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液位平衡控制器：主体不锈钢304；</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溶气系统支架：碳钢防腐；</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溶气专用释放器：ABS材质，内部螺栓304；</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释放管路：化工级UPVC材质。</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回流水泵：过流部件SUS304材质；</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回流水泵至溶气罐管道、阀门：化工级UPVC材质。</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3）性能要求</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设备数量：气浮设备：1套；PAC/PAM制备及投加装置：1套。</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处理对象：垃圾中转站渗滤液及生产废水混合废水</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处理能力：＞20 m</w:t>
      </w:r>
      <w:r>
        <w:rPr>
          <w:rFonts w:hint="eastAsia" w:ascii="宋体" w:hAnsi="宋体" w:eastAsia="宋体" w:cs="宋体"/>
          <w:sz w:val="24"/>
          <w:szCs w:val="24"/>
          <w:highlight w:val="none"/>
          <w:vertAlign w:val="superscript"/>
          <w14:ligatures w14:val="none"/>
        </w:rPr>
        <w:t xml:space="preserve">3</w:t>
      </w:r>
      <w:r>
        <w:rPr>
          <w:rFonts w:hint="eastAsia" w:ascii="宋体" w:hAnsi="宋体" w:eastAsia="宋体" w:cs="宋体"/>
          <w:sz w:val="24"/>
          <w:szCs w:val="24"/>
          <w:highlight w:val="none"/>
          <w14:ligatures w14:val="none"/>
        </w:rPr>
        <w:t xml:space="preserve">/h</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溶气压力：0.4~0.55 MPa</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结构形式：平流式组合气浮，部分回流加压射流溶气。</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气浮池体含反应区（2格）、接触区、分离区、浮渣槽、清水槽、锥形底（污泥斗）。</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噪音：设备外1米噪声级需小于85 dB（A）。</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57" w:name="_Toc229738189"/>
      <w:r>
        <w:rPr>
          <w:rFonts w:hint="eastAsia" w:ascii="宋体" w:hAnsi="宋体" w:eastAsia="宋体" w:cs="宋体"/>
          <w:b/>
          <w:bCs/>
          <w:sz w:val="24"/>
          <w:szCs w:val="24"/>
          <w:highlight w:val="none"/>
        </w:rPr>
        <w:t xml:space="preserve">4.2.2 </w:t>
      </w:r>
      <w:bookmarkStart w:id="58" w:name="_Toc212018073"/>
      <w:r/>
      <w:bookmarkStart w:id="59" w:name="_Toc1036"/>
      <w:r>
        <w:rPr>
          <w:rFonts w:hint="eastAsia" w:ascii="宋体" w:hAnsi="宋体" w:eastAsia="宋体" w:cs="宋体"/>
          <w:b/>
          <w:bCs/>
          <w:sz w:val="24"/>
          <w:szCs w:val="24"/>
          <w:highlight w:val="none"/>
        </w:rPr>
        <w:t xml:space="preserve">立式离心污水泵</w:t>
      </w:r>
      <w:bookmarkEnd w:id="57"/>
      <w:r/>
      <w:bookmarkEnd w:id="58"/>
      <w:r/>
      <w:bookmarkEnd w:id="59"/>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每台管道泵应成套地配备齿轮减速电机；联轴器；机座；进水和出水配管；等安全、有效及可靠运行所必需的附件。</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工作介质：渗滤液及生产废水、脱水滤液等</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环境温度： +0℃～+45℃</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应能每天24小时连续运转</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★水泵主要材质不低于304不锈钢。</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60" w:name="_Toc229738190"/>
      <w:r>
        <w:rPr>
          <w:rFonts w:hint="eastAsia" w:ascii="宋体" w:hAnsi="宋体" w:eastAsia="宋体" w:cs="宋体"/>
          <w:b/>
          <w:bCs/>
          <w:sz w:val="24"/>
          <w:szCs w:val="24"/>
          <w:highlight w:val="none"/>
        </w:rPr>
        <w:t xml:space="preserve">4.2.3 潜水搅拌机</w:t>
      </w:r>
      <w:bookmarkEnd w:id="60"/>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每台潜水搅拌器应成套地配备安全、有效及可靠运行所需的附件、紧固件、备品备件、就地接线箱和按钮箱以及所需电缆，每台搅拌器应带有提升装置如提升导轨、提升链、手柄、支架及葫芦。</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搅拌器全部的重量受力在一个支架上，并且这个支架可承受搅拌器形成的推力。搅拌器、附件和电缆可在8米水深24小时持续潜水运行、间歇运行和长期停止状态后恢复运行。在整个运行过程中性能稳定，无故障运行时间可达10,000小时以上。</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★主要部件材质如下：</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螺旋桨：不锈钢304或以上</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主轴：不锈钢304或以上</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机械密封：碳化钨/碳化钨</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螺栓、螺母、垫圈：不锈钢304或以上</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导轨、支架：不锈钢304或以上</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提升链、绳：不锈钢304或以上</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电缆外套：氯丁橡胶</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提升装置起吊臂：不锈钢304以上</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61" w:name="_Toc229738191"/>
      <w:r>
        <w:rPr>
          <w:rFonts w:hint="eastAsia" w:ascii="宋体" w:hAnsi="宋体" w:eastAsia="宋体" w:cs="宋体"/>
          <w:b/>
          <w:bCs/>
          <w:sz w:val="24"/>
          <w:szCs w:val="24"/>
          <w:highlight w:val="none"/>
        </w:rPr>
        <w:t xml:space="preserve">4.2.4 射流曝气器</w:t>
      </w:r>
      <w:bookmarkEnd w:id="61"/>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投标方提供的射流曝气系统应为成套系统，含射流泵、曝气器、管道、阀门等。</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曝气器应为免维护防堵塞型，曝气器材质应为耐腐蚀的聚丙烯或不锈钢材质，</w:t>
      </w:r>
      <w:r>
        <w:rPr>
          <w:rFonts w:hint="eastAsia" w:ascii="宋体" w:hAnsi="宋体" w:eastAsia="宋体" w:cs="宋体"/>
          <w:sz w:val="24"/>
          <w:szCs w:val="24"/>
          <w:highlight w:val="none"/>
          <w:lang w:eastAsia="zh-CN"/>
          <w14:ligatures w14:val="none"/>
        </w:rPr>
        <w:t xml:space="preserve">投标人</w:t>
      </w:r>
      <w:r>
        <w:rPr>
          <w:rFonts w:hint="eastAsia" w:ascii="宋体" w:hAnsi="宋体" w:eastAsia="宋体" w:cs="宋体"/>
          <w:sz w:val="24"/>
          <w:szCs w:val="24"/>
          <w:highlight w:val="none"/>
          <w14:ligatures w14:val="none"/>
        </w:rPr>
        <w:t xml:space="preserve">提供的曝气装置必须适用于硝化池曝气的需要，应能有效地将来自鼓风机的有压空气，均匀地扩散于水体中，并能保持长期和稳定的曝气效果，以及停止供气时有效的闭合。</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lang w:eastAsia="zh-CN"/>
          <w14:ligatures w14:val="none"/>
        </w:rPr>
        <w:t xml:space="preserve">投标人</w:t>
      </w:r>
      <w:r>
        <w:rPr>
          <w:rFonts w:hint="eastAsia" w:ascii="宋体" w:hAnsi="宋体" w:eastAsia="宋体" w:cs="宋体"/>
          <w:sz w:val="24"/>
          <w:szCs w:val="24"/>
          <w:highlight w:val="none"/>
          <w14:ligatures w14:val="none"/>
        </w:rPr>
        <w:t xml:space="preserve">应保证曝气系统的排列方式，保证曝气均匀、搅拌充分，不会造成池底的积泥。</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w:t>
      </w:r>
      <w:r>
        <w:rPr>
          <w:rFonts w:hint="eastAsia" w:ascii="宋体" w:hAnsi="宋体" w:eastAsia="宋体" w:cs="宋体"/>
          <w:sz w:val="24"/>
          <w:szCs w:val="24"/>
          <w:highlight w:val="none"/>
          <w:lang w:eastAsia="zh-CN"/>
          <w14:ligatures w14:val="none"/>
        </w:rPr>
        <w:t xml:space="preserve">投标人</w:t>
      </w:r>
      <w:r>
        <w:rPr>
          <w:rFonts w:hint="eastAsia" w:ascii="宋体" w:hAnsi="宋体" w:eastAsia="宋体" w:cs="宋体"/>
          <w:sz w:val="24"/>
          <w:szCs w:val="24"/>
          <w:highlight w:val="none"/>
          <w14:ligatures w14:val="none"/>
        </w:rPr>
        <w:t xml:space="preserve">提供的设备应成功应用于同类渗沥液处理项目中。</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进入曝气器的空气应无需做空气净化，并应满足在长期连续使用或停用后再投入使用，均不会产生孔口的堵塞和混合液的回流。喷嘴、喉管、输气竖管及输气支管应适用于极限工作温度90℃。</w:t>
      </w:r>
      <w:r/>
    </w:p>
    <w:p>
      <w:pPr>
        <w:ind w:firstLine="480"/>
        <w:jc w:val="both"/>
        <w:pageBreakBefore w:val="0"/>
        <w:spacing w:after="0" w:line="360" w:lineRule="auto"/>
        <w:rPr>
          <w:rFonts w:hint="eastAsia" w:ascii="宋体" w:hAnsi="宋体" w:eastAsia="宋体" w:cs="宋体"/>
          <w:color w:val="ff0000"/>
          <w:sz w:val="24"/>
          <w:szCs w:val="24"/>
          <w:highlight w:val="none"/>
          <w14:ligatures w14:val="none"/>
        </w:rPr>
      </w:pPr>
      <w:r>
        <w:rPr>
          <w:rFonts w:hint="eastAsia" w:ascii="宋体" w:hAnsi="宋体" w:eastAsia="宋体" w:cs="宋体"/>
          <w:color w:val="ff0000"/>
          <w:sz w:val="24"/>
          <w:szCs w:val="24"/>
          <w:highlight w:val="none"/>
          <w14:ligatures w14:val="none"/>
        </w:rPr>
        <w:t xml:space="preserve">★射流曝气器应符合下列特性：气水比应大于4；氧利用率（清水深8 m）≥35%；工作寿命不小于20年。适于5米以上水深曝气。</w:t>
      </w:r>
      <w:r/>
    </w:p>
    <w:p>
      <w:pPr>
        <w:ind w:firstLine="480"/>
        <w:jc w:val="both"/>
        <w:pageBreakBefore w:val="0"/>
        <w:spacing w:after="0" w:line="360" w:lineRule="auto"/>
        <w:rPr>
          <w:rFonts w:hint="eastAsia" w:ascii="宋体" w:hAnsi="宋体" w:eastAsia="宋体" w:cs="宋体"/>
          <w:color w:val="ff0000"/>
          <w:sz w:val="24"/>
          <w:szCs w:val="24"/>
          <w:highlight w:val="none"/>
          <w14:ligatures w14:val="none"/>
        </w:rPr>
      </w:pPr>
      <w:r>
        <w:rPr>
          <w:rFonts w:hint="eastAsia" w:ascii="宋体" w:hAnsi="宋体" w:eastAsia="宋体" w:cs="宋体"/>
          <w:color w:val="ff0000"/>
          <w:sz w:val="24"/>
          <w:szCs w:val="24"/>
          <w:highlight w:val="none"/>
          <w:lang w:eastAsia="zh-CN"/>
          <w14:ligatures w14:val="none"/>
        </w:rPr>
        <w:t xml:space="preserve">投标人</w:t>
      </w:r>
      <w:r>
        <w:rPr>
          <w:rFonts w:hint="eastAsia" w:ascii="宋体" w:hAnsi="宋体" w:eastAsia="宋体" w:cs="宋体"/>
          <w:color w:val="ff0000"/>
          <w:sz w:val="24"/>
          <w:szCs w:val="24"/>
          <w:highlight w:val="none"/>
          <w14:ligatures w14:val="none"/>
        </w:rPr>
        <w:t xml:space="preserve">应对射流曝气器的特性和维护的可靠性、经济性等方面进行必要的说明，并提供设备特性及性能保证。</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62" w:name="_Toc212018077"/>
      <w:r/>
      <w:bookmarkStart w:id="63" w:name="_Toc229738192"/>
      <w:r/>
      <w:bookmarkStart w:id="64" w:name="_Toc15803"/>
      <w:r>
        <w:rPr>
          <w:rFonts w:hint="eastAsia" w:ascii="宋体" w:hAnsi="宋体" w:eastAsia="宋体" w:cs="宋体"/>
          <w:b/>
          <w:bCs/>
          <w:sz w:val="24"/>
          <w:szCs w:val="24"/>
          <w:highlight w:val="none"/>
        </w:rPr>
        <w:t xml:space="preserve">4.2.5 空气悬浮鼓风机</w:t>
      </w:r>
      <w:bookmarkEnd w:id="62"/>
      <w:r/>
      <w:bookmarkEnd w:id="63"/>
      <w:r/>
      <w:bookmarkEnd w:id="64"/>
      <w:r/>
      <w:r/>
    </w:p>
    <w:p>
      <w:pPr>
        <w:ind w:firstLine="480"/>
        <w:jc w:val="both"/>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14:ligatures w14:val="none"/>
        </w:rPr>
        <w:t xml:space="preserve">每台空气悬浮鼓风机及其辅助设备应为成套装置，整组系统应包括入口过滤/消音器、隔音罩、出口扩压消音器、永磁高速电机、变频器、主控制器、出口柔性接头、止回阀、放空阀、手动蝶阀，就地控制柜以及其他有效和安全运行所需的附件。</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lang w:eastAsia="zh-CN"/>
          <w14:ligatures w14:val="none"/>
        </w:rPr>
        <w:t xml:space="preserve">投标人</w:t>
      </w:r>
      <w:r>
        <w:rPr>
          <w:rFonts w:hint="eastAsia" w:ascii="宋体" w:hAnsi="宋体" w:eastAsia="宋体" w:cs="宋体"/>
          <w:sz w:val="24"/>
          <w:szCs w:val="24"/>
          <w:highlight w:val="none"/>
          <w14:ligatures w14:val="none"/>
        </w:rPr>
        <w:t xml:space="preserve">提供的设备应符合以下设计条件：</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工作介质：    大气</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空气吸入温度：－15℃～+40℃</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出口压力：大于6 mH2O  (20℃)  </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65" w:name="_Toc29248"/>
      <w:r/>
      <w:bookmarkStart w:id="66" w:name="_Toc229738193"/>
      <w:r/>
      <w:bookmarkStart w:id="67" w:name="_Toc212018078"/>
      <w:r>
        <w:rPr>
          <w:rFonts w:hint="eastAsia" w:ascii="宋体" w:hAnsi="宋体" w:eastAsia="宋体" w:cs="宋体"/>
          <w:b/>
          <w:bCs/>
          <w:sz w:val="24"/>
          <w:szCs w:val="24"/>
          <w:highlight w:val="none"/>
        </w:rPr>
        <w:t xml:space="preserve">4.2.6 单螺杆泵</w:t>
      </w:r>
      <w:bookmarkEnd w:id="65"/>
      <w:r/>
      <w:bookmarkEnd w:id="66"/>
      <w:r/>
      <w:bookmarkEnd w:id="67"/>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lang w:eastAsia="zh-CN"/>
          <w14:ligatures w14:val="none"/>
        </w:rPr>
        <w:t xml:space="preserve">投标人</w:t>
      </w:r>
      <w:r>
        <w:rPr>
          <w:rFonts w:hint="eastAsia" w:ascii="宋体" w:hAnsi="宋体" w:eastAsia="宋体" w:cs="宋体"/>
          <w:sz w:val="24"/>
          <w:szCs w:val="24"/>
          <w:highlight w:val="none"/>
          <w14:ligatures w14:val="none"/>
        </w:rPr>
        <w:t xml:space="preserve">供货的单螺杆泵应为成套装置，除泵本体外，必须包括驱动电机、联轴器、底座、调速装置、就地控制箱，检测仪表等安全、有效、可靠运行的附件。</w:t>
      </w:r>
      <w:r/>
    </w:p>
    <w:p>
      <w:pPr>
        <w:ind w:firstLine="360"/>
        <w:pageBreakBefore w:val="0"/>
        <w:spacing w:after="0" w:line="360" w:lineRule="auto"/>
        <w:rPr>
          <w:rFonts w:hint="eastAsia" w:ascii="宋体" w:hAnsi="宋体" w:eastAsia="宋体" w:cs="宋体"/>
          <w:sz w:val="24"/>
          <w:szCs w:val="24"/>
          <w:highlight w:val="none"/>
          <w14:ligatures w14:val="none"/>
        </w:rPr>
      </w:pPr>
      <w:r/>
      <w:bookmarkStart w:id="68" w:name="_Toc483820888"/>
      <w:r/>
      <w:bookmarkStart w:id="69" w:name="_Toc487357488"/>
      <w:r>
        <w:rPr>
          <w:rFonts w:hint="eastAsia" w:ascii="宋体" w:hAnsi="宋体" w:eastAsia="宋体" w:cs="宋体"/>
          <w:sz w:val="24"/>
          <w:szCs w:val="24"/>
          <w:highlight w:val="none"/>
          <w14:ligatures w14:val="none"/>
        </w:rPr>
        <w:t xml:space="preserve">现场条件</w:t>
      </w:r>
      <w:bookmarkEnd w:id="68"/>
      <w:r/>
      <w:bookmarkEnd w:id="69"/>
      <w:r>
        <w:rPr>
          <w:rFonts w:hint="eastAsia" w:ascii="宋体" w:hAnsi="宋体" w:eastAsia="宋体" w:cs="宋体"/>
          <w:sz w:val="24"/>
          <w:szCs w:val="24"/>
          <w:highlight w:val="none"/>
          <w14:ligatures w14:val="none"/>
        </w:rPr>
        <w:t xml:space="preserve">：</w:t>
      </w:r>
      <w:r/>
    </w:p>
    <w:p>
      <w:pPr>
        <w:ind w:firstLine="360"/>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介质：污水处理系统污泥（含生化系统剩余污泥、气浮化学污泥）</w:t>
      </w:r>
      <w:r/>
    </w:p>
    <w:p>
      <w:pPr>
        <w:ind w:firstLine="360"/>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水温：8～37℃</w:t>
      </w:r>
      <w:r/>
    </w:p>
    <w:p>
      <w:pPr>
        <w:ind w:firstLine="360"/>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水中pH值：6～9</w:t>
      </w:r>
      <w:r/>
    </w:p>
    <w:p>
      <w:pPr>
        <w:ind w:firstLine="360"/>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螺杆泵应采用单级、卧式、机械密封、容积式泵，变频调节的形式。</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螺杆泵应实行24 h连续运行或间歇运行，无故障累积运行时间大于20000 h。</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螺杆泵的电机（或通过减速器）与泵连接，并应安装在同一底盘上，泵与减速电机应通过弹性联轴器来连接，并须提供必要的安全防护装置（如防干运行装置等）。</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电机应采用变频调速（配有变频器装置），额定功率应大于最大工作负荷10%以上，绝缘等级F，防护等级IP55，电源为3P、380V、50Hz。</w:t>
      </w:r>
      <w:r/>
    </w:p>
    <w:p>
      <w:pPr>
        <w:ind w:firstLine="360"/>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轴封应采用机械密封。</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泵体应包含轴承箱（双排轴承），轴承的温升应不超过环境温度35℃，其极限温度不应超过80℃，确保泵平稳运行。机组噪音应小于75dB（A）（距离泵一米处测量）。</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70" w:name="_Toc229738194"/>
      <w:r/>
      <w:bookmarkStart w:id="71" w:name="_Toc212018079"/>
      <w:r/>
      <w:bookmarkStart w:id="72" w:name="_Toc25509"/>
      <w:r>
        <w:rPr>
          <w:rFonts w:hint="eastAsia" w:ascii="宋体" w:hAnsi="宋体" w:eastAsia="宋体" w:cs="宋体"/>
          <w:b/>
          <w:bCs/>
          <w:sz w:val="24"/>
          <w:szCs w:val="24"/>
          <w:highlight w:val="none"/>
        </w:rPr>
        <w:t xml:space="preserve">4.2.7 超滤/纳滤系统</w:t>
      </w:r>
      <w:bookmarkEnd w:id="70"/>
      <w:r/>
      <w:bookmarkEnd w:id="71"/>
      <w:r/>
      <w:bookmarkEnd w:id="72"/>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超滤/纳滤系统须为集成式一体化设备，主要以满足整个系统的要求为主，投标方可根据自己的工艺路线确定系统的处理能力，但须考虑一定的设计余度以保证膜通量衰减后系统产量仍可满足系统要求。</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系统所采用设备须具有较强的抗腐蚀能力，保证系统的使用寿命。</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系统所采用的膜须具有较强的抗污染能力和抗氧化能力，使用寿命超过五年。</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设备配置规模按150 m</w:t>
      </w:r>
      <w:r>
        <w:rPr>
          <w:rFonts w:hint="eastAsia" w:ascii="宋体" w:hAnsi="宋体" w:eastAsia="宋体" w:cs="宋体"/>
          <w:sz w:val="24"/>
          <w:szCs w:val="24"/>
          <w:highlight w:val="none"/>
          <w:vertAlign w:val="superscript"/>
          <w14:ligatures w14:val="none"/>
        </w:rPr>
        <w:t xml:space="preserve">3</w:t>
      </w:r>
      <w:r>
        <w:rPr>
          <w:rFonts w:hint="eastAsia" w:ascii="宋体" w:hAnsi="宋体" w:eastAsia="宋体" w:cs="宋体"/>
          <w:sz w:val="24"/>
          <w:szCs w:val="24"/>
          <w:highlight w:val="none"/>
          <w14:ligatures w14:val="none"/>
        </w:rPr>
        <w:t xml:space="preserve">/d设置。</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系统的自动控制系统应充分考虑与全场中央控制系统的衔接。</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73" w:name="_Toc212018080"/>
      <w:r/>
      <w:bookmarkStart w:id="74" w:name="_Toc229738195"/>
      <w:r/>
      <w:bookmarkStart w:id="75" w:name="_Toc5636"/>
      <w:r>
        <w:rPr>
          <w:rFonts w:hint="eastAsia" w:ascii="宋体" w:hAnsi="宋体" w:eastAsia="宋体" w:cs="宋体"/>
          <w:b/>
          <w:bCs/>
          <w:sz w:val="24"/>
          <w:szCs w:val="24"/>
          <w:highlight w:val="none"/>
        </w:rPr>
        <w:t xml:space="preserve">4.2.8 叠螺脱水系统</w:t>
      </w:r>
      <w:bookmarkEnd w:id="73"/>
      <w:r/>
      <w:bookmarkEnd w:id="74"/>
      <w:r/>
      <w:bookmarkEnd w:id="75"/>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包括污泥处理系统所有工艺、电气、仪控设备及附件的供货、安装和调试。具体包括但不限于叠螺脱水机、螺杆式污泥进料泵、干污泥螺旋输送机、PAM投配装置、所有安装支架、设备平台、所有管道与相连结的阀类、仪表、就地控制箱与配电接线等安全和有效运行所必需的附件。</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（a）叠螺脱水机的进料为渗滤液及生产废水混合原液、生化系统产生剩余污泥和气浮设备产生的化学污泥。</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（b）叠螺脱水机每周工作7日，每天工作12小时。</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（c）工作环境：</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温度-10℃～40℃</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湿度 最大90%RH</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（d）叠螺脱水机应布置在污泥脱水车间内，并设置平台便于检修维护。</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（4）性能结构和材料</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性能材质不低于如下要求：</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浓缩部：SUS304；</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脱水部：硬态SUS304</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螺旋轴：材质SUS304，叶片端面倒角，表面采用特殊耐磨合金工艺加硬；</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凝集混合槽：SUS304</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喷淋头：316L</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叠螺脱水系统须为无人值守全自动运行模式，从污泥进料、絮凝调理、脱水、卸泥到喷淋冲洗全流程自动完成，无需人工干预；具备 24 h 连续稳定运行能力，并可在中控室/手机端实现远程启停、参数设定、故障报警及数据记录。</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加药装置计量泵采用机械隔膜泵，每种药剂的计量泵1用1备配置。</w:t>
      </w:r>
      <w:r/>
    </w:p>
    <w:p>
      <w:pPr>
        <w:ind w:firstLine="36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溶药罐配置搅拌器，有效容积应大于等于一天的药剂使用量。</w:t>
      </w:r>
      <w:r/>
    </w:p>
    <w:p>
      <w:pPr>
        <w:pageBreakBefore w:val="0"/>
        <w:spacing w:after="0" w:line="360" w:lineRule="auto"/>
        <w:rPr>
          <w:rFonts w:hint="eastAsia" w:ascii="宋体" w:hAnsi="宋体" w:eastAsia="宋体" w:cs="宋体"/>
          <w:b/>
          <w:sz w:val="24"/>
          <w:szCs w:val="24"/>
          <w:highlight w:val="none"/>
        </w:rPr>
        <w:outlineLvl w:val="0"/>
      </w:pPr>
      <w:r/>
      <w:bookmarkStart w:id="76" w:name="_Toc229738196"/>
      <w:r>
        <w:rPr>
          <w:rFonts w:hint="eastAsia" w:ascii="宋体" w:hAnsi="宋体" w:eastAsia="宋体" w:cs="宋体"/>
          <w:b/>
          <w:sz w:val="24"/>
          <w:szCs w:val="24"/>
          <w:highlight w:val="none"/>
        </w:rPr>
        <w:t xml:space="preserve">4.3 电气控制</w:t>
      </w:r>
      <w:bookmarkEnd w:id="76"/>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设备系统集成商负责整个污水处理系统内的电气系统的设备设计、供货、安装、调试、测试、验收等相关工作，保证系统在各种工况下安全稳定地运行，确保污水处理系统效率达到要求。</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电气控制柜：</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柜体采用GCK或MNS型开关柜，就地操作箱材质为不锈钢304。</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控制柜体采用防腐蚀性强的不锈钢304钢板，厚度不小于2.0 mm，型钢支架，框架的结构件用螺栓紧固连接而成。所有框架零件应为免维护型。开关柜内部划分为四个区域：水平母线区，垂直母线区，电器设备区和电缆区，区域之间应采用敷铝锌钢板或阻燃性材料隔开成为相互独立的全封闭结构，应严格防止开关元件因故障引起的飞弧造成电气设备的短路。</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所有机械设备配套的控制箱，所采用的电气元件应为同一生产厂家的同一品牌系列，并与低压开关柜内所采用的厂家品牌系列相一致。</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系统低压电源进线侧及单机30 kW以上的电动机需就地单独计量。</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在单机15 kW及以上的出线回路上设置数字显示型表计，带标准485接口，测量出线回路上所有元器件的状态信号、所有电机的电气信号（电流、电压、电能）通过表计的485接口上传。</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就地控制柜应符合下列要求：</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（a）能对主机和辅助设备进行单独操作和以一条流水线为单元进行联动操作。</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（b）配置向中心控制室传输各设备状态显示信号的接口。</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（c）配置接收中心控制室的开、停控制信号的接口。</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（d）配置短路、过载等保护，特殊电机还应根据电机特点提供专用保护。</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（e）控制及保护回路分开，所有按钮，指示灯等必须匹配。</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（f）控制柜应有输入输出信号外接端子，信号类型及要求详见自控部分相关章节。</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就地按钮箱应满足下列要求：</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（a）箱面设开（正反转）/停按钮，自动/手动转换开关及紧急停车按钮 ,手动控制优先；有变频装置的电机按钮箱需配置就地无级调速面板。</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（b）箱面应有开/停，过载及电机故障信号灯</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（c）按钮及信号灯颜色统一规定为：红—停，绿—开，黄—故障，白—电源指示。</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变频器：</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根据工艺需求须配置的变频器必须能与任何符合IEC标准设计的电机一起使用，而不需使用特殊的变频专用电机。变频器应针对电机进行一对一进行配置。</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软启动装置：</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系统内30 kW及以上的电机设备均需配置软启装置，50 kW以上电机必须设置外置旁路。</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按钮箱、检修箱：</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当电控柜（箱）不靠设备安装时，设备旁应配置按钮箱。按钮箱（检修箱）的户内防护等级IP4X，户外为IP65，外壳采用304不锈钢材料，防腐等级应达到防腐蚀类型WF2，抗机械冲击强度等级IK08，耐阻燃灼热丝试验750ºC，室外使用还应抗紫外线。箱体外形、色彩须征得雇主许可。箱体及遮阳雨蓬的外形、色彩要求统一协调，并须征得</w:t>
      </w:r>
      <w:r>
        <w:rPr>
          <w:rFonts w:hint="eastAsia" w:ascii="宋体" w:hAnsi="宋体" w:cs="宋体"/>
          <w:bCs/>
          <w:sz w:val="24"/>
          <w:szCs w:val="24"/>
          <w:highlight w:val="none"/>
          <w:lang w:eastAsia="zh-CN"/>
          <w14:ligatures w14:val="none"/>
        </w:rPr>
        <w:t xml:space="preserve">采购人</w:t>
      </w:r>
      <w:r>
        <w:rPr>
          <w:rFonts w:hint="eastAsia" w:ascii="宋体" w:hAnsi="宋体" w:eastAsia="宋体" w:cs="宋体"/>
          <w:bCs/>
          <w:sz w:val="24"/>
          <w:szCs w:val="24"/>
          <w:highlight w:val="none"/>
          <w14:ligatures w14:val="none"/>
        </w:rPr>
        <w:t xml:space="preserve">许可。</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接线盒：</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水下电机等特殊设备还应配套接线盒，用于供电电缆与设备本体电缆的连接。接线盒采用不锈钢304材质，防护等级IP65。并配套不锈钢安装支架。</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电缆及桥架：</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（1）动力电缆采用YJV型低压电缆,控制电缆采用KVVP型控制电缆，开关量信号电缆采用KVVP型控制电缆,模拟量电缆采用DJYVP型计算机电缆。</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（2）电缆桥架采用轻质、加强型结构的节能耐腐蚀钢制电缆桥架，执行标准GB/T23639-2017《节能耐腐蚀钢制电缆桥架》；电缆桥架的厚度应满足国标要求。</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3）电缆桥架型式为托盘式、带盖板，电缆桥架及其附件所用材料应采用304不锈钢材质，电缆桥架的净厚度不小于2mm。桥架及其附件内外表面应均匀，桥架外部须平整、光滑、无划痕，内部不应有锐边、毛刺或损伤电缆绝缘的凸出部分。</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（4）桥架安装所用吊支架每2-6米一套，具体要按照电缆载荷测算。</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桥架接地应采用编制铜线连接，沿桥架（金属线槽）内敷设一根-25*4热镀锌扁钢作为接地线，两端与接地网就近连接。</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穿越变形缝应留有20~30mm补偿余量，其连接采用伸缩连接板。抗震缝的两端应设置抗震支架并与结构可靠连接。</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若施工时对桥架有钻切，折弯等现场处理，需采用桥架专用涂料进行防腐喷涂。</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动力电缆与仪控电缆应分开敷设。</w:t>
      </w:r>
      <w:r/>
    </w:p>
    <w:p>
      <w:pPr>
        <w:pageBreakBefore w:val="0"/>
        <w:spacing w:after="0" w:line="360" w:lineRule="auto"/>
        <w:rPr>
          <w:rFonts w:hint="eastAsia" w:ascii="宋体" w:hAnsi="宋体" w:eastAsia="宋体" w:cs="宋体"/>
          <w:b/>
          <w:sz w:val="24"/>
          <w:szCs w:val="24"/>
          <w:highlight w:val="none"/>
        </w:rPr>
        <w:outlineLvl w:val="0"/>
      </w:pPr>
      <w:r/>
      <w:bookmarkStart w:id="77" w:name="_Toc229738197"/>
      <w:r>
        <w:rPr>
          <w:rFonts w:hint="eastAsia" w:ascii="宋体" w:hAnsi="宋体" w:eastAsia="宋体" w:cs="宋体"/>
          <w:b/>
          <w:sz w:val="24"/>
          <w:szCs w:val="24"/>
          <w:highlight w:val="none"/>
        </w:rPr>
        <w:t xml:space="preserve">4.4 自控设备</w:t>
      </w:r>
      <w:bookmarkEnd w:id="77"/>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提供完整、可靠、符合有关工业标准的污水处理系统内部的控制设施以及招标范围内的满足整个污水处理系统的检测仪表（如：温度、压力、流量、液位等）及安装附件，所有仪表的安装位置应满足仪表安装要求，并便于现场就地操作及巡检。</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如现场发现供货数量和质量不能满足施工或工艺要求，</w:t>
      </w:r>
      <w:r>
        <w:rPr>
          <w:rFonts w:hint="eastAsia" w:ascii="宋体" w:hAnsi="宋体" w:eastAsia="宋体" w:cs="宋体"/>
          <w:bCs/>
          <w:sz w:val="24"/>
          <w:szCs w:val="24"/>
          <w:highlight w:val="none"/>
          <w:lang w:eastAsia="zh-CN"/>
          <w14:ligatures w14:val="none"/>
        </w:rPr>
        <w:t xml:space="preserve">投标人</w:t>
      </w:r>
      <w:r>
        <w:rPr>
          <w:rFonts w:hint="eastAsia" w:ascii="宋体" w:hAnsi="宋体" w:eastAsia="宋体" w:cs="宋体"/>
          <w:bCs/>
          <w:sz w:val="24"/>
          <w:szCs w:val="24"/>
          <w:highlight w:val="none"/>
          <w14:ligatures w14:val="none"/>
        </w:rPr>
        <w:t xml:space="preserve">负责及时免费补供而无商务问题。</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系统设计满足污水处理系统的自动调节要求，保证系统在各种工况下安全稳定地运行。</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污水处理系统设置在转运车间及管理用房内，通过工业以太网（TCP/IP方式）与全厂整体自控系统通讯，</w:t>
      </w:r>
      <w:r>
        <w:rPr>
          <w:rFonts w:hint="eastAsia" w:ascii="宋体" w:hAnsi="宋体" w:eastAsia="宋体" w:cs="宋体"/>
          <w:bCs/>
          <w:sz w:val="24"/>
          <w:szCs w:val="24"/>
          <w:highlight w:val="none"/>
          <w:lang w:eastAsia="zh-CN"/>
          <w14:ligatures w14:val="none"/>
        </w:rPr>
        <w:t xml:space="preserve">投标人</w:t>
      </w:r>
      <w:r>
        <w:rPr>
          <w:rFonts w:hint="eastAsia" w:ascii="宋体" w:hAnsi="宋体" w:eastAsia="宋体" w:cs="宋体"/>
          <w:bCs/>
          <w:sz w:val="24"/>
          <w:szCs w:val="24"/>
          <w:highlight w:val="none"/>
          <w14:ligatures w14:val="none"/>
        </w:rPr>
        <w:t xml:space="preserve">负责污水处理系统的光端交换机。</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lang w:eastAsia="zh-CN"/>
          <w14:ligatures w14:val="none"/>
        </w:rPr>
        <w:t xml:space="preserve">投标人</w:t>
      </w:r>
      <w:r>
        <w:rPr>
          <w:rFonts w:hint="eastAsia" w:ascii="宋体" w:hAnsi="宋体" w:eastAsia="宋体" w:cs="宋体"/>
          <w:bCs/>
          <w:sz w:val="24"/>
          <w:szCs w:val="24"/>
          <w:highlight w:val="none"/>
          <w14:ligatures w14:val="none"/>
        </w:rPr>
        <w:t xml:space="preserve">负责整个系统的单机和联机调试，并应向上位中控系统开放通讯协议，上位中控系统能远程监视及控制污水处理系统内的所有设备，有义务协助配合上级管理控制系统厂家完成全厂整体自控系统的联机的调试工作（提供通讯点表、GSD文件、画面拷屏等资料）。如上级管理控制系统厂家对</w:t>
      </w:r>
      <w:r>
        <w:rPr>
          <w:rFonts w:hint="eastAsia" w:ascii="宋体" w:hAnsi="宋体" w:eastAsia="宋体" w:cs="宋体"/>
          <w:bCs/>
          <w:sz w:val="24"/>
          <w:szCs w:val="24"/>
          <w:highlight w:val="none"/>
          <w:lang w:eastAsia="zh-CN"/>
          <w14:ligatures w14:val="none"/>
        </w:rPr>
        <w:t xml:space="preserve">投标人</w:t>
      </w:r>
      <w:r>
        <w:rPr>
          <w:rFonts w:hint="eastAsia" w:ascii="宋体" w:hAnsi="宋体" w:eastAsia="宋体" w:cs="宋体"/>
          <w:bCs/>
          <w:sz w:val="24"/>
          <w:szCs w:val="24"/>
          <w:highlight w:val="none"/>
          <w14:ligatures w14:val="none"/>
        </w:rPr>
        <w:t xml:space="preserve">所提供资料有疑问，</w:t>
      </w:r>
      <w:r>
        <w:rPr>
          <w:rFonts w:hint="eastAsia" w:ascii="宋体" w:hAnsi="宋体" w:eastAsia="宋体" w:cs="宋体"/>
          <w:bCs/>
          <w:sz w:val="24"/>
          <w:szCs w:val="24"/>
          <w:highlight w:val="none"/>
          <w:lang w:eastAsia="zh-CN"/>
          <w14:ligatures w14:val="none"/>
        </w:rPr>
        <w:t xml:space="preserve">投标人</w:t>
      </w:r>
      <w:r>
        <w:rPr>
          <w:rFonts w:hint="eastAsia" w:ascii="宋体" w:hAnsi="宋体" w:eastAsia="宋体" w:cs="宋体"/>
          <w:bCs/>
          <w:sz w:val="24"/>
          <w:szCs w:val="24"/>
          <w:highlight w:val="none"/>
          <w14:ligatures w14:val="none"/>
        </w:rPr>
        <w:t xml:space="preserve">有义务予以解答。</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lang w:eastAsia="zh-CN"/>
          <w14:ligatures w14:val="none"/>
        </w:rPr>
        <w:t xml:space="preserve">投标人</w:t>
      </w:r>
      <w:r>
        <w:rPr>
          <w:rFonts w:hint="eastAsia" w:ascii="宋体" w:hAnsi="宋体" w:eastAsia="宋体" w:cs="宋体"/>
          <w:bCs/>
          <w:sz w:val="24"/>
          <w:szCs w:val="24"/>
          <w:highlight w:val="none"/>
          <w14:ligatures w14:val="none"/>
        </w:rPr>
        <w:t xml:space="preserve">提供的仪表和控制系统的设计、设备是选用已有可靠应用业绩和先进技术水平，具有高的可靠性、可操作性、可维护性和可扩展性。</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（1）环境条件</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应保证在规格书中指定的环境条件下，设备适宜于工作，同时具有可以达到的最高制造标准、可靠性、重复性及精确性。</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（2）设备、机箱的设计</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设备外壳采用304不锈钢（厚度不小于1.5 mm，亚光处理）外壳，防护等级应遵照IEC529如下：</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（a）在室内的设备用IP4X；</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（b）在户外的设备用IP65；</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（c）防爆区域内的仪表设备选用隔爆型；</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（d）安装在阀门、在水中或在地下的传感器或其它设备用IP67。所有设备的机箱应有可锁的门，任何通风口或百叶窗都应有有效的滤尘装置，任何冷却风扇都有风扇故障报警触头，连接到相应的报警系统。</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（e）设置在具有腐蚀性气体及潮湿环境场所的设备还应采用防腐防潮型。</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（f）仪表引压管路应有防冻，防烫措施。</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（3）电源</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本系统电源从</w:t>
      </w:r>
      <w:r>
        <w:rPr>
          <w:rFonts w:hint="eastAsia" w:ascii="宋体" w:hAnsi="宋体" w:eastAsia="宋体" w:cs="宋体"/>
          <w:bCs/>
          <w:sz w:val="24"/>
          <w:szCs w:val="24"/>
          <w:highlight w:val="none"/>
          <w:lang w:eastAsia="zh-CN"/>
          <w14:ligatures w14:val="none"/>
        </w:rPr>
        <w:t xml:space="preserve">投标人</w:t>
      </w:r>
      <w:r>
        <w:rPr>
          <w:rFonts w:hint="eastAsia" w:ascii="宋体" w:hAnsi="宋体" w:eastAsia="宋体" w:cs="宋体"/>
          <w:bCs/>
          <w:sz w:val="24"/>
          <w:szCs w:val="24"/>
          <w:highlight w:val="none"/>
          <w14:ligatures w14:val="none"/>
        </w:rPr>
        <w:t xml:space="preserve">提供的配电柜中输出，应有抑制出现在电力网络中的暂态浪涌电压吸收和暂态浪涌电压能量的过电压保护装置，然后进控制柜电源端。</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（4）信号类型</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所有控制设备应能在下列信号工作：</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（a）控制及监视的模拟信号：4～20 mADC+HART；</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（b）数字量输入信号：无源触点，触头容量24VDC，1A</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（c）数字量输出信号：无源触点，触头容量220VAC，2A并有继电器隔离。</w:t>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（d）所有进PLC的信号均为无源触点，所有进被控设备的信号均加继电器隔离。</w:t>
      </w:r>
      <w:r/>
    </w:p>
    <w:p>
      <w:pPr>
        <w:pageBreakBefore w:val="0"/>
        <w:spacing w:after="0" w:line="360" w:lineRule="auto"/>
        <w:rPr>
          <w:rFonts w:hint="eastAsia" w:ascii="宋体" w:hAnsi="宋体" w:eastAsia="宋体" w:cs="宋体"/>
          <w:b/>
          <w:sz w:val="24"/>
          <w:szCs w:val="24"/>
          <w:highlight w:val="none"/>
        </w:rPr>
        <w:outlineLvl w:val="0"/>
      </w:pPr>
      <w:r/>
      <w:bookmarkStart w:id="78" w:name="_Toc229738198"/>
      <w:r>
        <w:rPr>
          <w:rFonts w:hint="eastAsia" w:ascii="宋体" w:hAnsi="宋体" w:eastAsia="宋体" w:cs="宋体"/>
          <w:b/>
          <w:sz w:val="24"/>
          <w:szCs w:val="24"/>
          <w:highlight w:val="none"/>
        </w:rPr>
        <w:t xml:space="preserve">4.5 备品备件和专用工具</w:t>
      </w:r>
      <w:bookmarkEnd w:id="78"/>
      <w:r/>
      <w:r/>
    </w:p>
    <w:p>
      <w:pPr>
        <w:ind w:firstLine="480"/>
        <w:jc w:val="both"/>
        <w:pageBreakBefore w:val="0"/>
        <w:spacing w:after="0" w:line="360" w:lineRule="auto"/>
        <w:rPr>
          <w:rFonts w:hint="eastAsia" w:ascii="宋体" w:hAnsi="宋体" w:eastAsia="宋体" w:cs="宋体"/>
          <w:bCs/>
          <w:sz w:val="24"/>
          <w:szCs w:val="24"/>
          <w:highlight w:val="none"/>
          <w14:ligatures w14:val="none"/>
        </w:rPr>
      </w:pPr>
      <w:r>
        <w:rPr>
          <w:rFonts w:hint="eastAsia" w:ascii="宋体" w:hAnsi="宋体" w:eastAsia="宋体" w:cs="宋体"/>
          <w:bCs/>
          <w:sz w:val="24"/>
          <w:szCs w:val="24"/>
          <w:highlight w:val="none"/>
          <w14:ligatures w14:val="none"/>
        </w:rPr>
        <w:t xml:space="preserve">1）随机和试运行用备品备件：运输、存储、安装试运行期间所需的备件应包括在</w:t>
      </w:r>
      <w:r>
        <w:rPr>
          <w:rFonts w:hint="eastAsia" w:ascii="宋体" w:hAnsi="宋体" w:eastAsia="宋体" w:cs="宋体"/>
          <w:bCs/>
          <w:sz w:val="24"/>
          <w:szCs w:val="24"/>
          <w:highlight w:val="none"/>
          <w:lang w:eastAsia="zh-CN"/>
          <w14:ligatures w14:val="none"/>
        </w:rPr>
        <w:t xml:space="preserve">投标人</w:t>
      </w:r>
      <w:r>
        <w:rPr>
          <w:rFonts w:hint="eastAsia" w:ascii="宋体" w:hAnsi="宋体" w:eastAsia="宋体" w:cs="宋体"/>
          <w:bCs/>
          <w:sz w:val="24"/>
          <w:szCs w:val="24"/>
          <w:highlight w:val="none"/>
          <w14:ligatures w14:val="none"/>
        </w:rPr>
        <w:t xml:space="preserve">的报价范围内。</w:t>
      </w:r>
      <w:r/>
    </w:p>
    <w:p>
      <w:pPr>
        <w:ind w:firstLine="480"/>
        <w:jc w:val="both"/>
        <w:pageBreakBefore w:val="0"/>
        <w:spacing w:after="0" w:line="360" w:lineRule="auto"/>
        <w:rPr>
          <w:rFonts w:hint="eastAsia" w:ascii="宋体" w:hAnsi="宋体" w:eastAsia="宋体" w:cs="宋体"/>
          <w:bCs/>
          <w:color w:val="ff0000"/>
          <w:sz w:val="24"/>
          <w:szCs w:val="24"/>
          <w:highlight w:val="none"/>
          <w14:ligatures w14:val="none"/>
        </w:rPr>
      </w:pPr>
      <w:r>
        <w:rPr>
          <w:rFonts w:hint="eastAsia" w:ascii="宋体" w:hAnsi="宋体" w:eastAsia="宋体" w:cs="宋体"/>
          <w:color w:val="ff0000"/>
          <w:sz w:val="24"/>
          <w:szCs w:val="24"/>
          <w:highlight w:val="none"/>
          <w14:ligatures w14:val="none"/>
        </w:rPr>
        <w:t xml:space="preserve">★</w:t>
      </w:r>
      <w:r>
        <w:rPr>
          <w:rFonts w:hint="eastAsia" w:ascii="宋体" w:hAnsi="宋体" w:eastAsia="宋体" w:cs="宋体"/>
          <w:bCs/>
          <w:color w:val="ff0000"/>
          <w:sz w:val="24"/>
          <w:szCs w:val="24"/>
          <w:highlight w:val="none"/>
          <w14:ligatures w14:val="none"/>
        </w:rPr>
        <w:t xml:space="preserve">2）三年备品备件：三年（36个月）操作期内（包括计划检修不含试运行）所需的备品备件</w:t>
      </w:r>
      <w:r>
        <w:rPr>
          <w:rFonts w:hint="eastAsia" w:ascii="宋体" w:hAnsi="宋体" w:cs="宋体"/>
          <w:bCs/>
          <w:color w:val="ff0000"/>
          <w:sz w:val="24"/>
          <w:szCs w:val="24"/>
          <w:highlight w:val="none"/>
          <w:lang w:val="en-US" w:eastAsia="zh-CN"/>
          <w14:ligatures w14:val="none"/>
        </w:rPr>
        <w:t xml:space="preserve">均包含在投标</w:t>
      </w:r>
      <w:r>
        <w:rPr>
          <w:rFonts w:hint="eastAsia" w:ascii="宋体" w:hAnsi="宋体" w:eastAsia="宋体" w:cs="宋体"/>
          <w:bCs/>
          <w:color w:val="ff0000"/>
          <w:sz w:val="24"/>
          <w:szCs w:val="24"/>
          <w:highlight w:val="none"/>
          <w14:ligatures w14:val="none"/>
        </w:rPr>
        <w:t xml:space="preserve">报价范围内，</w:t>
      </w:r>
      <w:r>
        <w:rPr>
          <w:rFonts w:hint="eastAsia" w:ascii="宋体" w:hAnsi="宋体" w:eastAsia="宋体" w:cs="宋体"/>
          <w:bCs/>
          <w:color w:val="ff0000"/>
          <w:sz w:val="24"/>
          <w:szCs w:val="24"/>
          <w:highlight w:val="none"/>
          <w:lang w:eastAsia="zh-CN"/>
          <w14:ligatures w14:val="none"/>
        </w:rPr>
        <w:t xml:space="preserve">投标人</w:t>
      </w:r>
      <w:r>
        <w:rPr>
          <w:rFonts w:hint="eastAsia" w:ascii="宋体" w:hAnsi="宋体" w:eastAsia="宋体" w:cs="宋体"/>
          <w:bCs/>
          <w:color w:val="ff0000"/>
          <w:sz w:val="24"/>
          <w:szCs w:val="24"/>
          <w:highlight w:val="none"/>
          <w14:ligatures w14:val="none"/>
        </w:rPr>
        <w:t xml:space="preserve">应列出三年备品备件清单。</w:t>
      </w:r>
      <w:r/>
    </w:p>
    <w:p>
      <w:pPr>
        <w:ind w:firstLine="480"/>
        <w:jc w:val="both"/>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14:ligatures w14:val="none"/>
        </w:rPr>
        <w:t xml:space="preserve">3）专用工具：现场安装、拆卸、维修或操作等所必须的特殊工具应包括在</w:t>
      </w:r>
      <w:r>
        <w:rPr>
          <w:rFonts w:hint="eastAsia" w:ascii="宋体" w:hAnsi="宋体" w:eastAsia="宋体" w:cs="宋体"/>
          <w:bCs/>
          <w:sz w:val="24"/>
          <w:szCs w:val="24"/>
          <w:highlight w:val="none"/>
          <w:lang w:eastAsia="zh-CN"/>
          <w14:ligatures w14:val="none"/>
        </w:rPr>
        <w:t xml:space="preserve">投标人</w:t>
      </w:r>
      <w:r>
        <w:rPr>
          <w:rFonts w:hint="eastAsia" w:ascii="宋体" w:hAnsi="宋体" w:eastAsia="宋体" w:cs="宋体"/>
          <w:bCs/>
          <w:sz w:val="24"/>
          <w:szCs w:val="24"/>
          <w:highlight w:val="none"/>
          <w14:ligatures w14:val="none"/>
        </w:rPr>
        <w:t xml:space="preserve">的供货范围内。</w:t>
      </w:r>
      <w:r/>
    </w:p>
    <w:p>
      <w:pPr>
        <w:pageBreakBefore w:val="0"/>
        <w:spacing w:after="0" w:line="360" w:lineRule="auto"/>
        <w:rPr>
          <w:rFonts w:hint="eastAsia" w:ascii="宋体" w:hAnsi="宋体" w:eastAsia="宋体" w:cs="宋体"/>
          <w:b/>
          <w:sz w:val="24"/>
          <w:szCs w:val="24"/>
          <w:highlight w:val="none"/>
        </w:rPr>
        <w:outlineLvl w:val="0"/>
      </w:pPr>
      <w:r/>
      <w:bookmarkStart w:id="79" w:name="_Toc229738199"/>
      <w:r>
        <w:rPr>
          <w:rFonts w:hint="eastAsia" w:ascii="宋体" w:hAnsi="宋体" w:eastAsia="宋体" w:cs="宋体"/>
          <w:b/>
          <w:sz w:val="24"/>
          <w:szCs w:val="24"/>
          <w:highlight w:val="none"/>
        </w:rPr>
        <w:t xml:space="preserve">5．资料提交</w:t>
      </w:r>
      <w:bookmarkEnd w:id="53"/>
      <w:r/>
      <w:bookmarkEnd w:id="79"/>
      <w:r/>
      <w:r/>
    </w:p>
    <w:p>
      <w:pPr>
        <w:pageBreakBefore w:val="0"/>
        <w:spacing w:after="0" w:line="360" w:lineRule="auto"/>
        <w:rPr>
          <w:rFonts w:hint="eastAsia" w:ascii="宋体" w:hAnsi="宋体" w:eastAsia="宋体" w:cs="宋体"/>
          <w:b/>
          <w:sz w:val="24"/>
          <w:szCs w:val="24"/>
          <w:highlight w:val="none"/>
        </w:rPr>
        <w:outlineLvl w:val="0"/>
      </w:pPr>
      <w:r/>
      <w:bookmarkStart w:id="80" w:name="_Toc29032"/>
      <w:r/>
      <w:bookmarkStart w:id="81" w:name="_Toc229738200"/>
      <w:r>
        <w:rPr>
          <w:rFonts w:hint="eastAsia" w:ascii="宋体" w:hAnsi="宋体" w:eastAsia="宋体" w:cs="宋体"/>
          <w:b/>
          <w:sz w:val="24"/>
          <w:szCs w:val="24"/>
          <w:highlight w:val="none"/>
        </w:rPr>
        <w:t xml:space="preserve">5.1 一般要求</w:t>
      </w:r>
      <w:bookmarkEnd w:id="80"/>
      <w:r/>
      <w:bookmarkEnd w:id="81"/>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（1）提交的图纸文件应使用国家法定单位制，并清楚，完整，文件使用语言为中文。技术资料的组织结构清晰，逻辑性强。技术资料内容要正确、准确一致，内容清晰完整，满足工程需要。</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（2）图纸及相关文件</w:t>
      </w:r>
      <w:r>
        <w:rPr>
          <w:rFonts w:hint="eastAsia" w:ascii="宋体" w:hAnsi="宋体" w:eastAsia="宋体" w:cs="宋体"/>
          <w:sz w:val="24"/>
          <w:szCs w:val="24"/>
          <w:highlight w:val="none"/>
          <w:lang w:val="en-US" w:eastAsia="zh-CN"/>
          <w14:ligatures w14:val="none"/>
        </w:rPr>
        <w:t xml:space="preserve">经采购人认可方可</w:t>
      </w:r>
      <w:r>
        <w:rPr>
          <w:rFonts w:hint="eastAsia" w:ascii="宋体" w:hAnsi="宋体" w:eastAsia="宋体" w:cs="宋体"/>
          <w:sz w:val="24"/>
          <w:szCs w:val="24"/>
          <w:highlight w:val="none"/>
          <w14:ligatures w14:val="none"/>
        </w:rPr>
        <w:t xml:space="preserve">允许应用在工程实施过程中，如出现任何修改须得到采购</w:t>
      </w:r>
      <w:r>
        <w:rPr>
          <w:rFonts w:hint="eastAsia" w:ascii="宋体" w:hAnsi="宋体" w:eastAsia="宋体" w:cs="宋体"/>
          <w:sz w:val="24"/>
          <w:szCs w:val="24"/>
          <w:highlight w:val="none"/>
          <w:lang w:val="en-US" w:eastAsia="zh-CN"/>
          <w14:ligatures w14:val="none"/>
        </w:rPr>
        <w:t xml:space="preserve">人</w:t>
      </w:r>
      <w:r>
        <w:rPr>
          <w:rFonts w:hint="eastAsia" w:ascii="宋体" w:hAnsi="宋体" w:eastAsia="宋体" w:cs="宋体"/>
          <w:sz w:val="24"/>
          <w:szCs w:val="24"/>
          <w:highlight w:val="none"/>
          <w14:ligatures w14:val="none"/>
        </w:rPr>
        <w:t xml:space="preserve">批准。</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（3）投标人应对合同中提供的设备的主要部件建立质量保证计划。</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（4）在相关的图纸和设计资料被最终认可之前，投标人不得进行设备的生产、装运。</w:t>
      </w:r>
      <w:r/>
    </w:p>
    <w:p>
      <w:pPr>
        <w:pageBreakBefore w:val="0"/>
        <w:spacing w:after="0" w:line="360" w:lineRule="auto"/>
        <w:rPr>
          <w:rFonts w:hint="eastAsia" w:ascii="宋体" w:hAnsi="宋体" w:eastAsia="宋体" w:cs="宋体"/>
          <w:b/>
          <w:sz w:val="24"/>
          <w:szCs w:val="24"/>
          <w:highlight w:val="none"/>
        </w:rPr>
        <w:outlineLvl w:val="0"/>
      </w:pPr>
      <w:r/>
      <w:bookmarkStart w:id="82" w:name="_Toc229738201"/>
      <w:r/>
      <w:bookmarkStart w:id="83" w:name="_Toc15098"/>
      <w:r>
        <w:rPr>
          <w:rFonts w:hint="eastAsia" w:ascii="宋体" w:hAnsi="宋体" w:eastAsia="宋体" w:cs="宋体"/>
          <w:b/>
          <w:sz w:val="24"/>
          <w:szCs w:val="24"/>
          <w:highlight w:val="none"/>
        </w:rPr>
        <w:t xml:space="preserve">5.2 中标后需提供的文件</w:t>
      </w:r>
      <w:bookmarkEnd w:id="82"/>
      <w:r/>
      <w:bookmarkEnd w:id="83"/>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投标人在签订合同后提供满足设计院施工图设计要求的最终版文件（纸质一式2份，同时提供电子U盘2份可读写的AUTOCAD 2007、WORD 2003），至少包括以下内容：</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（1）渗滤液设计、总图、管道布置图；</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（2）所有系统工艺流程图和PID图；</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（3）所有设备外形尺寸图；</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（4）电气原理图及安装接线图；</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（5）所有系统基础图；</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（6）所有管路布置图；</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（7）电气、仪控及PID图；</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（8）设备及材料清单等。</w:t>
      </w:r>
      <w:r/>
    </w:p>
    <w:p>
      <w:pPr>
        <w:pageBreakBefore w:val="0"/>
        <w:spacing w:after="0" w:line="360" w:lineRule="auto"/>
        <w:rPr>
          <w:rFonts w:hint="eastAsia" w:ascii="宋体" w:hAnsi="宋体" w:eastAsia="宋体" w:cs="宋体"/>
          <w:b/>
          <w:sz w:val="24"/>
          <w:szCs w:val="24"/>
          <w:highlight w:val="none"/>
        </w:rPr>
        <w:outlineLvl w:val="0"/>
      </w:pPr>
      <w:r/>
      <w:bookmarkStart w:id="84" w:name="_Toc17824"/>
      <w:r/>
      <w:bookmarkStart w:id="85" w:name="_Toc229738202"/>
      <w:r>
        <w:rPr>
          <w:rFonts w:hint="eastAsia" w:ascii="宋体" w:hAnsi="宋体" w:eastAsia="宋体" w:cs="宋体"/>
          <w:b/>
          <w:sz w:val="24"/>
          <w:szCs w:val="24"/>
          <w:highlight w:val="none"/>
        </w:rPr>
        <w:t xml:space="preserve">5.3 其他技术资料</w:t>
      </w:r>
      <w:bookmarkEnd w:id="84"/>
      <w:r/>
      <w:bookmarkEnd w:id="85"/>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产品出厂时，投标人应向采购方至少提供下列文件和图纸（纸质一式2份，同时提供电子U盘2份，可读写的AUTOCAD 2007、WORD2003），其中图纸和设计、安装、运行、维护、检修说明书包括：</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（1）检验记录，试验报告及质量合格证等出厂报告。</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（2）设备和备品管理资料文件，包括设备和备品发运和装箱的详细资料（各种清单），设备和备品存放保管技术要求，运输超重和超大件的明细表和外形图。</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（3）详细的产品质量文件。</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（4）安装、运行、维护、检修所需的详尽图纸和技术文件等。</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（5）设计、安装、调试、运行、维护、检修说明书。</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（6）按有关标准，规程规定应提交的技术文件、资料。</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（7）培训手册。</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（8）其它投标人认为有必要提交的资料。</w:t>
      </w:r>
      <w:r/>
    </w:p>
    <w:p>
      <w:pPr>
        <w:pageBreakBefore w:val="0"/>
        <w:spacing w:after="0" w:line="360" w:lineRule="auto"/>
        <w:rPr>
          <w:rFonts w:hint="eastAsia" w:ascii="宋体" w:hAnsi="宋体" w:eastAsia="宋体" w:cs="宋体"/>
          <w:b/>
          <w:sz w:val="24"/>
          <w:szCs w:val="24"/>
          <w:highlight w:val="none"/>
        </w:rPr>
        <w:outlineLvl w:val="0"/>
      </w:pPr>
      <w:r/>
      <w:bookmarkStart w:id="86" w:name="_Toc26434"/>
      <w:r/>
      <w:bookmarkStart w:id="87" w:name="_Toc23332604"/>
      <w:r/>
      <w:bookmarkStart w:id="88" w:name="_Toc229738203"/>
      <w:r>
        <w:rPr>
          <w:rFonts w:hint="eastAsia" w:ascii="宋体" w:hAnsi="宋体" w:eastAsia="宋体" w:cs="宋体"/>
          <w:b/>
          <w:sz w:val="24"/>
          <w:szCs w:val="24"/>
          <w:highlight w:val="none"/>
        </w:rPr>
        <w:t xml:space="preserve">6．工艺系统验收要求</w:t>
      </w:r>
      <w:bookmarkEnd w:id="86"/>
      <w:r/>
      <w:bookmarkEnd w:id="87"/>
      <w:r/>
      <w:bookmarkEnd w:id="88"/>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设备验收可分不同阶段。一般分以下几个阶段进行：</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（1）生产过程阶段性验收（根据合同进度要求）</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（2）到货拆封验收</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（3）设备安装验收</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（4）单机调试验收</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（5）联合调试验收</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在交货前，投标人应对标的物的质量、规格、性能、数量等进行详细而全面的检验，并出具一份合格检验证明，合格检验证明作为</w:t>
      </w:r>
      <w:r>
        <w:rPr>
          <w:rFonts w:hint="eastAsia" w:ascii="宋体" w:hAnsi="宋体" w:cs="宋体"/>
          <w:sz w:val="24"/>
          <w:szCs w:val="24"/>
          <w:highlight w:val="none"/>
          <w:lang w:eastAsia="zh-CN"/>
          <w14:ligatures w14:val="none"/>
        </w:rPr>
        <w:t xml:space="preserve">采购人</w:t>
      </w:r>
      <w:r>
        <w:rPr>
          <w:rFonts w:hint="eastAsia" w:ascii="宋体" w:hAnsi="宋体" w:eastAsia="宋体" w:cs="宋体"/>
          <w:sz w:val="24"/>
          <w:szCs w:val="24"/>
          <w:highlight w:val="none"/>
          <w14:ligatures w14:val="none"/>
        </w:rPr>
        <w:t xml:space="preserve">验收的依据，但不能作为有关标的物质量、规格、数量或性能的最终检验结果。投标人提供的所交货物的质量证书应附有制造商检验细节和结果的说明。</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货物运抵现场后，</w:t>
      </w:r>
      <w:r>
        <w:rPr>
          <w:rFonts w:hint="eastAsia" w:ascii="宋体" w:hAnsi="宋体" w:cs="宋体"/>
          <w:sz w:val="24"/>
          <w:szCs w:val="24"/>
          <w:highlight w:val="none"/>
          <w:lang w:eastAsia="zh-CN"/>
          <w14:ligatures w14:val="none"/>
        </w:rPr>
        <w:t xml:space="preserve">采购人</w:t>
      </w:r>
      <w:r>
        <w:rPr>
          <w:rFonts w:hint="eastAsia" w:ascii="宋体" w:hAnsi="宋体" w:eastAsia="宋体" w:cs="宋体"/>
          <w:sz w:val="24"/>
          <w:szCs w:val="24"/>
          <w:highlight w:val="none"/>
          <w14:ligatures w14:val="none"/>
        </w:rPr>
        <w:t xml:space="preserve">将根据投标人提供的详细清单对货物的质量、规格、数量进行开箱检验，并根据检验结果出具合格或不合格的检验证书。验收期限一般为自标的物交付之日起七天内，根据设备的特殊情况，需延长的，双方在合同的特殊条款中约定。如发现货物的规格或数量或两者都与合同不符，</w:t>
      </w:r>
      <w:r>
        <w:rPr>
          <w:rFonts w:hint="eastAsia" w:ascii="宋体" w:hAnsi="宋体" w:cs="宋体"/>
          <w:sz w:val="24"/>
          <w:szCs w:val="24"/>
          <w:highlight w:val="none"/>
          <w:lang w:eastAsia="zh-CN"/>
          <w14:ligatures w14:val="none"/>
        </w:rPr>
        <w:t xml:space="preserve">采购人</w:t>
      </w:r>
      <w:r>
        <w:rPr>
          <w:rFonts w:hint="eastAsia" w:ascii="宋体" w:hAnsi="宋体" w:eastAsia="宋体" w:cs="宋体"/>
          <w:sz w:val="24"/>
          <w:szCs w:val="24"/>
          <w:highlight w:val="none"/>
          <w14:ligatures w14:val="none"/>
        </w:rPr>
        <w:t xml:space="preserve">有权在货物运抵现场后任何时间内，根据</w:t>
      </w:r>
      <w:r>
        <w:rPr>
          <w:rFonts w:hint="eastAsia" w:ascii="宋体" w:hAnsi="宋体" w:cs="宋体"/>
          <w:sz w:val="24"/>
          <w:szCs w:val="24"/>
          <w:highlight w:val="none"/>
          <w:lang w:eastAsia="zh-CN"/>
          <w14:ligatures w14:val="none"/>
        </w:rPr>
        <w:t xml:space="preserve">采购人</w:t>
      </w:r>
      <w:r>
        <w:rPr>
          <w:rFonts w:hint="eastAsia" w:ascii="宋体" w:hAnsi="宋体" w:eastAsia="宋体" w:cs="宋体"/>
          <w:sz w:val="24"/>
          <w:szCs w:val="24"/>
          <w:highlight w:val="none"/>
          <w14:ligatures w14:val="none"/>
        </w:rPr>
        <w:t xml:space="preserve">按检验标准自已检验的结果或当地有关政府检测机构出具的检验证书向投标人提出索赔。</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如果在合同规定的质量保证期和缺陷保证期内，发现货物的质量或规格与合同规定不符，或证明货物有缺陷，包括潜在的缺陷或使用不合适的原材料等，</w:t>
      </w:r>
      <w:r>
        <w:rPr>
          <w:rFonts w:hint="eastAsia" w:ascii="宋体" w:hAnsi="宋体" w:cs="宋体"/>
          <w:sz w:val="24"/>
          <w:szCs w:val="24"/>
          <w:highlight w:val="none"/>
          <w:lang w:eastAsia="zh-CN"/>
          <w14:ligatures w14:val="none"/>
        </w:rPr>
        <w:t xml:space="preserve">采购人</w:t>
      </w:r>
      <w:r>
        <w:rPr>
          <w:rFonts w:hint="eastAsia" w:ascii="宋体" w:hAnsi="宋体" w:eastAsia="宋体" w:cs="宋体"/>
          <w:sz w:val="24"/>
          <w:szCs w:val="24"/>
          <w:highlight w:val="none"/>
          <w14:ligatures w14:val="none"/>
        </w:rPr>
        <w:t xml:space="preserve">应申请当地相关政府检测部门进行检验，并有权根据检测证书及质量保证条款立即向投标人提出索赔。</w:t>
      </w:r>
      <w:r/>
    </w:p>
    <w:p>
      <w:pPr>
        <w:pageBreakBefore w:val="0"/>
        <w:spacing w:after="0" w:line="360" w:lineRule="auto"/>
        <w:rPr>
          <w:rFonts w:hint="eastAsia" w:ascii="宋体" w:hAnsi="宋体" w:eastAsia="宋体" w:cs="宋体"/>
          <w:b/>
          <w:sz w:val="24"/>
          <w:szCs w:val="24"/>
          <w:highlight w:val="none"/>
        </w:rPr>
        <w:outlineLvl w:val="0"/>
      </w:pPr>
      <w:r/>
      <w:bookmarkStart w:id="89" w:name="_Toc63846261"/>
      <w:r/>
      <w:bookmarkStart w:id="90" w:name="_Toc4663"/>
      <w:r/>
      <w:bookmarkStart w:id="91" w:name="_Toc229738204"/>
      <w:r>
        <w:rPr>
          <w:rFonts w:hint="eastAsia" w:ascii="宋体" w:hAnsi="宋体" w:eastAsia="宋体" w:cs="宋体"/>
          <w:b/>
          <w:sz w:val="24"/>
          <w:szCs w:val="24"/>
          <w:highlight w:val="none"/>
        </w:rPr>
        <w:t xml:space="preserve">6.1 单机调试</w:t>
      </w:r>
      <w:bookmarkEnd w:id="89"/>
      <w:r/>
      <w:bookmarkEnd w:id="90"/>
      <w:r/>
      <w:bookmarkEnd w:id="91"/>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设备安装完备并检验合格后，投标人应当对单个系统分别进行调试。</w:t>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各系统的检验标准根据标书要求和供应商提供的验收单进行验收。单机调试验收属于阶段性验收，是设备最终验收不可缺少的一部分。</w:t>
      </w:r>
      <w:r/>
    </w:p>
    <w:p>
      <w:pPr>
        <w:pageBreakBefore w:val="0"/>
        <w:spacing w:after="0" w:line="360" w:lineRule="auto"/>
        <w:rPr>
          <w:rFonts w:hint="eastAsia" w:ascii="宋体" w:hAnsi="宋体" w:eastAsia="宋体" w:cs="宋体"/>
          <w:b/>
          <w:sz w:val="24"/>
          <w:szCs w:val="24"/>
          <w:highlight w:val="none"/>
        </w:rPr>
        <w:outlineLvl w:val="0"/>
      </w:pPr>
      <w:r/>
      <w:bookmarkStart w:id="92" w:name="_Toc229738205"/>
      <w:r/>
      <w:bookmarkStart w:id="93" w:name="_Toc63846262"/>
      <w:r/>
      <w:bookmarkStart w:id="94" w:name="_Toc12746"/>
      <w:r>
        <w:rPr>
          <w:rFonts w:hint="eastAsia" w:ascii="宋体" w:hAnsi="宋体" w:eastAsia="宋体" w:cs="宋体"/>
          <w:b/>
          <w:sz w:val="24"/>
          <w:szCs w:val="24"/>
          <w:highlight w:val="none"/>
        </w:rPr>
        <w:t xml:space="preserve">6.2 联合调试</w:t>
      </w:r>
      <w:bookmarkEnd w:id="92"/>
      <w:r/>
      <w:bookmarkEnd w:id="93"/>
      <w:r/>
      <w:bookmarkEnd w:id="94"/>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在单机调试合格的基础上可以进行联合调试。</w:t>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联动试车即对污水整体设备、安装系统等进行测试。以使业主、监理等对整个系统在设计负荷时运行满意，达到技术规定的要求，为调试作好准备。</w:t>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在联动试车阶段，到达处理量可能比设计低。为了测试设计负荷时设备的性能，投标人应考虑暂时关闭或部分关闭一个或更多的流程以便至少一条流程能达到设计负荷。</w:t>
      </w:r>
      <w:r/>
    </w:p>
    <w:p>
      <w:pPr>
        <w:pageBreakBefore w:val="0"/>
        <w:spacing w:after="0" w:line="360" w:lineRule="auto"/>
        <w:rPr>
          <w:rFonts w:hint="eastAsia" w:ascii="宋体" w:hAnsi="宋体" w:eastAsia="宋体" w:cs="宋体"/>
          <w:b/>
          <w:sz w:val="24"/>
          <w:szCs w:val="24"/>
          <w:highlight w:val="none"/>
        </w:rPr>
        <w:outlineLvl w:val="0"/>
      </w:pPr>
      <w:r/>
      <w:bookmarkStart w:id="95" w:name="_Toc22124"/>
      <w:r/>
      <w:bookmarkStart w:id="96" w:name="_Toc229738206"/>
      <w:r>
        <w:rPr>
          <w:rFonts w:hint="eastAsia" w:ascii="宋体" w:hAnsi="宋体" w:eastAsia="宋体" w:cs="宋体"/>
          <w:b/>
          <w:sz w:val="24"/>
          <w:szCs w:val="24"/>
          <w:highlight w:val="none"/>
        </w:rPr>
        <w:t xml:space="preserve">6.3 生产性能考核</w:t>
      </w:r>
      <w:bookmarkEnd w:id="95"/>
      <w:r/>
      <w:bookmarkEnd w:id="96"/>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工况稳定、生产连续稳定运行，达到设计生产能力的负荷达70%以上，由投标人向</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提出性能验收，经</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评定通过后，视为生产性能考核通过。</w:t>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调试期所发生的水费、药剂费、油费等费用由投标人负责，调试人员由投标人负责。</w:t>
      </w:r>
      <w:r/>
    </w:p>
    <w:p>
      <w:pPr>
        <w:pageBreakBefore w:val="0"/>
        <w:spacing w:after="0" w:line="360" w:lineRule="auto"/>
        <w:rPr>
          <w:rFonts w:hint="eastAsia" w:ascii="宋体" w:hAnsi="宋体" w:eastAsia="宋体" w:cs="宋体"/>
          <w:b/>
          <w:sz w:val="24"/>
          <w:szCs w:val="24"/>
          <w:highlight w:val="none"/>
        </w:rPr>
        <w:outlineLvl w:val="0"/>
      </w:pPr>
      <w:r/>
      <w:bookmarkStart w:id="97" w:name="_Toc229738207"/>
      <w:r/>
      <w:bookmarkStart w:id="98" w:name="_Toc28771"/>
      <w:r>
        <w:rPr>
          <w:rFonts w:hint="eastAsia" w:ascii="宋体" w:hAnsi="宋体" w:eastAsia="宋体" w:cs="宋体"/>
          <w:b/>
          <w:sz w:val="24"/>
          <w:szCs w:val="24"/>
          <w:highlight w:val="none"/>
        </w:rPr>
        <w:t xml:space="preserve">6.4 试生产（试运行）</w:t>
      </w:r>
      <w:bookmarkEnd w:id="97"/>
      <w:r/>
      <w:bookmarkEnd w:id="98"/>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本工程分系统组织试生产并移交。各系统性能考核通过后即进入该系统试生产，试生产3个月。非投标人因素除外，月平均生产负荷达到90%以上视为稳定运营，连续稳定运行3个月，由投标人向</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提出系统移交申请，经</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、监理、运营方确认后，办理系统移交手续。</w:t>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如试生产期性能满足生产性能考核指标，但由于</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未提供足够处理物料导致生产负荷达不到验收要求，视作试运行验收通过。</w:t>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试生产期间所发生的水费、电费、药剂费、油费等燃料、动力费用由投标人负责，运行人员均由</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负责。投标人派管理人员指导试运行至试生产结束。</w:t>
      </w:r>
      <w:r/>
    </w:p>
    <w:p>
      <w:pPr>
        <w:pageBreakBefore w:val="0"/>
        <w:spacing w:after="0" w:line="360" w:lineRule="auto"/>
        <w:rPr>
          <w:rFonts w:hint="eastAsia" w:ascii="宋体" w:hAnsi="宋体" w:eastAsia="宋体" w:cs="宋体"/>
          <w:b/>
          <w:sz w:val="24"/>
          <w:szCs w:val="24"/>
          <w:highlight w:val="none"/>
        </w:rPr>
        <w:outlineLvl w:val="0"/>
      </w:pPr>
      <w:r/>
      <w:bookmarkStart w:id="99" w:name="_Toc229738208"/>
      <w:r>
        <w:rPr>
          <w:rFonts w:hint="eastAsia" w:ascii="宋体" w:hAnsi="宋体" w:eastAsia="宋体" w:cs="宋体"/>
          <w:b/>
          <w:sz w:val="24"/>
          <w:szCs w:val="24"/>
          <w:highlight w:val="none"/>
        </w:rPr>
        <w:t xml:space="preserve">7．售后服务要求</w:t>
      </w:r>
      <w:bookmarkEnd w:id="99"/>
      <w:r/>
      <w:r/>
    </w:p>
    <w:p>
      <w:pPr>
        <w:pageBreakBefore w:val="0"/>
        <w:spacing w:after="0" w:line="360" w:lineRule="auto"/>
        <w:rPr>
          <w:rFonts w:hint="eastAsia" w:ascii="宋体" w:hAnsi="宋体" w:eastAsia="宋体" w:cs="宋体"/>
          <w:b/>
          <w:sz w:val="24"/>
          <w:szCs w:val="24"/>
          <w:highlight w:val="none"/>
        </w:rPr>
        <w:outlineLvl w:val="0"/>
      </w:pPr>
      <w:r/>
      <w:bookmarkStart w:id="100" w:name="_Toc495410019"/>
      <w:r/>
      <w:bookmarkStart w:id="101" w:name="_Toc229738209"/>
      <w:r/>
      <w:bookmarkStart w:id="102" w:name="_Toc5399"/>
      <w:r>
        <w:rPr>
          <w:rFonts w:hint="eastAsia" w:ascii="宋体" w:hAnsi="宋体" w:eastAsia="宋体" w:cs="宋体"/>
          <w:b/>
          <w:sz w:val="24"/>
          <w:szCs w:val="24"/>
          <w:highlight w:val="none"/>
        </w:rPr>
        <w:t xml:space="preserve">7.1 缺陷责任期（质保期）</w:t>
      </w:r>
      <w:bookmarkEnd w:id="100"/>
      <w:r/>
      <w:bookmarkEnd w:id="101"/>
      <w:r/>
      <w:bookmarkEnd w:id="102"/>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缺陷责任期</w:t>
      </w:r>
      <w:r>
        <w:rPr>
          <w:rFonts w:hint="eastAsia" w:cs="宋体"/>
          <w:sz w:val="24"/>
          <w:szCs w:val="24"/>
          <w:highlight w:val="none"/>
          <w:lang w:eastAsia="zh-CN"/>
        </w:rPr>
        <w:t xml:space="preserve">（</w:t>
      </w:r>
      <w:r>
        <w:rPr>
          <w:rFonts w:hint="eastAsia" w:cs="宋体"/>
          <w:sz w:val="24"/>
          <w:szCs w:val="24"/>
          <w:highlight w:val="none"/>
          <w:lang w:val="en-US" w:eastAsia="zh-CN"/>
        </w:rPr>
        <w:t xml:space="preserve">质保期</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：工艺设备部分为3年，自生产性能考核通过之日起计算。</w:t>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在缺陷责任期内，对有缺陷或不能正常运行的设备，投标人应进行修补或更换，并承担费用。</w:t>
      </w:r>
      <w:r/>
    </w:p>
    <w:p>
      <w:pPr>
        <w:pageBreakBefore w:val="0"/>
        <w:spacing w:after="0" w:line="360" w:lineRule="auto"/>
        <w:rPr>
          <w:rFonts w:hint="eastAsia" w:ascii="宋体" w:hAnsi="宋体" w:eastAsia="宋体" w:cs="宋体"/>
          <w:b/>
          <w:sz w:val="24"/>
          <w:szCs w:val="24"/>
          <w:highlight w:val="none"/>
        </w:rPr>
        <w:outlineLvl w:val="0"/>
      </w:pPr>
      <w:r/>
      <w:bookmarkStart w:id="103" w:name="_Toc229738210"/>
      <w:r/>
      <w:bookmarkStart w:id="104" w:name="_Toc28831"/>
      <w:r/>
      <w:bookmarkStart w:id="105" w:name="_Toc63846265"/>
      <w:r>
        <w:rPr>
          <w:rFonts w:hint="eastAsia" w:ascii="宋体" w:hAnsi="宋体" w:eastAsia="宋体" w:cs="宋体"/>
          <w:b/>
          <w:sz w:val="24"/>
          <w:szCs w:val="24"/>
          <w:highlight w:val="none"/>
        </w:rPr>
        <w:t xml:space="preserve">7.2 售后服务要求</w:t>
      </w:r>
      <w:bookmarkEnd w:id="103"/>
      <w:r/>
      <w:bookmarkEnd w:id="104"/>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106" w:name="_Toc229738211"/>
      <w:r/>
      <w:bookmarkStart w:id="107" w:name="_Toc23758"/>
      <w:r>
        <w:rPr>
          <w:rFonts w:hint="eastAsia" w:ascii="宋体" w:hAnsi="宋体" w:eastAsia="宋体" w:cs="宋体"/>
          <w:b/>
          <w:bCs/>
          <w:sz w:val="24"/>
          <w:szCs w:val="24"/>
          <w:highlight w:val="none"/>
        </w:rPr>
        <w:t xml:space="preserve">7.2.1 技术服务要求</w:t>
      </w:r>
      <w:bookmarkEnd w:id="105"/>
      <w:r/>
      <w:bookmarkEnd w:id="106"/>
      <w:r/>
      <w:bookmarkEnd w:id="107"/>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投标人现场服务人员的目的是使所有设备安全、正常投运。</w:t>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现场服务人员应满足以下条件：遵守法纪，遵守现场的各项规章和制度；具备与服务设备相应的技术资质；有较强的责任感和事业心，按时到位；了解系统设备的设计，熟悉其结构，有相同或相近设备的现场工作经验，能够正确地进行现场指导；身体健康，适应现场工作的条件。投标人现场服务人员的调遣和更换应事先与</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协商。</w:t>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投标人现场服务人员的责任和义务包括但不限于：在合同范围内给予全面的技术服务和合作，并同</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协商解决合同规定内容相关的技术和工作中的问题；在设备安装、机械测试、性能测试、操作人员培训等期间，给予技术讲解；对技术文件、图纸、过程、操作程序、及注意事项等，都做出详细的解释。</w:t>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就客户在合同涉及到的范围内所产生的技术问题做出解答；给予正确的技术服务和必要的示范，以保证</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能充分了解系统并能对其进行操作和维护。</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108" w:name="_Toc63846266"/>
      <w:r/>
      <w:bookmarkStart w:id="109" w:name="_Toc18652"/>
      <w:r/>
      <w:bookmarkStart w:id="110" w:name="_Toc229738212"/>
      <w:r>
        <w:rPr>
          <w:rFonts w:hint="eastAsia" w:ascii="宋体" w:hAnsi="宋体" w:eastAsia="宋体" w:cs="宋体"/>
          <w:b/>
          <w:bCs/>
          <w:sz w:val="24"/>
          <w:szCs w:val="24"/>
          <w:highlight w:val="none"/>
        </w:rPr>
        <w:t xml:space="preserve">7.2.2 培训</w:t>
      </w:r>
      <w:bookmarkEnd w:id="108"/>
      <w:r/>
      <w:bookmarkEnd w:id="109"/>
      <w:r/>
      <w:bookmarkEnd w:id="110"/>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投标人负责对</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的管理人员、操作人员、维修人员进行培训，达到管理人员能高效、安全管理本系统，操作人员以能独立、正确操作设备，技术维修人员能熟练判断、处理和维护常见故障，保障本系统的正常运行。</w:t>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提供的技术培训包括现场理论培训、现场岗位培训等。培训内容包括但不限于：工艺及功能说明、紧急措施、日常检修和管理项目、定期检修和维修作业、安全教育、设备运行培训等。培训应由投标人2～3名工程技术人员负责和执行培训计划。</w:t>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（1）现场理论培训：投标人派遣具有丰富经验和理论知识的专业技术人员进行设备结构原理、操作和维修、安全注意事项等方面的知识培训。</w:t>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（2）现场岗位培训：投标人安排具有工作经验专工团队，满足本工程安装、调试、试运行期间进行现场岗位培训要求。</w:t>
      </w:r>
      <w:r/>
    </w:p>
    <w:p>
      <w:pPr>
        <w:keepLines/>
        <w:keepNext/>
        <w:pageBreakBefore w:val="0"/>
        <w:spacing w:before="156" w:after="156" w:line="360" w:lineRule="auto"/>
        <w:rPr>
          <w:rFonts w:hint="eastAsia" w:ascii="宋体" w:hAnsi="宋体" w:eastAsia="宋体" w:cs="宋体"/>
          <w:b/>
          <w:bCs/>
          <w:sz w:val="24"/>
          <w:szCs w:val="24"/>
          <w:highlight w:val="none"/>
        </w:rPr>
        <w:outlineLvl w:val="1"/>
      </w:pPr>
      <w:r/>
      <w:bookmarkStart w:id="111" w:name="_Toc11277"/>
      <w:r/>
      <w:bookmarkStart w:id="112" w:name="_Toc63846267"/>
      <w:r/>
      <w:bookmarkStart w:id="113" w:name="_Toc229738213"/>
      <w:r>
        <w:rPr>
          <w:rFonts w:hint="eastAsia" w:ascii="宋体" w:hAnsi="宋体" w:eastAsia="宋体" w:cs="宋体"/>
          <w:b/>
          <w:bCs/>
          <w:sz w:val="24"/>
          <w:szCs w:val="24"/>
          <w:highlight w:val="none"/>
        </w:rPr>
        <w:t xml:space="preserve">7.2.3 售后服务要求</w:t>
      </w:r>
      <w:bookmarkEnd w:id="111"/>
      <w:r/>
      <w:bookmarkEnd w:id="112"/>
      <w:r/>
      <w:bookmarkEnd w:id="113"/>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在质量保证期内设备出现故障时，投标人响应服务时间8小时，如果无法通过电话和传真解决问题时，投标人在接到</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通知后12小时内派人到现场予以修复、更换。</w:t>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在质量保证期内投标人免费提供设备正常使用情况下的维修及保养服务，由于设备本身原因造成的损坏，投标人应及时给予免费维修或更换，由此引起的施工费、人工费、材料费等费用由投标人负责。</w:t>
      </w:r>
      <w:r/>
    </w:p>
    <w:p>
      <w:pPr>
        <w:pStyle w:val="112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质保期内，投标方免费提供责任范围内的服务，包括但不限于：操作指导、技术支持和维修服务、免费设计修改、系统工艺和设备整改、调试或更换有故障的零部件、软件升级等。</w:t>
      </w:r>
      <w:r/>
    </w:p>
    <w:p>
      <w:pPr>
        <w:pStyle w:val="1120"/>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投标人需根据招标文件要求提供设备，并对所提供设备的设计、配套选型、连接、质量等负全部责任。</w:t>
      </w:r>
      <w:r/>
    </w:p>
    <w:p>
      <w:pPr>
        <w:pStyle w:val="1120"/>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投标人在投标技术文件中应对设备进行详细的技术描述，对招标条件的技术要求</w:t>
      </w:r>
      <w:r>
        <w:rPr>
          <w:rFonts w:hint="eastAsia" w:cs="宋体"/>
          <w:sz w:val="24"/>
          <w:szCs w:val="24"/>
          <w:highlight w:val="none"/>
          <w:lang w:val="en-US" w:eastAsia="zh-CN"/>
        </w:rPr>
        <w:t xml:space="preserve">完全</w:t>
      </w:r>
      <w:r>
        <w:rPr>
          <w:rFonts w:hint="eastAsia" w:ascii="宋体" w:hAnsi="宋体" w:eastAsia="宋体" w:cs="宋体"/>
          <w:sz w:val="24"/>
          <w:szCs w:val="24"/>
          <w:highlight w:val="none"/>
          <w:lang w:val="en-US" w:eastAsia="zh-CN"/>
        </w:rPr>
        <w:t xml:space="preserve">响应，</w:t>
      </w:r>
      <w:r>
        <w:rPr>
          <w:rFonts w:hint="eastAsia" w:cs="宋体"/>
          <w:sz w:val="24"/>
          <w:szCs w:val="24"/>
          <w:highlight w:val="none"/>
          <w:lang w:val="en-US" w:eastAsia="zh-CN"/>
        </w:rPr>
        <w:t xml:space="preserve">如有偏离应在</w:t>
      </w:r>
      <w:r>
        <w:rPr>
          <w:rFonts w:hint="eastAsia" w:ascii="宋体" w:hAnsi="宋体" w:eastAsia="宋体" w:cs="宋体"/>
          <w:sz w:val="24"/>
          <w:szCs w:val="24"/>
          <w:highlight w:val="none"/>
          <w:lang w:val="en-US" w:eastAsia="zh-CN"/>
        </w:rPr>
        <w:t xml:space="preserve">偏离表</w:t>
      </w:r>
      <w:r>
        <w:rPr>
          <w:rFonts w:hint="eastAsia" w:cs="宋体"/>
          <w:sz w:val="24"/>
          <w:szCs w:val="24"/>
          <w:highlight w:val="none"/>
          <w:lang w:val="en-US" w:eastAsia="zh-CN"/>
        </w:rPr>
        <w:t xml:space="preserve">中逐条列明</w:t>
      </w:r>
      <w:r>
        <w:rPr>
          <w:rFonts w:hint="eastAsia" w:ascii="宋体" w:hAnsi="宋体" w:eastAsia="宋体" w:cs="宋体"/>
          <w:sz w:val="24"/>
          <w:szCs w:val="24"/>
          <w:highlight w:val="none"/>
          <w:lang w:val="en-US" w:eastAsia="zh-CN"/>
        </w:rPr>
        <w:t xml:space="preserve">；投标人负责提供满足工作要求的成套设备，供货必须完整、合理。</w:t>
      </w:r>
      <w:r/>
    </w:p>
    <w:p>
      <w:pPr>
        <w:pStyle w:val="1120"/>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投标人中标后，还须提供设备培训、安装、调试、试运行过程中的相关技术服务。</w:t>
      </w:r>
      <w:r/>
    </w:p>
    <w:p>
      <w:pPr>
        <w:ind w:firstLine="482"/>
        <w:keepLines w:val="0"/>
        <w:keepNext w:val="0"/>
        <w:pageBreakBefore w:val="0"/>
        <w:spacing w:after="0" w:line="360" w:lineRule="auto"/>
        <w:rPr>
          <w:rFonts w:hint="eastAsia" w:ascii="宋体" w:hAnsi="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注：</w:t>
      </w:r>
      <w:r/>
    </w:p>
    <w:p>
      <w:pPr>
        <w:ind w:firstLine="482"/>
        <w:keepLines w:val="0"/>
        <w:keepNext w:val="0"/>
        <w:pageBreakBefore w:val="0"/>
        <w:spacing w:after="0" w:line="360" w:lineRule="auto"/>
        <w:rPr>
          <w:rFonts w:hint="eastAsia" w:ascii="宋体" w:hAnsi="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lang w:val="en-US" w:eastAsia="zh-CN" w:bidi="ar-SA"/>
        </w:rPr>
        <w:t xml:space="preserve">本章节加“</w:t>
      </w:r>
      <w:r>
        <w:rPr>
          <w:rFonts w:hint="eastAsia" w:ascii="宋体" w:hAnsi="宋体" w:eastAsia="宋体" w:cs="宋体"/>
          <w:sz w:val="24"/>
          <w:szCs w:val="24"/>
          <w:highlight w:val="none"/>
          <w14:ligatures w14:val="none"/>
        </w:rPr>
        <w:t xml:space="preserve">★</w:t>
      </w:r>
      <w:r>
        <w:rPr>
          <w:rFonts w:hint="eastAsia" w:ascii="宋体" w:hAnsi="宋体" w:eastAsia="宋体" w:cs="宋体"/>
          <w:b/>
          <w:bCs/>
          <w:color w:val="000000"/>
          <w:sz w:val="24"/>
          <w:szCs w:val="24"/>
          <w:highlight w:val="none"/>
          <w:lang w:val="en-US" w:eastAsia="zh-CN" w:bidi="ar-SA"/>
        </w:rPr>
        <w:t xml:space="preserve">”项为保证系统稳定运行所需的关键规格，均为实质性响应指标，如有任何一项不满足或负偏离则视为无效</w:t>
      </w:r>
      <w:r>
        <w:rPr>
          <w:rFonts w:hint="eastAsia" w:ascii="宋体" w:hAnsi="宋体" w:cs="宋体"/>
          <w:b/>
          <w:bCs/>
          <w:color w:val="000000"/>
          <w:sz w:val="24"/>
          <w:szCs w:val="24"/>
          <w:highlight w:val="none"/>
          <w:lang w:val="en-US" w:eastAsia="zh-CN" w:bidi="ar-SA"/>
        </w:rPr>
        <w:t xml:space="preserve">标书</w:t>
      </w:r>
      <w:r>
        <w:rPr>
          <w:rFonts w:hint="eastAsia" w:ascii="宋体" w:hAnsi="宋体" w:eastAsia="宋体" w:cs="宋体"/>
          <w:b/>
          <w:bCs/>
          <w:color w:val="000000"/>
          <w:sz w:val="24"/>
          <w:szCs w:val="24"/>
          <w:highlight w:val="none"/>
          <w:lang w:val="en-US" w:eastAsia="zh-CN" w:bidi="ar-SA"/>
        </w:rPr>
        <w:t xml:space="preserve">。如后期出现指标结果不符，视</w:t>
      </w:r>
      <w:r>
        <w:rPr>
          <w:rFonts w:hint="eastAsia" w:ascii="宋体" w:hAnsi="宋体" w:cs="宋体"/>
          <w:b/>
          <w:bCs/>
          <w:color w:val="000000"/>
          <w:sz w:val="24"/>
          <w:szCs w:val="24"/>
          <w:highlight w:val="none"/>
          <w:lang w:val="en-US" w:eastAsia="zh-CN" w:bidi="ar-SA"/>
        </w:rPr>
        <w:t xml:space="preserve">为虚假应标，中标方需承担相关法律后果。</w:t>
      </w:r>
      <w:r/>
    </w:p>
    <w:p>
      <w:pPr>
        <w:ind w:firstLine="482"/>
        <w:keepLines w:val="0"/>
        <w:keepNext w:val="0"/>
        <w:pageBreakBefore w:val="0"/>
        <w:spacing w:after="0" w:line="360" w:lineRule="auto"/>
        <w:rPr>
          <w:rFonts w:hint="eastAsia"/>
          <w:highlight w:val="none"/>
          <w:lang w:val="en-US" w:eastAsia="zh-CN"/>
        </w:rPr>
      </w:pPr>
      <w:r>
        <w:rPr>
          <w:rFonts w:hint="eastAsia" w:ascii="宋体" w:hAnsi="宋体" w:cs="宋体"/>
          <w:b/>
          <w:bCs/>
          <w:color w:val="000000"/>
          <w:sz w:val="24"/>
          <w:szCs w:val="24"/>
          <w:highlight w:val="none"/>
          <w:lang w:val="en-US" w:eastAsia="zh-CN" w:bidi="ar-SA"/>
        </w:rPr>
        <w:t xml:space="preserve">2、投标方在投标文件中需提供的相关证明材料及说明，上传至偏离表模块。</w:t>
      </w:r>
      <w:r/>
    </w:p>
    <w:p>
      <w:pPr>
        <w:keepLines w:val="0"/>
        <w:keepNext w:val="0"/>
        <w:spacing w:after="0" w:line="360" w:lineRule="auto"/>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b/>
          <w:bCs/>
          <w:color w:val="auto"/>
          <w:sz w:val="24"/>
          <w:szCs w:val="24"/>
          <w:highlight w:val="none"/>
          <w:lang w:val="en-US" w:eastAsia="zh-CN"/>
        </w:rPr>
        <w:t xml:space="preserve">五、其他要求：见《拟签订的合同文本》</w:t>
      </w:r>
      <w:r/>
    </w:p>
    <w:p>
      <w:pPr>
        <w:pStyle w:val="788"/>
        <w:ind w:left="0" w:firstLine="0"/>
        <w:rPr>
          <w:rFonts w:hint="eastAsia"/>
          <w:highlight w:val="none"/>
        </w:rPr>
      </w:pPr>
      <w:r>
        <w:rPr>
          <w:rFonts w:hint="eastAsia"/>
          <w:highlight w:val="none"/>
        </w:rPr>
      </w:r>
      <w:r/>
    </w:p>
    <w:p>
      <w:pPr>
        <w:jc w:val="center"/>
        <w:keepLines w:val="0"/>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第七章  投标文件相关格式</w:t>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法定代表人授权书</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开标一览表</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分项价格表</w:t>
      </w:r>
      <w:r/>
    </w:p>
    <w:p>
      <w:pPr>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具备履行合同所必需的设备和专业技术能力</w:t>
      </w:r>
      <w:r>
        <w:rPr>
          <w:rFonts w:hint="eastAsia" w:ascii="宋体" w:hAnsi="宋体" w:eastAsia="宋体" w:cs="宋体"/>
          <w:color w:val="auto"/>
          <w:sz w:val="24"/>
          <w:highlight w:val="none"/>
          <w:lang w:val="en-US" w:eastAsia="zh-CN"/>
        </w:rPr>
        <w:t xml:space="preserve">的书面声明</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投标人参加政府采购活动前3年内在经营活动中没有重大违法记录的书面声明</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偏离表</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残疾人福利性单位声明函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预付款保函支付条款</w:t>
      </w:r>
      <w:r/>
    </w:p>
    <w:p>
      <w:pPr>
        <w:keepLines w:val="0"/>
        <w:keepNext w:val="0"/>
        <w:spacing w:line="360" w:lineRule="auto"/>
        <w:rPr>
          <w:rFonts w:hint="eastAsia" w:ascii="宋体" w:hAnsi="宋体" w:eastAsia="宋体" w:cs="宋体"/>
          <w:sz w:val="24"/>
          <w:szCs w:val="24"/>
          <w:highlight w:val="none"/>
        </w:rPr>
      </w:pPr>
      <w:r>
        <w:rPr>
          <w:rFonts w:hint="eastAsia" w:ascii="宋体" w:hAnsi="宋体" w:cs="宋体"/>
          <w:color w:val="auto"/>
          <w:sz w:val="24"/>
          <w:highlight w:val="none"/>
          <w:lang w:val="en-US" w:eastAsia="zh-CN"/>
        </w:rPr>
        <w:t xml:space="preserve">11、</w:t>
      </w:r>
      <w:r>
        <w:rPr>
          <w:rFonts w:hint="eastAsia" w:ascii="宋体" w:hAnsi="宋体" w:cs="宋体"/>
          <w:sz w:val="24"/>
          <w:szCs w:val="24"/>
          <w:highlight w:val="none"/>
          <w:lang w:val="en-US" w:eastAsia="zh-CN"/>
        </w:rPr>
        <w:t xml:space="preserve">关于符合本国产品标准的声明函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8"/>
          <w:szCs w:val="28"/>
          <w:highlight w:val="none"/>
        </w:rPr>
        <w:t xml:space="preserve">1</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投标函</w:t>
      </w:r>
      <w:r/>
    </w:p>
    <w:p>
      <w:pP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江苏瑞阳工程咨询有限公司</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lang w:eastAsia="zh-CN"/>
        </w:rPr>
        <w:t xml:space="preserve">JSZC-320303-JSRY-G2026-0004</w:t>
      </w:r>
      <w:r>
        <w:rPr>
          <w:rFonts w:hint="eastAsia" w:ascii="宋体" w:hAnsi="宋体" w:eastAsia="宋体" w:cs="宋体"/>
          <w:color w:val="auto"/>
          <w:sz w:val="24"/>
          <w:highlight w:val="none"/>
        </w:rPr>
        <w:t xml:space="preserve">]招标文件，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代表我方</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 w:val="24"/>
          <w:highlight w:val="none"/>
        </w:rPr>
        <w:t xml:space="preserve">（投标人的名称）全权处理本次投标的有关事宜。</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据此函，投标人承诺并同意如下： </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投标人唯一投标报价见《开标一览表》。</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投标人将按招标文件的规定履行合同责任和义务。</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投标人已详细审查全部招标文件，包括第[插入编号] [补遗书][如果有的话]。投标人完全理解并同意放弃对这方面有不明及误解的权力。</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投标有效期为90天。</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投标人同意提供按照贵方可能要求的与其投标有关的一切数据或资料，完全理解贵方不一定接受最低价的投标或收到的任何投标。</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、江苏瑞阳工程咨询有限公司</w:t>
      </w:r>
      <w:r>
        <w:rPr>
          <w:rFonts w:hint="eastAsia" w:ascii="宋体" w:hAnsi="宋体" w:eastAsia="宋体" w:cs="宋体"/>
          <w:color w:val="auto"/>
          <w:sz w:val="24"/>
          <w:highlight w:val="none"/>
        </w:rPr>
        <w:t xml:space="preserve">有权将我单位本项目的《开标一览表》和《分项价格表》予以公示，公示的方式由</w:t>
      </w:r>
      <w:r>
        <w:rPr>
          <w:rFonts w:hint="eastAsia" w:ascii="宋体" w:hAnsi="宋体" w:eastAsia="宋体" w:cs="宋体"/>
          <w:color w:val="auto"/>
          <w:sz w:val="24"/>
          <w:highlight w:val="none"/>
          <w:lang w:eastAsia="zh-CN"/>
        </w:rPr>
        <w:t xml:space="preserve">江苏瑞阳工程咨询有限公司</w:t>
      </w:r>
      <w:r>
        <w:rPr>
          <w:rFonts w:hint="eastAsia" w:ascii="宋体" w:hAnsi="宋体" w:eastAsia="宋体" w:cs="宋体"/>
          <w:color w:val="auto"/>
          <w:sz w:val="24"/>
          <w:highlight w:val="none"/>
        </w:rPr>
        <w:t xml:space="preserve">确定。如我单位被确定为中标、成交供应商，</w:t>
      </w:r>
      <w:r>
        <w:rPr>
          <w:rFonts w:hint="eastAsia" w:ascii="宋体" w:hAnsi="宋体" w:eastAsia="宋体" w:cs="宋体"/>
          <w:color w:val="auto"/>
          <w:sz w:val="24"/>
          <w:highlight w:val="none"/>
          <w:lang w:eastAsia="zh-CN"/>
        </w:rPr>
        <w:t xml:space="preserve">江苏瑞阳工程咨询有限公司</w:t>
      </w:r>
      <w:r>
        <w:rPr>
          <w:rFonts w:hint="eastAsia" w:ascii="宋体" w:hAnsi="宋体" w:eastAsia="宋体" w:cs="宋体"/>
          <w:color w:val="auto"/>
          <w:sz w:val="24"/>
          <w:highlight w:val="none"/>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与本投标有关的一切正式往来信函请寄：</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法定代表人授权书</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委托人：</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  址：</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               职务：</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统一社会信用代码：</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受托人：                   性别：男（女）  </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年龄：  岁                 民族</w:t>
      </w:r>
      <w:r>
        <w:rPr>
          <w:rFonts w:hint="eastAsia" w:ascii="宋体" w:hAnsi="宋体" w:eastAsia="宋体" w:cs="宋体"/>
          <w:bCs/>
          <w:color w:val="auto"/>
          <w:sz w:val="24"/>
          <w:highlight w:val="none"/>
          <w:lang w:eastAsia="zh-CN"/>
        </w:rPr>
        <w:t xml:space="preserve">：  </w:t>
      </w:r>
      <w:r>
        <w:rPr>
          <w:rFonts w:hint="eastAsia" w:ascii="宋体" w:hAnsi="宋体" w:eastAsia="宋体" w:cs="宋体"/>
          <w:bCs/>
          <w:color w:val="auto"/>
          <w:sz w:val="24"/>
          <w:highlight w:val="none"/>
        </w:rPr>
        <w:t xml:space="preserve">   族</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职务：</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身份证号：</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联系方式（手机号）：</w:t>
      </w:r>
      <w:r/>
    </w:p>
    <w:p>
      <w:pPr>
        <w:ind w:left="0" w:right="0" w:firstLine="0"/>
        <w:jc w:val="both"/>
        <w:keepLines w:val="0"/>
        <w:keepNext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兹委托（       ）全权代表我企业（公司）参与（</w:t>
      </w:r>
      <w:r>
        <w:rPr>
          <w:rFonts w:hint="eastAsia" w:ascii="宋体" w:hAnsi="宋体" w:cs="宋体"/>
          <w:color w:val="000000"/>
          <w:sz w:val="24"/>
          <w:highlight w:val="none"/>
          <w:u w:val="single"/>
          <w:lang w:eastAsia="zh-CN"/>
        </w:rPr>
        <w:t xml:space="preserve">徐州市云龙区垃圾资源转运及处理建设项目-渗滤液处理设备采购</w:t>
      </w:r>
      <w:r>
        <w:rPr>
          <w:rFonts w:hint="eastAsia" w:ascii="宋体" w:hAnsi="宋体" w:eastAsia="宋体" w:cs="宋体"/>
          <w:bCs/>
          <w:color w:val="auto"/>
          <w:sz w:val="24"/>
          <w:highlight w:val="none"/>
        </w:rPr>
        <w:t xml:space="preserve">）项目（项目编号：</w:t>
      </w:r>
      <w:r>
        <w:rPr>
          <w:rFonts w:hint="eastAsia" w:ascii="宋体" w:hAnsi="宋体" w:cs="宋体"/>
          <w:bCs/>
          <w:color w:val="auto"/>
          <w:sz w:val="24"/>
          <w:highlight w:val="none"/>
          <w:u w:val="single"/>
          <w:lang w:eastAsia="zh-CN"/>
        </w:rPr>
        <w:t xml:space="preserve">JSZC-320303-JSRY-G2026-0004</w:t>
      </w:r>
      <w:r>
        <w:rPr>
          <w:rFonts w:hint="eastAsia" w:ascii="宋体" w:hAnsi="宋体" w:eastAsia="宋体" w:cs="宋体"/>
          <w:bCs/>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特此授权委托。</w:t>
      </w:r>
      <w:r/>
    </w:p>
    <w:p>
      <w:pPr>
        <w:ind w:firstLine="630"/>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t xml:space="preserve">委托人（加盖单位电子盖章）：      </w:t>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t xml:space="preserve">         </w:t>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t xml:space="preserve">受托人（签字或加盖电子盖章）：</w:t>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t xml:space="preserve">法定代表人（签字或加盖电子盖章）：</w:t>
      </w:r>
      <w:r/>
    </w:p>
    <w:p>
      <w:pPr>
        <w:pStyle w:val="797"/>
        <w:rPr>
          <w:rFonts w:hint="eastAsia"/>
          <w:highlight w:val="none"/>
        </w:rPr>
      </w:pPr>
      <w:r>
        <w:rPr>
          <w:rFonts w:hint="eastAsia"/>
          <w:highlight w:val="none"/>
        </w:rPr>
      </w:r>
      <w:r/>
    </w:p>
    <w:p>
      <w:pPr>
        <w:ind w:firstLine="720"/>
        <w:jc w:val="right"/>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w:t>
      </w:r>
      <w:r/>
    </w:p>
    <w:p>
      <w:pPr>
        <w:jc w:val="cente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受托人身份证原件扫描件附后</w:t>
      </w:r>
      <w:r>
        <w:rPr>
          <w:rFonts w:hint="eastAsia" w:ascii="宋体" w:hAnsi="宋体" w:eastAsia="宋体" w:cs="宋体"/>
          <w:bCs/>
          <w:color w:val="auto"/>
          <w:sz w:val="24"/>
          <w:highlight w:val="none"/>
          <w:lang w:eastAsia="zh-CN"/>
        </w:rPr>
        <w:t xml:space="preserve">）</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7"/>
        <w:rPr>
          <w:rFonts w:hint="eastAsia"/>
          <w:highlight w:val="none"/>
        </w:rPr>
      </w:pPr>
      <w:r>
        <w:rPr>
          <w:rFonts w:hint="eastAsia"/>
          <w:highlight w:val="none"/>
        </w:rPr>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8"/>
          <w:szCs w:val="28"/>
          <w:highlight w:val="none"/>
        </w:rPr>
        <w:t xml:space="preserve">3</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开标一览表</w:t>
      </w:r>
      <w:r/>
    </w:p>
    <w:p>
      <w:pPr>
        <w:jc w:val="left"/>
        <w:keepLines w:val="0"/>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p>
    <w:p>
      <w:pPr>
        <w:jc w:val="left"/>
        <w:keepLines w:val="0"/>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JSZC-320303-JSRY-G2026-0004</w:t>
      </w:r>
      <w:r>
        <w:rPr>
          <w:rFonts w:hint="eastAsia" w:ascii="宋体" w:hAnsi="宋体" w:eastAsia="宋体" w:cs="宋体"/>
          <w:color w:val="auto"/>
          <w:sz w:val="24"/>
          <w:highlight w:val="none"/>
          <w:u w:val="single"/>
        </w:rPr>
        <w:t xml:space="preserve"> </w:t>
      </w:r>
      <w:r/>
    </w:p>
    <w:p>
      <w:pPr>
        <w:jc w:val="left"/>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货币单位：人民币</w:t>
      </w:r>
      <w:r/>
    </w:p>
    <w:tbl>
      <w:tblPr>
        <w:tblStyle w:val="773"/>
        <w:tblW w:w="877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67"/>
        <w:gridCol w:w="2397"/>
        <w:gridCol w:w="3314"/>
      </w:tblGrid>
      <w:tr>
        <w:trPr>
          <w:cantSplit/>
          <w:jc w:val="center"/>
          <w:trHeight w:val="1712"/>
        </w:trPr>
        <w:tc>
          <w:tcPr>
            <w:tcW w:w="3067"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2397"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项目内容</w:t>
            </w:r>
            <w:r/>
          </w:p>
        </w:tc>
        <w:tc>
          <w:tcPr>
            <w:tcW w:w="3314"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小写（元）</w:t>
            </w:r>
            <w:r/>
          </w:p>
        </w:tc>
      </w:tr>
      <w:tr>
        <w:trPr>
          <w:cantSplit/>
          <w:jc w:val="center"/>
          <w:trHeight w:val="1760"/>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徐州市云龙区垃圾资源转运及处理建设项目-渗滤液处理设备采购</w:t>
            </w:r>
            <w:r/>
          </w:p>
        </w:tc>
        <w:tc>
          <w:tcPr>
            <w:tcW w:w="239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314"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2116"/>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大写</w:t>
            </w:r>
            <w:r>
              <w:rPr>
                <w:rFonts w:hint="eastAsia" w:ascii="宋体" w:hAnsi="宋体" w:eastAsia="宋体" w:cs="宋体"/>
                <w:color w:val="auto"/>
                <w:sz w:val="24"/>
                <w:highlight w:val="none"/>
              </w:rPr>
              <w:t xml:space="preserve">：</w:t>
            </w:r>
            <w:r/>
          </w:p>
        </w:tc>
        <w:tc>
          <w:tcPr>
            <w:gridSpan w:val="2"/>
            <w:tcW w:w="5711"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48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报价说明：</w:t>
      </w:r>
      <w:r/>
    </w:p>
    <w:p>
      <w:pPr>
        <w:spacing w:line="48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1、报价包括完成项目的所有费用。采购人不再支付报价以外的任何费用；</w:t>
      </w:r>
      <w:r/>
    </w:p>
    <w:p>
      <w:pPr>
        <w:spacing w:line="48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2、报价以总价为准，大小写不一致以大写为准；</w:t>
      </w:r>
      <w:r/>
    </w:p>
    <w:p>
      <w:pPr>
        <w:spacing w:line="480" w:lineRule="exact"/>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 xml:space="preserve">3、偏离说明：详见《偏离表》</w:t>
      </w:r>
      <w:r>
        <w:rPr>
          <w:rFonts w:hint="eastAsia" w:ascii="宋体" w:hAnsi="宋体" w:eastAsia="宋体" w:cs="宋体"/>
          <w:sz w:val="24"/>
          <w:szCs w:val="22"/>
          <w:highlight w:val="none"/>
          <w:lang w:eastAsia="zh-CN"/>
        </w:rPr>
        <w:t xml:space="preserve">。</w:t>
      </w:r>
      <w:r/>
    </w:p>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keepLines w:val="0"/>
        <w:spacing w:line="276" w:lineRule="auto"/>
        <w:rPr>
          <w:rFonts w:hint="eastAsia" w:ascii="宋体" w:hAnsi="宋体" w:eastAsia="宋体" w:cs="宋体"/>
          <w:b/>
          <w:bCs/>
          <w:color w:val="auto"/>
          <w:sz w:val="24"/>
          <w:highlight w:val="none"/>
        </w:rPr>
      </w:pPr>
      <w:r>
        <w:rPr>
          <w:rFonts w:hint="eastAsia" w:ascii="宋体" w:hAnsi="宋体" w:eastAsia="宋体" w:cs="宋体"/>
          <w:sz w:val="24"/>
          <w:highlight w:val="none"/>
        </w:rPr>
        <w:t xml:space="preserve"> </w:t>
      </w:r>
      <w:r/>
    </w:p>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分项价格表</w:t>
      </w:r>
      <w:r/>
    </w:p>
    <w:p>
      <w:pPr>
        <w:jc w:val="left"/>
        <w:keepLines w:val="0"/>
        <w:keepNext w:val="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p>
    <w:p>
      <w:pPr>
        <w:jc w:val="both"/>
        <w:keepLines w:val="0"/>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JSZC-320303-JSRY-G2026-0004</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w:t>
      </w:r>
      <w:r/>
    </w:p>
    <w:p>
      <w:pPr>
        <w:jc w:val="both"/>
        <w:keepLines w:val="0"/>
        <w:keepNext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货币单位：人民币元</w:t>
      </w:r>
      <w:r/>
    </w:p>
    <w:tbl>
      <w:tblPr>
        <w:tblStyle w:val="773"/>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99"/>
        </w:trPr>
        <w:tc>
          <w:tcPr>
            <w:gridSpan w:val="10"/>
            <w:tcMar>
              <w:left w:w="15" w:type="dxa"/>
              <w:top w:w="15" w:type="dxa"/>
              <w:right w:w="15" w:type="dxa"/>
              <w:bottom w:w="0" w:type="dxa"/>
            </w:tcMar>
            <w:tcW w:w="9839" w:type="dxa"/>
            <w:vAlign w:val="bottom"/>
            <w:textDirection w:val="lrTb"/>
            <w:noWrap w:val="false"/>
          </w:tcPr>
          <w:p>
            <w:pPr>
              <w:ind w:firstLine="241"/>
              <w:keepLines w:val="0"/>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24"/>
                <w:highlight w:val="none"/>
                <w:u w:val="single"/>
              </w:rPr>
              <w:t xml:space="preserve">      %</w:t>
            </w:r>
            <w:r/>
          </w:p>
        </w:tc>
      </w:tr>
    </w:tbl>
    <w:p>
      <w:pPr>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如果不提供详细分项报价的，将视为没有实质性响应</w:t>
      </w:r>
      <w:r>
        <w:rPr>
          <w:rFonts w:hint="eastAsia" w:ascii="宋体" w:hAnsi="宋体" w:eastAsia="宋体" w:cs="宋体"/>
          <w:color w:val="auto"/>
          <w:sz w:val="24"/>
          <w:highlight w:val="none"/>
          <w:lang w:val="en-US" w:eastAsia="zh-CN"/>
        </w:rPr>
        <w:t xml:space="preserve">谈判</w:t>
      </w:r>
      <w:r>
        <w:rPr>
          <w:rFonts w:hint="eastAsia" w:ascii="宋体" w:hAnsi="宋体" w:eastAsia="宋体" w:cs="宋体"/>
          <w:color w:val="auto"/>
          <w:sz w:val="24"/>
          <w:highlight w:val="none"/>
        </w:rPr>
        <w:t xml:space="preserve">文件。</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投标人对以上数据的真实性负责。</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江苏瑞阳工程咨询有限公司</w:t>
      </w:r>
      <w:r>
        <w:rPr>
          <w:rFonts w:hint="eastAsia" w:ascii="宋体" w:hAnsi="宋体" w:eastAsia="宋体" w:cs="宋体"/>
          <w:b/>
          <w:bCs/>
          <w:color w:val="auto"/>
          <w:sz w:val="24"/>
          <w:highlight w:val="none"/>
        </w:rPr>
        <w:t xml:space="preserve">有权将以上内容进行公示。</w:t>
      </w:r>
      <w:r/>
    </w:p>
    <w:p>
      <w:pPr>
        <w:pStyle w:val="824"/>
        <w:ind w:left="0" w:firstLine="0"/>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24"/>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24"/>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24"/>
        <w:ind w:left="0" w:firstLine="0"/>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keepLines w:val="0"/>
        <w:keepNext w:val="0"/>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5、</w:t>
      </w:r>
      <w:r>
        <w:rPr>
          <w:rFonts w:hint="eastAsia" w:ascii="宋体" w:hAnsi="宋体" w:eastAsia="宋体" w:cs="宋体"/>
          <w:b/>
          <w:bCs/>
          <w:color w:val="auto"/>
          <w:sz w:val="28"/>
          <w:szCs w:val="28"/>
          <w:highlight w:val="none"/>
          <w:lang w:eastAsia="zh-CN"/>
        </w:rPr>
        <w:t xml:space="preserve">具备履行合同所必需的设备和专业技术能力的书面声明</w:t>
      </w:r>
      <w:r/>
    </w:p>
    <w:p>
      <w:pPr>
        <w:numPr>
          <w:ilvl w:val="0"/>
          <w:numId w:val="0"/>
        </w:num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8"/>
          <w:szCs w:val="28"/>
          <w:highlight w:val="none"/>
          <w:lang w:eastAsia="zh-CN"/>
        </w:rPr>
        <w:t xml:space="preserve">（附证明材料扫描件）</w:t>
      </w:r>
      <w:r/>
    </w:p>
    <w:p>
      <w:pPr>
        <w:jc w:val="left"/>
        <w:keepLines w:val="0"/>
        <w:keepNext w:val="0"/>
        <w:spacing w:line="360" w:lineRule="auto"/>
        <w:widowControl/>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p>
    <w:p>
      <w:pPr>
        <w:jc w:val="left"/>
        <w:keepLines w:val="0"/>
        <w:keepNext w:val="0"/>
        <w:spacing w:line="360" w:lineRule="auto"/>
        <w:widowControl/>
        <w:rPr>
          <w:rFonts w:hint="eastAsia" w:ascii="宋体" w:hAnsi="宋体" w:eastAsia="宋体" w:cs="宋体"/>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JSZC-320303-JSRY-G2026-0004</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我单位郑重声明：我单位具备履行合同（项目名称：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JSZC-320303-JSRY-G2026-0004</w:t>
      </w:r>
      <w:r>
        <w:rPr>
          <w:rFonts w:hint="eastAsia" w:ascii="宋体" w:hAnsi="宋体" w:eastAsia="宋体" w:cs="宋体"/>
          <w:color w:val="auto"/>
          <w:sz w:val="24"/>
          <w:highlight w:val="none"/>
        </w:rPr>
        <w:t xml:space="preserve">）所必需的设备和专业技术能力</w:t>
      </w:r>
      <w:r>
        <w:rPr>
          <w:rFonts w:hint="eastAsia" w:ascii="宋体" w:hAnsi="宋体" w:eastAsia="宋体" w:cs="宋体"/>
          <w:color w:val="auto"/>
          <w:sz w:val="24"/>
          <w:highlight w:val="none"/>
          <w:lang w:eastAsia="zh-CN"/>
        </w:rPr>
        <w:t xml:space="preserve">，具体为：</w:t>
      </w:r>
      <w:r/>
    </w:p>
    <w:p>
      <w:pPr>
        <w:pStyle w:val="788"/>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w:t>
      </w:r>
      <w:r/>
    </w:p>
    <w:p>
      <w:pPr>
        <w:pStyle w:val="788"/>
        <w:keepLines w:val="0"/>
        <w:keepNext w:val="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 </w:t>
      </w:r>
      <w:r/>
    </w:p>
    <w:p>
      <w:pPr>
        <w:pStyle w:val="788"/>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788"/>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788"/>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788"/>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专业技术能力：</w:t>
      </w:r>
      <w:r/>
    </w:p>
    <w:p>
      <w:pPr>
        <w:ind w:firstLine="480"/>
        <w:keepLines w:val="0"/>
        <w:keepNext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788"/>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788"/>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788"/>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788"/>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pStyle w:val="788"/>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投标人对上述声明的真实性负责。如有虚假，将依法承担相应责任。</w:t>
      </w:r>
      <w:r/>
    </w:p>
    <w:p>
      <w:pPr>
        <w:ind w:firstLine="300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Lines w:val="0"/>
        <w:keepNext w:val="0"/>
        <w:spacing w:line="360" w:lineRule="auto"/>
        <w:rPr>
          <w:rFonts w:hint="eastAsia" w:ascii="宋体" w:hAnsi="宋体" w:eastAsia="宋体" w:cs="宋体"/>
          <w:b/>
          <w:bCs/>
          <w:color w:val="auto"/>
          <w:sz w:val="28"/>
          <w:szCs w:val="28"/>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b/>
          <w:bCs/>
          <w:color w:val="auto"/>
          <w:sz w:val="28"/>
          <w:szCs w:val="28"/>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6</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投标人参加政府采购活动前3年内在经营活动中没有重大违法记录的书面声明</w:t>
      </w:r>
      <w:r/>
    </w:p>
    <w:p>
      <w:pPr>
        <w:jc w:val="cente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徐州市云龙区垃圾资源转运及处理建设项目-渗滤液处理设备采购</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lang w:eastAsia="zh-CN"/>
        </w:rPr>
        <w:t xml:space="preserve">JSZC-320303-JSRY-G2026-0004</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keepLines w:val="0"/>
        <w:keepNext w:val="0"/>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keepLines w:val="0"/>
        <w:keepNext w:val="0"/>
        <w:spacing w:line="360" w:lineRule="auto"/>
        <w:rPr>
          <w:rFonts w:hint="eastAsia" w:ascii="宋体" w:hAnsi="宋体" w:eastAsia="宋体" w:cs="宋体"/>
          <w:color w:val="auto"/>
          <w:sz w:val="30"/>
          <w:szCs w:val="30"/>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30"/>
          <w:szCs w:val="30"/>
          <w:highlight w:val="none"/>
        </w:rPr>
      </w:r>
      <w:r/>
    </w:p>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8"/>
          <w:szCs w:val="28"/>
          <w:highlight w:val="none"/>
        </w:rPr>
        <w:t xml:space="preserve">7</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偏离表</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p>
    <w:p>
      <w:pPr>
        <w:keepLines w:val="0"/>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JSZC-320303-JSRY-G2026-0004</w:t>
      </w:r>
      <w:r/>
    </w:p>
    <w:tbl>
      <w:tblPr>
        <w:tblStyle w:val="773"/>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404"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1476"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W w:w="1620"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投标文件中的内容</w:t>
            </w:r>
            <w:r/>
          </w:p>
        </w:tc>
        <w:tc>
          <w:tcPr>
            <w:tcW w:w="1260"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340"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val="0"/>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注：投标人的投标文件中的内容与招标文件（含招标文件的澄清或者修改的内容，下同）的要求不同时，逐条列在偏离表中，否则将认为投标人接受招标文件的要求。</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480"/>
        <w:keepLines w:val="0"/>
        <w:keepNext w:val="0"/>
        <w:spacing w:line="360" w:lineRule="auto"/>
        <w:rPr>
          <w:rFonts w:hint="eastAsia" w:ascii="宋体" w:hAnsi="宋体" w:eastAsia="宋体" w:cs="宋体"/>
          <w:color w:val="auto"/>
          <w:sz w:val="24"/>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24"/>
          <w:highlight w:val="none"/>
        </w:rPr>
        <w:t xml:space="preserve">                     </w:t>
      </w:r>
      <w:r/>
    </w:p>
    <w:p>
      <w:pPr>
        <w:ind w:firstLine="480"/>
        <w:jc w:val="center"/>
        <w:keepLines w:val="0"/>
        <w:keepNext w:val="0"/>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8</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中小企业声明函</w:t>
      </w:r>
      <w:r/>
    </w:p>
    <w:p>
      <w:pPr>
        <w:ind w:left="0" w:right="0" w:firstLine="482"/>
        <w:jc w:val="center"/>
        <w:pageBreakBefore w:val="0"/>
        <w:spacing w:beforeAutospacing="0" w:afterAutospacing="0" w:line="440" w:lineRule="exact"/>
        <w:rPr>
          <w:rFonts w:hint="eastAsia" w:ascii="仿宋" w:hAnsi="仿宋" w:eastAsia="仿宋" w:cs="Times New Roman"/>
          <w:color w:val="auto"/>
          <w:spacing w:val="6"/>
          <w:sz w:val="30"/>
          <w:szCs w:val="30"/>
          <w:highlight w:val="none"/>
          <w:lang w:val="en-US" w:eastAsia="zh-CN" w:bidi="ar-SA"/>
        </w:rPr>
      </w:pPr>
      <w:r>
        <w:rPr>
          <w:rFonts w:hint="eastAsia" w:ascii="Calibri" w:hAnsi="Calibri" w:eastAsia="宋体" w:cs="Times New Roman"/>
          <w:b/>
          <w:bCs/>
          <w:color w:val="auto"/>
          <w:sz w:val="24"/>
          <w:szCs w:val="32"/>
          <w:highlight w:val="none"/>
          <w:lang w:val="en-US" w:eastAsia="zh-CN" w:bidi="ar-SA"/>
        </w:rPr>
        <w:t xml:space="preserve">（投标人为联合体时，则牵头方和成员均要提供）</w:t>
      </w:r>
      <w:r/>
    </w:p>
    <w:p>
      <w:pPr>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widowControl/>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p>
    <w:p>
      <w:pPr>
        <w:keepLines w:val="0"/>
        <w:keepNext w:val="0"/>
        <w:spacing w:line="360" w:lineRule="auto"/>
        <w:widowControl/>
        <w:rPr>
          <w:rFonts w:hint="eastAsia" w:ascii="宋体" w:hAnsi="宋体" w:eastAsia="宋体" w:cs="宋体"/>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JSZC-320303-JSRY-G2026-0004</w:t>
      </w:r>
      <w:r/>
    </w:p>
    <w:p>
      <w:pPr>
        <w:ind w:firstLine="480"/>
        <w:jc w:val="left"/>
        <w:spacing w:before="100" w:beforeAutospacing="1" w:after="100" w:afterAutospacing="1" w:line="450" w:lineRule="atLeas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val="en-US" w:eastAsia="zh-CN"/>
        </w:rPr>
        <w:t xml:space="preserve">（单位名称）的（项目名称）</w:t>
      </w:r>
      <w:r>
        <w:rPr>
          <w:rFonts w:hint="eastAsia" w:ascii="宋体" w:hAnsi="宋体" w:eastAsia="宋体" w:cs="宋体"/>
          <w:color w:val="auto"/>
          <w:sz w:val="24"/>
          <w:szCs w:val="24"/>
          <w:highlight w:val="none"/>
          <w:u w:val="none"/>
          <w:lang w:val="en-US" w:eastAsia="zh-CN"/>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color w:val="auto"/>
          <w:sz w:val="24"/>
          <w:szCs w:val="24"/>
          <w:highlight w:val="none"/>
          <w:u w:val="single"/>
          <w:lang w:val="en-US" w:eastAsia="zh-CN"/>
        </w:rPr>
        <w:t xml:space="preserve"> </w:t>
      </w:r>
      <w:r/>
    </w:p>
    <w:p>
      <w:pPr>
        <w:ind w:firstLine="480"/>
        <w:jc w:val="left"/>
        <w:spacing w:before="100" w:beforeAutospacing="1" w:after="100" w:afterAutospacing="1" w:line="45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工业</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rPr>
        <w:t xml:space="preserve">行业；制造商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 </w:t>
      </w:r>
      <w:r/>
    </w:p>
    <w:p>
      <w:pPr>
        <w:ind w:firstLine="480"/>
        <w:jc w:val="left"/>
        <w:spacing w:before="100" w:beforeAutospacing="1" w:after="100" w:afterAutospacing="1" w:line="45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工业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 </w:t>
      </w:r>
      <w:r/>
    </w:p>
    <w:p>
      <w:pPr>
        <w:pStyle w:val="786"/>
        <w:ind w:left="0"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w:t>
      </w:r>
      <w:r/>
    </w:p>
    <w:p>
      <w:pPr>
        <w:pStyle w:val="786"/>
        <w:ind w:left="0"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786"/>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企业名称（电子签章）：</w:t>
      </w:r>
      <w:r/>
    </w:p>
    <w:p>
      <w:pPr>
        <w:pStyle w:val="786"/>
        <w:spacing w:line="360" w:lineRule="auto"/>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日期：  年  月  日</w:t>
      </w:r>
      <w:r/>
    </w:p>
    <w:p>
      <w:pPr>
        <w:pStyle w:val="786"/>
        <w:ind w:left="0"/>
        <w:jc w:val="left"/>
        <w:spacing w:after="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785"/>
        <w:ind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注：本项目采购的货物属性为：</w:t>
      </w:r>
      <w:r>
        <w:rPr>
          <w:rFonts w:hint="eastAsia" w:ascii="宋体" w:hAnsi="宋体" w:eastAsia="宋体" w:cs="宋体"/>
          <w:b/>
          <w:bCs/>
          <w:color w:val="auto"/>
          <w:sz w:val="24"/>
          <w:szCs w:val="24"/>
          <w:highlight w:val="none"/>
          <w:lang w:val="en-US" w:eastAsia="zh-CN"/>
        </w:rPr>
        <w:t xml:space="preserve">工业（制造业）</w:t>
      </w:r>
      <w:r>
        <w:rPr>
          <w:rFonts w:hint="eastAsia" w:ascii="宋体" w:hAnsi="宋体" w:eastAsia="宋体" w:cs="宋体"/>
          <w:b/>
          <w:bCs/>
          <w:color w:val="auto"/>
          <w:sz w:val="24"/>
          <w:szCs w:val="24"/>
          <w:highlight w:val="none"/>
        </w:rPr>
        <w:t xml:space="preserve">。</w:t>
      </w:r>
      <w:r/>
    </w:p>
    <w:p>
      <w:pPr>
        <w:pStyle w:val="785"/>
        <w:ind w:firstLine="482"/>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从业人员、营业收入、资产总额填报上一年度数据，无上一年度数据的新成立企业可不填报。</w:t>
      </w:r>
      <w:r/>
    </w:p>
    <w:p>
      <w:pPr>
        <w:pStyle w:val="981"/>
        <w:numPr>
          <w:ilvl w:val="0"/>
          <w:numId w:val="5"/>
        </w:numPr>
        <w:ind w:firstLine="253"/>
        <w:keepLines w:val="0"/>
        <w:keepNext w:val="0"/>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《中小企业声明函》查询渠道用微信搜索“中小企业规模类型自测小程序”</w:t>
      </w:r>
      <w:r/>
    </w:p>
    <w:p>
      <w:pPr>
        <w:pStyle w:val="842"/>
        <w:ind w:left="0" w:firstLine="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附件：</w:t>
      </w:r>
      <w:r/>
    </w:p>
    <w:p>
      <w:pPr>
        <w:pStyle w:val="842"/>
        <w:ind w:left="0" w:firstLine="0"/>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3656965" cy="7592695"/>
                <wp:effectExtent l="0" t="0" r="635" b="8255"/>
                <wp:docPr id="6"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9"/>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7.9pt;height:597.9pt;mso-wrap-distance-left:0.0pt;mso-wrap-distance-top:0.0pt;mso-wrap-distance-right:0.0pt;mso-wrap-distance-bottom:0.0pt;" stroked="f">
                <v:path textboxrect="0,0,0,0"/>
                <v:imagedata r:id="rId19" o:title=""/>
              </v:shape>
            </w:pict>
          </mc:Fallback>
        </mc:AlternateContent>
      </w:r>
      <w:r/>
    </w:p>
    <w:p>
      <w:pPr>
        <w:pStyle w:val="842"/>
        <w:ind w:left="0" w:firstLine="0"/>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left="0" w:firstLine="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spacing w:line="360" w:lineRule="auto"/>
        <w:rPr>
          <w:rFonts w:hint="eastAsia" w:ascii="宋体" w:hAnsi="宋体" w:eastAsia="宋体" w:cs="宋体"/>
          <w:b/>
          <w:bCs/>
          <w:color w:val="auto"/>
          <w:spacing w:val="6"/>
          <w:sz w:val="32"/>
          <w:szCs w:val="32"/>
          <w:highlight w:val="none"/>
        </w:rPr>
      </w:pPr>
      <w:r>
        <w:rPr>
          <w:rFonts w:hint="eastAsia" w:ascii="宋体" w:hAnsi="宋体" w:eastAsia="宋体" w:cs="宋体"/>
          <w:b/>
          <w:bCs w:val="0"/>
          <w:color w:val="auto"/>
          <w:sz w:val="28"/>
          <w:szCs w:val="28"/>
          <w:highlight w:val="none"/>
        </w:rPr>
        <w:t xml:space="preserve">9</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残疾人福利性单位声明函</w:t>
      </w:r>
      <w:r/>
    </w:p>
    <w:p>
      <w:p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spacing w:line="360" w:lineRule="auto"/>
        <w:widowControl/>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p>
    <w:p>
      <w:pPr>
        <w:jc w:val="left"/>
        <w:keepLines w:val="0"/>
        <w:keepNext w:val="0"/>
        <w:spacing w:line="360" w:lineRule="auto"/>
        <w:widowControl/>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JSZC-320303-JSRY-G2026-0004</w:t>
      </w:r>
      <w:r/>
    </w:p>
    <w:p>
      <w:pPr>
        <w:ind w:firstLine="504"/>
        <w:jc w:val="left"/>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jc w:val="left"/>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480"/>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2"/>
        <w:ind w:left="0" w:firstLine="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82"/>
        <w:ind w:firstLine="0"/>
        <w:jc w:val="center"/>
        <w:keepLines w:val="0"/>
        <w:keepNext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8"/>
          <w:szCs w:val="28"/>
          <w:highlight w:val="none"/>
          <w:lang w:val="en-US" w:eastAsia="zh-CN"/>
        </w:rPr>
        <w:t xml:space="preserve">10</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预付款保函支付条款</w:t>
      </w:r>
      <w:r/>
    </w:p>
    <w:p>
      <w:pPr>
        <w:ind w:firstLine="482"/>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付款条件一：提交预付款保函的</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（1）合同签订且乙方向甲方出具预付款保函后个</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2"/>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付款条件二：不提交预付款保函的</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注：1、付款条件一中，出具预付款保函后支付的合同款应当与保函金额一致。</w:t>
      </w:r>
      <w:r/>
    </w:p>
    <w:p>
      <w:pPr>
        <w:numPr>
          <w:ilvl w:val="0"/>
          <w:numId w:val="6"/>
        </w:numPr>
        <w:ind w:firstLine="480"/>
        <w:jc w:val="left"/>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付款条件二中，预付款比例设定应符合《关于做好政府采购支持企业发展有关事项的通知》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苏财购（2020）52号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w:t>
      </w:r>
      <w:r/>
    </w:p>
    <w:p>
      <w:pPr>
        <w:pStyle w:val="842"/>
        <w:ind w:left="0" w:firstLine="0"/>
        <w:keepLines w:val="0"/>
        <w:keepNext w:val="0"/>
        <w:spacing w:line="360" w:lineRule="auto"/>
        <w:rPr>
          <w:rFonts w:hint="eastAsia" w:ascii="宋体" w:hAnsi="宋体" w:eastAsia="宋体" w:cs="宋体"/>
          <w:color w:val="auto"/>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highlight w:val="none"/>
        </w:rPr>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highlight w:val="none"/>
          <w:lang w:val="en-US" w:eastAsia="zh-CN" w:bidi="ar-SA"/>
        </w:rPr>
      </w:pPr>
      <w:r>
        <w:rPr>
          <w:rFonts w:hint="eastAsia" w:ascii="宋体" w:hAnsi="宋体" w:cs="宋体"/>
          <w:b/>
          <w:bCs w:val="0"/>
          <w:sz w:val="28"/>
          <w:szCs w:val="28"/>
          <w:highlight w:val="none"/>
          <w:lang w:val="en-US" w:eastAsia="zh-CN" w:bidi="ar-SA"/>
        </w:rPr>
        <w:t xml:space="preserve">11、</w:t>
      </w:r>
      <w:r>
        <w:rPr>
          <w:rFonts w:hint="eastAsia" w:ascii="宋体" w:hAnsi="宋体" w:eastAsia="宋体" w:cs="宋体"/>
          <w:b/>
          <w:bCs w:val="0"/>
          <w:sz w:val="28"/>
          <w:szCs w:val="28"/>
          <w:highlight w:val="none"/>
          <w:lang w:val="en-US" w:eastAsia="zh-CN" w:bidi="ar-SA"/>
        </w:rPr>
        <w:t xml:space="preserve">关于符合本国产品标准的声明函</w:t>
      </w:r>
      <w:r/>
    </w:p>
    <w:p>
      <w:pPr>
        <w:ind w:firstLine="560"/>
        <w:jc w:val="center"/>
        <w:spacing w:line="479" w:lineRule="atLeast"/>
        <w:rPr>
          <w:rFonts w:hint="eastAsia" w:ascii="宋体" w:hAnsi="宋体" w:eastAsia="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lang w:val="en-US" w:eastAsia="zh-CN"/>
        </w:rPr>
      </w:r>
      <w:r/>
    </w:p>
    <w:p>
      <w:pPr>
        <w:ind w:left="0" w:right="0" w:firstLine="420"/>
        <w:spacing w:before="15" w:after="15"/>
        <w:shd w:val="clear" w:color="ffffff" w:fill="ffffff"/>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ind w:left="0" w:right="0" w:firstLine="480"/>
        <w:keepLines w:val="0"/>
        <w:keepNext w:val="0"/>
        <w:pageBreakBefore w:val="0"/>
        <w:spacing w:line="36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rPr>
          <w:rFonts w:ascii="宋体" w:hAnsi="宋体" w:eastAsia="宋体" w:cs="宋体"/>
          <w:color w:val="000000"/>
          <w:sz w:val="24"/>
          <w:szCs w:val="24"/>
          <w:highlight w:val="none"/>
          <w:u w:val="single"/>
        </w:rPr>
        <w:t xml:space="preserve">（产品名称1）</w:t>
      </w:r>
      <w:r>
        <w:rPr>
          <w:rFonts w:ascii="宋体" w:hAnsi="宋体" w:eastAsia="宋体" w:cs="宋体"/>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（厂名）</w:t>
      </w:r>
      <w:r>
        <w:rPr>
          <w:rFonts w:ascii="宋体" w:hAnsi="宋体" w:eastAsia="宋体" w:cs="宋体"/>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（生产厂址）</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w:t>
      </w:r>
      <w:r>
        <w:rPr>
          <w:rFonts w:ascii="宋体" w:hAnsi="宋体" w:eastAsia="宋体" w:cs="宋体"/>
          <w:color w:val="000000"/>
          <w:sz w:val="24"/>
          <w:szCs w:val="24"/>
          <w:highlight w:val="none"/>
          <w:u w:val="single"/>
        </w:rPr>
        <w:t xml:space="preserve">（产品名称2）</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（厂名）</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（生产厂址）</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在中国境内完成。</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4"/>
          <w:highlight w:val="non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  日</w:t>
      </w:r>
      <w:r/>
    </w:p>
    <w:p>
      <w:pPr>
        <w:ind w:left="0" w:right="0" w:firstLine="480"/>
        <w:jc w:val="center"/>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6.《声明函》中标注“</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”的地方无需填写。</w:t>
      </w:r>
      <w:r/>
    </w:p>
    <w:p>
      <w:pPr>
        <w:pStyle w:val="806"/>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sectPr>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仿宋">
    <w:panose1 w:val="02010609060101010101"/>
  </w:font>
  <w:font w:name="PMingLiU">
    <w:panose1 w:val="02020500000000000000"/>
  </w:font>
  <w:font w:name="Courier New">
    <w:panose1 w:val="02070309020205020404"/>
  </w:font>
  <w:font w:name="方正书宋简体">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rPr>
        <w:rStyle w:val="949"/>
      </w:rPr>
      <w:framePr w:wrap="around" w:vAnchor="text" w:hAnchor="margin" w:xAlign="center" w:y="1"/>
    </w:pPr>
    <w:r>
      <w:fldChar w:fldCharType="begin"/>
    </w:r>
    <w:r>
      <w:rPr>
        <w:rStyle w:val="949"/>
      </w:rPr>
      <w:instrText xml:space="preserve">PAGE  </w:instrText>
    </w:r>
    <w:r>
      <w:fldChar w:fldCharType="end"/>
    </w:r>
    <w:r/>
  </w:p>
  <w:p>
    <w:pPr>
      <w:pStyle w:val="8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p>
    <w:pPr>
      <w:pStyle w:val="8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843"/>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link w:val="9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name w:val="Heading 1"/>
    <w:basedOn w:val="762"/>
    <w:next w:val="762"/>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uiPriority w:val="9"/>
    <w:unhideWhenUsed/>
    <w:qFormat/>
    <w:pPr>
      <w:keepLines/>
      <w:keepNext/>
      <w:spacing w:before="320" w:after="200"/>
      <w:outlineLvl w:val="8"/>
    </w:pPr>
    <w:rPr>
      <w:rFonts w:ascii="Arial" w:hAnsi="Arial" w:eastAsia="Arial" w:cs="Arial"/>
      <w:i/>
      <w:iCs/>
      <w:sz w:val="21"/>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toc 7"/>
    <w:basedOn w:val="762"/>
    <w:next w:val="762"/>
    <w:uiPriority w:val="39"/>
    <w:unhideWhenUsed/>
    <w:qFormat/>
    <w:pPr>
      <w:ind w:left="1701" w:right="0" w:firstLine="0"/>
      <w:spacing w:after="57"/>
    </w:pPr>
  </w:style>
  <w:style w:type="paragraph" w:styleId="775">
    <w:name w:val="Normal Indent"/>
    <w:basedOn w:val="762"/>
    <w:uiPriority w:val="0"/>
    <w:qFormat/>
    <w:pPr>
      <w:ind w:firstLine="420"/>
    </w:pPr>
  </w:style>
  <w:style w:type="paragraph" w:styleId="776">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index 5"/>
    <w:basedOn w:val="762"/>
    <w:next w:val="762"/>
    <w:uiPriority w:val="0"/>
    <w:qFormat/>
    <w:pPr>
      <w:ind w:left="798"/>
    </w:pPr>
    <w:rPr>
      <w:rFonts w:ascii="Calibri" w:hAnsi="Calibri"/>
      <w:sz w:val="21"/>
    </w:rPr>
  </w:style>
  <w:style w:type="paragraph" w:styleId="778">
    <w:name w:val="annotation text"/>
    <w:basedOn w:val="762"/>
    <w:uiPriority w:val="99"/>
    <w:semiHidden/>
    <w:unhideWhenUsed/>
    <w:qFormat/>
    <w:pPr>
      <w:jc w:val="left"/>
    </w:pPr>
  </w:style>
  <w:style w:type="paragraph" w:styleId="779">
    <w:name w:val="Body Text"/>
    <w:basedOn w:val="762"/>
    <w:next w:val="780"/>
    <w:uiPriority w:val="0"/>
    <w:qFormat/>
  </w:style>
  <w:style w:type="paragraph" w:styleId="780" w:customStyle="1">
    <w:name w:val="一级条标题"/>
    <w:basedOn w:val="781"/>
    <w:next w:val="78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1" w:customStyle="1">
    <w:name w:val="章标题"/>
    <w:next w:val="76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82" w:customStyle="1">
    <w:name w:val="段"/>
    <w:basedOn w:val="783"/>
    <w:next w:val="762"/>
    <w:uiPriority w:val="0"/>
    <w:qFormat/>
    <w:pPr>
      <w:ind w:firstLine="200"/>
      <w:widowControl/>
    </w:pPr>
    <w:rPr>
      <w:rFonts w:hint="eastAsia" w:ascii="宋体"/>
      <w:sz w:val="20"/>
      <w:szCs w:val="20"/>
    </w:rPr>
  </w:style>
  <w:style w:type="paragraph" w:styleId="783" w:customStyle="1">
    <w:name w:val="正文111"/>
    <w:next w:val="7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4" w:customStyle="1">
    <w:name w:val="目录 11"/>
    <w:basedOn w:val="785"/>
    <w:next w:val="762"/>
    <w:uiPriority w:val="0"/>
    <w:qFormat/>
    <w:pPr>
      <w:jc w:val="left"/>
      <w:spacing w:after="100" w:line="259" w:lineRule="auto"/>
      <w:widowControl/>
    </w:pPr>
    <w:rPr>
      <w:rFonts w:ascii="Calibri" w:hAnsi="Calibri"/>
      <w:sz w:val="22"/>
      <w:szCs w:val="22"/>
    </w:rPr>
  </w:style>
  <w:style w:type="paragraph" w:styleId="785" w:customStyle="1">
    <w:name w:val="正文11"/>
    <w:next w:val="7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name w:val="Body Text Indent"/>
    <w:basedOn w:val="762"/>
    <w:next w:val="787"/>
    <w:uiPriority w:val="0"/>
    <w:qFormat/>
    <w:pPr>
      <w:ind w:firstLine="600"/>
      <w:spacing w:line="317" w:lineRule="auto"/>
    </w:pPr>
    <w:rPr>
      <w:rFonts w:ascii="方正书宋简体" w:eastAsia="方正书宋简体"/>
      <w:sz w:val="30"/>
    </w:rPr>
  </w:style>
  <w:style w:type="paragraph" w:styleId="787">
    <w:name w:val="envelope return"/>
    <w:basedOn w:val="762"/>
    <w:uiPriority w:val="99"/>
    <w:qFormat/>
    <w:pPr>
      <w:ind w:firstLine="200"/>
      <w:spacing w:line="360" w:lineRule="auto"/>
    </w:pPr>
    <w:rPr>
      <w:rFonts w:ascii="Arial" w:hAnsi="Arial" w:cs="Arial"/>
      <w:sz w:val="24"/>
    </w:rPr>
  </w:style>
  <w:style w:type="paragraph" w:styleId="788">
    <w:name w:val="Block Text"/>
    <w:basedOn w:val="762"/>
    <w:next w:val="762"/>
    <w:uiPriority w:val="0"/>
    <w:qFormat/>
    <w:pPr>
      <w:ind w:left="420" w:right="33"/>
      <w:jc w:val="left"/>
    </w:pPr>
    <w:rPr>
      <w:sz w:val="24"/>
      <w:szCs w:val="20"/>
    </w:rPr>
  </w:style>
  <w:style w:type="paragraph" w:styleId="789">
    <w:name w:val="index 4"/>
    <w:basedOn w:val="762"/>
    <w:next w:val="762"/>
    <w:uiPriority w:val="0"/>
    <w:semiHidden/>
    <w:qFormat/>
    <w:pPr>
      <w:ind w:left="1260"/>
      <w:jc w:val="both"/>
      <w:widowControl w:val="off"/>
    </w:pPr>
    <w:rPr>
      <w:rFonts w:ascii="Times New Roman" w:hAnsi="Times New Roman" w:eastAsia="Calibri" w:cs="宋体"/>
      <w:sz w:val="20"/>
      <w:szCs w:val="20"/>
      <w:lang w:val="zh-CN" w:eastAsia="zh-CN" w:bidi="ar-SA"/>
    </w:rPr>
  </w:style>
  <w:style w:type="paragraph" w:styleId="790">
    <w:name w:val="toc 5"/>
    <w:basedOn w:val="762"/>
    <w:next w:val="762"/>
    <w:uiPriority w:val="39"/>
    <w:unhideWhenUsed/>
    <w:qFormat/>
    <w:pPr>
      <w:ind w:left="1134" w:right="0" w:firstLine="0"/>
      <w:spacing w:after="57"/>
    </w:pPr>
  </w:style>
  <w:style w:type="paragraph" w:styleId="791">
    <w:name w:val="toc 3"/>
    <w:basedOn w:val="762"/>
    <w:next w:val="762"/>
    <w:uiPriority w:val="39"/>
    <w:unhideWhenUsed/>
    <w:qFormat/>
    <w:pPr>
      <w:ind w:left="567" w:right="0" w:firstLine="0"/>
      <w:spacing w:after="57"/>
    </w:pPr>
  </w:style>
  <w:style w:type="paragraph" w:styleId="792">
    <w:name w:val="Plain Text"/>
    <w:basedOn w:val="762"/>
    <w:uiPriority w:val="0"/>
    <w:qFormat/>
    <w:rPr>
      <w:rFonts w:ascii="宋体" w:hAnsi="Courier New"/>
      <w:szCs w:val="20"/>
    </w:rPr>
  </w:style>
  <w:style w:type="paragraph" w:styleId="793">
    <w:name w:val="toc 8"/>
    <w:basedOn w:val="762"/>
    <w:next w:val="762"/>
    <w:uiPriority w:val="39"/>
    <w:unhideWhenUsed/>
    <w:qFormat/>
    <w:pPr>
      <w:ind w:left="1984" w:right="0" w:firstLine="0"/>
      <w:spacing w:after="57"/>
    </w:pPr>
  </w:style>
  <w:style w:type="paragraph" w:styleId="794">
    <w:name w:val="endnote text"/>
    <w:basedOn w:val="762"/>
    <w:uiPriority w:val="99"/>
    <w:semiHidden/>
    <w:unhideWhenUsed/>
    <w:qFormat/>
    <w:pPr>
      <w:spacing w:after="0" w:line="240" w:lineRule="auto"/>
    </w:pPr>
    <w:rPr>
      <w:sz w:val="20"/>
    </w:rPr>
  </w:style>
  <w:style w:type="paragraph" w:styleId="795">
    <w:name w:val="Footer"/>
    <w:basedOn w:val="762"/>
    <w:uiPriority w:val="99"/>
    <w:unhideWhenUsed/>
    <w:qFormat/>
    <w:pPr>
      <w:spacing w:after="0" w:line="240" w:lineRule="auto"/>
      <w:tabs>
        <w:tab w:val="center" w:pos="7143" w:leader="none"/>
        <w:tab w:val="right" w:pos="14287" w:leader="none"/>
      </w:tabs>
    </w:pPr>
  </w:style>
  <w:style w:type="paragraph" w:styleId="796">
    <w:name w:val="Header"/>
    <w:basedOn w:val="762"/>
    <w:uiPriority w:val="99"/>
    <w:unhideWhenUsed/>
    <w:qFormat/>
    <w:pPr>
      <w:spacing w:after="0" w:line="240" w:lineRule="auto"/>
      <w:tabs>
        <w:tab w:val="center" w:pos="7143" w:leader="none"/>
        <w:tab w:val="right" w:pos="14287" w:leader="none"/>
      </w:tabs>
    </w:pPr>
  </w:style>
  <w:style w:type="paragraph" w:styleId="797">
    <w:name w:val="toc 1"/>
    <w:basedOn w:val="762"/>
    <w:next w:val="762"/>
    <w:uiPriority w:val="39"/>
    <w:unhideWhenUsed/>
    <w:qFormat/>
    <w:pPr>
      <w:ind w:left="0" w:right="0" w:firstLine="0"/>
      <w:spacing w:after="57"/>
    </w:pPr>
  </w:style>
  <w:style w:type="paragraph" w:styleId="798">
    <w:name w:val="toc 4"/>
    <w:basedOn w:val="762"/>
    <w:next w:val="762"/>
    <w:uiPriority w:val="39"/>
    <w:unhideWhenUsed/>
    <w:qFormat/>
    <w:pPr>
      <w:ind w:left="850" w:right="0" w:firstLine="0"/>
      <w:spacing w:after="57"/>
    </w:pPr>
  </w:style>
  <w:style w:type="paragraph" w:styleId="799">
    <w:name w:val="Subtitle"/>
    <w:basedOn w:val="762"/>
    <w:next w:val="762"/>
    <w:uiPriority w:val="11"/>
    <w:qFormat/>
    <w:pPr>
      <w:spacing w:before="200" w:after="200"/>
    </w:pPr>
    <w:rPr>
      <w:sz w:val="24"/>
      <w:szCs w:val="24"/>
    </w:rPr>
  </w:style>
  <w:style w:type="paragraph" w:styleId="800">
    <w:name w:val="footnote text"/>
    <w:basedOn w:val="762"/>
    <w:next w:val="777"/>
    <w:uiPriority w:val="99"/>
    <w:semiHidden/>
    <w:unhideWhenUsed/>
    <w:qFormat/>
    <w:pPr>
      <w:spacing w:after="40" w:line="240" w:lineRule="auto"/>
    </w:pPr>
    <w:rPr>
      <w:sz w:val="18"/>
    </w:rPr>
  </w:style>
  <w:style w:type="paragraph" w:styleId="801">
    <w:name w:val="toc 6"/>
    <w:basedOn w:val="762"/>
    <w:next w:val="762"/>
    <w:uiPriority w:val="39"/>
    <w:unhideWhenUsed/>
    <w:qFormat/>
    <w:pPr>
      <w:ind w:left="1417" w:right="0" w:firstLine="0"/>
      <w:spacing w:after="57"/>
    </w:pPr>
  </w:style>
  <w:style w:type="paragraph" w:styleId="802">
    <w:name w:val="table of figures"/>
    <w:basedOn w:val="762"/>
    <w:next w:val="762"/>
    <w:uiPriority w:val="99"/>
    <w:unhideWhenUsed/>
    <w:qFormat/>
    <w:pPr>
      <w:spacing w:after="0" w:afterAutospacing="0"/>
    </w:pPr>
  </w:style>
  <w:style w:type="paragraph" w:styleId="803">
    <w:name w:val="toc 2"/>
    <w:basedOn w:val="762"/>
    <w:next w:val="762"/>
    <w:uiPriority w:val="39"/>
    <w:unhideWhenUsed/>
    <w:qFormat/>
    <w:pPr>
      <w:ind w:left="283" w:right="0" w:firstLine="0"/>
      <w:spacing w:after="57"/>
    </w:pPr>
  </w:style>
  <w:style w:type="paragraph" w:styleId="804">
    <w:name w:val="toc 9"/>
    <w:basedOn w:val="762"/>
    <w:next w:val="762"/>
    <w:uiPriority w:val="39"/>
    <w:unhideWhenUsed/>
    <w:qFormat/>
    <w:pPr>
      <w:ind w:left="2268" w:right="0" w:firstLine="0"/>
      <w:spacing w:after="57"/>
    </w:pPr>
  </w:style>
  <w:style w:type="paragraph" w:styleId="805">
    <w:name w:val="Body Text 2"/>
    <w:basedOn w:val="762"/>
    <w:uiPriority w:val="99"/>
    <w:semiHidden/>
    <w:unhideWhenUsed/>
    <w:qFormat/>
    <w:pPr>
      <w:spacing w:after="120" w:line="480" w:lineRule="auto"/>
    </w:pPr>
  </w:style>
  <w:style w:type="paragraph" w:styleId="806">
    <w:name w:val="Normal (Web)"/>
    <w:basedOn w:val="762"/>
    <w:uiPriority w:val="99"/>
    <w:semiHidden/>
    <w:unhideWhenUsed/>
    <w:qFormat/>
    <w:pPr>
      <w:ind w:left="0" w:right="0"/>
      <w:jc w:val="left"/>
      <w:spacing w:before="0" w:beforeAutospacing="1" w:after="0" w:afterAutospacing="1"/>
      <w:widowControl w:val="off"/>
    </w:pPr>
    <w:rPr>
      <w:rFonts w:hint="default" w:ascii="Times New Roman" w:hAnsi="Times New Roman" w:eastAsia="宋体" w:cs="Times New Roman"/>
      <w:sz w:val="24"/>
      <w:szCs w:val="24"/>
      <w:lang w:val="en-US" w:eastAsia="zh-CN" w:bidi="ar"/>
    </w:rPr>
  </w:style>
  <w:style w:type="paragraph" w:styleId="807">
    <w:name w:val="Title"/>
    <w:basedOn w:val="762"/>
    <w:next w:val="762"/>
    <w:uiPriority w:val="10"/>
    <w:qFormat/>
    <w:pPr>
      <w:contextualSpacing/>
      <w:spacing w:before="300" w:after="200"/>
    </w:pPr>
    <w:rPr>
      <w:sz w:val="48"/>
      <w:szCs w:val="48"/>
    </w:rPr>
  </w:style>
  <w:style w:type="paragraph" w:styleId="808">
    <w:name w:val="Body Text First Indent"/>
    <w:basedOn w:val="779"/>
    <w:uiPriority w:val="0"/>
    <w:qFormat/>
    <w:pPr>
      <w:ind w:firstLine="420"/>
    </w:pPr>
  </w:style>
  <w:style w:type="paragraph" w:styleId="809">
    <w:name w:val="Body Text First Indent 2"/>
    <w:next w:val="762"/>
    <w:uiPriority w:val="0"/>
    <w:qFormat/>
    <w:pPr>
      <w:ind w:left="420" w:firstLine="420"/>
      <w:jc w:val="both"/>
      <w:spacing w:after="120" w:line="480" w:lineRule="exact"/>
      <w:widowControl w:val="off"/>
    </w:pPr>
    <w:rPr>
      <w:rFonts w:ascii="Calibri" w:hAnsi="Calibri" w:eastAsia="宋体" w:cs="Times New Roman"/>
      <w:sz w:val="24"/>
      <w:szCs w:val="20"/>
      <w:lang w:val="en-US" w:eastAsia="zh-CN" w:bidi="ar-SA"/>
    </w:rPr>
  </w:style>
  <w:style w:type="table" w:styleId="8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endnote reference"/>
    <w:uiPriority w:val="99"/>
    <w:semiHidden/>
    <w:unhideWhenUsed/>
    <w:qFormat/>
    <w:rPr>
      <w:vertAlign w:val="superscript"/>
    </w:rPr>
  </w:style>
  <w:style w:type="character" w:styleId="812">
    <w:name w:val="Hyperlink"/>
    <w:uiPriority w:val="99"/>
    <w:unhideWhenUsed/>
    <w:qFormat/>
    <w:rPr>
      <w:color w:val="0000ff" w:themeColor="hyperlink"/>
      <w:u w:val="single"/>
      <w14:textFill>
        <w14:solidFill>
          <w14:schemeClr w14:val="hlink"/>
        </w14:solidFill>
      </w14:textFill>
    </w:rPr>
  </w:style>
  <w:style w:type="character" w:styleId="813">
    <w:name w:val="footnote reference"/>
    <w:uiPriority w:val="99"/>
    <w:unhideWhenUsed/>
    <w:qFormat/>
    <w:rPr>
      <w:vertAlign w:val="superscript"/>
    </w:rPr>
  </w:style>
  <w:style w:type="character" w:styleId="814" w:customStyle="1">
    <w:name w:val="标题 2 Char"/>
    <w:link w:val="815"/>
    <w:uiPriority w:val="9"/>
    <w:qFormat/>
    <w:rPr>
      <w:rFonts w:ascii="Arial" w:hAnsi="Arial" w:eastAsia="Arial" w:cs="Arial"/>
      <w:sz w:val="34"/>
    </w:rPr>
  </w:style>
  <w:style w:type="paragraph" w:styleId="815" w:customStyle="1">
    <w:name w:val="标题 21"/>
    <w:basedOn w:val="762"/>
    <w:next w:val="785"/>
    <w:link w:val="814"/>
    <w:uiPriority w:val="9"/>
    <w:qFormat/>
    <w:pPr>
      <w:keepLines/>
      <w:keepNext/>
      <w:spacing w:before="360" w:after="200"/>
      <w:outlineLvl w:val="1"/>
    </w:pPr>
    <w:rPr>
      <w:rFonts w:ascii="Arial" w:hAnsi="Arial" w:eastAsia="Arial" w:cs="Arial"/>
      <w:sz w:val="34"/>
    </w:rPr>
  </w:style>
  <w:style w:type="paragraph" w:styleId="816" w:customStyle="1">
    <w:name w:val="目录 111"/>
    <w:basedOn w:val="817"/>
    <w:next w:val="783"/>
    <w:uiPriority w:val="39"/>
    <w:unhideWhenUsed/>
    <w:qFormat/>
    <w:pPr>
      <w:spacing w:after="57"/>
    </w:pPr>
  </w:style>
  <w:style w:type="paragraph" w:styleId="817" w:customStyle="1">
    <w:name w:val="正文12"/>
    <w:next w:val="8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8" w:customStyle="1">
    <w:name w:val="正文文本1"/>
    <w:basedOn w:val="819"/>
    <w:next w:val="780"/>
    <w:uiPriority w:val="0"/>
    <w:qFormat/>
    <w:pPr>
      <w:spacing w:after="120"/>
    </w:pPr>
  </w:style>
  <w:style w:type="paragraph" w:styleId="819" w:customStyle="1">
    <w:name w:val="正文1111"/>
    <w:next w:val="8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0" w:customStyle="1">
    <w:name w:val="文本块11"/>
    <w:basedOn w:val="817"/>
    <w:uiPriority w:val="0"/>
    <w:unhideWhenUsed/>
    <w:qFormat/>
    <w:pPr>
      <w:ind w:left="1440" w:right="1440"/>
      <w:spacing w:after="120"/>
    </w:pPr>
    <w:rPr>
      <w:rFonts w:ascii="Calibri" w:hAnsi="Calibri"/>
    </w:rPr>
  </w:style>
  <w:style w:type="paragraph" w:styleId="821" w:customStyle="1">
    <w:name w:val="正文文本缩进1"/>
    <w:basedOn w:val="822"/>
    <w:next w:val="823"/>
    <w:uiPriority w:val="99"/>
    <w:unhideWhenUsed/>
    <w:qFormat/>
    <w:pPr>
      <w:ind w:firstLine="425"/>
      <w:spacing w:line="360" w:lineRule="auto"/>
    </w:pPr>
  </w:style>
  <w:style w:type="paragraph" w:styleId="822" w:customStyle="1">
    <w:name w:val="正文1"/>
    <w:basedOn w:val="785"/>
    <w:next w:val="784"/>
    <w:uiPriority w:val="0"/>
    <w:qFormat/>
    <w:rPr>
      <w:rFonts w:hint="default" w:ascii="Times New Roman" w:hAnsi="Times New Roman" w:eastAsia="宋体" w:cs="Times New Roman"/>
      <w:lang w:val="en-US" w:eastAsia="zh-CN" w:bidi="ar-SA"/>
    </w:rPr>
  </w:style>
  <w:style w:type="paragraph" w:styleId="823" w:customStyle="1">
    <w:name w:val="寄信人地址1"/>
    <w:basedOn w:val="785"/>
    <w:uiPriority w:val="99"/>
    <w:unhideWhenUsed/>
    <w:qFormat/>
    <w:rPr>
      <w:rFonts w:ascii="Arial" w:hAnsi="Arial"/>
    </w:rPr>
  </w:style>
  <w:style w:type="paragraph" w:styleId="824" w:customStyle="1">
    <w:name w:val="BlockQuote"/>
    <w:basedOn w:val="783"/>
    <w:uiPriority w:val="0"/>
    <w:qFormat/>
    <w:pPr>
      <w:ind w:left="256" w:right="6" w:firstLine="624"/>
    </w:pPr>
    <w:rPr>
      <w:rFonts w:eastAsia="仿宋_GB2312"/>
      <w:sz w:val="28"/>
    </w:rPr>
  </w:style>
  <w:style w:type="paragraph" w:styleId="825" w:customStyle="1">
    <w:name w:val="标题 111"/>
    <w:basedOn w:val="762"/>
    <w:next w:val="785"/>
    <w:uiPriority w:val="9"/>
    <w:qFormat/>
    <w:pPr>
      <w:keepLines/>
      <w:keepNext/>
      <w:spacing w:before="480" w:after="200"/>
      <w:outlineLvl w:val="0"/>
    </w:pPr>
    <w:rPr>
      <w:rFonts w:ascii="Arial" w:hAnsi="Arial" w:eastAsia="Arial" w:cs="Arial"/>
      <w:sz w:val="40"/>
      <w:szCs w:val="40"/>
    </w:rPr>
  </w:style>
  <w:style w:type="paragraph" w:styleId="826" w:customStyle="1">
    <w:name w:val="正文13"/>
    <w:next w:val="8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7" w:customStyle="1">
    <w:name w:val="正文首行缩进1"/>
    <w:basedOn w:val="828"/>
    <w:next w:val="830"/>
    <w:uiPriority w:val="0"/>
    <w:qFormat/>
    <w:pPr>
      <w:ind w:firstLine="420"/>
    </w:pPr>
  </w:style>
  <w:style w:type="paragraph" w:styleId="828" w:customStyle="1">
    <w:name w:val="正文文本11"/>
    <w:basedOn w:val="829"/>
    <w:next w:val="780"/>
    <w:uiPriority w:val="0"/>
    <w:qFormat/>
    <w:pPr>
      <w:spacing w:after="120"/>
    </w:pPr>
  </w:style>
  <w:style w:type="paragraph" w:styleId="829" w:customStyle="1">
    <w:name w:val="正文112"/>
    <w:next w:val="8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0" w:customStyle="1">
    <w:name w:val="正文首行缩进 211"/>
    <w:basedOn w:val="831"/>
    <w:next w:val="829"/>
    <w:uiPriority w:val="0"/>
    <w:qFormat/>
    <w:pPr>
      <w:ind w:firstLine="200"/>
    </w:pPr>
  </w:style>
  <w:style w:type="paragraph" w:styleId="831" w:customStyle="1">
    <w:name w:val="正文文本缩进11"/>
    <w:basedOn w:val="783"/>
    <w:next w:val="829"/>
    <w:uiPriority w:val="0"/>
    <w:unhideWhenUsed/>
    <w:qFormat/>
    <w:pPr>
      <w:ind w:left="420"/>
      <w:spacing w:after="120"/>
    </w:pPr>
    <w:rPr>
      <w:sz w:val="24"/>
    </w:rPr>
  </w:style>
  <w:style w:type="paragraph" w:styleId="832" w:customStyle="1">
    <w:name w:val="正文文本 21"/>
    <w:basedOn w:val="785"/>
    <w:uiPriority w:val="0"/>
    <w:qFormat/>
    <w:pPr>
      <w:spacing w:after="120" w:line="480" w:lineRule="auto"/>
    </w:pPr>
  </w:style>
  <w:style w:type="paragraph" w:styleId="833" w:customStyle="1">
    <w:name w:val="正文首行缩进 21"/>
    <w:basedOn w:val="821"/>
    <w:next w:val="783"/>
    <w:uiPriority w:val="0"/>
    <w:qFormat/>
    <w:pPr>
      <w:ind w:firstLine="420"/>
    </w:pPr>
    <w:rPr>
      <w:rFonts w:ascii="宋体" w:hAnsi="宋体"/>
      <w:sz w:val="20"/>
      <w:szCs w:val="20"/>
    </w:rPr>
  </w:style>
  <w:style w:type="paragraph" w:styleId="834" w:customStyle="1">
    <w:name w:val="正文首行缩进11"/>
    <w:basedOn w:val="818"/>
    <w:next w:val="830"/>
    <w:uiPriority w:val="0"/>
    <w:qFormat/>
    <w:pPr>
      <w:ind w:firstLine="420"/>
    </w:pPr>
    <w:rPr>
      <w:sz w:val="24"/>
    </w:rPr>
  </w:style>
  <w:style w:type="paragraph" w:styleId="835" w:customStyle="1">
    <w:name w:val="寄信人地址11"/>
    <w:basedOn w:val="785"/>
    <w:uiPriority w:val="0"/>
    <w:qFormat/>
    <w:rPr>
      <w:rFonts w:ascii="Arial" w:hAnsi="Arial"/>
    </w:rPr>
  </w:style>
  <w:style w:type="paragraph" w:styleId="836" w:customStyle="1">
    <w:name w:val="标题 211"/>
    <w:basedOn w:val="785"/>
    <w:next w:val="819"/>
    <w:uiPriority w:val="9"/>
    <w:unhideWhenUsed/>
    <w:qFormat/>
    <w:pPr>
      <w:keepLines/>
      <w:keepNext/>
      <w:spacing w:before="360" w:after="200"/>
      <w:outlineLvl w:val="1"/>
    </w:pPr>
    <w:rPr>
      <w:rFonts w:ascii="Arial" w:hAnsi="Arial" w:eastAsia="Arial" w:cs="Arial"/>
      <w:sz w:val="34"/>
    </w:rPr>
  </w:style>
  <w:style w:type="paragraph" w:styleId="837" w:customStyle="1">
    <w:name w:val="列出段落1"/>
    <w:basedOn w:val="838"/>
    <w:next w:val="839"/>
    <w:uiPriority w:val="0"/>
    <w:qFormat/>
    <w:pPr>
      <w:ind w:left="480"/>
      <w:jc w:val="left"/>
    </w:pPr>
    <w:rPr>
      <w:rFonts w:eastAsia="PMingLiU"/>
      <w:sz w:val="24"/>
      <w:szCs w:val="20"/>
      <w:lang w:eastAsia="zh-TW"/>
    </w:rPr>
  </w:style>
  <w:style w:type="paragraph" w:styleId="838"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9" w:customStyle="1">
    <w:name w:val="标题 71"/>
    <w:basedOn w:val="819"/>
    <w:next w:val="829"/>
    <w:link w:val="917"/>
    <w:uiPriority w:val="9"/>
    <w:qFormat/>
    <w:pPr>
      <w:keepLines/>
      <w:keepNext/>
      <w:spacing w:before="320" w:after="200"/>
      <w:outlineLvl w:val="6"/>
    </w:pPr>
    <w:rPr>
      <w:rFonts w:ascii="Arial" w:hAnsi="Arial" w:eastAsia="Arial" w:cs="Arial"/>
      <w:b/>
      <w:bCs/>
      <w:i/>
      <w:iCs/>
      <w:sz w:val="22"/>
      <w:szCs w:val="22"/>
    </w:rPr>
  </w:style>
  <w:style w:type="paragraph" w:styleId="840" w:customStyle="1">
    <w:name w:val="无间隔1"/>
    <w:uiPriority w:val="0"/>
    <w:qFormat/>
    <w:rPr>
      <w:rFonts w:hint="default" w:ascii="Times New Roman" w:hAnsi="Times New Roman" w:eastAsia="宋体" w:cs="Times New Roman"/>
      <w:sz w:val="22"/>
      <w:szCs w:val="22"/>
      <w:lang w:val="en-US" w:eastAsia="en-US" w:bidi="ar-SA"/>
    </w:rPr>
  </w:style>
  <w:style w:type="paragraph" w:styleId="841" w:customStyle="1">
    <w:name w:val="正文缩进1"/>
    <w:basedOn w:val="762"/>
    <w:uiPriority w:val="0"/>
    <w:qFormat/>
    <w:pPr>
      <w:ind w:firstLine="420"/>
    </w:pPr>
  </w:style>
  <w:style w:type="paragraph" w:styleId="842" w:customStyle="1">
    <w:name w:val="文本块1"/>
    <w:basedOn w:val="822"/>
    <w:uiPriority w:val="6"/>
    <w:qFormat/>
    <w:pPr>
      <w:ind w:left="256" w:right="6" w:firstLine="624"/>
    </w:pPr>
    <w:rPr>
      <w:rFonts w:eastAsia="仿宋"/>
      <w:sz w:val="28"/>
      <w:szCs w:val="20"/>
    </w:rPr>
  </w:style>
  <w:style w:type="paragraph" w:styleId="843" w:customStyle="1">
    <w:name w:val="标题 41"/>
    <w:basedOn w:val="817"/>
    <w:next w:val="785"/>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844" w:customStyle="1">
    <w:name w:val="标题1"/>
    <w:basedOn w:val="762"/>
    <w:next w:val="829"/>
    <w:link w:val="946"/>
    <w:uiPriority w:val="10"/>
    <w:qFormat/>
    <w:pPr>
      <w:contextualSpacing/>
      <w:spacing w:before="300" w:after="200"/>
    </w:pPr>
    <w:rPr>
      <w:sz w:val="48"/>
      <w:szCs w:val="48"/>
    </w:rPr>
  </w:style>
  <w:style w:type="paragraph" w:styleId="845" w:customStyle="1">
    <w:name w:val="页脚1"/>
    <w:basedOn w:val="762"/>
    <w:uiPriority w:val="0"/>
    <w:qFormat/>
    <w:pPr>
      <w:jc w:val="left"/>
      <w:tabs>
        <w:tab w:val="center" w:pos="4153" w:leader="none"/>
        <w:tab w:val="right" w:pos="8306" w:leader="none"/>
      </w:tabs>
    </w:pPr>
    <w:rPr>
      <w:sz w:val="18"/>
      <w:szCs w:val="18"/>
    </w:rPr>
  </w:style>
  <w:style w:type="paragraph" w:styleId="846" w:customStyle="1">
    <w:name w:val="正文文本111"/>
    <w:basedOn w:val="762"/>
    <w:next w:val="817"/>
    <w:uiPriority w:val="0"/>
    <w:qFormat/>
    <w:rPr>
      <w:rFonts w:ascii="楷体_GB2312" w:hAnsi="Arial" w:eastAsia="楷体_GB2312"/>
      <w:sz w:val="28"/>
      <w:szCs w:val="28"/>
      <w:lang w:eastAsia="en-US"/>
    </w:rPr>
  </w:style>
  <w:style w:type="paragraph" w:styleId="847" w:customStyle="1">
    <w:name w:val="索引 41"/>
    <w:basedOn w:val="826"/>
    <w:next w:val="822"/>
    <w:uiPriority w:val="0"/>
    <w:qFormat/>
    <w:pPr>
      <w:ind w:left="600" w:firstLine="200"/>
      <w:spacing w:line="274" w:lineRule="auto"/>
    </w:pPr>
    <w:rPr>
      <w:rFonts w:ascii="Calibri" w:hAnsi="Calibri" w:eastAsia="仿宋_GB2312"/>
      <w:sz w:val="24"/>
    </w:rPr>
  </w:style>
  <w:style w:type="paragraph" w:styleId="848" w:customStyle="1">
    <w:name w:val="标题 311"/>
    <w:basedOn w:val="762"/>
    <w:next w:val="762"/>
    <w:uiPriority w:val="9"/>
    <w:unhideWhenUsed/>
    <w:qFormat/>
    <w:pPr>
      <w:keepLines/>
      <w:keepNext/>
      <w:spacing w:before="320" w:after="200"/>
      <w:outlineLvl w:val="2"/>
    </w:pPr>
    <w:rPr>
      <w:rFonts w:ascii="Arial" w:hAnsi="Arial" w:eastAsia="Arial" w:cs="Arial"/>
      <w:sz w:val="30"/>
      <w:szCs w:val="30"/>
    </w:rPr>
  </w:style>
  <w:style w:type="paragraph" w:styleId="849" w:customStyle="1">
    <w:name w:val="标题 411"/>
    <w:basedOn w:val="762"/>
    <w:next w:val="762"/>
    <w:uiPriority w:val="9"/>
    <w:unhideWhenUsed/>
    <w:qFormat/>
    <w:pPr>
      <w:keepLines/>
      <w:keepNext/>
      <w:spacing w:before="320" w:after="200"/>
      <w:outlineLvl w:val="3"/>
    </w:pPr>
    <w:rPr>
      <w:rFonts w:ascii="Arial" w:hAnsi="Arial" w:eastAsia="Arial" w:cs="Arial"/>
      <w:b/>
      <w:bCs/>
      <w:sz w:val="26"/>
      <w:szCs w:val="26"/>
    </w:rPr>
  </w:style>
  <w:style w:type="paragraph" w:styleId="850" w:customStyle="1">
    <w:name w:val="标题 511"/>
    <w:basedOn w:val="762"/>
    <w:next w:val="762"/>
    <w:uiPriority w:val="9"/>
    <w:unhideWhenUsed/>
    <w:qFormat/>
    <w:pPr>
      <w:keepLines/>
      <w:keepNext/>
      <w:spacing w:before="320" w:after="200"/>
      <w:outlineLvl w:val="4"/>
    </w:pPr>
    <w:rPr>
      <w:rFonts w:ascii="Arial" w:hAnsi="Arial" w:eastAsia="Arial" w:cs="Arial"/>
      <w:b/>
      <w:bCs/>
      <w:sz w:val="24"/>
    </w:rPr>
  </w:style>
  <w:style w:type="paragraph" w:styleId="851" w:customStyle="1">
    <w:name w:val="标题 611"/>
    <w:basedOn w:val="762"/>
    <w:next w:val="762"/>
    <w:uiPriority w:val="9"/>
    <w:unhideWhenUsed/>
    <w:qFormat/>
    <w:pPr>
      <w:keepLines/>
      <w:keepNext/>
      <w:spacing w:before="320" w:after="200"/>
      <w:outlineLvl w:val="5"/>
    </w:pPr>
    <w:rPr>
      <w:rFonts w:ascii="Arial" w:hAnsi="Arial" w:eastAsia="Arial" w:cs="Arial"/>
      <w:b/>
      <w:bCs/>
      <w:sz w:val="22"/>
      <w:szCs w:val="22"/>
    </w:rPr>
  </w:style>
  <w:style w:type="paragraph" w:styleId="852" w:customStyle="1">
    <w:name w:val="标题 711"/>
    <w:basedOn w:val="762"/>
    <w:next w:val="762"/>
    <w:uiPriority w:val="9"/>
    <w:unhideWhenUsed/>
    <w:qFormat/>
    <w:pPr>
      <w:keepLines/>
      <w:keepNext/>
      <w:spacing w:before="320" w:after="200"/>
      <w:outlineLvl w:val="6"/>
    </w:pPr>
    <w:rPr>
      <w:rFonts w:ascii="Arial" w:hAnsi="Arial" w:eastAsia="Arial" w:cs="Arial"/>
      <w:b/>
      <w:bCs/>
      <w:i/>
      <w:iCs/>
      <w:sz w:val="22"/>
      <w:szCs w:val="22"/>
    </w:rPr>
  </w:style>
  <w:style w:type="paragraph" w:styleId="853" w:customStyle="1">
    <w:name w:val="标题 811"/>
    <w:basedOn w:val="762"/>
    <w:next w:val="762"/>
    <w:uiPriority w:val="9"/>
    <w:unhideWhenUsed/>
    <w:qFormat/>
    <w:pPr>
      <w:keepLines/>
      <w:keepNext/>
      <w:spacing w:before="320" w:after="200"/>
      <w:outlineLvl w:val="7"/>
    </w:pPr>
    <w:rPr>
      <w:rFonts w:ascii="Arial" w:hAnsi="Arial" w:eastAsia="Arial" w:cs="Arial"/>
      <w:i/>
      <w:iCs/>
      <w:sz w:val="22"/>
      <w:szCs w:val="22"/>
    </w:rPr>
  </w:style>
  <w:style w:type="paragraph" w:styleId="854" w:customStyle="1">
    <w:name w:val="标题 911"/>
    <w:basedOn w:val="762"/>
    <w:next w:val="762"/>
    <w:uiPriority w:val="9"/>
    <w:unhideWhenUsed/>
    <w:qFormat/>
    <w:pPr>
      <w:keepLines/>
      <w:keepNext/>
      <w:spacing w:before="320" w:after="200"/>
      <w:outlineLvl w:val="8"/>
    </w:pPr>
    <w:rPr>
      <w:rFonts w:ascii="Arial" w:hAnsi="Arial" w:eastAsia="Arial" w:cs="Arial"/>
      <w:i/>
      <w:iCs/>
      <w:szCs w:val="21"/>
    </w:rPr>
  </w:style>
  <w:style w:type="character" w:styleId="855" w:customStyle="1">
    <w:name w:val="默认段落字体11"/>
    <w:link w:val="762"/>
    <w:uiPriority w:val="1"/>
    <w:unhideWhenUsed/>
    <w:qFormat/>
  </w:style>
  <w:style w:type="table" w:styleId="856" w:customStyle="1">
    <w:name w:val="普通表格11"/>
    <w:uiPriority w:val="99"/>
    <w:unhideWhenUsed/>
    <w:qFormat/>
    <w:tblPr/>
  </w:style>
  <w:style w:type="paragraph" w:styleId="857" w:customStyle="1">
    <w:name w:val="信息标题1"/>
    <w:basedOn w:val="762"/>
    <w:next w:val="85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58" w:customStyle="1">
    <w:name w:val="正文文本12"/>
    <w:basedOn w:val="762"/>
    <w:next w:val="762"/>
    <w:uiPriority w:val="99"/>
    <w:qFormat/>
    <w:pPr>
      <w:spacing w:after="120"/>
    </w:pPr>
  </w:style>
  <w:style w:type="paragraph" w:styleId="859" w:customStyle="1">
    <w:name w:val="目录 711"/>
    <w:basedOn w:val="762"/>
    <w:next w:val="762"/>
    <w:uiPriority w:val="39"/>
    <w:unhideWhenUsed/>
    <w:qFormat/>
    <w:pPr>
      <w:ind w:left="1701"/>
      <w:spacing w:after="57"/>
    </w:pPr>
  </w:style>
  <w:style w:type="paragraph" w:styleId="860" w:customStyle="1">
    <w:name w:val="题注11"/>
    <w:basedOn w:val="762"/>
    <w:next w:val="762"/>
    <w:uiPriority w:val="35"/>
    <w:unhideWhenUsed/>
    <w:qFormat/>
    <w:pPr>
      <w:spacing w:line="276" w:lineRule="auto"/>
    </w:pPr>
    <w:rPr>
      <w:b/>
      <w:bCs/>
      <w:color w:val="4f81bd"/>
      <w:sz w:val="18"/>
      <w:szCs w:val="18"/>
    </w:rPr>
  </w:style>
  <w:style w:type="paragraph" w:styleId="861" w:customStyle="1">
    <w:name w:val="批注文字11"/>
    <w:basedOn w:val="762"/>
    <w:uiPriority w:val="0"/>
    <w:qFormat/>
    <w:pPr>
      <w:jc w:val="left"/>
    </w:pPr>
  </w:style>
  <w:style w:type="paragraph" w:styleId="862" w:customStyle="1">
    <w:name w:val="文本块12"/>
    <w:basedOn w:val="762"/>
    <w:uiPriority w:val="6"/>
    <w:qFormat/>
    <w:pPr>
      <w:ind w:left="256" w:right="6" w:firstLine="624"/>
    </w:pPr>
    <w:rPr>
      <w:rFonts w:eastAsia="仿宋"/>
      <w:sz w:val="28"/>
    </w:rPr>
  </w:style>
  <w:style w:type="paragraph" w:styleId="863" w:customStyle="1">
    <w:name w:val="目录 511"/>
    <w:basedOn w:val="762"/>
    <w:next w:val="762"/>
    <w:uiPriority w:val="39"/>
    <w:unhideWhenUsed/>
    <w:qFormat/>
    <w:pPr>
      <w:ind w:left="1134"/>
      <w:spacing w:after="57"/>
    </w:pPr>
  </w:style>
  <w:style w:type="paragraph" w:styleId="864" w:customStyle="1">
    <w:name w:val="目录 311"/>
    <w:basedOn w:val="762"/>
    <w:next w:val="762"/>
    <w:uiPriority w:val="39"/>
    <w:unhideWhenUsed/>
    <w:qFormat/>
    <w:pPr>
      <w:ind w:left="567"/>
      <w:spacing w:after="57"/>
    </w:pPr>
  </w:style>
  <w:style w:type="paragraph" w:styleId="865" w:customStyle="1">
    <w:name w:val="目录 811"/>
    <w:basedOn w:val="762"/>
    <w:next w:val="762"/>
    <w:uiPriority w:val="39"/>
    <w:unhideWhenUsed/>
    <w:qFormat/>
    <w:pPr>
      <w:ind w:left="1984"/>
      <w:spacing w:after="57"/>
    </w:pPr>
  </w:style>
  <w:style w:type="paragraph" w:styleId="866" w:customStyle="1">
    <w:name w:val="尾注文本11"/>
    <w:basedOn w:val="762"/>
    <w:uiPriority w:val="99"/>
    <w:unhideWhenUsed/>
    <w:qFormat/>
    <w:rPr>
      <w:sz w:val="20"/>
    </w:rPr>
  </w:style>
  <w:style w:type="paragraph" w:styleId="867" w:customStyle="1">
    <w:name w:val="页脚11"/>
    <w:basedOn w:val="762"/>
    <w:uiPriority w:val="99"/>
    <w:unhideWhenUsed/>
    <w:qFormat/>
    <w:pPr>
      <w:tabs>
        <w:tab w:val="center" w:pos="7143" w:leader="none"/>
        <w:tab w:val="right" w:pos="14287" w:leader="none"/>
      </w:tabs>
    </w:pPr>
  </w:style>
  <w:style w:type="paragraph" w:styleId="868" w:customStyle="1">
    <w:name w:val="页眉11"/>
    <w:basedOn w:val="762"/>
    <w:uiPriority w:val="99"/>
    <w:unhideWhenUsed/>
    <w:qFormat/>
    <w:pPr>
      <w:tabs>
        <w:tab w:val="center" w:pos="7143" w:leader="none"/>
        <w:tab w:val="right" w:pos="14287" w:leader="none"/>
      </w:tabs>
    </w:pPr>
  </w:style>
  <w:style w:type="paragraph" w:styleId="869" w:customStyle="1">
    <w:name w:val="目录 1111"/>
    <w:basedOn w:val="762"/>
    <w:next w:val="762"/>
    <w:uiPriority w:val="39"/>
    <w:unhideWhenUsed/>
    <w:qFormat/>
    <w:pPr>
      <w:spacing w:after="57"/>
    </w:pPr>
  </w:style>
  <w:style w:type="paragraph" w:styleId="870" w:customStyle="1">
    <w:name w:val="目录 411"/>
    <w:basedOn w:val="762"/>
    <w:next w:val="762"/>
    <w:uiPriority w:val="39"/>
    <w:unhideWhenUsed/>
    <w:qFormat/>
    <w:pPr>
      <w:ind w:left="850"/>
      <w:spacing w:after="57"/>
    </w:pPr>
  </w:style>
  <w:style w:type="paragraph" w:styleId="871" w:customStyle="1">
    <w:name w:val="副标题11"/>
    <w:basedOn w:val="762"/>
    <w:next w:val="762"/>
    <w:uiPriority w:val="11"/>
    <w:qFormat/>
    <w:pPr>
      <w:spacing w:before="200" w:after="200"/>
    </w:pPr>
    <w:rPr>
      <w:sz w:val="24"/>
    </w:rPr>
  </w:style>
  <w:style w:type="paragraph" w:styleId="872" w:customStyle="1">
    <w:name w:val="脚注文本11"/>
    <w:basedOn w:val="762"/>
    <w:next w:val="873"/>
    <w:uiPriority w:val="99"/>
    <w:unhideWhenUsed/>
    <w:qFormat/>
    <w:pPr>
      <w:spacing w:after="40"/>
    </w:pPr>
    <w:rPr>
      <w:sz w:val="18"/>
    </w:rPr>
  </w:style>
  <w:style w:type="paragraph" w:styleId="873" w:customStyle="1">
    <w:name w:val="索引 51"/>
    <w:basedOn w:val="874"/>
    <w:next w:val="822"/>
    <w:uiPriority w:val="0"/>
    <w:qFormat/>
    <w:pPr>
      <w:ind w:left="798"/>
      <w:jc w:val="left"/>
    </w:pPr>
    <w:rPr>
      <w:rFonts w:ascii="Calibri" w:hAnsi="Calibri"/>
    </w:rPr>
  </w:style>
  <w:style w:type="paragraph" w:styleId="874" w:customStyle="1">
    <w:name w:val="脚注文本1"/>
    <w:basedOn w:val="822"/>
    <w:next w:val="818"/>
    <w:uiPriority w:val="0"/>
    <w:qFormat/>
    <w:rPr>
      <w:rFonts w:ascii="宋体" w:eastAsia="Times New Roman"/>
      <w:sz w:val="18"/>
      <w:szCs w:val="18"/>
    </w:rPr>
  </w:style>
  <w:style w:type="paragraph" w:styleId="875" w:customStyle="1">
    <w:name w:val="目录 611"/>
    <w:basedOn w:val="762"/>
    <w:next w:val="762"/>
    <w:uiPriority w:val="39"/>
    <w:unhideWhenUsed/>
    <w:qFormat/>
    <w:pPr>
      <w:ind w:left="1417"/>
      <w:spacing w:after="57"/>
    </w:pPr>
  </w:style>
  <w:style w:type="paragraph" w:styleId="876" w:customStyle="1">
    <w:name w:val="图表目录11"/>
    <w:basedOn w:val="762"/>
    <w:next w:val="762"/>
    <w:uiPriority w:val="99"/>
    <w:unhideWhenUsed/>
    <w:qFormat/>
  </w:style>
  <w:style w:type="paragraph" w:styleId="877" w:customStyle="1">
    <w:name w:val="目录 211"/>
    <w:basedOn w:val="762"/>
    <w:next w:val="762"/>
    <w:uiPriority w:val="39"/>
    <w:unhideWhenUsed/>
    <w:qFormat/>
    <w:pPr>
      <w:ind w:left="283"/>
      <w:spacing w:after="57"/>
    </w:pPr>
  </w:style>
  <w:style w:type="paragraph" w:styleId="878" w:customStyle="1">
    <w:name w:val="目录 911"/>
    <w:basedOn w:val="762"/>
    <w:next w:val="762"/>
    <w:uiPriority w:val="39"/>
    <w:unhideWhenUsed/>
    <w:qFormat/>
    <w:pPr>
      <w:ind w:left="2268"/>
      <w:spacing w:after="57"/>
    </w:pPr>
  </w:style>
  <w:style w:type="paragraph" w:styleId="879" w:customStyle="1">
    <w:name w:val="普通(网站)12"/>
    <w:basedOn w:val="762"/>
    <w:uiPriority w:val="99"/>
    <w:qFormat/>
    <w:pPr>
      <w:jc w:val="left"/>
      <w:spacing w:before="100" w:beforeAutospacing="1" w:after="100" w:afterAutospacing="1"/>
      <w:widowControl/>
    </w:pPr>
    <w:rPr>
      <w:rFonts w:ascii="宋体" w:hAnsi="宋体" w:cs="宋体"/>
      <w:sz w:val="24"/>
    </w:rPr>
  </w:style>
  <w:style w:type="paragraph" w:styleId="880" w:customStyle="1">
    <w:name w:val="标题11"/>
    <w:basedOn w:val="762"/>
    <w:next w:val="762"/>
    <w:uiPriority w:val="10"/>
    <w:qFormat/>
    <w:pPr>
      <w:contextualSpacing/>
      <w:spacing w:before="300" w:after="200"/>
    </w:pPr>
    <w:rPr>
      <w:sz w:val="48"/>
      <w:szCs w:val="48"/>
    </w:rPr>
  </w:style>
  <w:style w:type="table" w:styleId="881" w:customStyle="1">
    <w:name w:val="网格型11"/>
    <w:uiPriority w:val="59"/>
    <w:qFormat/>
    <w:tblPr/>
  </w:style>
  <w:style w:type="character" w:styleId="882" w:customStyle="1">
    <w:name w:val="要点1"/>
    <w:link w:val="762"/>
    <w:uiPriority w:val="0"/>
    <w:qFormat/>
    <w:rPr>
      <w:b/>
    </w:rPr>
  </w:style>
  <w:style w:type="character" w:styleId="883" w:customStyle="1">
    <w:name w:val="尾注引用11"/>
    <w:link w:val="762"/>
    <w:uiPriority w:val="99"/>
    <w:unhideWhenUsed/>
    <w:qFormat/>
    <w:rPr>
      <w:vertAlign w:val="superscript"/>
    </w:rPr>
  </w:style>
  <w:style w:type="character" w:styleId="884" w:customStyle="1">
    <w:name w:val="超链接11"/>
    <w:basedOn w:val="855"/>
    <w:link w:val="762"/>
    <w:uiPriority w:val="99"/>
    <w:unhideWhenUsed/>
    <w:qFormat/>
    <w:rPr>
      <w:color w:val="0000ff"/>
      <w:u w:val="single"/>
    </w:rPr>
  </w:style>
  <w:style w:type="character" w:styleId="885" w:customStyle="1">
    <w:name w:val="脚注引用11"/>
    <w:link w:val="762"/>
    <w:uiPriority w:val="99"/>
    <w:unhideWhenUsed/>
    <w:qFormat/>
    <w:rPr>
      <w:vertAlign w:val="superscript"/>
    </w:rPr>
  </w:style>
  <w:style w:type="table" w:styleId="886" w:customStyle="1">
    <w:name w:val="Plain Table 1"/>
    <w:basedOn w:val="856"/>
    <w:uiPriority w:val="59"/>
    <w:qFormat/>
    <w:pPr>
      <w:spacing w:after="0" w:line="240" w:lineRule="auto"/>
    </w:pPr>
    <w:tblPr/>
  </w:style>
  <w:style w:type="table" w:styleId="887" w:customStyle="1">
    <w:name w:val="Plain Table 2"/>
    <w:basedOn w:val="856"/>
    <w:uiPriority w:val="59"/>
    <w:qFormat/>
    <w:pPr>
      <w:spacing w:after="0" w:line="240" w:lineRule="auto"/>
    </w:pPr>
    <w:tblPr/>
  </w:style>
  <w:style w:type="table" w:styleId="888" w:customStyle="1">
    <w:name w:val="Plain Table 3"/>
    <w:basedOn w:val="856"/>
    <w:uiPriority w:val="99"/>
    <w:qFormat/>
    <w:pPr>
      <w:spacing w:after="0" w:line="240" w:lineRule="auto"/>
    </w:pPr>
    <w:tblPr/>
  </w:style>
  <w:style w:type="table" w:styleId="889" w:customStyle="1">
    <w:name w:val="Plain Table 4"/>
    <w:basedOn w:val="856"/>
    <w:uiPriority w:val="99"/>
    <w:qFormat/>
    <w:pPr>
      <w:spacing w:after="0" w:line="240" w:lineRule="auto"/>
    </w:pPr>
    <w:tblPr/>
  </w:style>
  <w:style w:type="table" w:styleId="890" w:customStyle="1">
    <w:name w:val="Plain Table 5"/>
    <w:basedOn w:val="856"/>
    <w:uiPriority w:val="99"/>
    <w:qFormat/>
    <w:pPr>
      <w:spacing w:after="0" w:line="240" w:lineRule="auto"/>
    </w:pPr>
    <w:tblPr/>
  </w:style>
  <w:style w:type="table" w:styleId="891" w:customStyle="1">
    <w:name w:val="Grid Table 1 Light"/>
    <w:basedOn w:val="856"/>
    <w:uiPriority w:val="99"/>
    <w:qFormat/>
    <w:pPr>
      <w:spacing w:after="0" w:line="240" w:lineRule="auto"/>
    </w:pPr>
    <w:tblPr/>
  </w:style>
  <w:style w:type="table" w:styleId="892" w:customStyle="1">
    <w:name w:val="Grid Table 2"/>
    <w:basedOn w:val="856"/>
    <w:uiPriority w:val="99"/>
    <w:qFormat/>
    <w:pPr>
      <w:spacing w:after="0" w:line="240" w:lineRule="auto"/>
    </w:pPr>
    <w:tblPr/>
  </w:style>
  <w:style w:type="table" w:styleId="893" w:customStyle="1">
    <w:name w:val="Grid Table 3"/>
    <w:basedOn w:val="856"/>
    <w:uiPriority w:val="99"/>
    <w:qFormat/>
    <w:pPr>
      <w:spacing w:after="0" w:line="240" w:lineRule="auto"/>
    </w:pPr>
    <w:tblPr/>
  </w:style>
  <w:style w:type="table" w:styleId="894" w:customStyle="1">
    <w:name w:val="Grid Table 4"/>
    <w:basedOn w:val="856"/>
    <w:uiPriority w:val="59"/>
    <w:qFormat/>
    <w:pPr>
      <w:spacing w:after="0" w:line="240" w:lineRule="auto"/>
    </w:pPr>
    <w:tblPr/>
  </w:style>
  <w:style w:type="table" w:styleId="895" w:customStyle="1">
    <w:name w:val="Grid Table 5 Dark"/>
    <w:basedOn w:val="856"/>
    <w:uiPriority w:val="99"/>
    <w:qFormat/>
    <w:pPr>
      <w:spacing w:after="0" w:line="240" w:lineRule="auto"/>
    </w:pPr>
    <w:tblPr/>
  </w:style>
  <w:style w:type="table" w:styleId="896" w:customStyle="1">
    <w:name w:val="Grid Table 6 Colorful"/>
    <w:basedOn w:val="856"/>
    <w:uiPriority w:val="99"/>
    <w:qFormat/>
    <w:pPr>
      <w:spacing w:after="0" w:line="240" w:lineRule="auto"/>
    </w:pPr>
    <w:tblPr/>
  </w:style>
  <w:style w:type="table" w:styleId="897" w:customStyle="1">
    <w:name w:val="Grid Table 7 Colorful"/>
    <w:basedOn w:val="856"/>
    <w:uiPriority w:val="99"/>
    <w:qFormat/>
    <w:pPr>
      <w:spacing w:after="0" w:line="240" w:lineRule="auto"/>
    </w:pPr>
    <w:tblPr/>
  </w:style>
  <w:style w:type="table" w:styleId="898" w:customStyle="1">
    <w:name w:val="List Table 1 Light"/>
    <w:basedOn w:val="856"/>
    <w:uiPriority w:val="99"/>
    <w:qFormat/>
    <w:pPr>
      <w:spacing w:after="0" w:line="240" w:lineRule="auto"/>
    </w:pPr>
    <w:tblPr/>
  </w:style>
  <w:style w:type="table" w:styleId="899" w:customStyle="1">
    <w:name w:val="List Table 2"/>
    <w:basedOn w:val="856"/>
    <w:uiPriority w:val="99"/>
    <w:qFormat/>
    <w:pPr>
      <w:spacing w:after="0" w:line="240" w:lineRule="auto"/>
    </w:pPr>
    <w:tblPr/>
  </w:style>
  <w:style w:type="table" w:styleId="900" w:customStyle="1">
    <w:name w:val="List Table 3"/>
    <w:basedOn w:val="856"/>
    <w:uiPriority w:val="99"/>
    <w:qFormat/>
    <w:pPr>
      <w:spacing w:after="0" w:line="240" w:lineRule="auto"/>
    </w:pPr>
    <w:tblPr/>
  </w:style>
  <w:style w:type="table" w:styleId="901" w:customStyle="1">
    <w:name w:val="List Table 4"/>
    <w:basedOn w:val="856"/>
    <w:uiPriority w:val="99"/>
    <w:qFormat/>
    <w:pPr>
      <w:spacing w:after="0" w:line="240" w:lineRule="auto"/>
    </w:pPr>
    <w:tblPr/>
  </w:style>
  <w:style w:type="table" w:styleId="902" w:customStyle="1">
    <w:name w:val="List Table 5 Dark"/>
    <w:basedOn w:val="856"/>
    <w:uiPriority w:val="99"/>
    <w:qFormat/>
    <w:pPr>
      <w:spacing w:after="0" w:line="240" w:lineRule="auto"/>
    </w:pPr>
    <w:tblPr/>
  </w:style>
  <w:style w:type="table" w:styleId="903" w:customStyle="1">
    <w:name w:val="List Table 6 Colorful"/>
    <w:basedOn w:val="856"/>
    <w:uiPriority w:val="99"/>
    <w:qFormat/>
    <w:pPr>
      <w:spacing w:after="0" w:line="240" w:lineRule="auto"/>
    </w:pPr>
    <w:tblPr/>
  </w:style>
  <w:style w:type="table" w:styleId="904" w:customStyle="1">
    <w:name w:val="List Table 7 Colorful"/>
    <w:basedOn w:val="856"/>
    <w:uiPriority w:val="99"/>
    <w:qFormat/>
    <w:pPr>
      <w:spacing w:after="0" w:line="240" w:lineRule="auto"/>
    </w:pPr>
    <w:tblPr/>
  </w:style>
  <w:style w:type="paragraph" w:styleId="905" w:customStyle="1">
    <w:name w:val="TOC Heading"/>
    <w:uiPriority w:val="39"/>
    <w:unhideWhenUsed/>
    <w:qFormat/>
    <w:rPr>
      <w:rFonts w:hint="default" w:ascii="Times New Roman" w:hAnsi="Times New Roman" w:eastAsia="宋体" w:cs="Times New Roman"/>
    </w:rPr>
  </w:style>
  <w:style w:type="paragraph" w:styleId="906">
    <w:name w:val="List Paragraph"/>
    <w:basedOn w:val="762"/>
    <w:uiPriority w:val="34"/>
    <w:qFormat/>
    <w:pPr>
      <w:contextualSpacing/>
      <w:ind w:left="720"/>
    </w:pPr>
  </w:style>
  <w:style w:type="paragraph" w:styleId="907">
    <w:name w:val="No Spacing"/>
    <w:uiPriority w:val="1"/>
    <w:qFormat/>
    <w:rPr>
      <w:rFonts w:hint="default" w:ascii="Times New Roman" w:hAnsi="Times New Roman" w:eastAsia="宋体" w:cs="Times New Roman"/>
      <w:lang w:val="en-US" w:eastAsia="zh-CN" w:bidi="ar-SA"/>
    </w:rPr>
  </w:style>
  <w:style w:type="paragraph" w:styleId="908">
    <w:name w:val="Quote"/>
    <w:basedOn w:val="762"/>
    <w:next w:val="762"/>
    <w:uiPriority w:val="29"/>
    <w:qFormat/>
    <w:pPr>
      <w:ind w:left="720" w:right="720"/>
    </w:pPr>
    <w:rPr>
      <w:i/>
    </w:rPr>
  </w:style>
  <w:style w:type="paragraph" w:styleId="909">
    <w:name w:val="Intense Quote"/>
    <w:basedOn w:val="762"/>
    <w:next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0" w:customStyle="1">
    <w:name w:val="标题 11"/>
    <w:basedOn w:val="762"/>
    <w:next w:val="762"/>
    <w:uiPriority w:val="0"/>
    <w:qFormat/>
    <w:pPr>
      <w:keepLines/>
      <w:keepNext/>
      <w:spacing w:before="340" w:after="330" w:line="578" w:lineRule="auto"/>
      <w:outlineLvl w:val="0"/>
    </w:pPr>
    <w:rPr>
      <w:b/>
      <w:bCs/>
      <w:sz w:val="44"/>
      <w:szCs w:val="44"/>
    </w:rPr>
  </w:style>
  <w:style w:type="paragraph" w:styleId="911" w:customStyle="1">
    <w:name w:val="标题 31"/>
    <w:basedOn w:val="762"/>
    <w:next w:val="762"/>
    <w:link w:val="912"/>
    <w:uiPriority w:val="9"/>
    <w:qFormat/>
    <w:pPr>
      <w:keepLines/>
      <w:keepNext/>
      <w:spacing w:before="320" w:after="200"/>
      <w:outlineLvl w:val="2"/>
    </w:pPr>
    <w:rPr>
      <w:rFonts w:ascii="Arial" w:hAnsi="Arial" w:eastAsia="Arial" w:cs="Arial"/>
      <w:sz w:val="30"/>
      <w:szCs w:val="30"/>
    </w:rPr>
  </w:style>
  <w:style w:type="character" w:styleId="912" w:customStyle="1">
    <w:name w:val="标题 3 Char"/>
    <w:link w:val="911"/>
    <w:uiPriority w:val="9"/>
    <w:qFormat/>
    <w:rPr>
      <w:rFonts w:ascii="Arial" w:hAnsi="Arial" w:eastAsia="Arial" w:cs="Arial"/>
      <w:sz w:val="30"/>
      <w:szCs w:val="30"/>
    </w:rPr>
  </w:style>
  <w:style w:type="paragraph" w:styleId="913" w:customStyle="1">
    <w:name w:val="标题 51"/>
    <w:basedOn w:val="762"/>
    <w:next w:val="762"/>
    <w:link w:val="914"/>
    <w:uiPriority w:val="9"/>
    <w:qFormat/>
    <w:pPr>
      <w:keepLines/>
      <w:keepNext/>
      <w:spacing w:before="320" w:after="200"/>
      <w:outlineLvl w:val="4"/>
    </w:pPr>
    <w:rPr>
      <w:rFonts w:ascii="Arial" w:hAnsi="Arial" w:eastAsia="Arial" w:cs="Arial"/>
      <w:b/>
      <w:bCs/>
      <w:sz w:val="24"/>
    </w:rPr>
  </w:style>
  <w:style w:type="character" w:styleId="914" w:customStyle="1">
    <w:name w:val="标题 5 Char"/>
    <w:link w:val="913"/>
    <w:uiPriority w:val="9"/>
    <w:qFormat/>
    <w:rPr>
      <w:rFonts w:ascii="Arial" w:hAnsi="Arial" w:eastAsia="Arial" w:cs="Arial"/>
      <w:b/>
      <w:bCs/>
      <w:sz w:val="24"/>
      <w:szCs w:val="24"/>
    </w:rPr>
  </w:style>
  <w:style w:type="paragraph" w:styleId="915" w:customStyle="1">
    <w:name w:val="标题 61"/>
    <w:basedOn w:val="762"/>
    <w:next w:val="762"/>
    <w:link w:val="916"/>
    <w:uiPriority w:val="9"/>
    <w:qFormat/>
    <w:pPr>
      <w:keepLines/>
      <w:keepNext/>
      <w:spacing w:before="320" w:after="200"/>
      <w:outlineLvl w:val="5"/>
    </w:pPr>
    <w:rPr>
      <w:rFonts w:ascii="Arial" w:hAnsi="Arial" w:eastAsia="Arial" w:cs="Arial"/>
      <w:b/>
      <w:bCs/>
      <w:sz w:val="22"/>
      <w:szCs w:val="22"/>
    </w:rPr>
  </w:style>
  <w:style w:type="character" w:styleId="916" w:customStyle="1">
    <w:name w:val="标题 6 Char"/>
    <w:link w:val="915"/>
    <w:uiPriority w:val="9"/>
    <w:qFormat/>
    <w:rPr>
      <w:rFonts w:ascii="Arial" w:hAnsi="Arial" w:eastAsia="Arial" w:cs="Arial"/>
      <w:b/>
      <w:bCs/>
      <w:sz w:val="22"/>
      <w:szCs w:val="22"/>
    </w:rPr>
  </w:style>
  <w:style w:type="character" w:styleId="917" w:customStyle="1">
    <w:name w:val="标题 7 Char"/>
    <w:link w:val="839"/>
    <w:uiPriority w:val="9"/>
    <w:qFormat/>
    <w:rPr>
      <w:rFonts w:ascii="Arial" w:hAnsi="Arial" w:eastAsia="Arial" w:cs="Arial"/>
      <w:b/>
      <w:bCs/>
      <w:i/>
      <w:iCs/>
      <w:sz w:val="22"/>
      <w:szCs w:val="22"/>
    </w:rPr>
  </w:style>
  <w:style w:type="paragraph" w:styleId="918" w:customStyle="1">
    <w:name w:val="标题 81"/>
    <w:basedOn w:val="762"/>
    <w:next w:val="762"/>
    <w:link w:val="919"/>
    <w:uiPriority w:val="9"/>
    <w:qFormat/>
    <w:pPr>
      <w:keepLines/>
      <w:keepNext/>
      <w:spacing w:before="320" w:after="200"/>
      <w:outlineLvl w:val="7"/>
    </w:pPr>
    <w:rPr>
      <w:rFonts w:ascii="Arial" w:hAnsi="Arial" w:eastAsia="Arial" w:cs="Arial"/>
      <w:i/>
      <w:iCs/>
      <w:sz w:val="22"/>
      <w:szCs w:val="22"/>
    </w:rPr>
  </w:style>
  <w:style w:type="character" w:styleId="919" w:customStyle="1">
    <w:name w:val="标题 8 Char"/>
    <w:link w:val="918"/>
    <w:uiPriority w:val="9"/>
    <w:qFormat/>
    <w:rPr>
      <w:rFonts w:ascii="Arial" w:hAnsi="Arial" w:eastAsia="Arial" w:cs="Arial"/>
      <w:i/>
      <w:iCs/>
      <w:sz w:val="22"/>
      <w:szCs w:val="22"/>
    </w:rPr>
  </w:style>
  <w:style w:type="paragraph" w:styleId="920" w:customStyle="1">
    <w:name w:val="标题 91"/>
    <w:basedOn w:val="762"/>
    <w:next w:val="762"/>
    <w:link w:val="921"/>
    <w:uiPriority w:val="9"/>
    <w:qFormat/>
    <w:pPr>
      <w:keepLines/>
      <w:keepNext/>
      <w:spacing w:before="320" w:after="200"/>
      <w:outlineLvl w:val="8"/>
    </w:pPr>
    <w:rPr>
      <w:rFonts w:ascii="Arial" w:hAnsi="Arial" w:eastAsia="Arial" w:cs="Arial"/>
      <w:i/>
      <w:iCs/>
      <w:szCs w:val="21"/>
    </w:rPr>
  </w:style>
  <w:style w:type="character" w:styleId="921" w:customStyle="1">
    <w:name w:val="标题 9 Char"/>
    <w:link w:val="920"/>
    <w:uiPriority w:val="9"/>
    <w:qFormat/>
    <w:rPr>
      <w:rFonts w:ascii="Arial" w:hAnsi="Arial" w:eastAsia="Arial" w:cs="Arial"/>
      <w:i/>
      <w:iCs/>
      <w:sz w:val="21"/>
      <w:szCs w:val="21"/>
    </w:rPr>
  </w:style>
  <w:style w:type="character" w:styleId="922" w:customStyle="1">
    <w:name w:val="默认段落字体1"/>
    <w:link w:val="762"/>
    <w:uiPriority w:val="1"/>
    <w:unhideWhenUsed/>
    <w:qFormat/>
  </w:style>
  <w:style w:type="table" w:styleId="923" w:customStyle="1">
    <w:name w:val="普通表格1"/>
    <w:uiPriority w:val="99"/>
    <w:unhideWhenUsed/>
    <w:qFormat/>
    <w:tblPr/>
  </w:style>
  <w:style w:type="paragraph" w:styleId="924" w:customStyle="1">
    <w:name w:val="目录 71"/>
    <w:basedOn w:val="762"/>
    <w:next w:val="762"/>
    <w:uiPriority w:val="39"/>
    <w:unhideWhenUsed/>
    <w:qFormat/>
    <w:pPr>
      <w:ind w:left="1701"/>
      <w:spacing w:after="57"/>
    </w:pPr>
  </w:style>
  <w:style w:type="paragraph" w:styleId="925" w:customStyle="1">
    <w:name w:val="题注1"/>
    <w:basedOn w:val="762"/>
    <w:next w:val="762"/>
    <w:uiPriority w:val="35"/>
    <w:qFormat/>
    <w:pPr>
      <w:spacing w:line="276" w:lineRule="auto"/>
    </w:pPr>
    <w:rPr>
      <w:b/>
      <w:bCs/>
      <w:color w:val="4f81bd"/>
      <w:sz w:val="18"/>
      <w:szCs w:val="18"/>
    </w:rPr>
  </w:style>
  <w:style w:type="paragraph" w:styleId="926" w:customStyle="1">
    <w:name w:val="批注文字1"/>
    <w:basedOn w:val="762"/>
    <w:uiPriority w:val="0"/>
    <w:qFormat/>
    <w:pPr>
      <w:jc w:val="left"/>
    </w:pPr>
  </w:style>
  <w:style w:type="paragraph" w:styleId="927" w:customStyle="1">
    <w:name w:val="目录 51"/>
    <w:basedOn w:val="762"/>
    <w:next w:val="762"/>
    <w:uiPriority w:val="39"/>
    <w:unhideWhenUsed/>
    <w:qFormat/>
    <w:pPr>
      <w:ind w:left="1134"/>
      <w:spacing w:after="57"/>
    </w:pPr>
  </w:style>
  <w:style w:type="paragraph" w:styleId="928" w:customStyle="1">
    <w:name w:val="目录 31"/>
    <w:basedOn w:val="762"/>
    <w:next w:val="762"/>
    <w:uiPriority w:val="39"/>
    <w:unhideWhenUsed/>
    <w:qFormat/>
    <w:pPr>
      <w:ind w:left="567"/>
      <w:spacing w:after="57"/>
    </w:pPr>
  </w:style>
  <w:style w:type="paragraph" w:styleId="929" w:customStyle="1">
    <w:name w:val="纯文本1"/>
    <w:basedOn w:val="762"/>
    <w:uiPriority w:val="99"/>
    <w:unhideWhenUsed/>
    <w:qFormat/>
    <w:rPr>
      <w:rFonts w:ascii="宋体" w:hAnsi="Courier New"/>
      <w:sz w:val="20"/>
      <w:szCs w:val="20"/>
    </w:rPr>
  </w:style>
  <w:style w:type="paragraph" w:styleId="930" w:customStyle="1">
    <w:name w:val="目录 81"/>
    <w:basedOn w:val="762"/>
    <w:next w:val="762"/>
    <w:uiPriority w:val="39"/>
    <w:unhideWhenUsed/>
    <w:qFormat/>
    <w:pPr>
      <w:ind w:left="1984"/>
      <w:spacing w:after="57"/>
    </w:pPr>
  </w:style>
  <w:style w:type="paragraph" w:styleId="931" w:customStyle="1">
    <w:name w:val="日期1"/>
    <w:basedOn w:val="762"/>
    <w:next w:val="762"/>
    <w:uiPriority w:val="0"/>
    <w:qFormat/>
    <w:rPr>
      <w:rFonts w:eastAsia="仿宋_GB2312"/>
      <w:sz w:val="28"/>
      <w:szCs w:val="20"/>
    </w:rPr>
  </w:style>
  <w:style w:type="paragraph" w:styleId="932" w:customStyle="1">
    <w:name w:val="正文文本缩进 21"/>
    <w:basedOn w:val="762"/>
    <w:uiPriority w:val="0"/>
    <w:qFormat/>
    <w:pPr>
      <w:ind w:firstLine="475"/>
      <w:spacing w:line="10" w:lineRule="atLeast"/>
    </w:pPr>
    <w:rPr>
      <w:rFonts w:ascii="仿宋_GB2312" w:eastAsia="仿宋_GB2312"/>
      <w:sz w:val="24"/>
    </w:rPr>
  </w:style>
  <w:style w:type="paragraph" w:styleId="933" w:customStyle="1">
    <w:name w:val="尾注文本1"/>
    <w:basedOn w:val="762"/>
    <w:link w:val="934"/>
    <w:uiPriority w:val="99"/>
    <w:unhideWhenUsed/>
    <w:qFormat/>
    <w:rPr>
      <w:sz w:val="20"/>
    </w:rPr>
  </w:style>
  <w:style w:type="character" w:styleId="934" w:customStyle="1">
    <w:name w:val="尾注文本 Char"/>
    <w:link w:val="933"/>
    <w:uiPriority w:val="99"/>
    <w:qFormat/>
    <w:rPr>
      <w:sz w:val="20"/>
    </w:rPr>
  </w:style>
  <w:style w:type="paragraph" w:styleId="935" w:customStyle="1">
    <w:name w:val="批注框文本1"/>
    <w:basedOn w:val="762"/>
    <w:link w:val="936"/>
    <w:uiPriority w:val="99"/>
    <w:unhideWhenUsed/>
    <w:qFormat/>
    <w:rPr>
      <w:sz w:val="18"/>
      <w:szCs w:val="18"/>
    </w:rPr>
  </w:style>
  <w:style w:type="character" w:styleId="936" w:customStyle="1">
    <w:name w:val="批注框文本 Char"/>
    <w:link w:val="935"/>
    <w:uiPriority w:val="99"/>
    <w:semiHidden/>
    <w:qFormat/>
    <w:rPr>
      <w:rFonts w:ascii="Times New Roman" w:hAnsi="Times New Roman"/>
      <w:sz w:val="18"/>
      <w:szCs w:val="18"/>
    </w:rPr>
  </w:style>
  <w:style w:type="paragraph" w:styleId="937" w:customStyle="1">
    <w:name w:val="页眉1"/>
    <w:basedOn w:val="762"/>
    <w:next w:val="762"/>
    <w:uiPriority w:val="0"/>
    <w:qFormat/>
    <w:pPr>
      <w:jc w:val="center"/>
      <w:tabs>
        <w:tab w:val="center" w:pos="4153" w:leader="none"/>
        <w:tab w:val="right" w:pos="8306" w:leader="none"/>
      </w:tabs>
      <w:pBdr>
        <w:bottom w:val="single" w:color="000000" w:sz="6" w:space="1"/>
      </w:pBdr>
    </w:pPr>
    <w:rPr>
      <w:sz w:val="18"/>
      <w:szCs w:val="18"/>
    </w:rPr>
  </w:style>
  <w:style w:type="paragraph" w:styleId="938" w:customStyle="1">
    <w:name w:val="目录 41"/>
    <w:basedOn w:val="762"/>
    <w:next w:val="762"/>
    <w:uiPriority w:val="39"/>
    <w:unhideWhenUsed/>
    <w:qFormat/>
    <w:pPr>
      <w:ind w:left="850"/>
      <w:spacing w:after="57"/>
    </w:pPr>
  </w:style>
  <w:style w:type="paragraph" w:styleId="939" w:customStyle="1">
    <w:name w:val="副标题1"/>
    <w:basedOn w:val="762"/>
    <w:next w:val="762"/>
    <w:link w:val="940"/>
    <w:uiPriority w:val="11"/>
    <w:qFormat/>
    <w:pPr>
      <w:spacing w:before="200" w:after="200"/>
    </w:pPr>
    <w:rPr>
      <w:sz w:val="24"/>
    </w:rPr>
  </w:style>
  <w:style w:type="character" w:styleId="940" w:customStyle="1">
    <w:name w:val="副标题 Char"/>
    <w:link w:val="939"/>
    <w:uiPriority w:val="11"/>
    <w:qFormat/>
    <w:rPr>
      <w:sz w:val="24"/>
      <w:szCs w:val="24"/>
    </w:rPr>
  </w:style>
  <w:style w:type="paragraph" w:styleId="941" w:customStyle="1">
    <w:name w:val="目录 61"/>
    <w:basedOn w:val="762"/>
    <w:next w:val="762"/>
    <w:uiPriority w:val="39"/>
    <w:unhideWhenUsed/>
    <w:qFormat/>
    <w:pPr>
      <w:ind w:left="1417"/>
      <w:spacing w:after="57"/>
    </w:pPr>
  </w:style>
  <w:style w:type="paragraph" w:styleId="942" w:customStyle="1">
    <w:name w:val="图表目录1"/>
    <w:basedOn w:val="762"/>
    <w:next w:val="762"/>
    <w:uiPriority w:val="99"/>
    <w:unhideWhenUsed/>
    <w:qFormat/>
  </w:style>
  <w:style w:type="paragraph" w:styleId="943" w:customStyle="1">
    <w:name w:val="目录 21"/>
    <w:basedOn w:val="762"/>
    <w:next w:val="762"/>
    <w:uiPriority w:val="39"/>
    <w:unhideWhenUsed/>
    <w:qFormat/>
    <w:pPr>
      <w:ind w:left="283"/>
      <w:spacing w:after="57"/>
    </w:pPr>
  </w:style>
  <w:style w:type="paragraph" w:styleId="944" w:customStyle="1">
    <w:name w:val="目录 91"/>
    <w:basedOn w:val="762"/>
    <w:next w:val="762"/>
    <w:uiPriority w:val="39"/>
    <w:unhideWhenUsed/>
    <w:qFormat/>
    <w:pPr>
      <w:ind w:left="2268"/>
      <w:spacing w:after="57"/>
    </w:pPr>
  </w:style>
  <w:style w:type="paragraph" w:styleId="945" w:customStyle="1">
    <w:name w:val="普通(网站)11"/>
    <w:basedOn w:val="762"/>
    <w:uiPriority w:val="0"/>
    <w:qFormat/>
    <w:pPr>
      <w:jc w:val="left"/>
      <w:spacing w:before="100" w:beforeAutospacing="1" w:after="100" w:afterAutospacing="1"/>
      <w:widowControl/>
    </w:pPr>
    <w:rPr>
      <w:rFonts w:ascii="宋体" w:hAnsi="宋体" w:cs="宋体"/>
      <w:sz w:val="24"/>
    </w:rPr>
  </w:style>
  <w:style w:type="character" w:styleId="946" w:customStyle="1">
    <w:name w:val="标题 Char"/>
    <w:link w:val="844"/>
    <w:uiPriority w:val="10"/>
    <w:qFormat/>
    <w:rPr>
      <w:sz w:val="48"/>
      <w:szCs w:val="48"/>
    </w:rPr>
  </w:style>
  <w:style w:type="table" w:styleId="947" w:customStyle="1">
    <w:name w:val="网格型1"/>
    <w:basedOn w:val="923"/>
    <w:uiPriority w:val="0"/>
    <w:qFormat/>
    <w:pPr>
      <w:jc w:val="both"/>
      <w:widowControl w:val="off"/>
    </w:pPr>
    <w:tblPr/>
  </w:style>
  <w:style w:type="character" w:styleId="948" w:customStyle="1">
    <w:name w:val="尾注引用1"/>
    <w:link w:val="762"/>
    <w:uiPriority w:val="99"/>
    <w:unhideWhenUsed/>
    <w:qFormat/>
    <w:rPr>
      <w:vertAlign w:val="superscript"/>
    </w:rPr>
  </w:style>
  <w:style w:type="character" w:styleId="949" w:customStyle="1">
    <w:name w:val="页码1"/>
    <w:link w:val="762"/>
    <w:uiPriority w:val="0"/>
    <w:qFormat/>
  </w:style>
  <w:style w:type="character" w:styleId="950" w:customStyle="1">
    <w:name w:val="已访问的超链接1"/>
    <w:link w:val="762"/>
    <w:uiPriority w:val="99"/>
    <w:unhideWhenUsed/>
    <w:qFormat/>
    <w:rPr>
      <w:color w:val="333333"/>
      <w:u w:val="none"/>
    </w:rPr>
  </w:style>
  <w:style w:type="character" w:styleId="951" w:customStyle="1">
    <w:name w:val="超链接1"/>
    <w:link w:val="762"/>
    <w:uiPriority w:val="0"/>
    <w:qFormat/>
    <w:rPr>
      <w:color w:val="0000ff"/>
      <w:u w:val="single"/>
    </w:rPr>
  </w:style>
  <w:style w:type="character" w:styleId="952" w:customStyle="1">
    <w:name w:val="批注引用1"/>
    <w:link w:val="762"/>
    <w:uiPriority w:val="0"/>
    <w:qFormat/>
    <w:rPr>
      <w:sz w:val="21"/>
      <w:szCs w:val="21"/>
    </w:rPr>
  </w:style>
  <w:style w:type="character" w:styleId="953" w:customStyle="1">
    <w:name w:val="脚注引用1"/>
    <w:link w:val="762"/>
    <w:uiPriority w:val="99"/>
    <w:unhideWhenUsed/>
    <w:qFormat/>
    <w:rPr>
      <w:vertAlign w:val="superscript"/>
    </w:rPr>
  </w:style>
  <w:style w:type="character" w:styleId="954" w:customStyle="1">
    <w:name w:val="Heading 1 Char"/>
    <w:link w:val="762"/>
    <w:uiPriority w:val="9"/>
    <w:qFormat/>
    <w:rPr>
      <w:rFonts w:ascii="Arial" w:hAnsi="Arial" w:eastAsia="Arial" w:cs="Arial"/>
      <w:sz w:val="40"/>
      <w:szCs w:val="40"/>
    </w:rPr>
  </w:style>
  <w:style w:type="character" w:styleId="955" w:customStyle="1">
    <w:name w:val="Endnote Text Char"/>
    <w:link w:val="762"/>
    <w:uiPriority w:val="99"/>
    <w:qFormat/>
    <w:rPr>
      <w:sz w:val="20"/>
    </w:rPr>
  </w:style>
  <w:style w:type="character" w:styleId="956" w:customStyle="1">
    <w:name w:val="Header Char"/>
    <w:link w:val="762"/>
    <w:uiPriority w:val="99"/>
    <w:qFormat/>
  </w:style>
  <w:style w:type="character" w:styleId="957" w:customStyle="1">
    <w:name w:val="Heading 6 Char"/>
    <w:link w:val="762"/>
    <w:uiPriority w:val="9"/>
    <w:qFormat/>
    <w:rPr>
      <w:rFonts w:ascii="Arial" w:hAnsi="Arial" w:eastAsia="Arial" w:cs="Arial"/>
      <w:b/>
      <w:bCs/>
      <w:sz w:val="22"/>
      <w:szCs w:val="22"/>
    </w:rPr>
  </w:style>
  <w:style w:type="character" w:styleId="958" w:customStyle="1">
    <w:name w:val="Heading 2 Char"/>
    <w:link w:val="762"/>
    <w:uiPriority w:val="9"/>
    <w:qFormat/>
    <w:rPr>
      <w:rFonts w:ascii="Arial" w:hAnsi="Arial" w:eastAsia="Arial" w:cs="Arial"/>
      <w:sz w:val="34"/>
    </w:rPr>
  </w:style>
  <w:style w:type="character" w:styleId="959" w:customStyle="1">
    <w:name w:val="Heading 4 Char"/>
    <w:link w:val="762"/>
    <w:uiPriority w:val="9"/>
    <w:qFormat/>
    <w:rPr>
      <w:rFonts w:ascii="Arial" w:hAnsi="Arial" w:eastAsia="Arial" w:cs="Arial"/>
      <w:b/>
      <w:bCs/>
      <w:sz w:val="26"/>
      <w:szCs w:val="26"/>
    </w:rPr>
  </w:style>
  <w:style w:type="character" w:styleId="960" w:customStyle="1">
    <w:name w:val="Subtitle Char"/>
    <w:link w:val="762"/>
    <w:uiPriority w:val="11"/>
    <w:qFormat/>
    <w:rPr>
      <w:sz w:val="24"/>
      <w:szCs w:val="24"/>
    </w:rPr>
  </w:style>
  <w:style w:type="character" w:styleId="961" w:customStyle="1">
    <w:name w:val="明显引用 Char"/>
    <w:link w:val="962"/>
    <w:uiPriority w:val="30"/>
    <w:qFormat/>
    <w:rPr>
      <w:i/>
    </w:rPr>
  </w:style>
  <w:style w:type="paragraph" w:styleId="962" w:customStyle="1">
    <w:name w:val="明显引用1"/>
    <w:basedOn w:val="762"/>
    <w:next w:val="762"/>
    <w:link w:val="9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3" w:customStyle="1">
    <w:name w:val="Heading 8 Char"/>
    <w:link w:val="762"/>
    <w:uiPriority w:val="9"/>
    <w:qFormat/>
    <w:rPr>
      <w:rFonts w:ascii="Arial" w:hAnsi="Arial" w:eastAsia="Arial" w:cs="Arial"/>
      <w:i/>
      <w:iCs/>
      <w:sz w:val="22"/>
      <w:szCs w:val="22"/>
    </w:rPr>
  </w:style>
  <w:style w:type="character" w:styleId="964" w:customStyle="1">
    <w:name w:val="引用 Char"/>
    <w:link w:val="965"/>
    <w:uiPriority w:val="29"/>
    <w:qFormat/>
    <w:rPr>
      <w:i/>
    </w:rPr>
  </w:style>
  <w:style w:type="paragraph" w:styleId="965" w:customStyle="1">
    <w:name w:val="引用1"/>
    <w:basedOn w:val="762"/>
    <w:next w:val="762"/>
    <w:link w:val="964"/>
    <w:uiPriority w:val="29"/>
    <w:qFormat/>
    <w:pPr>
      <w:ind w:left="720" w:right="720"/>
    </w:pPr>
    <w:rPr>
      <w:i/>
    </w:rPr>
  </w:style>
  <w:style w:type="character" w:styleId="966" w:customStyle="1">
    <w:name w:val="Footnote Text Char"/>
    <w:link w:val="762"/>
    <w:uiPriority w:val="99"/>
    <w:qFormat/>
    <w:rPr>
      <w:sz w:val="18"/>
    </w:rPr>
  </w:style>
  <w:style w:type="character" w:styleId="967" w:customStyle="1">
    <w:name w:val="Heading 5 Char"/>
    <w:link w:val="762"/>
    <w:uiPriority w:val="9"/>
    <w:qFormat/>
    <w:rPr>
      <w:rFonts w:ascii="Arial" w:hAnsi="Arial" w:eastAsia="Arial" w:cs="Arial"/>
      <w:b/>
      <w:bCs/>
      <w:sz w:val="24"/>
      <w:szCs w:val="24"/>
    </w:rPr>
  </w:style>
  <w:style w:type="character" w:styleId="968" w:customStyle="1">
    <w:name w:val="Intense Quote Char"/>
    <w:link w:val="762"/>
    <w:uiPriority w:val="30"/>
    <w:qFormat/>
    <w:rPr>
      <w:i/>
    </w:rPr>
  </w:style>
  <w:style w:type="character" w:styleId="969" w:customStyle="1">
    <w:name w:val="Heading 3 Char"/>
    <w:link w:val="762"/>
    <w:uiPriority w:val="9"/>
    <w:qFormat/>
    <w:rPr>
      <w:rFonts w:ascii="Arial" w:hAnsi="Arial" w:eastAsia="Arial" w:cs="Arial"/>
      <w:sz w:val="30"/>
      <w:szCs w:val="30"/>
    </w:rPr>
  </w:style>
  <w:style w:type="character" w:styleId="970" w:customStyle="1">
    <w:name w:val="Caption Char"/>
    <w:link w:val="762"/>
    <w:uiPriority w:val="99"/>
    <w:qFormat/>
  </w:style>
  <w:style w:type="character" w:styleId="971" w:customStyle="1">
    <w:name w:val="Footer Char"/>
    <w:link w:val="762"/>
    <w:uiPriority w:val="99"/>
    <w:qFormat/>
  </w:style>
  <w:style w:type="character" w:styleId="972" w:customStyle="1">
    <w:name w:val="Quote Char"/>
    <w:link w:val="762"/>
    <w:uiPriority w:val="29"/>
    <w:qFormat/>
    <w:rPr>
      <w:i/>
    </w:rPr>
  </w:style>
  <w:style w:type="character" w:styleId="973" w:customStyle="1">
    <w:name w:val="Title Char"/>
    <w:link w:val="762"/>
    <w:uiPriority w:val="10"/>
    <w:qFormat/>
    <w:rPr>
      <w:sz w:val="48"/>
      <w:szCs w:val="48"/>
    </w:rPr>
  </w:style>
  <w:style w:type="character" w:styleId="974" w:customStyle="1">
    <w:name w:val="Heading 9 Char"/>
    <w:link w:val="762"/>
    <w:uiPriority w:val="9"/>
    <w:qFormat/>
    <w:rPr>
      <w:rFonts w:ascii="Arial" w:hAnsi="Arial" w:eastAsia="Arial" w:cs="Arial"/>
      <w:i/>
      <w:iCs/>
      <w:sz w:val="21"/>
      <w:szCs w:val="21"/>
    </w:rPr>
  </w:style>
  <w:style w:type="character" w:styleId="975" w:customStyle="1">
    <w:name w:val="Heading 7 Char"/>
    <w:link w:val="762"/>
    <w:uiPriority w:val="9"/>
    <w:qFormat/>
    <w:rPr>
      <w:rFonts w:ascii="Arial" w:hAnsi="Arial" w:eastAsia="Arial" w:cs="Arial"/>
      <w:b/>
      <w:bCs/>
      <w:i/>
      <w:iCs/>
      <w:sz w:val="22"/>
      <w:szCs w:val="22"/>
    </w:rPr>
  </w:style>
  <w:style w:type="paragraph" w:styleId="976" w:customStyle="1">
    <w:name w:val="TOC 标题1"/>
    <w:uiPriority w:val="39"/>
    <w:unhideWhenUsed/>
    <w:qFormat/>
    <w:rPr>
      <w:rFonts w:hint="default" w:ascii="Times New Roman" w:hAnsi="Times New Roman" w:eastAsia="宋体" w:cs="Times New Roman"/>
      <w:lang w:val="en-US" w:eastAsia="zh-CN" w:bidi="ar-SA"/>
    </w:rPr>
  </w:style>
  <w:style w:type="paragraph" w:styleId="977" w:customStyle="1">
    <w:name w:val="DAS正文"/>
    <w:basedOn w:val="762"/>
    <w:uiPriority w:val="0"/>
    <w:qFormat/>
    <w:pPr>
      <w:ind w:right="181" w:firstLine="480"/>
      <w:spacing w:line="360" w:lineRule="auto"/>
    </w:pPr>
    <w:rPr>
      <w:rFonts w:ascii="Verdana" w:hAnsi="Verdana"/>
      <w:sz w:val="24"/>
    </w:rPr>
  </w:style>
  <w:style w:type="paragraph" w:styleId="978" w:customStyle="1">
    <w:name w:val="UserStyle_0"/>
    <w:basedOn w:val="762"/>
    <w:next w:val="762"/>
    <w:uiPriority w:val="0"/>
    <w:qFormat/>
  </w:style>
  <w:style w:type="paragraph" w:styleId="979" w:customStyle="1">
    <w:name w:val="列出段落"/>
    <w:basedOn w:val="762"/>
    <w:uiPriority w:val="34"/>
    <w:qFormat/>
    <w:pPr>
      <w:contextualSpacing/>
      <w:ind w:left="720"/>
    </w:pPr>
  </w:style>
  <w:style w:type="paragraph" w:styleId="980" w:customStyle="1">
    <w:name w:val="TOC 标题11"/>
    <w:uiPriority w:val="39"/>
    <w:unhideWhenUsed/>
    <w:qFormat/>
    <w:rPr>
      <w:rFonts w:hint="default" w:ascii="Times New Roman" w:hAnsi="Times New Roman" w:eastAsia="宋体" w:cs="Times New Roman"/>
      <w:lang w:val="en-US" w:eastAsia="zh-CN" w:bidi="ar-SA"/>
    </w:rPr>
  </w:style>
  <w:style w:type="paragraph" w:styleId="981" w:customStyle="1">
    <w:name w:val="普通(网站)1"/>
    <w:basedOn w:val="785"/>
    <w:uiPriority w:val="0"/>
    <w:qFormat/>
    <w:pPr>
      <w:jc w:val="left"/>
      <w:spacing w:before="100" w:beforeAutospacing="1" w:after="100" w:afterAutospacing="1"/>
      <w:widowControl/>
    </w:pPr>
    <w:rPr>
      <w:rFonts w:ascii="宋体" w:hAnsi="宋体"/>
      <w:sz w:val="24"/>
    </w:rPr>
  </w:style>
  <w:style w:type="paragraph" w:styleId="982" w:customStyle="1">
    <w:name w:val="默认段落字体 Para Char Char Char Char Char Char Char"/>
    <w:basedOn w:val="762"/>
    <w:uiPriority w:val="0"/>
    <w:qFormat/>
    <w:rPr>
      <w:rFonts w:ascii="Tahoma" w:hAnsi="Tahoma"/>
      <w:sz w:val="24"/>
      <w:szCs w:val="20"/>
    </w:rPr>
  </w:style>
  <w:style w:type="paragraph" w:styleId="983" w:customStyle="1">
    <w:name w:val="普通正文"/>
    <w:basedOn w:val="762"/>
    <w:uiPriority w:val="0"/>
    <w:qFormat/>
    <w:pPr>
      <w:ind w:firstLine="480"/>
      <w:jc w:val="left"/>
      <w:spacing w:before="120" w:after="120" w:line="360" w:lineRule="auto"/>
    </w:pPr>
    <w:rPr>
      <w:rFonts w:ascii="Arial" w:hAnsi="Arial"/>
      <w:sz w:val="24"/>
    </w:rPr>
  </w:style>
  <w:style w:type="paragraph" w:styleId="984" w:customStyle="1">
    <w:name w:val="Char"/>
    <w:basedOn w:val="762"/>
    <w:uiPriority w:val="0"/>
    <w:qFormat/>
    <w:pPr>
      <w:tabs>
        <w:tab w:val="left" w:pos="360" w:leader="none"/>
      </w:tabs>
    </w:pPr>
    <w:rPr>
      <w:sz w:val="24"/>
    </w:rPr>
  </w:style>
  <w:style w:type="paragraph" w:styleId="985" w:customStyle="1">
    <w:name w:val="_HT_正文"/>
    <w:basedOn w:val="762"/>
    <w:uiPriority w:val="0"/>
    <w:qFormat/>
    <w:pPr>
      <w:ind w:firstLine="200"/>
      <w:spacing w:line="360" w:lineRule="auto"/>
    </w:pPr>
    <w:rPr>
      <w:sz w:val="24"/>
    </w:rPr>
  </w:style>
  <w:style w:type="paragraph" w:styleId="986" w:customStyle="1">
    <w:name w:val="p0"/>
    <w:basedOn w:val="762"/>
    <w:uiPriority w:val="0"/>
    <w:qFormat/>
    <w:pPr>
      <w:widowControl/>
    </w:pPr>
    <w:rPr>
      <w:szCs w:val="21"/>
    </w:rPr>
  </w:style>
  <w:style w:type="paragraph" w:styleId="987" w:customStyle="1">
    <w:name w:val="无间隔2"/>
    <w:uiPriority w:val="1"/>
    <w:qFormat/>
    <w:rPr>
      <w:rFonts w:hint="default" w:ascii="Times New Roman" w:hAnsi="Times New Roman" w:eastAsia="宋体" w:cs="Times New Roman"/>
      <w:lang w:val="en-US" w:eastAsia="zh-CN" w:bidi="ar-SA"/>
    </w:rPr>
  </w:style>
  <w:style w:type="paragraph" w:styleId="988" w:customStyle="1">
    <w:name w:val="正文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9" w:customStyle="1">
    <w:name w:val="投标文件正文"/>
    <w:basedOn w:val="762"/>
    <w:uiPriority w:val="0"/>
    <w:qFormat/>
    <w:pPr>
      <w:ind w:firstLine="200"/>
      <w:spacing w:before="40" w:after="40" w:line="400" w:lineRule="exact"/>
    </w:pPr>
    <w:rPr>
      <w:sz w:val="24"/>
    </w:rPr>
  </w:style>
  <w:style w:type="table" w:styleId="990" w:customStyle="1">
    <w:name w:val="List Table 5 Dark - Accent 6"/>
    <w:basedOn w:val="923"/>
    <w:uiPriority w:val="99"/>
    <w:qFormat/>
    <w:tblPr/>
  </w:style>
  <w:style w:type="table" w:styleId="991" w:customStyle="1">
    <w:name w:val="Grid Table 1 Light - Accent 3"/>
    <w:basedOn w:val="923"/>
    <w:uiPriority w:val="99"/>
    <w:qFormat/>
    <w:tblPr/>
  </w:style>
  <w:style w:type="table" w:styleId="992" w:customStyle="1">
    <w:name w:val="Grid Table 1 Light - Accent 2"/>
    <w:basedOn w:val="923"/>
    <w:uiPriority w:val="99"/>
    <w:qFormat/>
    <w:tblPr/>
  </w:style>
  <w:style w:type="table" w:styleId="993" w:customStyle="1">
    <w:name w:val="List Table 3 - Accent 3"/>
    <w:basedOn w:val="923"/>
    <w:uiPriority w:val="99"/>
    <w:qFormat/>
    <w:tblPr/>
  </w:style>
  <w:style w:type="table" w:styleId="994" w:customStyle="1">
    <w:name w:val="Grid Table 2 - Accent 1"/>
    <w:basedOn w:val="923"/>
    <w:uiPriority w:val="99"/>
    <w:qFormat/>
    <w:tblPr/>
  </w:style>
  <w:style w:type="table" w:styleId="995" w:customStyle="1">
    <w:name w:val="Bordered - Accent 4"/>
    <w:basedOn w:val="923"/>
    <w:uiPriority w:val="99"/>
    <w:qFormat/>
    <w:tblPr/>
  </w:style>
  <w:style w:type="table" w:styleId="996" w:customStyle="1">
    <w:name w:val="Grid Table 1 Light - Accent 5"/>
    <w:basedOn w:val="923"/>
    <w:uiPriority w:val="99"/>
    <w:qFormat/>
    <w:tblPr/>
  </w:style>
  <w:style w:type="table" w:styleId="997" w:customStyle="1">
    <w:name w:val="Grid Table 2 - Accent 5"/>
    <w:basedOn w:val="923"/>
    <w:uiPriority w:val="99"/>
    <w:qFormat/>
    <w:tblPr/>
  </w:style>
  <w:style w:type="table" w:styleId="998" w:customStyle="1">
    <w:name w:val="List Table 4 - Accent 2"/>
    <w:basedOn w:val="923"/>
    <w:uiPriority w:val="99"/>
    <w:qFormat/>
    <w:tblPr/>
  </w:style>
  <w:style w:type="table" w:styleId="999" w:customStyle="1">
    <w:name w:val="Grid Table 5 Dark - Accent 2"/>
    <w:basedOn w:val="923"/>
    <w:uiPriority w:val="99"/>
    <w:qFormat/>
    <w:tblPr/>
  </w:style>
  <w:style w:type="table" w:styleId="1000" w:customStyle="1">
    <w:name w:val="清单表 1 浅色1"/>
    <w:basedOn w:val="923"/>
    <w:uiPriority w:val="99"/>
    <w:qFormat/>
    <w:tblPr/>
  </w:style>
  <w:style w:type="table" w:styleId="1001" w:customStyle="1">
    <w:name w:val="List Table 2 - Accent 1"/>
    <w:basedOn w:val="923"/>
    <w:uiPriority w:val="99"/>
    <w:qFormat/>
    <w:tblPr/>
  </w:style>
  <w:style w:type="table" w:styleId="1002" w:customStyle="1">
    <w:name w:val="List Table 6 Colorful - Accent 1"/>
    <w:basedOn w:val="923"/>
    <w:uiPriority w:val="99"/>
    <w:qFormat/>
    <w:tblPr/>
  </w:style>
  <w:style w:type="table" w:styleId="1003" w:customStyle="1">
    <w:name w:val="Grid Table 1 Light - Accent 1"/>
    <w:basedOn w:val="923"/>
    <w:uiPriority w:val="99"/>
    <w:qFormat/>
    <w:tblPr/>
  </w:style>
  <w:style w:type="table" w:styleId="1004" w:customStyle="1">
    <w:name w:val="Grid Table 3 - Accent 3"/>
    <w:basedOn w:val="923"/>
    <w:uiPriority w:val="99"/>
    <w:qFormat/>
    <w:tblPr/>
  </w:style>
  <w:style w:type="table" w:styleId="1005" w:customStyle="1">
    <w:name w:val="Bordered &amp; Lined - Accent 4"/>
    <w:basedOn w:val="923"/>
    <w:uiPriority w:val="99"/>
    <w:qFormat/>
    <w:rPr>
      <w:color w:val="404040"/>
    </w:rPr>
    <w:tblPr/>
  </w:style>
  <w:style w:type="table" w:styleId="1006" w:customStyle="1">
    <w:name w:val="List Table 2 - Accent 2"/>
    <w:basedOn w:val="923"/>
    <w:uiPriority w:val="99"/>
    <w:qFormat/>
    <w:tblPr/>
  </w:style>
  <w:style w:type="table" w:styleId="1007" w:customStyle="1">
    <w:name w:val="清单表 5 深色1"/>
    <w:basedOn w:val="923"/>
    <w:uiPriority w:val="99"/>
    <w:qFormat/>
    <w:tblPr/>
  </w:style>
  <w:style w:type="table" w:styleId="1008" w:customStyle="1">
    <w:name w:val="Lined - Accent 5"/>
    <w:basedOn w:val="923"/>
    <w:uiPriority w:val="99"/>
    <w:qFormat/>
    <w:rPr>
      <w:color w:val="404040"/>
    </w:rPr>
    <w:tblPr/>
  </w:style>
  <w:style w:type="table" w:styleId="1009" w:customStyle="1">
    <w:name w:val="Bordered - Accent 6"/>
    <w:basedOn w:val="923"/>
    <w:uiPriority w:val="99"/>
    <w:qFormat/>
    <w:tblPr/>
  </w:style>
  <w:style w:type="table" w:styleId="1010" w:customStyle="1">
    <w:name w:val="清单表 6 彩色1"/>
    <w:basedOn w:val="923"/>
    <w:uiPriority w:val="99"/>
    <w:qFormat/>
    <w:tblPr/>
  </w:style>
  <w:style w:type="table" w:styleId="1011" w:customStyle="1">
    <w:name w:val="Grid Table 5 Dark- Accent 1"/>
    <w:basedOn w:val="923"/>
    <w:uiPriority w:val="99"/>
    <w:qFormat/>
    <w:tblPr/>
  </w:style>
  <w:style w:type="table" w:styleId="1012" w:customStyle="1">
    <w:name w:val="Grid Table 6 Colorful - Accent 6"/>
    <w:basedOn w:val="923"/>
    <w:uiPriority w:val="99"/>
    <w:qFormat/>
    <w:tblPr/>
  </w:style>
  <w:style w:type="table" w:styleId="1013" w:customStyle="1">
    <w:name w:val="List Table 3 - Accent 5"/>
    <w:basedOn w:val="923"/>
    <w:uiPriority w:val="99"/>
    <w:qFormat/>
    <w:tblPr/>
  </w:style>
  <w:style w:type="table" w:styleId="1014" w:customStyle="1">
    <w:name w:val="Grid Table 4 - Accent 6"/>
    <w:basedOn w:val="923"/>
    <w:uiPriority w:val="59"/>
    <w:qFormat/>
    <w:tblPr/>
  </w:style>
  <w:style w:type="table" w:styleId="1015" w:customStyle="1">
    <w:name w:val="Bordered - Accent 3"/>
    <w:basedOn w:val="923"/>
    <w:uiPriority w:val="99"/>
    <w:qFormat/>
    <w:tblPr/>
  </w:style>
  <w:style w:type="table" w:styleId="1016" w:customStyle="1">
    <w:name w:val="List Table 4 - Accent 3"/>
    <w:basedOn w:val="923"/>
    <w:uiPriority w:val="99"/>
    <w:qFormat/>
    <w:tblPr/>
  </w:style>
  <w:style w:type="table" w:styleId="1017" w:customStyle="1">
    <w:name w:val="网格表 5 深色1"/>
    <w:basedOn w:val="923"/>
    <w:uiPriority w:val="99"/>
    <w:qFormat/>
    <w:tblPr/>
  </w:style>
  <w:style w:type="table" w:styleId="1018" w:customStyle="1">
    <w:name w:val="Grid Table 2 - Accent 6"/>
    <w:basedOn w:val="923"/>
    <w:uiPriority w:val="99"/>
    <w:qFormat/>
    <w:tblPr/>
  </w:style>
  <w:style w:type="table" w:styleId="1019" w:customStyle="1">
    <w:name w:val="List Table 4 - Accent 4"/>
    <w:basedOn w:val="923"/>
    <w:uiPriority w:val="99"/>
    <w:qFormat/>
    <w:tblPr/>
  </w:style>
  <w:style w:type="table" w:styleId="1020" w:customStyle="1">
    <w:name w:val="Lined - Accent 3"/>
    <w:basedOn w:val="923"/>
    <w:uiPriority w:val="99"/>
    <w:qFormat/>
    <w:rPr>
      <w:color w:val="404040"/>
    </w:rPr>
    <w:tblPr/>
  </w:style>
  <w:style w:type="table" w:styleId="1021" w:customStyle="1">
    <w:name w:val="Grid Table 2 - Accent 2"/>
    <w:basedOn w:val="923"/>
    <w:uiPriority w:val="99"/>
    <w:qFormat/>
    <w:tblPr/>
  </w:style>
  <w:style w:type="table" w:styleId="1022" w:customStyle="1">
    <w:name w:val="Grid Table 7 Colorful - Accent 3"/>
    <w:basedOn w:val="923"/>
    <w:uiPriority w:val="99"/>
    <w:qFormat/>
    <w:tblPr/>
  </w:style>
  <w:style w:type="table" w:styleId="1023" w:customStyle="1">
    <w:name w:val="网格表 31"/>
    <w:basedOn w:val="923"/>
    <w:uiPriority w:val="99"/>
    <w:qFormat/>
    <w:tblPr/>
  </w:style>
  <w:style w:type="table" w:styleId="1024" w:customStyle="1">
    <w:name w:val="List Table 5 Dark - Accent 2"/>
    <w:basedOn w:val="923"/>
    <w:uiPriority w:val="99"/>
    <w:qFormat/>
    <w:tblPr/>
  </w:style>
  <w:style w:type="table" w:styleId="1025" w:customStyle="1">
    <w:name w:val="List Table 1 Light - Accent 5"/>
    <w:basedOn w:val="923"/>
    <w:uiPriority w:val="99"/>
    <w:qFormat/>
    <w:tblPr/>
  </w:style>
  <w:style w:type="table" w:styleId="1026" w:customStyle="1">
    <w:name w:val="List Table 1 Light - Accent 2"/>
    <w:basedOn w:val="923"/>
    <w:uiPriority w:val="99"/>
    <w:qFormat/>
    <w:tblPr/>
  </w:style>
  <w:style w:type="table" w:styleId="1027" w:customStyle="1">
    <w:name w:val="无格式表格 31"/>
    <w:basedOn w:val="923"/>
    <w:uiPriority w:val="99"/>
    <w:qFormat/>
    <w:tblPr/>
  </w:style>
  <w:style w:type="table" w:styleId="1028" w:customStyle="1">
    <w:name w:val="Bordered &amp; Lined - Accent 2"/>
    <w:basedOn w:val="923"/>
    <w:uiPriority w:val="99"/>
    <w:qFormat/>
    <w:rPr>
      <w:color w:val="404040"/>
    </w:rPr>
    <w:tblPr/>
  </w:style>
  <w:style w:type="table" w:styleId="1029" w:customStyle="1">
    <w:name w:val="网格表 1 浅色1"/>
    <w:basedOn w:val="923"/>
    <w:uiPriority w:val="99"/>
    <w:qFormat/>
    <w:tblPr/>
  </w:style>
  <w:style w:type="table" w:styleId="1030" w:customStyle="1">
    <w:name w:val="网格表 6 彩色1"/>
    <w:basedOn w:val="923"/>
    <w:uiPriority w:val="99"/>
    <w:qFormat/>
    <w:tblPr/>
  </w:style>
  <w:style w:type="table" w:styleId="1031" w:customStyle="1">
    <w:name w:val="List Table 1 Light - Accent 3"/>
    <w:basedOn w:val="923"/>
    <w:uiPriority w:val="99"/>
    <w:qFormat/>
    <w:tblPr/>
  </w:style>
  <w:style w:type="table" w:styleId="1032" w:customStyle="1">
    <w:name w:val="Lined - Accent 2"/>
    <w:basedOn w:val="923"/>
    <w:uiPriority w:val="99"/>
    <w:qFormat/>
    <w:rPr>
      <w:color w:val="404040"/>
    </w:rPr>
    <w:tblPr/>
  </w:style>
  <w:style w:type="table" w:styleId="1033" w:customStyle="1">
    <w:name w:val="List Table 6 Colorful - Accent 4"/>
    <w:basedOn w:val="923"/>
    <w:uiPriority w:val="99"/>
    <w:qFormat/>
    <w:tblPr/>
  </w:style>
  <w:style w:type="table" w:styleId="1034" w:customStyle="1">
    <w:name w:val="Grid Table 6 Colorful - Accent 3"/>
    <w:basedOn w:val="923"/>
    <w:uiPriority w:val="99"/>
    <w:qFormat/>
    <w:tblPr/>
  </w:style>
  <w:style w:type="table" w:styleId="1035" w:customStyle="1">
    <w:name w:val="List Table 5 Dark - Accent 5"/>
    <w:basedOn w:val="923"/>
    <w:uiPriority w:val="99"/>
    <w:qFormat/>
    <w:tblPr/>
  </w:style>
  <w:style w:type="table" w:styleId="1036" w:customStyle="1">
    <w:name w:val="无格式表格 51"/>
    <w:basedOn w:val="923"/>
    <w:uiPriority w:val="99"/>
    <w:qFormat/>
    <w:tblPr/>
  </w:style>
  <w:style w:type="table" w:styleId="1037" w:customStyle="1">
    <w:name w:val="List Table 7 Colorful - Accent 3"/>
    <w:basedOn w:val="923"/>
    <w:uiPriority w:val="99"/>
    <w:qFormat/>
    <w:tblPr/>
  </w:style>
  <w:style w:type="table" w:styleId="1038" w:customStyle="1">
    <w:name w:val="Grid Table 4 - Accent 2"/>
    <w:basedOn w:val="923"/>
    <w:uiPriority w:val="59"/>
    <w:qFormat/>
    <w:tblPr/>
  </w:style>
  <w:style w:type="table" w:styleId="1039" w:customStyle="1">
    <w:name w:val="List Table 3 - Accent 2"/>
    <w:basedOn w:val="923"/>
    <w:uiPriority w:val="99"/>
    <w:qFormat/>
    <w:tblPr/>
  </w:style>
  <w:style w:type="table" w:styleId="1040" w:customStyle="1">
    <w:name w:val="网格表 41"/>
    <w:basedOn w:val="923"/>
    <w:uiPriority w:val="59"/>
    <w:qFormat/>
    <w:tblPr/>
  </w:style>
  <w:style w:type="table" w:styleId="1041" w:customStyle="1">
    <w:name w:val="Bordered &amp; Lined - Accent 3"/>
    <w:basedOn w:val="923"/>
    <w:uiPriority w:val="99"/>
    <w:qFormat/>
    <w:rPr>
      <w:color w:val="404040"/>
    </w:rPr>
    <w:tblPr/>
  </w:style>
  <w:style w:type="table" w:styleId="1042" w:customStyle="1">
    <w:name w:val="List Table 4 - Accent 6"/>
    <w:basedOn w:val="923"/>
    <w:uiPriority w:val="99"/>
    <w:qFormat/>
    <w:tblPr/>
  </w:style>
  <w:style w:type="table" w:styleId="1043" w:customStyle="1">
    <w:name w:val="Grid Table 5 Dark - Accent 6"/>
    <w:basedOn w:val="923"/>
    <w:uiPriority w:val="99"/>
    <w:qFormat/>
    <w:tblPr/>
  </w:style>
  <w:style w:type="table" w:styleId="1044" w:customStyle="1">
    <w:name w:val="Lined - Accent 6"/>
    <w:basedOn w:val="923"/>
    <w:uiPriority w:val="99"/>
    <w:qFormat/>
    <w:rPr>
      <w:color w:val="404040"/>
    </w:rPr>
    <w:tblPr/>
  </w:style>
  <w:style w:type="table" w:styleId="1045" w:customStyle="1">
    <w:name w:val="List Table 6 Colorful - Accent 5"/>
    <w:basedOn w:val="923"/>
    <w:uiPriority w:val="99"/>
    <w:qFormat/>
    <w:tblPr/>
  </w:style>
  <w:style w:type="table" w:styleId="1046" w:customStyle="1">
    <w:name w:val="List Table 7 Colorful - Accent 1"/>
    <w:basedOn w:val="923"/>
    <w:uiPriority w:val="99"/>
    <w:qFormat/>
    <w:tblPr/>
  </w:style>
  <w:style w:type="table" w:styleId="1047" w:customStyle="1">
    <w:name w:val="Bordered &amp; Lined - Accent 1"/>
    <w:basedOn w:val="923"/>
    <w:uiPriority w:val="99"/>
    <w:qFormat/>
    <w:rPr>
      <w:color w:val="404040"/>
    </w:rPr>
    <w:tblPr/>
  </w:style>
  <w:style w:type="table" w:styleId="1048" w:customStyle="1">
    <w:name w:val="List Table 1 Light - Accent 6"/>
    <w:basedOn w:val="923"/>
    <w:uiPriority w:val="99"/>
    <w:qFormat/>
    <w:tblPr/>
  </w:style>
  <w:style w:type="table" w:styleId="1049" w:customStyle="1">
    <w:name w:val="Grid Table 6 Colorful - Accent 2"/>
    <w:basedOn w:val="923"/>
    <w:uiPriority w:val="99"/>
    <w:qFormat/>
    <w:tblPr/>
  </w:style>
  <w:style w:type="table" w:styleId="1050" w:customStyle="1">
    <w:name w:val="Bordered"/>
    <w:basedOn w:val="923"/>
    <w:uiPriority w:val="99"/>
    <w:qFormat/>
    <w:tblPr/>
  </w:style>
  <w:style w:type="table" w:styleId="1051" w:customStyle="1">
    <w:name w:val="网格表 7 彩色1"/>
    <w:basedOn w:val="923"/>
    <w:uiPriority w:val="99"/>
    <w:qFormat/>
    <w:tblPr/>
  </w:style>
  <w:style w:type="table" w:styleId="1052" w:customStyle="1">
    <w:name w:val="Grid Table 1 Light - Accent 4"/>
    <w:basedOn w:val="923"/>
    <w:uiPriority w:val="99"/>
    <w:qFormat/>
    <w:tblPr/>
  </w:style>
  <w:style w:type="table" w:styleId="1053" w:customStyle="1">
    <w:name w:val="List Table 3 - Accent 1"/>
    <w:basedOn w:val="923"/>
    <w:uiPriority w:val="99"/>
    <w:qFormat/>
    <w:tblPr/>
  </w:style>
  <w:style w:type="table" w:styleId="1054" w:customStyle="1">
    <w:name w:val="Grid Table 3 - Accent 6"/>
    <w:basedOn w:val="923"/>
    <w:uiPriority w:val="99"/>
    <w:qFormat/>
    <w:tblPr/>
  </w:style>
  <w:style w:type="table" w:styleId="1055" w:customStyle="1">
    <w:name w:val="Grid Table 3 - Accent 1"/>
    <w:basedOn w:val="923"/>
    <w:uiPriority w:val="99"/>
    <w:qFormat/>
    <w:tblPr/>
  </w:style>
  <w:style w:type="table" w:styleId="1056" w:customStyle="1">
    <w:name w:val="List Table 4 - Accent 5"/>
    <w:basedOn w:val="923"/>
    <w:uiPriority w:val="99"/>
    <w:qFormat/>
    <w:tblPr/>
  </w:style>
  <w:style w:type="table" w:styleId="1057" w:customStyle="1">
    <w:name w:val="Grid Table 7 Colorful - Accent 1"/>
    <w:basedOn w:val="923"/>
    <w:uiPriority w:val="99"/>
    <w:qFormat/>
    <w:tblPr/>
  </w:style>
  <w:style w:type="table" w:styleId="1058" w:customStyle="1">
    <w:name w:val="List Table 2 - Accent 6"/>
    <w:basedOn w:val="923"/>
    <w:uiPriority w:val="99"/>
    <w:qFormat/>
    <w:tblPr/>
  </w:style>
  <w:style w:type="table" w:styleId="1059" w:customStyle="1">
    <w:name w:val="List Table 6 Colorful - Accent 2"/>
    <w:basedOn w:val="923"/>
    <w:uiPriority w:val="99"/>
    <w:qFormat/>
    <w:tblPr/>
  </w:style>
  <w:style w:type="table" w:styleId="1060" w:customStyle="1">
    <w:name w:val="Bordered &amp; Lined - Accent 6"/>
    <w:basedOn w:val="923"/>
    <w:uiPriority w:val="99"/>
    <w:qFormat/>
    <w:rPr>
      <w:color w:val="404040"/>
    </w:rPr>
    <w:tblPr/>
  </w:style>
  <w:style w:type="table" w:styleId="1061" w:customStyle="1">
    <w:name w:val="Bordered - Accent 5"/>
    <w:basedOn w:val="923"/>
    <w:uiPriority w:val="99"/>
    <w:qFormat/>
    <w:tblPr/>
  </w:style>
  <w:style w:type="table" w:styleId="1062" w:customStyle="1">
    <w:name w:val="List Table 2 - Accent 4"/>
    <w:basedOn w:val="923"/>
    <w:uiPriority w:val="99"/>
    <w:qFormat/>
    <w:tblPr/>
  </w:style>
  <w:style w:type="table" w:styleId="1063" w:customStyle="1">
    <w:name w:val="List Table 3 - Accent 6"/>
    <w:basedOn w:val="923"/>
    <w:uiPriority w:val="99"/>
    <w:qFormat/>
    <w:tblPr/>
  </w:style>
  <w:style w:type="table" w:styleId="1064" w:customStyle="1">
    <w:name w:val="List Table 2 - Accent 3"/>
    <w:basedOn w:val="923"/>
    <w:uiPriority w:val="99"/>
    <w:qFormat/>
    <w:tblPr/>
  </w:style>
  <w:style w:type="table" w:styleId="1065" w:customStyle="1">
    <w:name w:val="List Table 5 Dark - Accent 3"/>
    <w:basedOn w:val="923"/>
    <w:uiPriority w:val="99"/>
    <w:qFormat/>
    <w:tblPr/>
  </w:style>
  <w:style w:type="table" w:styleId="1066" w:customStyle="1">
    <w:name w:val="无格式表格 41"/>
    <w:basedOn w:val="923"/>
    <w:uiPriority w:val="99"/>
    <w:qFormat/>
    <w:tblPr/>
  </w:style>
  <w:style w:type="table" w:styleId="1067" w:customStyle="1">
    <w:name w:val="Grid Table 7 Colorful - Accent 2"/>
    <w:basedOn w:val="923"/>
    <w:uiPriority w:val="99"/>
    <w:qFormat/>
    <w:tblPr/>
  </w:style>
  <w:style w:type="table" w:styleId="1068" w:customStyle="1">
    <w:name w:val="Grid Table 3 - Accent 5"/>
    <w:basedOn w:val="923"/>
    <w:uiPriority w:val="99"/>
    <w:qFormat/>
    <w:tblPr/>
  </w:style>
  <w:style w:type="table" w:styleId="1069" w:customStyle="1">
    <w:name w:val="Grid Table 2 - Accent 3"/>
    <w:basedOn w:val="923"/>
    <w:uiPriority w:val="99"/>
    <w:qFormat/>
    <w:tblPr/>
  </w:style>
  <w:style w:type="table" w:styleId="1070" w:customStyle="1">
    <w:name w:val="List Table 2 - Accent 5"/>
    <w:basedOn w:val="923"/>
    <w:uiPriority w:val="99"/>
    <w:qFormat/>
    <w:tblPr/>
  </w:style>
  <w:style w:type="table" w:styleId="1071" w:customStyle="1">
    <w:name w:val="Bordered - Accent 1"/>
    <w:basedOn w:val="923"/>
    <w:uiPriority w:val="99"/>
    <w:qFormat/>
    <w:tblPr/>
  </w:style>
  <w:style w:type="table" w:styleId="1072" w:customStyle="1">
    <w:name w:val="List Table 1 Light - Accent 4"/>
    <w:basedOn w:val="923"/>
    <w:uiPriority w:val="99"/>
    <w:qFormat/>
    <w:tblPr/>
  </w:style>
  <w:style w:type="table" w:styleId="1073" w:customStyle="1">
    <w:name w:val="Grid Table 4 - Accent 5"/>
    <w:basedOn w:val="923"/>
    <w:uiPriority w:val="59"/>
    <w:qFormat/>
    <w:tblPr/>
  </w:style>
  <w:style w:type="table" w:styleId="1074" w:customStyle="1">
    <w:name w:val="无格式表格 21"/>
    <w:basedOn w:val="923"/>
    <w:uiPriority w:val="59"/>
    <w:qFormat/>
    <w:tblPr/>
  </w:style>
  <w:style w:type="table" w:styleId="1075" w:customStyle="1">
    <w:name w:val="Grid Table 5 Dark - Accent 3"/>
    <w:basedOn w:val="923"/>
    <w:uiPriority w:val="99"/>
    <w:qFormat/>
    <w:tblPr/>
  </w:style>
  <w:style w:type="table" w:styleId="1076" w:customStyle="1">
    <w:name w:val="Grid Table 3 - Accent 4"/>
    <w:basedOn w:val="923"/>
    <w:uiPriority w:val="99"/>
    <w:qFormat/>
    <w:tblPr/>
  </w:style>
  <w:style w:type="table" w:styleId="1077" w:customStyle="1">
    <w:name w:val="清单表 21"/>
    <w:basedOn w:val="923"/>
    <w:uiPriority w:val="99"/>
    <w:qFormat/>
    <w:tblPr/>
  </w:style>
  <w:style w:type="table" w:styleId="1078" w:customStyle="1">
    <w:name w:val="Grid Table 7 Colorful - Accent 4"/>
    <w:basedOn w:val="923"/>
    <w:uiPriority w:val="99"/>
    <w:qFormat/>
    <w:tblPr/>
  </w:style>
  <w:style w:type="table" w:styleId="1079" w:customStyle="1">
    <w:name w:val="Grid Table 1 Light - Accent 6"/>
    <w:basedOn w:val="923"/>
    <w:uiPriority w:val="99"/>
    <w:qFormat/>
    <w:tblPr/>
  </w:style>
  <w:style w:type="table" w:styleId="1080" w:customStyle="1">
    <w:name w:val="Bordered &amp; Lined - Accent"/>
    <w:basedOn w:val="923"/>
    <w:uiPriority w:val="99"/>
    <w:qFormat/>
    <w:rPr>
      <w:color w:val="404040"/>
    </w:rPr>
    <w:tblPr/>
  </w:style>
  <w:style w:type="table" w:styleId="1081" w:customStyle="1">
    <w:name w:val="清单表 41"/>
    <w:basedOn w:val="923"/>
    <w:uiPriority w:val="99"/>
    <w:qFormat/>
    <w:tblPr/>
  </w:style>
  <w:style w:type="table" w:styleId="1082" w:customStyle="1">
    <w:name w:val="List Table 7 Colorful - Accent 2"/>
    <w:basedOn w:val="923"/>
    <w:uiPriority w:val="99"/>
    <w:qFormat/>
    <w:tblPr/>
  </w:style>
  <w:style w:type="table" w:styleId="1083" w:customStyle="1">
    <w:name w:val="Grid Table 7 Colorful - Accent 5"/>
    <w:basedOn w:val="923"/>
    <w:uiPriority w:val="99"/>
    <w:qFormat/>
    <w:tblPr/>
  </w:style>
  <w:style w:type="table" w:styleId="1084" w:customStyle="1">
    <w:name w:val="Lined - Accent"/>
    <w:basedOn w:val="923"/>
    <w:uiPriority w:val="99"/>
    <w:qFormat/>
    <w:rPr>
      <w:color w:val="404040"/>
    </w:rPr>
    <w:tblPr/>
  </w:style>
  <w:style w:type="table" w:styleId="1085" w:customStyle="1">
    <w:name w:val="无格式表格 11"/>
    <w:basedOn w:val="923"/>
    <w:uiPriority w:val="59"/>
    <w:qFormat/>
    <w:tblPr/>
  </w:style>
  <w:style w:type="table" w:styleId="1086" w:customStyle="1">
    <w:name w:val="Grid Table 6 Colorful - Accent 5"/>
    <w:basedOn w:val="923"/>
    <w:uiPriority w:val="99"/>
    <w:qFormat/>
    <w:tblPr/>
  </w:style>
  <w:style w:type="table" w:styleId="1087" w:customStyle="1">
    <w:name w:val="List Table 7 Colorful - Accent 4"/>
    <w:basedOn w:val="923"/>
    <w:uiPriority w:val="99"/>
    <w:qFormat/>
    <w:tblPr/>
  </w:style>
  <w:style w:type="table" w:styleId="1088" w:customStyle="1">
    <w:name w:val="List Table 6 Colorful - Accent 3"/>
    <w:basedOn w:val="923"/>
    <w:uiPriority w:val="99"/>
    <w:qFormat/>
    <w:tblPr/>
  </w:style>
  <w:style w:type="table" w:styleId="1089" w:customStyle="1">
    <w:name w:val="List Table 7 Colorful - Accent 6"/>
    <w:basedOn w:val="923"/>
    <w:uiPriority w:val="99"/>
    <w:qFormat/>
    <w:tblPr/>
  </w:style>
  <w:style w:type="table" w:styleId="1090" w:customStyle="1">
    <w:name w:val="清单表 31"/>
    <w:basedOn w:val="923"/>
    <w:uiPriority w:val="99"/>
    <w:qFormat/>
    <w:tblPr/>
  </w:style>
  <w:style w:type="table" w:styleId="1091" w:customStyle="1">
    <w:name w:val="Grid Table 5 Dark - Accent 5"/>
    <w:basedOn w:val="923"/>
    <w:uiPriority w:val="99"/>
    <w:qFormat/>
    <w:tblPr/>
  </w:style>
  <w:style w:type="table" w:styleId="1092" w:customStyle="1">
    <w:name w:val="List Table 5 Dark - Accent 1"/>
    <w:basedOn w:val="923"/>
    <w:uiPriority w:val="99"/>
    <w:qFormat/>
    <w:tblPr/>
  </w:style>
  <w:style w:type="table" w:styleId="1093" w:customStyle="1">
    <w:name w:val="Bordered - Accent 2"/>
    <w:basedOn w:val="923"/>
    <w:uiPriority w:val="99"/>
    <w:qFormat/>
    <w:tblPr/>
  </w:style>
  <w:style w:type="table" w:styleId="1094" w:customStyle="1">
    <w:name w:val="List Table 1 Light - Accent 1"/>
    <w:basedOn w:val="923"/>
    <w:uiPriority w:val="99"/>
    <w:qFormat/>
    <w:tblPr/>
  </w:style>
  <w:style w:type="table" w:styleId="1095" w:customStyle="1">
    <w:name w:val="List Table 3 - Accent 4"/>
    <w:basedOn w:val="923"/>
    <w:uiPriority w:val="99"/>
    <w:qFormat/>
    <w:tblPr/>
  </w:style>
  <w:style w:type="table" w:styleId="1096" w:customStyle="1">
    <w:name w:val="Grid Table 6 Colorful - Accent 4"/>
    <w:basedOn w:val="923"/>
    <w:uiPriority w:val="99"/>
    <w:qFormat/>
    <w:tblPr/>
  </w:style>
  <w:style w:type="table" w:styleId="1097" w:customStyle="1">
    <w:name w:val="Grid Table 4 - Accent 4"/>
    <w:basedOn w:val="923"/>
    <w:uiPriority w:val="59"/>
    <w:qFormat/>
    <w:tblPr/>
  </w:style>
  <w:style w:type="table" w:styleId="1098" w:customStyle="1">
    <w:name w:val="List Table 4 - Accent 1"/>
    <w:basedOn w:val="923"/>
    <w:uiPriority w:val="99"/>
    <w:qFormat/>
    <w:tblPr/>
  </w:style>
  <w:style w:type="table" w:styleId="1099" w:customStyle="1">
    <w:name w:val="Grid Table 7 Colorful - Accent 6"/>
    <w:basedOn w:val="923"/>
    <w:uiPriority w:val="99"/>
    <w:qFormat/>
    <w:tblPr/>
  </w:style>
  <w:style w:type="table" w:styleId="1100" w:customStyle="1">
    <w:name w:val="Grid Table 2 - Accent 4"/>
    <w:basedOn w:val="923"/>
    <w:uiPriority w:val="99"/>
    <w:qFormat/>
    <w:tblPr/>
  </w:style>
  <w:style w:type="table" w:styleId="1101" w:customStyle="1">
    <w:name w:val="Table Grid Light"/>
    <w:basedOn w:val="923"/>
    <w:uiPriority w:val="59"/>
    <w:qFormat/>
    <w:tblPr/>
  </w:style>
  <w:style w:type="table" w:styleId="1102" w:customStyle="1">
    <w:name w:val="Grid Table 4 - Accent 1"/>
    <w:basedOn w:val="923"/>
    <w:uiPriority w:val="59"/>
    <w:qFormat/>
    <w:tblPr/>
  </w:style>
  <w:style w:type="table" w:styleId="1103" w:customStyle="1">
    <w:name w:val="Grid Table 6 Colorful - Accent 1"/>
    <w:basedOn w:val="923"/>
    <w:uiPriority w:val="99"/>
    <w:qFormat/>
    <w:tblPr/>
  </w:style>
  <w:style w:type="table" w:styleId="1104" w:customStyle="1">
    <w:name w:val="List Table 7 Colorful - Accent 5"/>
    <w:basedOn w:val="923"/>
    <w:uiPriority w:val="99"/>
    <w:qFormat/>
    <w:tblPr/>
  </w:style>
  <w:style w:type="table" w:styleId="1105" w:customStyle="1">
    <w:name w:val="List Table 5 Dark - Accent 4"/>
    <w:basedOn w:val="923"/>
    <w:uiPriority w:val="99"/>
    <w:qFormat/>
    <w:tblPr/>
  </w:style>
  <w:style w:type="table" w:styleId="1106" w:customStyle="1">
    <w:name w:val="网格表 21"/>
    <w:basedOn w:val="923"/>
    <w:uiPriority w:val="99"/>
    <w:qFormat/>
    <w:tblPr/>
  </w:style>
  <w:style w:type="table" w:styleId="1107" w:customStyle="1">
    <w:name w:val="Grid Table 4 - Accent 3"/>
    <w:basedOn w:val="923"/>
    <w:uiPriority w:val="59"/>
    <w:qFormat/>
    <w:tblPr/>
  </w:style>
  <w:style w:type="table" w:styleId="1108" w:customStyle="1">
    <w:name w:val="Lined - Accent 1"/>
    <w:basedOn w:val="923"/>
    <w:uiPriority w:val="99"/>
    <w:qFormat/>
    <w:rPr>
      <w:color w:val="404040"/>
    </w:rPr>
    <w:tblPr/>
  </w:style>
  <w:style w:type="table" w:styleId="1109" w:customStyle="1">
    <w:name w:val="Grid Table 3 - Accent 2"/>
    <w:basedOn w:val="923"/>
    <w:uiPriority w:val="99"/>
    <w:qFormat/>
    <w:tblPr/>
  </w:style>
  <w:style w:type="table" w:styleId="1110" w:customStyle="1">
    <w:name w:val="清单表 7 彩色1"/>
    <w:basedOn w:val="923"/>
    <w:uiPriority w:val="99"/>
    <w:qFormat/>
    <w:tblPr/>
  </w:style>
  <w:style w:type="table" w:styleId="1111" w:customStyle="1">
    <w:name w:val="Lined - Accent 4"/>
    <w:basedOn w:val="923"/>
    <w:uiPriority w:val="99"/>
    <w:qFormat/>
    <w:rPr>
      <w:color w:val="404040"/>
    </w:rPr>
    <w:tblPr/>
  </w:style>
  <w:style w:type="table" w:styleId="1112" w:customStyle="1">
    <w:name w:val="Grid Table 5 Dark- Accent 4"/>
    <w:basedOn w:val="923"/>
    <w:uiPriority w:val="99"/>
    <w:qFormat/>
    <w:tblPr/>
  </w:style>
  <w:style w:type="table" w:styleId="1113" w:customStyle="1">
    <w:name w:val="Bordered &amp; Lined - Accent 5"/>
    <w:basedOn w:val="923"/>
    <w:uiPriority w:val="99"/>
    <w:qFormat/>
    <w:rPr>
      <w:color w:val="404040"/>
    </w:rPr>
    <w:tblPr/>
  </w:style>
  <w:style w:type="table" w:styleId="1114" w:customStyle="1">
    <w:name w:val="List Table 6 Colorful - Accent 6"/>
    <w:basedOn w:val="923"/>
    <w:uiPriority w:val="99"/>
    <w:qFormat/>
    <w:tblPr/>
  </w:style>
  <w:style w:type="character" w:styleId="1115" w:customStyle="1">
    <w:name w:val="NormalCharacter"/>
    <w:uiPriority w:val="0"/>
    <w:semiHidden/>
    <w:qFormat/>
    <w:rPr>
      <w:sz w:val="28"/>
      <w:lang w:val="en-US" w:eastAsia="zh-CN" w:bidi="ar-SA"/>
    </w:rPr>
  </w:style>
  <w:style w:type="paragraph" w:styleId="1116" w:customStyle="1">
    <w:name w:val="首行缩进"/>
    <w:basedOn w:val="822"/>
    <w:next w:val="762"/>
    <w:uiPriority w:val="0"/>
    <w:qFormat/>
    <w:pPr>
      <w:ind w:firstLine="480"/>
    </w:pPr>
    <w:rPr>
      <w:sz w:val="20"/>
      <w:szCs w:val="20"/>
      <w:lang w:val="zh-CN"/>
    </w:rPr>
  </w:style>
  <w:style w:type="paragraph" w:styleId="1117" w:customStyle="1">
    <w:name w:val="纯文本2"/>
    <w:basedOn w:val="783"/>
    <w:uiPriority w:val="0"/>
    <w:qFormat/>
    <w:rPr>
      <w:rFonts w:ascii="宋体" w:hAnsi="Courier New"/>
      <w:sz w:val="20"/>
      <w:szCs w:val="20"/>
    </w:rPr>
  </w:style>
  <w:style w:type="table" w:styleId="1118" w:customStyle="1">
    <w:name w:val="Table Normal"/>
    <w:uiPriority w:val="0"/>
    <w:unhideWhenUsed/>
    <w:qFormat/>
    <w:tblPr>
      <w:tblCellMar>
        <w:left w:w="0" w:type="dxa"/>
        <w:top w:w="0" w:type="dxa"/>
        <w:right w:w="0" w:type="dxa"/>
        <w:bottom w:w="0" w:type="dxa"/>
      </w:tblCellMar>
    </w:tblPr>
  </w:style>
  <w:style w:type="paragraph" w:styleId="1119" w:customStyle="1">
    <w:name w:val="纯文本11"/>
    <w:uiPriority w:val="0"/>
    <w:qFormat/>
    <w:pPr>
      <w:jc w:val="both"/>
      <w:widowControl w:val="off"/>
    </w:pPr>
    <w:rPr>
      <w:rFonts w:hint="default" w:ascii="宋体" w:hAnsi="Courier New" w:eastAsia="宋体" w:cs="Times New Roman"/>
      <w:sz w:val="24"/>
      <w:szCs w:val="22"/>
      <w:lang w:val="en-US" w:eastAsia="zh-CN" w:bidi="ar-SA"/>
    </w:rPr>
  </w:style>
  <w:style w:type="paragraph" w:styleId="1120" w:customStyle="1">
    <w:name w:val="样式正文3"/>
    <w:uiPriority w:val="0"/>
    <w:qFormat/>
    <w:pPr>
      <w:ind w:firstLine="560"/>
      <w:jc w:val="both"/>
      <w:spacing w:after="0" w:line="360" w:lineRule="auto"/>
      <w:widowControl w:val="off"/>
    </w:pPr>
    <w:rPr>
      <w:rFonts w:ascii="宋体" w:hAnsi="宋体" w:eastAsia="宋体" w:cs="Times New Roman"/>
      <w:sz w:val="28"/>
      <w:szCs w:val="28"/>
      <w:lang w:val="en-US" w:eastAsia="zh-CN" w:bidi="ar-SA"/>
      <w14:ligatures w14:val="none"/>
    </w:rPr>
  </w:style>
  <w:style w:type="numbering" w:styleId="14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孙玉琦</cp:lastModifiedBy>
  <cp:revision>15</cp:revision>
  <dcterms:created xsi:type="dcterms:W3CDTF">2023-11-17T14:31:00Z</dcterms:created>
  <dcterms:modified xsi:type="dcterms:W3CDTF">2026-06-03T06:17:43Z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AFA83A8785BC4FE0924A650992C73AE1_13</vt:lpwstr>
  </property>
  <property fmtid="{D5CDD505-2E9C-101B-9397-08002B2CF9AE}" pid="4" name="KSOTemplateDocerSaveRecord">
    <vt:lpwstr>eyJoZGlkIjoiMTM4ZWI2MTk2ZTM3MTgxMTEzMDE4ZWE1ZmExYjViNmIiLCJ1c2VySWQiOiIxMTQwMzg1MzY5In0=</vt:lpwstr>
  </property>
</Properties>
</file>