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3194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jc w:val="center"/>
        <w:rPr>
          <w:rFonts w:ascii="宋体" w:hAnsi="宋体" w:cs="新宋体"/>
          <w:b/>
          <w:color w:val="000000"/>
          <w:sz w:val="36"/>
          <w:szCs w:val="36"/>
        </w:rPr>
      </w:pPr>
      <w:bookmarkStart w:id="0" w:name="_Toc7471"/>
      <w:bookmarkStart w:id="1" w:name="_Toc25159"/>
      <w:r>
        <w:rPr>
          <w:rFonts w:hint="eastAsia" w:ascii="宋体" w:hAnsi="宋体" w:cs="新宋体"/>
          <w:b/>
          <w:color w:val="000000"/>
          <w:sz w:val="36"/>
          <w:szCs w:val="36"/>
          <w:lang w:val="zh-CN"/>
        </w:rPr>
        <w:t>采购需求</w:t>
      </w:r>
      <w:bookmarkEnd w:id="0"/>
      <w:bookmarkEnd w:id="1"/>
      <w:r>
        <w:rPr>
          <w:rFonts w:hint="eastAsia" w:ascii="宋体" w:hAnsi="宋体" w:cs="新宋体"/>
          <w:b/>
          <w:color w:val="000000"/>
          <w:sz w:val="36"/>
          <w:szCs w:val="36"/>
          <w:lang w:val="zh-CN"/>
        </w:rPr>
        <w:t>（</w:t>
      </w:r>
      <w:r>
        <w:rPr>
          <w:rFonts w:hint="eastAsia" w:ascii="宋体" w:hAnsi="宋体" w:cs="新宋体"/>
          <w:b/>
          <w:color w:val="000000"/>
          <w:sz w:val="36"/>
          <w:szCs w:val="36"/>
          <w:lang w:val="en-US" w:eastAsia="zh-CN"/>
        </w:rPr>
        <w:t>采购包二</w:t>
      </w:r>
      <w:bookmarkStart w:id="2" w:name="_GoBack"/>
      <w:bookmarkEnd w:id="2"/>
      <w:r>
        <w:rPr>
          <w:rFonts w:hint="eastAsia" w:ascii="宋体" w:hAnsi="宋体" w:cs="新宋体"/>
          <w:b/>
          <w:color w:val="000000"/>
          <w:sz w:val="36"/>
          <w:szCs w:val="36"/>
          <w:lang w:val="zh-CN"/>
        </w:rPr>
        <w:t>）</w:t>
      </w:r>
    </w:p>
    <w:p w14:paraId="1046C3F7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24"/>
          <w:szCs w:val="24"/>
          <w:lang w:val="zh-CN"/>
        </w:rPr>
      </w:pPr>
    </w:p>
    <w:p w14:paraId="7B202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一、说明</w:t>
      </w:r>
    </w:p>
    <w:p w14:paraId="2CC9C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（一）采购人：</w:t>
      </w:r>
      <w:r>
        <w:rPr>
          <w:rFonts w:hint="eastAsia"/>
          <w:sz w:val="24"/>
          <w:szCs w:val="24"/>
          <w:lang w:val="en-US" w:eastAsia="zh-CN"/>
        </w:rPr>
        <w:t>邳州市纪念场馆管理处</w:t>
      </w:r>
    </w:p>
    <w:p w14:paraId="1689B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（二）采购项目名称：纪念场馆及烈士陵园物业安保服务项目</w:t>
      </w:r>
    </w:p>
    <w:p w14:paraId="2E374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（三）采购标的：纪念场馆及烈士陵园物业安保服务项目</w:t>
      </w:r>
    </w:p>
    <w:p w14:paraId="14045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（纪念场馆及烈士陵园物业安保服务项目</w:t>
      </w:r>
      <w:r>
        <w:rPr>
          <w:rFonts w:hint="eastAsia"/>
          <w:sz w:val="24"/>
          <w:szCs w:val="24"/>
        </w:rPr>
        <w:t>）对应的中小企业划分标准所属行业为（物业管理）。</w:t>
      </w:r>
    </w:p>
    <w:p w14:paraId="558D3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color w:val="auto"/>
          <w:sz w:val="24"/>
          <w:szCs w:val="24"/>
        </w:rPr>
        <w:t>四）本项目为专门面向中小企业采购的项目。</w:t>
      </w:r>
    </w:p>
    <w:p w14:paraId="23CB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（五）本项目不接受超过</w:t>
      </w:r>
      <w:r>
        <w:rPr>
          <w:rFonts w:hint="eastAsia"/>
          <w:color w:val="auto"/>
          <w:sz w:val="24"/>
          <w:szCs w:val="24"/>
          <w:lang w:val="en-US" w:eastAsia="zh-CN"/>
        </w:rPr>
        <w:t>227.88</w:t>
      </w:r>
      <w:r>
        <w:rPr>
          <w:rFonts w:hint="eastAsia"/>
          <w:color w:val="auto"/>
          <w:sz w:val="24"/>
          <w:szCs w:val="24"/>
        </w:rPr>
        <w:t>万元（采购项目预算金额）的投标报价。</w:t>
      </w:r>
    </w:p>
    <w:p w14:paraId="16BC8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  <w:t>二、项目概况：</w:t>
      </w:r>
    </w:p>
    <w:p w14:paraId="6C395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一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>基本情况：</w:t>
      </w:r>
    </w:p>
    <w:tbl>
      <w:tblPr>
        <w:tblStyle w:val="21"/>
        <w:tblpPr w:leftFromText="180" w:rightFromText="180" w:vertAnchor="text" w:horzAnchor="page" w:tblpX="1533" w:tblpY="294"/>
        <w:tblOverlap w:val="never"/>
        <w:tblW w:w="501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72"/>
        <w:gridCol w:w="5171"/>
      </w:tblGrid>
      <w:tr w14:paraId="49BED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901" w:type="pct"/>
            <w:noWrap w:val="0"/>
            <w:vAlign w:val="center"/>
          </w:tcPr>
          <w:p w14:paraId="62FC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物业名称</w:t>
            </w:r>
          </w:p>
        </w:tc>
        <w:tc>
          <w:tcPr>
            <w:tcW w:w="3098" w:type="pct"/>
            <w:noWrap w:val="0"/>
            <w:vAlign w:val="center"/>
          </w:tcPr>
          <w:p w14:paraId="26A68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物业地址</w:t>
            </w:r>
          </w:p>
        </w:tc>
      </w:tr>
      <w:tr w14:paraId="6B1FE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901" w:type="pct"/>
            <w:noWrap w:val="0"/>
            <w:vAlign w:val="center"/>
          </w:tcPr>
          <w:p w14:paraId="3D8B1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淮海战役碾庄圩战斗纪念馆</w:t>
            </w:r>
          </w:p>
        </w:tc>
        <w:tc>
          <w:tcPr>
            <w:tcW w:w="3098" w:type="pct"/>
            <w:noWrap w:val="0"/>
            <w:vAlign w:val="center"/>
          </w:tcPr>
          <w:p w14:paraId="7678C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firstLineChars="0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邳州市碾庄镇新街居委会</w:t>
            </w:r>
          </w:p>
        </w:tc>
      </w:tr>
      <w:tr w14:paraId="3F458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901" w:type="pct"/>
            <w:noWrap w:val="0"/>
            <w:vAlign w:val="center"/>
          </w:tcPr>
          <w:p w14:paraId="5B036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李超时纪念馆</w:t>
            </w:r>
          </w:p>
        </w:tc>
        <w:tc>
          <w:tcPr>
            <w:tcW w:w="3098" w:type="pct"/>
            <w:noWrap w:val="0"/>
            <w:vAlign w:val="center"/>
          </w:tcPr>
          <w:p w14:paraId="35FD9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firstLineChars="0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邳州市碾庄镇才庄村</w:t>
            </w:r>
          </w:p>
        </w:tc>
      </w:tr>
      <w:tr w14:paraId="51778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901" w:type="pct"/>
            <w:noWrap w:val="0"/>
            <w:vAlign w:val="center"/>
          </w:tcPr>
          <w:p w14:paraId="1E0DC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石山烈士陵园</w:t>
            </w:r>
          </w:p>
        </w:tc>
        <w:tc>
          <w:tcPr>
            <w:tcW w:w="3098" w:type="pct"/>
            <w:noWrap w:val="0"/>
            <w:vAlign w:val="center"/>
          </w:tcPr>
          <w:p w14:paraId="78DF4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firstLineChars="0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邳州市八义集镇石山村</w:t>
            </w:r>
          </w:p>
        </w:tc>
      </w:tr>
    </w:tbl>
    <w:p w14:paraId="3A8AF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62280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  <w:t>三、物业服务范围：</w:t>
      </w:r>
    </w:p>
    <w:p w14:paraId="4B4B3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</w:t>
      </w:r>
      <w:r>
        <w:rPr>
          <w:rFonts w:hint="eastAsia"/>
          <w:color w:val="auto"/>
          <w:sz w:val="22"/>
          <w:szCs w:val="22"/>
          <w:lang w:val="en-US" w:eastAsia="zh-CN"/>
        </w:rPr>
        <w:t>淮海战役碾庄圩战斗纪念馆</w:t>
      </w:r>
      <w:r>
        <w:rPr>
          <w:rFonts w:hint="eastAsia"/>
          <w:color w:val="auto"/>
          <w:sz w:val="24"/>
          <w:szCs w:val="24"/>
        </w:rPr>
        <w:t>物业管理（建筑物）</w:t>
      </w:r>
    </w:p>
    <w:tbl>
      <w:tblPr>
        <w:tblStyle w:val="24"/>
        <w:tblpPr w:leftFromText="180" w:rightFromText="180" w:vertAnchor="text" w:horzAnchor="page" w:tblpX="1548" w:tblpY="308"/>
        <w:tblOverlap w:val="never"/>
        <w:tblW w:w="501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0"/>
        <w:gridCol w:w="1912"/>
        <w:gridCol w:w="2618"/>
        <w:gridCol w:w="2469"/>
      </w:tblGrid>
      <w:tr w14:paraId="4888B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49" w:type="pct"/>
            <w:gridSpan w:val="2"/>
            <w:noWrap w:val="0"/>
            <w:vAlign w:val="center"/>
          </w:tcPr>
          <w:p w14:paraId="266FA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569" w:type="pct"/>
            <w:noWrap w:val="0"/>
            <w:vAlign w:val="center"/>
          </w:tcPr>
          <w:p w14:paraId="09E9C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明细</w:t>
            </w:r>
          </w:p>
        </w:tc>
        <w:tc>
          <w:tcPr>
            <w:tcW w:w="1480" w:type="pct"/>
            <w:noWrap w:val="0"/>
            <w:vAlign w:val="center"/>
          </w:tcPr>
          <w:p w14:paraId="286E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服务内容及标准</w:t>
            </w:r>
          </w:p>
        </w:tc>
      </w:tr>
      <w:tr w14:paraId="14CA4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49" w:type="pct"/>
            <w:gridSpan w:val="2"/>
            <w:noWrap w:val="0"/>
            <w:vAlign w:val="center"/>
          </w:tcPr>
          <w:p w14:paraId="7612E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建筑名称</w:t>
            </w:r>
          </w:p>
        </w:tc>
        <w:tc>
          <w:tcPr>
            <w:tcW w:w="1569" w:type="pct"/>
            <w:noWrap w:val="0"/>
            <w:vAlign w:val="center"/>
          </w:tcPr>
          <w:p w14:paraId="6704C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战役纪念馆、办公用房等</w:t>
            </w:r>
          </w:p>
        </w:tc>
        <w:tc>
          <w:tcPr>
            <w:tcW w:w="1480" w:type="pct"/>
            <w:noWrap w:val="0"/>
            <w:vAlign w:val="center"/>
          </w:tcPr>
          <w:p w14:paraId="07E85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17F32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restart"/>
            <w:noWrap w:val="0"/>
            <w:vAlign w:val="center"/>
          </w:tcPr>
          <w:p w14:paraId="60667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总面积</w:t>
            </w:r>
          </w:p>
        </w:tc>
        <w:tc>
          <w:tcPr>
            <w:tcW w:w="1146" w:type="pct"/>
            <w:noWrap w:val="0"/>
            <w:vAlign w:val="center"/>
          </w:tcPr>
          <w:p w14:paraId="3CA3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建筑面积（㎡）</w:t>
            </w:r>
          </w:p>
        </w:tc>
        <w:tc>
          <w:tcPr>
            <w:tcW w:w="2618" w:type="dxa"/>
            <w:noWrap w:val="0"/>
            <w:vAlign w:val="center"/>
          </w:tcPr>
          <w:p w14:paraId="42B5E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7000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35103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095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continue"/>
            <w:noWrap w:val="0"/>
            <w:vAlign w:val="center"/>
          </w:tcPr>
          <w:p w14:paraId="5BDC6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146" w:type="pct"/>
            <w:noWrap w:val="0"/>
            <w:vAlign w:val="center"/>
          </w:tcPr>
          <w:p w14:paraId="5062E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需保洁面积（㎡）</w:t>
            </w:r>
          </w:p>
        </w:tc>
        <w:tc>
          <w:tcPr>
            <w:tcW w:w="2618" w:type="dxa"/>
            <w:noWrap w:val="0"/>
            <w:vAlign w:val="center"/>
          </w:tcPr>
          <w:p w14:paraId="00FA2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7000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6C4C5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6DD7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continue"/>
            <w:noWrap w:val="0"/>
            <w:vAlign w:val="center"/>
          </w:tcPr>
          <w:p w14:paraId="72341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146" w:type="pct"/>
            <w:noWrap w:val="0"/>
            <w:vAlign w:val="center"/>
          </w:tcPr>
          <w:p w14:paraId="34CC0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会议室数量（个）</w:t>
            </w:r>
          </w:p>
          <w:p w14:paraId="5A9CB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618" w:type="dxa"/>
            <w:noWrap w:val="0"/>
            <w:vAlign w:val="center"/>
          </w:tcPr>
          <w:p w14:paraId="16F26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会议室1个，总面积30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0315D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0D7A2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vMerge w:val="continue"/>
            <w:noWrap w:val="0"/>
            <w:vAlign w:val="center"/>
          </w:tcPr>
          <w:p w14:paraId="0024F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146" w:type="pct"/>
            <w:noWrap w:val="0"/>
            <w:vAlign w:val="center"/>
          </w:tcPr>
          <w:p w14:paraId="7816B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报告厅数量（个）</w:t>
            </w:r>
          </w:p>
          <w:p w14:paraId="3B19C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618" w:type="dxa"/>
            <w:noWrap w:val="0"/>
            <w:vAlign w:val="center"/>
          </w:tcPr>
          <w:p w14:paraId="559A2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报告厅1个，总面积50㎡</w:t>
            </w:r>
          </w:p>
        </w:tc>
        <w:tc>
          <w:tcPr>
            <w:tcW w:w="1480" w:type="pct"/>
            <w:noWrap w:val="0"/>
            <w:vAlign w:val="center"/>
          </w:tcPr>
          <w:p w14:paraId="4966F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2001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16B67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卫生间</w:t>
            </w:r>
          </w:p>
        </w:tc>
        <w:tc>
          <w:tcPr>
            <w:tcW w:w="1146" w:type="pct"/>
            <w:noWrap w:val="0"/>
            <w:vAlign w:val="center"/>
          </w:tcPr>
          <w:p w14:paraId="7D30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卫生间数量（个）</w:t>
            </w:r>
          </w:p>
          <w:p w14:paraId="560D2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618" w:type="dxa"/>
            <w:noWrap w:val="0"/>
            <w:vAlign w:val="center"/>
          </w:tcPr>
          <w:p w14:paraId="77A17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卫生间4个，总面积160㎡</w:t>
            </w:r>
          </w:p>
        </w:tc>
        <w:tc>
          <w:tcPr>
            <w:tcW w:w="1480" w:type="pct"/>
            <w:noWrap w:val="0"/>
            <w:vAlign w:val="center"/>
          </w:tcPr>
          <w:p w14:paraId="56E5F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7E1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6001E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垃圾存放点</w:t>
            </w:r>
          </w:p>
        </w:tc>
        <w:tc>
          <w:tcPr>
            <w:tcW w:w="1146" w:type="pct"/>
            <w:noWrap w:val="0"/>
            <w:vAlign w:val="center"/>
          </w:tcPr>
          <w:p w14:paraId="1EC6E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垃圾存放点数量、面积（㎡）</w:t>
            </w:r>
          </w:p>
        </w:tc>
        <w:tc>
          <w:tcPr>
            <w:tcW w:w="2618" w:type="dxa"/>
            <w:noWrap w:val="0"/>
            <w:vAlign w:val="center"/>
          </w:tcPr>
          <w:p w14:paraId="0CFE9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垃圾存放点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2个，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面积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03964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5476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2AC4B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人行口</w:t>
            </w:r>
          </w:p>
        </w:tc>
        <w:tc>
          <w:tcPr>
            <w:tcW w:w="1146" w:type="pct"/>
            <w:noWrap w:val="0"/>
            <w:vAlign w:val="center"/>
          </w:tcPr>
          <w:p w14:paraId="47B5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人行口</w:t>
            </w:r>
          </w:p>
        </w:tc>
        <w:tc>
          <w:tcPr>
            <w:tcW w:w="2618" w:type="dxa"/>
            <w:noWrap w:val="0"/>
            <w:vAlign w:val="center"/>
          </w:tcPr>
          <w:p w14:paraId="2DAE7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1480" w:type="pct"/>
            <w:noWrap w:val="0"/>
            <w:vAlign w:val="center"/>
          </w:tcPr>
          <w:p w14:paraId="39E3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5B3A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03" w:type="pct"/>
            <w:noWrap w:val="0"/>
            <w:vAlign w:val="center"/>
          </w:tcPr>
          <w:p w14:paraId="4CED3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设施设备</w:t>
            </w:r>
          </w:p>
        </w:tc>
        <w:tc>
          <w:tcPr>
            <w:tcW w:w="1146" w:type="pct"/>
            <w:noWrap w:val="0"/>
            <w:vAlign w:val="center"/>
          </w:tcPr>
          <w:p w14:paraId="7EC9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电梯系统</w:t>
            </w:r>
          </w:p>
        </w:tc>
        <w:tc>
          <w:tcPr>
            <w:tcW w:w="2618" w:type="dxa"/>
            <w:noWrap w:val="0"/>
            <w:vAlign w:val="center"/>
          </w:tcPr>
          <w:p w14:paraId="4EF15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垂直电梯2个，手扶梯1个</w:t>
            </w:r>
          </w:p>
        </w:tc>
        <w:tc>
          <w:tcPr>
            <w:tcW w:w="1480" w:type="pct"/>
            <w:noWrap w:val="0"/>
            <w:vAlign w:val="center"/>
          </w:tcPr>
          <w:p w14:paraId="03AF4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</w:tbl>
    <w:p w14:paraId="618B2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4D64D0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（二）</w:t>
      </w:r>
      <w:r>
        <w:rPr>
          <w:rFonts w:hint="eastAsia"/>
          <w:color w:val="auto"/>
          <w:sz w:val="22"/>
          <w:szCs w:val="22"/>
          <w:lang w:val="en-US" w:eastAsia="zh-CN"/>
        </w:rPr>
        <w:t>淮海战役碾庄圩战斗纪念馆</w:t>
      </w:r>
      <w:r>
        <w:rPr>
          <w:rFonts w:hint="eastAsia"/>
          <w:color w:val="auto"/>
          <w:sz w:val="24"/>
          <w:szCs w:val="24"/>
        </w:rPr>
        <w:t>物业管理（室外）</w:t>
      </w:r>
    </w:p>
    <w:p w14:paraId="1FBFDF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4"/>
        <w:tblW w:w="4998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5"/>
        <w:gridCol w:w="2864"/>
        <w:gridCol w:w="3670"/>
      </w:tblGrid>
      <w:tr w14:paraId="6CCA6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8" w:type="pct"/>
            <w:noWrap w:val="0"/>
            <w:vAlign w:val="center"/>
          </w:tcPr>
          <w:p w14:paraId="1D624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723" w:type="pct"/>
            <w:noWrap w:val="0"/>
            <w:vAlign w:val="center"/>
          </w:tcPr>
          <w:p w14:paraId="2F1B5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明细</w:t>
            </w:r>
          </w:p>
        </w:tc>
        <w:tc>
          <w:tcPr>
            <w:tcW w:w="2207" w:type="pct"/>
            <w:noWrap w:val="0"/>
            <w:vAlign w:val="center"/>
          </w:tcPr>
          <w:p w14:paraId="09D65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服务内容及标准</w:t>
            </w:r>
          </w:p>
        </w:tc>
      </w:tr>
      <w:tr w14:paraId="0D4A2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068" w:type="pct"/>
            <w:noWrap w:val="0"/>
            <w:vAlign w:val="center"/>
          </w:tcPr>
          <w:p w14:paraId="7EEE9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室外面积</w:t>
            </w:r>
          </w:p>
        </w:tc>
        <w:tc>
          <w:tcPr>
            <w:tcW w:w="2864" w:type="dxa"/>
            <w:noWrap w:val="0"/>
            <w:vAlign w:val="center"/>
          </w:tcPr>
          <w:p w14:paraId="7F2D1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66600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207" w:type="pct"/>
            <w:noWrap w:val="0"/>
            <w:vAlign w:val="center"/>
          </w:tcPr>
          <w:p w14:paraId="4252E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79CC7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68" w:type="pct"/>
            <w:noWrap w:val="0"/>
            <w:vAlign w:val="center"/>
          </w:tcPr>
          <w:p w14:paraId="4C1F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绿化</w:t>
            </w:r>
          </w:p>
        </w:tc>
        <w:tc>
          <w:tcPr>
            <w:tcW w:w="2864" w:type="dxa"/>
            <w:noWrap w:val="0"/>
            <w:vAlign w:val="center"/>
          </w:tcPr>
          <w:p w14:paraId="25FA0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10200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207" w:type="pct"/>
            <w:noWrap w:val="0"/>
            <w:vAlign w:val="center"/>
          </w:tcPr>
          <w:p w14:paraId="19F22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684F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068" w:type="pct"/>
            <w:noWrap w:val="0"/>
            <w:vAlign w:val="center"/>
          </w:tcPr>
          <w:p w14:paraId="18D74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广场</w:t>
            </w:r>
          </w:p>
        </w:tc>
        <w:tc>
          <w:tcPr>
            <w:tcW w:w="2864" w:type="dxa"/>
            <w:noWrap w:val="0"/>
            <w:vAlign w:val="center"/>
          </w:tcPr>
          <w:p w14:paraId="767AC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13320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207" w:type="pct"/>
            <w:noWrap w:val="0"/>
            <w:vAlign w:val="center"/>
          </w:tcPr>
          <w:p w14:paraId="47BBE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54BA6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8" w:type="pct"/>
            <w:noWrap w:val="0"/>
            <w:vAlign w:val="center"/>
          </w:tcPr>
          <w:p w14:paraId="0F8B5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垃圾箱</w:t>
            </w:r>
          </w:p>
        </w:tc>
        <w:tc>
          <w:tcPr>
            <w:tcW w:w="2864" w:type="dxa"/>
            <w:noWrap w:val="0"/>
            <w:vAlign w:val="center"/>
          </w:tcPr>
          <w:p w14:paraId="42EB6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20个</w:t>
            </w:r>
          </w:p>
        </w:tc>
        <w:tc>
          <w:tcPr>
            <w:tcW w:w="2207" w:type="pct"/>
            <w:noWrap w:val="0"/>
            <w:vAlign w:val="center"/>
          </w:tcPr>
          <w:p w14:paraId="118B2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7E6819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8" w:type="pct"/>
            <w:noWrap w:val="0"/>
            <w:vAlign w:val="center"/>
          </w:tcPr>
          <w:p w14:paraId="3EAAC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墓区</w:t>
            </w:r>
          </w:p>
        </w:tc>
        <w:tc>
          <w:tcPr>
            <w:tcW w:w="2864" w:type="dxa"/>
            <w:noWrap w:val="0"/>
            <w:vAlign w:val="center"/>
          </w:tcPr>
          <w:p w14:paraId="7B528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1000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650座</w:t>
            </w:r>
          </w:p>
        </w:tc>
        <w:tc>
          <w:tcPr>
            <w:tcW w:w="2207" w:type="pct"/>
            <w:noWrap w:val="0"/>
            <w:vAlign w:val="center"/>
          </w:tcPr>
          <w:p w14:paraId="7CC6C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</w:tr>
    </w:tbl>
    <w:p w14:paraId="0941C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7EB087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（三）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李超时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纪念馆物业管理（建筑物）</w:t>
      </w:r>
    </w:p>
    <w:p w14:paraId="6F4EA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36"/>
        <w:gridCol w:w="1708"/>
        <w:gridCol w:w="2808"/>
        <w:gridCol w:w="2462"/>
      </w:tblGrid>
      <w:tr w14:paraId="7418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830" w:type="pct"/>
            <w:gridSpan w:val="2"/>
            <w:noWrap w:val="0"/>
            <w:vAlign w:val="center"/>
          </w:tcPr>
          <w:p w14:paraId="0652D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688" w:type="pct"/>
            <w:noWrap w:val="0"/>
            <w:vAlign w:val="center"/>
          </w:tcPr>
          <w:p w14:paraId="77E0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明细</w:t>
            </w:r>
          </w:p>
        </w:tc>
        <w:tc>
          <w:tcPr>
            <w:tcW w:w="1480" w:type="pct"/>
            <w:noWrap w:val="0"/>
            <w:vAlign w:val="center"/>
          </w:tcPr>
          <w:p w14:paraId="39F21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服务内容及标准</w:t>
            </w:r>
          </w:p>
        </w:tc>
      </w:tr>
      <w:tr w14:paraId="7696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830" w:type="pct"/>
            <w:gridSpan w:val="2"/>
            <w:noWrap w:val="0"/>
            <w:vAlign w:val="center"/>
          </w:tcPr>
          <w:p w14:paraId="38594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建筑名称</w:t>
            </w:r>
          </w:p>
        </w:tc>
        <w:tc>
          <w:tcPr>
            <w:tcW w:w="1688" w:type="pct"/>
            <w:noWrap w:val="0"/>
            <w:vAlign w:val="center"/>
          </w:tcPr>
          <w:p w14:paraId="2EA13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李超时纪念馆、办公用房等</w:t>
            </w:r>
          </w:p>
        </w:tc>
        <w:tc>
          <w:tcPr>
            <w:tcW w:w="1480" w:type="pct"/>
            <w:noWrap w:val="0"/>
            <w:vAlign w:val="center"/>
          </w:tcPr>
          <w:p w14:paraId="7BE97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39E99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pct"/>
            <w:vMerge w:val="restart"/>
            <w:noWrap w:val="0"/>
            <w:vAlign w:val="center"/>
          </w:tcPr>
          <w:p w14:paraId="6A4C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总面积</w:t>
            </w:r>
          </w:p>
        </w:tc>
        <w:tc>
          <w:tcPr>
            <w:tcW w:w="1027" w:type="pct"/>
            <w:noWrap w:val="0"/>
            <w:vAlign w:val="center"/>
          </w:tcPr>
          <w:p w14:paraId="5F5C8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建筑面积（㎡）</w:t>
            </w:r>
          </w:p>
        </w:tc>
        <w:tc>
          <w:tcPr>
            <w:tcW w:w="2808" w:type="dxa"/>
            <w:noWrap w:val="0"/>
            <w:vAlign w:val="center"/>
          </w:tcPr>
          <w:p w14:paraId="420D9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56743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3104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03" w:type="pct"/>
            <w:vMerge w:val="continue"/>
            <w:noWrap w:val="0"/>
            <w:vAlign w:val="center"/>
          </w:tcPr>
          <w:p w14:paraId="6B99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0DA69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需保洁面积（㎡）</w:t>
            </w:r>
          </w:p>
        </w:tc>
        <w:tc>
          <w:tcPr>
            <w:tcW w:w="2808" w:type="dxa"/>
            <w:noWrap w:val="0"/>
            <w:vAlign w:val="center"/>
          </w:tcPr>
          <w:p w14:paraId="7EE42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5F7C5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3C8A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803" w:type="pct"/>
            <w:vMerge w:val="continue"/>
            <w:noWrap w:val="0"/>
            <w:vAlign w:val="center"/>
          </w:tcPr>
          <w:p w14:paraId="6BE1A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12824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会议室数量（个）</w:t>
            </w:r>
          </w:p>
          <w:p w14:paraId="7871A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808" w:type="dxa"/>
            <w:noWrap w:val="0"/>
            <w:vAlign w:val="center"/>
          </w:tcPr>
          <w:p w14:paraId="72825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会议室1个，总面积40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5D899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76EA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03" w:type="pct"/>
            <w:vMerge w:val="continue"/>
            <w:noWrap w:val="0"/>
            <w:vAlign w:val="center"/>
          </w:tcPr>
          <w:p w14:paraId="2DCA5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03E84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报告厅数量（个）</w:t>
            </w:r>
          </w:p>
          <w:p w14:paraId="21E97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808" w:type="dxa"/>
            <w:noWrap w:val="0"/>
            <w:vAlign w:val="center"/>
          </w:tcPr>
          <w:p w14:paraId="7A11F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报告厅1个，总面积60㎡</w:t>
            </w:r>
          </w:p>
        </w:tc>
        <w:tc>
          <w:tcPr>
            <w:tcW w:w="1480" w:type="pct"/>
            <w:noWrap w:val="0"/>
            <w:vAlign w:val="center"/>
          </w:tcPr>
          <w:p w14:paraId="25EF7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1A94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03" w:type="pct"/>
            <w:noWrap w:val="0"/>
            <w:vAlign w:val="center"/>
          </w:tcPr>
          <w:p w14:paraId="0FC09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卫生间</w:t>
            </w:r>
          </w:p>
        </w:tc>
        <w:tc>
          <w:tcPr>
            <w:tcW w:w="1027" w:type="pct"/>
            <w:noWrap w:val="0"/>
            <w:vAlign w:val="center"/>
          </w:tcPr>
          <w:p w14:paraId="20ED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卫生间数量（个）</w:t>
            </w:r>
          </w:p>
          <w:p w14:paraId="63564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808" w:type="dxa"/>
            <w:noWrap w:val="0"/>
            <w:vAlign w:val="center"/>
          </w:tcPr>
          <w:p w14:paraId="0FE1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卫生间3个，总面积45㎡</w:t>
            </w:r>
          </w:p>
        </w:tc>
        <w:tc>
          <w:tcPr>
            <w:tcW w:w="1480" w:type="pct"/>
            <w:noWrap w:val="0"/>
            <w:vAlign w:val="center"/>
          </w:tcPr>
          <w:p w14:paraId="56C73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344E8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399BD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消防箱</w:t>
            </w:r>
          </w:p>
        </w:tc>
        <w:tc>
          <w:tcPr>
            <w:tcW w:w="1027" w:type="pct"/>
            <w:noWrap w:val="0"/>
            <w:vAlign w:val="center"/>
          </w:tcPr>
          <w:p w14:paraId="1F3A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消防箱数量（个）</w:t>
            </w:r>
          </w:p>
        </w:tc>
        <w:tc>
          <w:tcPr>
            <w:tcW w:w="2808" w:type="dxa"/>
            <w:noWrap w:val="0"/>
            <w:vAlign w:val="center"/>
          </w:tcPr>
          <w:p w14:paraId="10E63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18个</w:t>
            </w:r>
          </w:p>
        </w:tc>
        <w:tc>
          <w:tcPr>
            <w:tcW w:w="1480" w:type="pct"/>
            <w:noWrap w:val="0"/>
            <w:vAlign w:val="center"/>
          </w:tcPr>
          <w:p w14:paraId="39F23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0F3D1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5A6C6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人行口</w:t>
            </w:r>
          </w:p>
        </w:tc>
        <w:tc>
          <w:tcPr>
            <w:tcW w:w="1027" w:type="pct"/>
            <w:noWrap w:val="0"/>
            <w:vAlign w:val="center"/>
          </w:tcPr>
          <w:p w14:paraId="16E2C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人行口</w:t>
            </w:r>
          </w:p>
        </w:tc>
        <w:tc>
          <w:tcPr>
            <w:tcW w:w="2808" w:type="dxa"/>
            <w:noWrap w:val="0"/>
            <w:vAlign w:val="center"/>
          </w:tcPr>
          <w:p w14:paraId="208D8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1480" w:type="pct"/>
            <w:noWrap w:val="0"/>
            <w:vAlign w:val="center"/>
          </w:tcPr>
          <w:p w14:paraId="58697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</w:tbl>
    <w:p w14:paraId="7217B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160BDF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（四）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李超时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纪念馆物业管理（室外）</w:t>
      </w:r>
    </w:p>
    <w:p w14:paraId="618A8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4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5"/>
        <w:gridCol w:w="2861"/>
        <w:gridCol w:w="3534"/>
      </w:tblGrid>
      <w:tr w14:paraId="5BC25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61EC3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721" w:type="pct"/>
            <w:noWrap w:val="0"/>
            <w:vAlign w:val="center"/>
          </w:tcPr>
          <w:p w14:paraId="2D2CC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明细</w:t>
            </w:r>
          </w:p>
        </w:tc>
        <w:tc>
          <w:tcPr>
            <w:tcW w:w="2126" w:type="pct"/>
            <w:noWrap w:val="0"/>
            <w:vAlign w:val="center"/>
          </w:tcPr>
          <w:p w14:paraId="5BB78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服务内容及标准</w:t>
            </w:r>
          </w:p>
        </w:tc>
      </w:tr>
      <w:tr w14:paraId="09009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152" w:type="pct"/>
            <w:noWrap w:val="0"/>
            <w:vAlign w:val="center"/>
          </w:tcPr>
          <w:p w14:paraId="3BAA4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室外面积</w:t>
            </w:r>
          </w:p>
        </w:tc>
        <w:tc>
          <w:tcPr>
            <w:tcW w:w="2861" w:type="dxa"/>
            <w:noWrap w:val="0"/>
            <w:vAlign w:val="center"/>
          </w:tcPr>
          <w:p w14:paraId="6E600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13320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28FAA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16207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152" w:type="pct"/>
            <w:noWrap w:val="0"/>
            <w:vAlign w:val="center"/>
          </w:tcPr>
          <w:p w14:paraId="7AA27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绿化</w:t>
            </w:r>
          </w:p>
        </w:tc>
        <w:tc>
          <w:tcPr>
            <w:tcW w:w="2861" w:type="dxa"/>
            <w:noWrap w:val="0"/>
            <w:vAlign w:val="center"/>
          </w:tcPr>
          <w:p w14:paraId="6C091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8000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7FDAE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99F7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152" w:type="pct"/>
            <w:noWrap w:val="0"/>
            <w:vAlign w:val="center"/>
          </w:tcPr>
          <w:p w14:paraId="13C71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广场</w:t>
            </w:r>
          </w:p>
        </w:tc>
        <w:tc>
          <w:tcPr>
            <w:tcW w:w="2861" w:type="dxa"/>
            <w:noWrap w:val="0"/>
            <w:vAlign w:val="center"/>
          </w:tcPr>
          <w:p w14:paraId="7DC03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6C05B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22280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152" w:type="pct"/>
            <w:noWrap w:val="0"/>
            <w:vAlign w:val="center"/>
          </w:tcPr>
          <w:p w14:paraId="48347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消防栓</w:t>
            </w:r>
          </w:p>
        </w:tc>
        <w:tc>
          <w:tcPr>
            <w:tcW w:w="2861" w:type="dxa"/>
            <w:noWrap w:val="0"/>
            <w:vAlign w:val="center"/>
          </w:tcPr>
          <w:p w14:paraId="1F375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4个</w:t>
            </w:r>
          </w:p>
        </w:tc>
        <w:tc>
          <w:tcPr>
            <w:tcW w:w="2126" w:type="pct"/>
            <w:noWrap w:val="0"/>
            <w:vAlign w:val="center"/>
          </w:tcPr>
          <w:p w14:paraId="20853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616637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59580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垃圾箱</w:t>
            </w:r>
          </w:p>
        </w:tc>
        <w:tc>
          <w:tcPr>
            <w:tcW w:w="2861" w:type="dxa"/>
            <w:noWrap w:val="0"/>
            <w:vAlign w:val="center"/>
          </w:tcPr>
          <w:p w14:paraId="3FD4E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5个</w:t>
            </w:r>
          </w:p>
        </w:tc>
        <w:tc>
          <w:tcPr>
            <w:tcW w:w="2126" w:type="pct"/>
            <w:noWrap w:val="0"/>
            <w:vAlign w:val="center"/>
          </w:tcPr>
          <w:p w14:paraId="65BAC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095EE1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42F2C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烈士墓</w:t>
            </w:r>
          </w:p>
        </w:tc>
        <w:tc>
          <w:tcPr>
            <w:tcW w:w="2861" w:type="dxa"/>
            <w:noWrap w:val="0"/>
            <w:vAlign w:val="center"/>
          </w:tcPr>
          <w:p w14:paraId="537E2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60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1座</w:t>
            </w:r>
          </w:p>
        </w:tc>
        <w:tc>
          <w:tcPr>
            <w:tcW w:w="2126" w:type="pct"/>
            <w:noWrap w:val="0"/>
            <w:vAlign w:val="center"/>
          </w:tcPr>
          <w:p w14:paraId="02F4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</w:tr>
    </w:tbl>
    <w:p w14:paraId="4DC97B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</w:p>
    <w:p w14:paraId="10C3E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五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）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石山烈士陵园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物业管理（建筑物）</w:t>
      </w:r>
    </w:p>
    <w:p w14:paraId="1F79B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4"/>
        <w:tblW w:w="50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1710"/>
        <w:gridCol w:w="2811"/>
        <w:gridCol w:w="2465"/>
      </w:tblGrid>
      <w:tr w14:paraId="75121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830" w:type="pct"/>
            <w:gridSpan w:val="2"/>
            <w:noWrap w:val="0"/>
            <w:vAlign w:val="center"/>
          </w:tcPr>
          <w:p w14:paraId="7A335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688" w:type="pct"/>
            <w:noWrap w:val="0"/>
            <w:vAlign w:val="center"/>
          </w:tcPr>
          <w:p w14:paraId="6DBDE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明细</w:t>
            </w:r>
          </w:p>
        </w:tc>
        <w:tc>
          <w:tcPr>
            <w:tcW w:w="1480" w:type="pct"/>
            <w:noWrap w:val="0"/>
            <w:vAlign w:val="center"/>
          </w:tcPr>
          <w:p w14:paraId="04B7D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服务内容及标准</w:t>
            </w:r>
          </w:p>
        </w:tc>
      </w:tr>
      <w:tr w14:paraId="6E46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830" w:type="pct"/>
            <w:gridSpan w:val="2"/>
            <w:noWrap w:val="0"/>
            <w:vAlign w:val="center"/>
          </w:tcPr>
          <w:p w14:paraId="5FB6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建筑名称</w:t>
            </w:r>
          </w:p>
        </w:tc>
        <w:tc>
          <w:tcPr>
            <w:tcW w:w="1688" w:type="pct"/>
            <w:noWrap w:val="0"/>
            <w:vAlign w:val="center"/>
          </w:tcPr>
          <w:p w14:paraId="71B4C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办公用房、卫生间等</w:t>
            </w:r>
          </w:p>
        </w:tc>
        <w:tc>
          <w:tcPr>
            <w:tcW w:w="1480" w:type="pct"/>
            <w:noWrap w:val="0"/>
            <w:vAlign w:val="center"/>
          </w:tcPr>
          <w:p w14:paraId="0008E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66EC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pct"/>
            <w:vMerge w:val="restart"/>
            <w:noWrap w:val="0"/>
            <w:vAlign w:val="center"/>
          </w:tcPr>
          <w:p w14:paraId="1DB74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总面积</w:t>
            </w:r>
          </w:p>
        </w:tc>
        <w:tc>
          <w:tcPr>
            <w:tcW w:w="1027" w:type="pct"/>
            <w:noWrap w:val="0"/>
            <w:vAlign w:val="center"/>
          </w:tcPr>
          <w:p w14:paraId="6A9A7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建筑面积（㎡）</w:t>
            </w:r>
          </w:p>
        </w:tc>
        <w:tc>
          <w:tcPr>
            <w:tcW w:w="2811" w:type="dxa"/>
            <w:noWrap w:val="0"/>
            <w:vAlign w:val="center"/>
          </w:tcPr>
          <w:p w14:paraId="2B965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3B8C4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F4B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03" w:type="pct"/>
            <w:vMerge w:val="continue"/>
            <w:noWrap w:val="0"/>
            <w:vAlign w:val="center"/>
          </w:tcPr>
          <w:p w14:paraId="3C7FC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7BEEA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需保洁面积（㎡）</w:t>
            </w:r>
          </w:p>
        </w:tc>
        <w:tc>
          <w:tcPr>
            <w:tcW w:w="2811" w:type="dxa"/>
            <w:noWrap w:val="0"/>
            <w:vAlign w:val="center"/>
          </w:tcPr>
          <w:p w14:paraId="35787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1480" w:type="pct"/>
            <w:noWrap w:val="0"/>
            <w:vAlign w:val="center"/>
          </w:tcPr>
          <w:p w14:paraId="19849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7BED9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03" w:type="pct"/>
            <w:noWrap w:val="0"/>
            <w:vAlign w:val="center"/>
          </w:tcPr>
          <w:p w14:paraId="00595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卫生间</w:t>
            </w:r>
          </w:p>
        </w:tc>
        <w:tc>
          <w:tcPr>
            <w:tcW w:w="1027" w:type="pct"/>
            <w:noWrap w:val="0"/>
            <w:vAlign w:val="center"/>
          </w:tcPr>
          <w:p w14:paraId="7FD78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卫生间数量（个）</w:t>
            </w:r>
          </w:p>
          <w:p w14:paraId="19460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及总面积（㎡）</w:t>
            </w:r>
          </w:p>
        </w:tc>
        <w:tc>
          <w:tcPr>
            <w:tcW w:w="2811" w:type="dxa"/>
            <w:noWrap w:val="0"/>
            <w:vAlign w:val="center"/>
          </w:tcPr>
          <w:p w14:paraId="6C0EC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卫生间1个，总面积45㎡</w:t>
            </w:r>
          </w:p>
        </w:tc>
        <w:tc>
          <w:tcPr>
            <w:tcW w:w="1480" w:type="pct"/>
            <w:noWrap w:val="0"/>
            <w:vAlign w:val="center"/>
          </w:tcPr>
          <w:p w14:paraId="216D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01A6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7A365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消防箱</w:t>
            </w:r>
          </w:p>
        </w:tc>
        <w:tc>
          <w:tcPr>
            <w:tcW w:w="1027" w:type="pct"/>
            <w:noWrap w:val="0"/>
            <w:vAlign w:val="center"/>
          </w:tcPr>
          <w:p w14:paraId="53D3F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消防箱数量（个）</w:t>
            </w:r>
          </w:p>
        </w:tc>
        <w:tc>
          <w:tcPr>
            <w:tcW w:w="2811" w:type="dxa"/>
            <w:noWrap w:val="0"/>
            <w:vAlign w:val="center"/>
          </w:tcPr>
          <w:p w14:paraId="2F7F7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18个</w:t>
            </w:r>
          </w:p>
        </w:tc>
        <w:tc>
          <w:tcPr>
            <w:tcW w:w="1480" w:type="pct"/>
            <w:noWrap w:val="0"/>
            <w:vAlign w:val="center"/>
          </w:tcPr>
          <w:p w14:paraId="781C3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E4BE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pct"/>
            <w:noWrap w:val="0"/>
            <w:vAlign w:val="center"/>
          </w:tcPr>
          <w:p w14:paraId="58EFE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人行口</w:t>
            </w:r>
          </w:p>
        </w:tc>
        <w:tc>
          <w:tcPr>
            <w:tcW w:w="1027" w:type="pct"/>
            <w:noWrap w:val="0"/>
            <w:vAlign w:val="center"/>
          </w:tcPr>
          <w:p w14:paraId="4750C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人行口</w:t>
            </w:r>
          </w:p>
        </w:tc>
        <w:tc>
          <w:tcPr>
            <w:tcW w:w="2811" w:type="dxa"/>
            <w:noWrap w:val="0"/>
            <w:vAlign w:val="center"/>
          </w:tcPr>
          <w:p w14:paraId="2F4F1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1480" w:type="pct"/>
            <w:noWrap w:val="0"/>
            <w:vAlign w:val="center"/>
          </w:tcPr>
          <w:p w14:paraId="131A8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</w:tbl>
    <w:p w14:paraId="18287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16B60A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（四）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石山烈士陵园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物业管理（室外）</w:t>
      </w:r>
    </w:p>
    <w:p w14:paraId="4E078D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4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5"/>
        <w:gridCol w:w="2861"/>
        <w:gridCol w:w="3534"/>
      </w:tblGrid>
      <w:tr w14:paraId="717F22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77D15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721" w:type="pct"/>
            <w:noWrap w:val="0"/>
            <w:vAlign w:val="center"/>
          </w:tcPr>
          <w:p w14:paraId="530B3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明细</w:t>
            </w:r>
          </w:p>
        </w:tc>
        <w:tc>
          <w:tcPr>
            <w:tcW w:w="2126" w:type="pct"/>
            <w:noWrap w:val="0"/>
            <w:vAlign w:val="center"/>
          </w:tcPr>
          <w:p w14:paraId="6FCA8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服务内容及标准</w:t>
            </w:r>
          </w:p>
        </w:tc>
      </w:tr>
      <w:tr w14:paraId="15D23F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152" w:type="pct"/>
            <w:noWrap w:val="0"/>
            <w:vAlign w:val="center"/>
          </w:tcPr>
          <w:p w14:paraId="01CCC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室外面积</w:t>
            </w:r>
          </w:p>
        </w:tc>
        <w:tc>
          <w:tcPr>
            <w:tcW w:w="2861" w:type="dxa"/>
            <w:noWrap w:val="0"/>
            <w:vAlign w:val="center"/>
          </w:tcPr>
          <w:p w14:paraId="08696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17316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44688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2E421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152" w:type="pct"/>
            <w:noWrap w:val="0"/>
            <w:vAlign w:val="center"/>
          </w:tcPr>
          <w:p w14:paraId="37F64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绿化</w:t>
            </w:r>
          </w:p>
        </w:tc>
        <w:tc>
          <w:tcPr>
            <w:tcW w:w="2861" w:type="dxa"/>
            <w:noWrap w:val="0"/>
            <w:vAlign w:val="center"/>
          </w:tcPr>
          <w:p w14:paraId="6FD20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12121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5CB82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47E31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152" w:type="pct"/>
            <w:noWrap w:val="0"/>
            <w:vAlign w:val="center"/>
          </w:tcPr>
          <w:p w14:paraId="66863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广场</w:t>
            </w:r>
          </w:p>
        </w:tc>
        <w:tc>
          <w:tcPr>
            <w:tcW w:w="2861" w:type="dxa"/>
            <w:noWrap w:val="0"/>
            <w:vAlign w:val="center"/>
          </w:tcPr>
          <w:p w14:paraId="7558B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2000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</w:p>
        </w:tc>
        <w:tc>
          <w:tcPr>
            <w:tcW w:w="2126" w:type="pct"/>
            <w:noWrap w:val="0"/>
            <w:vAlign w:val="center"/>
          </w:tcPr>
          <w:p w14:paraId="6DDC6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26EC7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152" w:type="pct"/>
            <w:noWrap w:val="0"/>
            <w:vAlign w:val="center"/>
          </w:tcPr>
          <w:p w14:paraId="29A72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消防栓</w:t>
            </w:r>
          </w:p>
        </w:tc>
        <w:tc>
          <w:tcPr>
            <w:tcW w:w="2861" w:type="dxa"/>
            <w:noWrap w:val="0"/>
            <w:vAlign w:val="center"/>
          </w:tcPr>
          <w:p w14:paraId="01F09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4个</w:t>
            </w:r>
          </w:p>
        </w:tc>
        <w:tc>
          <w:tcPr>
            <w:tcW w:w="2126" w:type="pct"/>
            <w:noWrap w:val="0"/>
            <w:vAlign w:val="center"/>
          </w:tcPr>
          <w:p w14:paraId="3380D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66485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1B65F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垃圾箱</w:t>
            </w:r>
          </w:p>
        </w:tc>
        <w:tc>
          <w:tcPr>
            <w:tcW w:w="2861" w:type="dxa"/>
            <w:noWrap w:val="0"/>
            <w:vAlign w:val="center"/>
          </w:tcPr>
          <w:p w14:paraId="0157E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5个</w:t>
            </w:r>
          </w:p>
        </w:tc>
        <w:tc>
          <w:tcPr>
            <w:tcW w:w="2126" w:type="pct"/>
            <w:noWrap w:val="0"/>
            <w:vAlign w:val="center"/>
          </w:tcPr>
          <w:p w14:paraId="42A66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见“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保洁服务、保安服务</w:t>
            </w:r>
            <w:r>
              <w:rPr>
                <w:rFonts w:hint="eastAsia"/>
                <w:color w:val="auto"/>
                <w:sz w:val="22"/>
                <w:szCs w:val="22"/>
              </w:rPr>
              <w:t>”</w:t>
            </w:r>
          </w:p>
        </w:tc>
      </w:tr>
      <w:tr w14:paraId="6B828F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52" w:type="pct"/>
            <w:noWrap w:val="0"/>
            <w:vAlign w:val="center"/>
          </w:tcPr>
          <w:p w14:paraId="466B2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烈士墓</w:t>
            </w:r>
          </w:p>
        </w:tc>
        <w:tc>
          <w:tcPr>
            <w:tcW w:w="2861" w:type="dxa"/>
            <w:noWrap w:val="0"/>
            <w:vAlign w:val="center"/>
          </w:tcPr>
          <w:p w14:paraId="33478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2000</w:t>
            </w:r>
            <w:r>
              <w:rPr>
                <w:rFonts w:hint="eastAsia"/>
                <w:color w:val="auto"/>
                <w:sz w:val="22"/>
                <w:szCs w:val="22"/>
              </w:rPr>
              <w:t>㎡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550座</w:t>
            </w:r>
          </w:p>
        </w:tc>
        <w:tc>
          <w:tcPr>
            <w:tcW w:w="2126" w:type="pct"/>
            <w:noWrap w:val="0"/>
            <w:vAlign w:val="center"/>
          </w:tcPr>
          <w:p w14:paraId="28AC9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</w:tr>
    </w:tbl>
    <w:p w14:paraId="3C3C1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p w14:paraId="65A59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  <w:t>四、物业管理服务内容及标准</w:t>
      </w:r>
    </w:p>
    <w:p w14:paraId="512F5E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（一）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物业管理服务包括基本服务、保洁服务、安保服务、公用设施设备维护服务、公共设施节水、节电、节能管理、处理突发事件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、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物业移交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等。</w:t>
      </w:r>
    </w:p>
    <w:p w14:paraId="788BA9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1.基本服务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。</w:t>
      </w:r>
    </w:p>
    <w:p w14:paraId="522D72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1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58"/>
        <w:gridCol w:w="6095"/>
      </w:tblGrid>
      <w:tr w14:paraId="18AD3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Align w:val="center"/>
          </w:tcPr>
          <w:p w14:paraId="6B1CC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序号</w:t>
            </w:r>
          </w:p>
        </w:tc>
        <w:tc>
          <w:tcPr>
            <w:tcW w:w="738" w:type="pct"/>
            <w:vAlign w:val="center"/>
          </w:tcPr>
          <w:p w14:paraId="3BB10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服务内容</w:t>
            </w:r>
          </w:p>
        </w:tc>
        <w:tc>
          <w:tcPr>
            <w:tcW w:w="3576" w:type="pct"/>
            <w:vAlign w:val="center"/>
          </w:tcPr>
          <w:p w14:paraId="3DEC5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服务标准</w:t>
            </w:r>
          </w:p>
        </w:tc>
      </w:tr>
      <w:tr w14:paraId="31E53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Align w:val="center"/>
          </w:tcPr>
          <w:p w14:paraId="616E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738" w:type="pct"/>
            <w:vAlign w:val="center"/>
          </w:tcPr>
          <w:p w14:paraId="3AAD3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目标与责任</w:t>
            </w:r>
          </w:p>
        </w:tc>
        <w:tc>
          <w:tcPr>
            <w:tcW w:w="3576" w:type="pct"/>
            <w:vAlign w:val="center"/>
          </w:tcPr>
          <w:p w14:paraId="5DACD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（1）结合采购人要求及物业服务实际情况，制定年度管理目标，明确责任分工，并制定配套实施方案。</w:t>
            </w:r>
          </w:p>
        </w:tc>
      </w:tr>
      <w:tr w14:paraId="58D3B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3B190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738" w:type="pct"/>
            <w:vMerge w:val="restart"/>
            <w:vAlign w:val="center"/>
          </w:tcPr>
          <w:p w14:paraId="7A0E0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服务人员</w:t>
            </w:r>
          </w:p>
          <w:p w14:paraId="482E2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要求</w:t>
            </w:r>
          </w:p>
        </w:tc>
        <w:tc>
          <w:tcPr>
            <w:tcW w:w="3576" w:type="pct"/>
            <w:vAlign w:val="center"/>
          </w:tcPr>
          <w:p w14:paraId="134EF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（1）每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半年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至少开展 1 次岗位技能、职业素质、服务知识、客户文化、绿色节能环保等教育培训，并进行适当形式的考核。</w:t>
            </w:r>
          </w:p>
        </w:tc>
      </w:tr>
      <w:tr w14:paraId="119B4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67C82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09BE2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30DE0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（2）根据采购人要求对服务人员进行从业资格审查，审查结果向采购人报备。</w:t>
            </w:r>
          </w:p>
        </w:tc>
      </w:tr>
      <w:tr w14:paraId="26C61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34DA3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6042A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291FD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服务人员的年龄、学历、工作经验及资格条件应当与所在岗位能力要求相匹配，到岗前应当经过必要的岗前培训以达到岗位能力要求，国家、行业规定应当取得职业资格证书或特种作业证书的，应当按规定持证上岗。</w:t>
            </w:r>
          </w:p>
        </w:tc>
      </w:tr>
      <w:tr w14:paraId="1CAAA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77355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34DF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54EE4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（4）如采购人认为服务人员不适应岗位要求或存在其他影响工作的，可要求供应商进行调换。如因供应商原因对服务人员进行调换，应当经采购人同意，更换比例不得超过本项目服务人员总数的 20%。本项目服务人员不得在其他项目兼职。</w:t>
            </w:r>
          </w:p>
        </w:tc>
      </w:tr>
      <w:tr w14:paraId="31EAC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3D33D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C16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489B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（5）着装分类统一，佩戴标识。仪容整洁、姿态端正、举止文明。用语文明礼貌，态度温和耐心。</w:t>
            </w:r>
          </w:p>
        </w:tc>
      </w:tr>
      <w:tr w14:paraId="3DBBC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6D3EA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738" w:type="pct"/>
            <w:vMerge w:val="restart"/>
            <w:vAlign w:val="center"/>
          </w:tcPr>
          <w:p w14:paraId="7A73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档案管理</w:t>
            </w:r>
          </w:p>
        </w:tc>
        <w:tc>
          <w:tcPr>
            <w:tcW w:w="3576" w:type="pct"/>
            <w:vAlign w:val="center"/>
          </w:tcPr>
          <w:p w14:paraId="01D50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（1）建立物业信息，准确、及时地对文件资料和服务记录进行归档保存，并确保其物理安全。</w:t>
            </w:r>
          </w:p>
        </w:tc>
      </w:tr>
      <w:tr w14:paraId="4125D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55C61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15E6F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12DB1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（2）档案和记录齐全，包括但不限于：①采购人建议与投诉等。教育培训和考核记录。保密、思想 政治教育培训记录。②保洁服务：工作日志、清洁检查表、用品清单、客户反馈表等。 ③保安服务：监控记录、突发事件演习与处置记录等。④公用设施设备维护服务：设备台账、设备卡、使用说明、维保记录、巡查记录、设施设备安全运行、设施设备定期巡检、维护保养、维修档案等。</w:t>
            </w:r>
          </w:p>
        </w:tc>
      </w:tr>
      <w:tr w14:paraId="6520F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0D960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F969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6F3A7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（3）遵守采购人的信息、档案资料保密要求，未经许可，不得将建筑物平面图等资料转作其他用途或向其他单位、个人提供。</w:t>
            </w:r>
          </w:p>
        </w:tc>
      </w:tr>
      <w:tr w14:paraId="31150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734FD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0620D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222FF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（4）履约结束后，相关资料交还采购人，采购人按政府采购相关规定存档。</w:t>
            </w:r>
          </w:p>
        </w:tc>
      </w:tr>
      <w:tr w14:paraId="5113C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1428F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738" w:type="pct"/>
            <w:vMerge w:val="restart"/>
            <w:vAlign w:val="center"/>
          </w:tcPr>
          <w:p w14:paraId="652C4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服务改进</w:t>
            </w:r>
          </w:p>
        </w:tc>
        <w:tc>
          <w:tcPr>
            <w:tcW w:w="3576" w:type="pct"/>
            <w:vAlign w:val="center"/>
          </w:tcPr>
          <w:p w14:paraId="66E09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（1）明确负责人，定期对物业服务过程进行自查，结合反馈意见与评价结果采取改进措施，持续提升管理与服务水平。</w:t>
            </w:r>
          </w:p>
        </w:tc>
      </w:tr>
      <w:tr w14:paraId="29A88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44B19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0EF92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76B7D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（2）对不合格服务进行控制，对不合格服务的原因进行识别和分析，及时采取纠正措施，消除不合格的原因，防止不合格再发生。</w:t>
            </w:r>
          </w:p>
        </w:tc>
      </w:tr>
      <w:tr w14:paraId="5D152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418B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7CFED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537B2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（3）需整改问题及时整改完成。</w:t>
            </w:r>
          </w:p>
        </w:tc>
      </w:tr>
      <w:tr w14:paraId="62111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restart"/>
            <w:vAlign w:val="center"/>
          </w:tcPr>
          <w:p w14:paraId="36A16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738" w:type="pct"/>
            <w:vMerge w:val="restart"/>
            <w:vAlign w:val="center"/>
          </w:tcPr>
          <w:p w14:paraId="6F1FE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服务方案及工作制度</w:t>
            </w:r>
          </w:p>
        </w:tc>
        <w:tc>
          <w:tcPr>
            <w:tcW w:w="3576" w:type="pct"/>
            <w:vAlign w:val="center"/>
          </w:tcPr>
          <w:p w14:paraId="4334E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（1）制定工作制度，主要包括：人员录用制度、档案管理制度、物业服务管理制度、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安保服务管理制度、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公用设施设备相关管理制度等。</w:t>
            </w:r>
          </w:p>
        </w:tc>
      </w:tr>
      <w:tr w14:paraId="3BAC5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5AD65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6DD00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35742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（2）制定项目实施方案，主要包括：交接方案、人员培训方案、人员稳定性方案、保密方案等。</w:t>
            </w:r>
          </w:p>
        </w:tc>
      </w:tr>
      <w:tr w14:paraId="718DB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pct"/>
            <w:vMerge w:val="continue"/>
            <w:vAlign w:val="center"/>
          </w:tcPr>
          <w:p w14:paraId="081CA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38" w:type="pct"/>
            <w:vMerge w:val="continue"/>
            <w:vAlign w:val="center"/>
          </w:tcPr>
          <w:p w14:paraId="45145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76" w:type="pct"/>
            <w:vAlign w:val="center"/>
          </w:tcPr>
          <w:p w14:paraId="3D931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 xml:space="preserve">（3）制定物业服务方案 </w:t>
            </w:r>
          </w:p>
        </w:tc>
      </w:tr>
    </w:tbl>
    <w:p w14:paraId="6D66F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51BC26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2.保洁服务</w:t>
      </w:r>
    </w:p>
    <w:p w14:paraId="2DB0E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1"/>
        <w:tblW w:w="49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348"/>
        <w:gridCol w:w="5995"/>
      </w:tblGrid>
      <w:tr w14:paraId="13C66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Align w:val="center"/>
          </w:tcPr>
          <w:p w14:paraId="4FB1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序号</w:t>
            </w:r>
          </w:p>
        </w:tc>
        <w:tc>
          <w:tcPr>
            <w:tcW w:w="791" w:type="pct"/>
            <w:vAlign w:val="center"/>
          </w:tcPr>
          <w:p w14:paraId="3D4D3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服务内容</w:t>
            </w:r>
          </w:p>
        </w:tc>
        <w:tc>
          <w:tcPr>
            <w:tcW w:w="3518" w:type="pct"/>
            <w:vAlign w:val="center"/>
          </w:tcPr>
          <w:p w14:paraId="1E804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服务标准</w:t>
            </w:r>
          </w:p>
        </w:tc>
      </w:tr>
      <w:tr w14:paraId="5AC77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72455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1</w:t>
            </w:r>
          </w:p>
        </w:tc>
        <w:tc>
          <w:tcPr>
            <w:tcW w:w="791" w:type="pct"/>
            <w:vMerge w:val="restart"/>
            <w:vAlign w:val="center"/>
          </w:tcPr>
          <w:p w14:paraId="24B5F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基本要求</w:t>
            </w:r>
          </w:p>
        </w:tc>
        <w:tc>
          <w:tcPr>
            <w:tcW w:w="3518" w:type="pct"/>
            <w:vAlign w:val="center"/>
          </w:tcPr>
          <w:p w14:paraId="02FB3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（1）建立保洁服务的工作制度及工作计划，并按照执行。</w:t>
            </w:r>
          </w:p>
        </w:tc>
      </w:tr>
      <w:tr w14:paraId="527E4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2A69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1B4FD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7317B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（2）做好保洁服务工作记录，记录填写规范、保存完好。</w:t>
            </w:r>
          </w:p>
        </w:tc>
      </w:tr>
      <w:tr w14:paraId="1CA46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11643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4EC05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4AE8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（3）作业时采取安全防护措施，防止对作业人员或他人造成伤害。相关耗材的环保、安全性等应当符合国家相关规定要求。</w:t>
            </w:r>
          </w:p>
        </w:tc>
      </w:tr>
      <w:tr w14:paraId="12F76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16C91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6104F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3518" w:type="pct"/>
            <w:vAlign w:val="center"/>
          </w:tcPr>
          <w:p w14:paraId="1BA6A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）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保洁服务时间为</w:t>
            </w:r>
            <w:r>
              <w:rPr>
                <w:rFonts w:hint="eastAsia"/>
                <w:color w:val="auto"/>
                <w:sz w:val="22"/>
                <w:szCs w:val="22"/>
              </w:rPr>
              <w:t>上午7：00-下午17：00。具体保洁工作、保洁程序及休息时间须不影响工作人员正常生活、工作。</w:t>
            </w:r>
          </w:p>
        </w:tc>
      </w:tr>
      <w:tr w14:paraId="06E83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7B2F2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2</w:t>
            </w:r>
          </w:p>
        </w:tc>
        <w:tc>
          <w:tcPr>
            <w:tcW w:w="791" w:type="pct"/>
            <w:vMerge w:val="restart"/>
            <w:vAlign w:val="center"/>
          </w:tcPr>
          <w:p w14:paraId="51C1C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纪念馆及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办公用房区域保洁</w:t>
            </w:r>
          </w:p>
        </w:tc>
        <w:tc>
          <w:tcPr>
            <w:tcW w:w="3518" w:type="pct"/>
            <w:vAlign w:val="center"/>
          </w:tcPr>
          <w:p w14:paraId="7E4EA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（1）办公区域：</w:t>
            </w:r>
          </w:p>
          <w:p w14:paraId="704DA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</w:rPr>
              <w:t>①</w:t>
            </w:r>
            <w:r>
              <w:rPr>
                <w:rFonts w:hint="eastAsia"/>
                <w:color w:val="auto"/>
                <w:sz w:val="22"/>
                <w:szCs w:val="22"/>
              </w:rPr>
              <w:t>灯开关、插座：无污渍、无尘渍。</w:t>
            </w:r>
          </w:p>
          <w:p w14:paraId="7E35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②纸篓：垃圾及时清理。</w:t>
            </w:r>
          </w:p>
          <w:p w14:paraId="25355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③地面、墙面、屋面及其附着物无灰尘、无污迹、无杂物、无水迹、无蜘蛛网、表面洁净；</w:t>
            </w:r>
          </w:p>
          <w:p w14:paraId="5A20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④家具（桌、椅、凳，橱、柜等）、电器、装饰物及设施无灰尘、无污迹、无水迹、无蜘蛛网、表面洁净干燥；</w:t>
            </w:r>
          </w:p>
        </w:tc>
      </w:tr>
      <w:tr w14:paraId="70867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7F8E6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A657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33C17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（2）</w:t>
            </w:r>
            <w:r>
              <w:rPr>
                <w:rFonts w:hint="eastAsia"/>
                <w:color w:val="auto"/>
                <w:sz w:val="22"/>
                <w:szCs w:val="22"/>
              </w:rPr>
              <w:t>楼道与楼层走廊：</w:t>
            </w:r>
          </w:p>
          <w:p w14:paraId="4BB27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</w:rPr>
              <w:t>①</w:t>
            </w:r>
            <w:r>
              <w:rPr>
                <w:rFonts w:hint="eastAsia"/>
                <w:color w:val="auto"/>
                <w:sz w:val="22"/>
                <w:szCs w:val="22"/>
              </w:rPr>
              <w:t>台阶、地面无污渍、污迹、脚印、垃圾、灰尘；</w:t>
            </w:r>
          </w:p>
          <w:p w14:paraId="437E5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</w:rPr>
              <w:t>②</w:t>
            </w:r>
            <w:r>
              <w:rPr>
                <w:rFonts w:hint="eastAsia"/>
                <w:color w:val="auto"/>
                <w:sz w:val="22"/>
                <w:szCs w:val="22"/>
              </w:rPr>
              <w:t>扶手、栏杆无灰尘、无污渍、光滑、洁亮；</w:t>
            </w:r>
          </w:p>
          <w:p w14:paraId="2C8F8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</w:rPr>
              <w:t>③</w:t>
            </w:r>
            <w:r>
              <w:rPr>
                <w:rFonts w:hint="eastAsia"/>
                <w:color w:val="auto"/>
                <w:sz w:val="22"/>
                <w:szCs w:val="22"/>
              </w:rPr>
              <w:t>墙面（玻璃墙面）、屋面、门窗无灰尘、无污渍、无指印、无蜘蛛网；</w:t>
            </w:r>
          </w:p>
          <w:p w14:paraId="3CF64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④开关、灯具及罩内无灰尘、无污迹、无虫尸、无蜘蛛网。</w:t>
            </w:r>
          </w:p>
        </w:tc>
      </w:tr>
      <w:tr w14:paraId="0A31A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2F039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3C0C4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151F1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（3）</w:t>
            </w:r>
            <w:r>
              <w:rPr>
                <w:rFonts w:hint="eastAsia"/>
                <w:color w:val="auto"/>
                <w:sz w:val="22"/>
                <w:szCs w:val="22"/>
              </w:rPr>
              <w:t>机房：</w:t>
            </w:r>
          </w:p>
          <w:p w14:paraId="5EBEC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无灰尘、垃圾、纸屑、烟头、杂物等，门窗洁净光亮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。</w:t>
            </w:r>
          </w:p>
        </w:tc>
      </w:tr>
      <w:tr w14:paraId="59F56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4DDE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71FC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3CE9F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）消防栓（箱）：无尘、无污迹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。</w:t>
            </w:r>
          </w:p>
        </w:tc>
      </w:tr>
      <w:tr w14:paraId="12589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306B3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590C9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7EA44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）开水间保持干净、无异味、无杂物、无积水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。</w:t>
            </w:r>
          </w:p>
        </w:tc>
      </w:tr>
      <w:tr w14:paraId="5583B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D21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AEBD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1F88B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）作业工具间：</w:t>
            </w:r>
          </w:p>
          <w:p w14:paraId="32B5C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①保持干净，无异味、无杂物、无积水。</w:t>
            </w:r>
          </w:p>
          <w:p w14:paraId="5B421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②作业工具摆放整齐有序，表面干净无渍，每日消毒。</w:t>
            </w:r>
          </w:p>
        </w:tc>
      </w:tr>
      <w:tr w14:paraId="63FEF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7A0A3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BEBB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5C1C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（7）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公共卫生间：</w:t>
            </w:r>
          </w:p>
          <w:p w14:paraId="3C085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①</w:t>
            </w:r>
            <w:r>
              <w:rPr>
                <w:rFonts w:hint="eastAsia"/>
                <w:color w:val="auto"/>
                <w:sz w:val="22"/>
                <w:szCs w:val="22"/>
              </w:rPr>
              <w:t>天花板、墙角、灯具：无灰尘、蜘蛛网等；</w:t>
            </w:r>
          </w:p>
          <w:p w14:paraId="76E50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</w:rPr>
              <w:t>②</w:t>
            </w:r>
            <w:r>
              <w:rPr>
                <w:rFonts w:hint="eastAsia"/>
                <w:color w:val="auto"/>
                <w:sz w:val="22"/>
                <w:szCs w:val="22"/>
              </w:rPr>
              <w:t>卫生间大小便器：无污渍、无锈迹、洁净光亮；</w:t>
            </w:r>
          </w:p>
          <w:p w14:paraId="4A240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</w:rPr>
              <w:t>③</w:t>
            </w:r>
            <w:r>
              <w:rPr>
                <w:rFonts w:hint="eastAsia"/>
                <w:color w:val="auto"/>
                <w:sz w:val="22"/>
                <w:szCs w:val="22"/>
              </w:rPr>
              <w:t>洗脸盘及面盆、镜面：无水渍、无污迹、洁净光亮；</w:t>
            </w:r>
          </w:p>
          <w:p w14:paraId="1D1B0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④大小便器隔断：内外无灰尘、无污渍、无水渍、无蜘蛛网；</w:t>
            </w:r>
          </w:p>
          <w:p w14:paraId="1AFE6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⑤地面：无烟头、纸屑、污渍、脚印、积水。</w:t>
            </w:r>
          </w:p>
          <w:p w14:paraId="5C806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⑥墙面、门窗、屋面：无灰尘、无污渍、无蜘蛛网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。</w:t>
            </w:r>
          </w:p>
        </w:tc>
      </w:tr>
      <w:tr w14:paraId="163B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63A5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3</w:t>
            </w:r>
          </w:p>
        </w:tc>
        <w:tc>
          <w:tcPr>
            <w:tcW w:w="791" w:type="pct"/>
            <w:vMerge w:val="restart"/>
            <w:vAlign w:val="center"/>
          </w:tcPr>
          <w:p w14:paraId="356B2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室外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区域保洁</w:t>
            </w:r>
          </w:p>
        </w:tc>
        <w:tc>
          <w:tcPr>
            <w:tcW w:w="3518" w:type="pct"/>
            <w:vAlign w:val="center"/>
          </w:tcPr>
          <w:p w14:paraId="568FC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（1）道路地面、广场等公共区域 保持干净、无杂物、无积水、</w:t>
            </w:r>
            <w:r>
              <w:rPr>
                <w:rFonts w:hint="eastAsia"/>
                <w:color w:val="auto"/>
                <w:sz w:val="22"/>
                <w:szCs w:val="22"/>
              </w:rPr>
              <w:t>下水道口保持畅通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。</w:t>
            </w:r>
          </w:p>
        </w:tc>
      </w:tr>
      <w:tr w14:paraId="3C1F1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63C59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60F74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2FD2B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（2）雪、冰冻等恶劣天气时及时清扫积水、积雪，并采取安全防护措施。</w:t>
            </w:r>
          </w:p>
        </w:tc>
      </w:tr>
      <w:tr w14:paraId="19EB0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D7E6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2A21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9558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（3）各种路标、宣传栏等保持干净。</w:t>
            </w:r>
          </w:p>
        </w:tc>
      </w:tr>
      <w:tr w14:paraId="655D4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1A73F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AFF8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E28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（4）垃圾桶：桶体光洁无污迹、无痰迹；桶内垃圾不超过容积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/3。</w:t>
            </w:r>
          </w:p>
        </w:tc>
      </w:tr>
      <w:tr w14:paraId="751E7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90" w:type="pct"/>
            <w:vMerge w:val="continue"/>
            <w:vAlign w:val="center"/>
          </w:tcPr>
          <w:p w14:paraId="2AB4B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327A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16E8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（5）墓区墓碑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无灰尘、无污迹、无杂物、无水迹、无蜘蛛网、表面洁净；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祭扫鲜花及贡品要有序排放，不得随意放置、私自占有。</w:t>
            </w:r>
          </w:p>
        </w:tc>
      </w:tr>
      <w:tr w14:paraId="315F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F953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3F55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6A858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）绿化带、池塘内无杂物。</w:t>
            </w:r>
          </w:p>
        </w:tc>
      </w:tr>
      <w:tr w14:paraId="3E56B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2FDE7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4</w:t>
            </w:r>
          </w:p>
        </w:tc>
        <w:tc>
          <w:tcPr>
            <w:tcW w:w="791" w:type="pct"/>
            <w:vMerge w:val="restart"/>
            <w:vAlign w:val="center"/>
          </w:tcPr>
          <w:p w14:paraId="46F0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垃圾处理</w:t>
            </w:r>
          </w:p>
        </w:tc>
        <w:tc>
          <w:tcPr>
            <w:tcW w:w="3518" w:type="pct"/>
            <w:vAlign w:val="center"/>
          </w:tcPr>
          <w:p w14:paraId="26226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（1）在指定位置摆放分类垃圾桶，并在显著处张贴垃圾分类标识。分类垃圾桶和垃圾分类标识根据所在城市的要求设置。</w:t>
            </w:r>
          </w:p>
        </w:tc>
      </w:tr>
      <w:tr w14:paraId="12EF4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49926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7DBCE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6672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（2）桶身表面干净无污渍。</w:t>
            </w:r>
          </w:p>
        </w:tc>
      </w:tr>
      <w:tr w14:paraId="20F48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0AFA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9EBB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643F6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</w:t>
            </w:r>
            <w:r>
              <w:rPr>
                <w:rFonts w:hint="eastAsia"/>
                <w:color w:val="auto"/>
                <w:sz w:val="22"/>
                <w:szCs w:val="22"/>
              </w:rPr>
              <w:t>定期清洁、定期喷洒消毒和灭蚊蝇药物。</w:t>
            </w:r>
          </w:p>
        </w:tc>
      </w:tr>
      <w:tr w14:paraId="4527E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5A750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5CE53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1E13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）垃圾装袋，日产日清。</w:t>
            </w:r>
          </w:p>
        </w:tc>
      </w:tr>
      <w:tr w14:paraId="3C546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4BA8A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084B4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1AD4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）做好垃圾分类管理的宣传工作，督促并引导全员参与垃圾分类投放。</w:t>
            </w:r>
          </w:p>
        </w:tc>
      </w:tr>
      <w:tr w14:paraId="4F25D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restart"/>
            <w:vAlign w:val="center"/>
          </w:tcPr>
          <w:p w14:paraId="563EE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5</w:t>
            </w:r>
          </w:p>
        </w:tc>
        <w:tc>
          <w:tcPr>
            <w:tcW w:w="791" w:type="pct"/>
            <w:vMerge w:val="restart"/>
            <w:vAlign w:val="center"/>
          </w:tcPr>
          <w:p w14:paraId="02DB2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卫生消毒</w:t>
            </w:r>
          </w:p>
        </w:tc>
        <w:tc>
          <w:tcPr>
            <w:tcW w:w="3518" w:type="pct"/>
            <w:vAlign w:val="center"/>
          </w:tcPr>
          <w:p w14:paraId="12D2A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（1）办公用房区域、公共场所区域和周围环境预防性卫生消毒，消毒后及时通风。</w:t>
            </w:r>
          </w:p>
        </w:tc>
      </w:tr>
      <w:tr w14:paraId="1B9E0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48647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2A955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0416B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（2）采取综合措施消灭老鼠、蟑螂，控制室内外蚊虫孳生，达到基本无蝇。</w:t>
            </w:r>
          </w:p>
        </w:tc>
      </w:tr>
      <w:tr w14:paraId="6977E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Merge w:val="continue"/>
            <w:vAlign w:val="center"/>
          </w:tcPr>
          <w:p w14:paraId="6F5D6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791" w:type="pct"/>
            <w:vMerge w:val="continue"/>
            <w:vAlign w:val="center"/>
          </w:tcPr>
          <w:p w14:paraId="3A95C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518" w:type="pct"/>
            <w:vAlign w:val="center"/>
          </w:tcPr>
          <w:p w14:paraId="715C2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（3）发生公共卫生事件时，邀请专业单位开展消毒、检测等工作。</w:t>
            </w:r>
          </w:p>
        </w:tc>
      </w:tr>
      <w:tr w14:paraId="1C87C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pct"/>
            <w:vAlign w:val="center"/>
          </w:tcPr>
          <w:p w14:paraId="188F8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6</w:t>
            </w:r>
          </w:p>
        </w:tc>
        <w:tc>
          <w:tcPr>
            <w:tcW w:w="791" w:type="pct"/>
            <w:vAlign w:val="center"/>
          </w:tcPr>
          <w:p w14:paraId="06A4B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报告厅</w:t>
            </w:r>
          </w:p>
          <w:p w14:paraId="2C2B9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及会议室保洁</w:t>
            </w:r>
          </w:p>
        </w:tc>
        <w:tc>
          <w:tcPr>
            <w:tcW w:w="3518" w:type="pct"/>
            <w:vAlign w:val="center"/>
          </w:tcPr>
          <w:p w14:paraId="2EAD4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报告厅及会议室音视频设备、消防栓及开关插座、地面、门窗等保持表面干净，无尘无污迹。</w:t>
            </w:r>
          </w:p>
        </w:tc>
      </w:tr>
    </w:tbl>
    <w:p w14:paraId="3BDA4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38706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3、安保服务</w:t>
      </w:r>
    </w:p>
    <w:p w14:paraId="559A39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1"/>
        <w:gridCol w:w="1826"/>
        <w:gridCol w:w="5357"/>
      </w:tblGrid>
      <w:tr w14:paraId="055D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noWrap w:val="0"/>
            <w:vAlign w:val="center"/>
          </w:tcPr>
          <w:p w14:paraId="3C00E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098" w:type="pct"/>
            <w:noWrap w:val="0"/>
            <w:vAlign w:val="center"/>
          </w:tcPr>
          <w:p w14:paraId="1A719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服务内容</w:t>
            </w:r>
          </w:p>
        </w:tc>
        <w:tc>
          <w:tcPr>
            <w:tcW w:w="3220" w:type="pct"/>
            <w:noWrap w:val="0"/>
            <w:vAlign w:val="center"/>
          </w:tcPr>
          <w:p w14:paraId="159B5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服务标准</w:t>
            </w:r>
          </w:p>
        </w:tc>
      </w:tr>
      <w:tr w14:paraId="3F64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72B5C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1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623B7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基本要求</w:t>
            </w:r>
          </w:p>
        </w:tc>
        <w:tc>
          <w:tcPr>
            <w:tcW w:w="3220" w:type="pct"/>
            <w:noWrap w:val="0"/>
            <w:vAlign w:val="center"/>
          </w:tcPr>
          <w:p w14:paraId="7B7A4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（1）建立保安服务相关制度，并按照执行。</w:t>
            </w:r>
          </w:p>
        </w:tc>
      </w:tr>
      <w:tr w14:paraId="7ABB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59827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64A9B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381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（2）对巡查、值守及异常情况等做好相关记录，填写规范，保存完好。</w:t>
            </w:r>
          </w:p>
        </w:tc>
      </w:tr>
      <w:tr w14:paraId="0ECD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4BCF1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4BFEE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5164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（3）配备保安服务必要的器材。</w:t>
            </w:r>
          </w:p>
        </w:tc>
      </w:tr>
      <w:tr w14:paraId="4D8F6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4162A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2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639F5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出入管理</w:t>
            </w:r>
          </w:p>
        </w:tc>
        <w:tc>
          <w:tcPr>
            <w:tcW w:w="3220" w:type="pct"/>
            <w:noWrap w:val="0"/>
            <w:vAlign w:val="center"/>
          </w:tcPr>
          <w:p w14:paraId="17722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（1）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纪念馆（园）</w:t>
            </w:r>
            <w:r>
              <w:rPr>
                <w:rFonts w:hint="eastAsia"/>
                <w:color w:val="auto"/>
                <w:sz w:val="22"/>
                <w:szCs w:val="22"/>
              </w:rPr>
              <w:t>主出入口应当实行 24 小时值班制。</w:t>
            </w:r>
          </w:p>
        </w:tc>
      </w:tr>
      <w:tr w14:paraId="439A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7BFA4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3225A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20DA3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（2）设置门岗。</w:t>
            </w:r>
          </w:p>
        </w:tc>
      </w:tr>
      <w:tr w14:paraId="54FD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045F5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23A78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B22E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（3）在出入口对携带大件物品、外来车辆进行询问和记录，并与相关部门取得联系， 同意后方可进入。</w:t>
            </w:r>
          </w:p>
        </w:tc>
      </w:tr>
      <w:tr w14:paraId="7B41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1DD97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1F75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43DBC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（4）大件物品搬出有相关部门开具的证明和清单，经核实后放行。</w:t>
            </w:r>
          </w:p>
        </w:tc>
      </w:tr>
      <w:tr w14:paraId="0467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6246B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3FAA7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68F85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（5）排查可疑人员， 对于不出示证件、不按规定登记、不听劝阻而强行闯入者，及时劝离， 必要时 通知公安机关进行处理。</w:t>
            </w:r>
          </w:p>
        </w:tc>
      </w:tr>
      <w:tr w14:paraId="3340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5777C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3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46D5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值班巡查</w:t>
            </w:r>
          </w:p>
        </w:tc>
        <w:tc>
          <w:tcPr>
            <w:tcW w:w="3220" w:type="pct"/>
            <w:noWrap w:val="0"/>
            <w:vAlign w:val="center"/>
          </w:tcPr>
          <w:p w14:paraId="5175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（1）建立 24 小时值班巡查制度。</w:t>
            </w:r>
          </w:p>
        </w:tc>
      </w:tr>
      <w:tr w14:paraId="4FE8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3B393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1FCC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75CD5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（2）制定巡查路线， 按照指定时间执行，加强重点区域、重点部位及装修区域的巡查。</w:t>
            </w:r>
          </w:p>
        </w:tc>
      </w:tr>
      <w:tr w14:paraId="456B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496C3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F38A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4D10E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（3）巡查期间保持通信设施设备畅通，遇到异常情况立即上报并在现场采取相应措施。</w:t>
            </w:r>
          </w:p>
        </w:tc>
      </w:tr>
      <w:tr w14:paraId="3D389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55F96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02A10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21E75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（4）收到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场馆负责人</w:t>
            </w:r>
            <w:r>
              <w:rPr>
                <w:rFonts w:hint="eastAsia"/>
                <w:color w:val="auto"/>
                <w:sz w:val="22"/>
                <w:szCs w:val="22"/>
              </w:rPr>
              <w:t>指令后，巡查人员及时到达指定地点并迅速采取相应措施。</w:t>
            </w:r>
          </w:p>
        </w:tc>
      </w:tr>
      <w:tr w14:paraId="38C8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6F91C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4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1B2BE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监控值守</w:t>
            </w:r>
          </w:p>
        </w:tc>
        <w:tc>
          <w:tcPr>
            <w:tcW w:w="3220" w:type="pct"/>
            <w:noWrap w:val="0"/>
            <w:vAlign w:val="center"/>
          </w:tcPr>
          <w:p w14:paraId="44002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2"/>
                <w:szCs w:val="22"/>
              </w:rPr>
              <w:t>）监控设备 24 小时正常运行， 监控室实行 24 小时值班制度。</w:t>
            </w:r>
          </w:p>
        </w:tc>
      </w:tr>
      <w:tr w14:paraId="1DF3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3D990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651E0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70DBD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color w:val="auto"/>
                <w:sz w:val="22"/>
                <w:szCs w:val="22"/>
              </w:rPr>
              <w:t>）值班期间遵守操作规程和保密制度， 做好监控记录的保存工作。</w:t>
            </w:r>
          </w:p>
        </w:tc>
      </w:tr>
      <w:tr w14:paraId="6BB1B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6A71B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23051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02150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2"/>
                <w:szCs w:val="22"/>
              </w:rPr>
              <w:t>）无关人员进入监控室或查阅监控记录，经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场馆负责</w:t>
            </w:r>
            <w:r>
              <w:rPr>
                <w:rFonts w:hint="eastAsia"/>
                <w:color w:val="auto"/>
                <w:sz w:val="22"/>
                <w:szCs w:val="22"/>
              </w:rPr>
              <w:t>人批准并做好相关记录。</w:t>
            </w:r>
          </w:p>
        </w:tc>
      </w:tr>
      <w:tr w14:paraId="20EA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2C84C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4AC69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34BF2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</w:rPr>
              <w:t>）监控室收到火情等报警信号、其他异常情况信号后， 及时报警并安排其他安保人员前往现场进 行处理。</w:t>
            </w:r>
          </w:p>
        </w:tc>
      </w:tr>
      <w:tr w14:paraId="71E0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restart"/>
            <w:noWrap w:val="0"/>
            <w:vAlign w:val="center"/>
          </w:tcPr>
          <w:p w14:paraId="0BA1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5</w:t>
            </w:r>
          </w:p>
        </w:tc>
        <w:tc>
          <w:tcPr>
            <w:tcW w:w="1098" w:type="pct"/>
            <w:vMerge w:val="restart"/>
            <w:noWrap w:val="0"/>
            <w:vAlign w:val="center"/>
          </w:tcPr>
          <w:p w14:paraId="65FB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车辆停放</w:t>
            </w:r>
          </w:p>
        </w:tc>
        <w:tc>
          <w:tcPr>
            <w:tcW w:w="3220" w:type="pct"/>
            <w:noWrap w:val="0"/>
            <w:vAlign w:val="center"/>
          </w:tcPr>
          <w:p w14:paraId="38603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2"/>
                <w:szCs w:val="22"/>
              </w:rPr>
              <w:t>）对车辆及停放区域实行规范管理。</w:t>
            </w:r>
          </w:p>
        </w:tc>
      </w:tr>
      <w:tr w14:paraId="66033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05723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4D573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6E268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color w:val="auto"/>
                <w:sz w:val="22"/>
                <w:szCs w:val="22"/>
              </w:rPr>
              <w:t>）严禁在办公楼的公用走道、楼梯间、安全出口处等公共区域停放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非机动车</w:t>
            </w:r>
            <w:r>
              <w:rPr>
                <w:rFonts w:hint="eastAsia"/>
                <w:color w:val="auto"/>
                <w:sz w:val="22"/>
                <w:szCs w:val="22"/>
              </w:rPr>
              <w:t>或充电。</w:t>
            </w:r>
          </w:p>
        </w:tc>
      </w:tr>
      <w:tr w14:paraId="74737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58814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7197D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3C6B2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2"/>
                <w:szCs w:val="22"/>
              </w:rPr>
              <w:t>）非机动车定点有序停放。</w:t>
            </w:r>
          </w:p>
        </w:tc>
      </w:tr>
      <w:tr w14:paraId="61AD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Merge w:val="continue"/>
            <w:noWrap w:val="0"/>
            <w:vAlign w:val="center"/>
          </w:tcPr>
          <w:p w14:paraId="1241F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098" w:type="pct"/>
            <w:vMerge w:val="continue"/>
            <w:noWrap w:val="0"/>
            <w:vAlign w:val="center"/>
          </w:tcPr>
          <w:p w14:paraId="3D284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220" w:type="pct"/>
            <w:noWrap w:val="0"/>
            <w:vAlign w:val="center"/>
          </w:tcPr>
          <w:p w14:paraId="695E3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</w:rPr>
              <w:t>）发现车辆异常情况及时通知车主，并做好登记；发生交通事故、自然灾害等意外事故时及时赶赴现场疏导和协助处理， 响应时间不超过 3 分钟。</w:t>
            </w:r>
          </w:p>
        </w:tc>
      </w:tr>
    </w:tbl>
    <w:p w14:paraId="6D67B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p w14:paraId="5F7E2E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.公用设施设备维护服务</w:t>
      </w:r>
    </w:p>
    <w:p w14:paraId="4A535A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</w:rPr>
      </w:pPr>
    </w:p>
    <w:tbl>
      <w:tblPr>
        <w:tblStyle w:val="21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132"/>
        <w:gridCol w:w="6232"/>
      </w:tblGrid>
      <w:tr w14:paraId="5B37D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Align w:val="center"/>
          </w:tcPr>
          <w:p w14:paraId="0B1BC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序号</w:t>
            </w:r>
          </w:p>
        </w:tc>
        <w:tc>
          <w:tcPr>
            <w:tcW w:w="664" w:type="pct"/>
            <w:vAlign w:val="center"/>
          </w:tcPr>
          <w:p w14:paraId="73910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服务内容</w:t>
            </w:r>
          </w:p>
        </w:tc>
        <w:tc>
          <w:tcPr>
            <w:tcW w:w="3656" w:type="pct"/>
            <w:vAlign w:val="center"/>
          </w:tcPr>
          <w:p w14:paraId="3A2FA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服务标准</w:t>
            </w:r>
          </w:p>
        </w:tc>
      </w:tr>
      <w:tr w14:paraId="46FD3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633D4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664" w:type="pct"/>
            <w:vMerge w:val="restart"/>
            <w:vAlign w:val="center"/>
          </w:tcPr>
          <w:p w14:paraId="57F5F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基本要求</w:t>
            </w:r>
          </w:p>
        </w:tc>
        <w:tc>
          <w:tcPr>
            <w:tcW w:w="3656" w:type="pct"/>
            <w:vAlign w:val="center"/>
          </w:tcPr>
          <w:p w14:paraId="11326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（1）重大节假日及恶劣天气前后，组织系统巡检 1 次。</w:t>
            </w:r>
          </w:p>
        </w:tc>
      </w:tr>
      <w:tr w14:paraId="6BE0B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6718A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67CF8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0B47F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</w:t>
            </w:r>
            <w:r>
              <w:rPr>
                <w:rFonts w:hint="eastAsia"/>
                <w:color w:val="auto"/>
                <w:sz w:val="22"/>
                <w:szCs w:val="22"/>
              </w:rPr>
              <w:t>按规定时间开关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纪念场馆</w:t>
            </w:r>
            <w:r>
              <w:rPr>
                <w:rFonts w:hint="eastAsia"/>
                <w:color w:val="auto"/>
                <w:sz w:val="22"/>
                <w:szCs w:val="22"/>
              </w:rPr>
              <w:t>水电，</w:t>
            </w: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具备设施设备安全、稳定运行的环境和场所（含有限空间），温湿度、照度、粉尘和烟雾浓度等符合相关安全规范。</w:t>
            </w:r>
          </w:p>
        </w:tc>
      </w:tr>
      <w:tr w14:paraId="1FAF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43A6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664" w:type="pct"/>
            <w:vMerge w:val="restart"/>
            <w:vAlign w:val="center"/>
          </w:tcPr>
          <w:p w14:paraId="27CDC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给排水系统</w:t>
            </w:r>
          </w:p>
        </w:tc>
        <w:tc>
          <w:tcPr>
            <w:tcW w:w="3656" w:type="pct"/>
            <w:vAlign w:val="center"/>
          </w:tcPr>
          <w:p w14:paraId="36BEF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（1）设施设备、阀门、管道等运行正常，无跑、冒、滴、漏现象。</w:t>
            </w:r>
          </w:p>
        </w:tc>
      </w:tr>
      <w:tr w14:paraId="39C48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7428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3DD6F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0AAA5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（2）水泵房、水箱间，每日至少巡视 1 次。</w:t>
            </w:r>
          </w:p>
        </w:tc>
      </w:tr>
      <w:tr w14:paraId="0A30D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38A37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1F18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51CCD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（3）遇供水单位限水、停水，按规定时间通知采购人。</w:t>
            </w:r>
          </w:p>
        </w:tc>
      </w:tr>
      <w:tr w14:paraId="2B0A3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6F304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664" w:type="pct"/>
            <w:vMerge w:val="restart"/>
            <w:vAlign w:val="center"/>
          </w:tcPr>
          <w:p w14:paraId="64339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供配电系统</w:t>
            </w:r>
          </w:p>
        </w:tc>
        <w:tc>
          <w:tcPr>
            <w:tcW w:w="3656" w:type="pct"/>
            <w:vAlign w:val="center"/>
          </w:tcPr>
          <w:p w14:paraId="312BF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（1）建立 24 小时运行值班制度。</w:t>
            </w:r>
          </w:p>
        </w:tc>
      </w:tr>
      <w:tr w14:paraId="1BE79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0C1F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5E466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232DC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（2）公共使用的照明、指示灯具线路、开关、接地等保持完好，确保用电安全。</w:t>
            </w:r>
          </w:p>
        </w:tc>
      </w:tr>
      <w:tr w14:paraId="01A84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33677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3827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0D07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（3）发生非计划性停电的，应当在事件发生后及时通知采购人，快速恢复或启用应急电源，并做好应急事件上报及处理工作。</w:t>
            </w:r>
          </w:p>
        </w:tc>
      </w:tr>
      <w:tr w14:paraId="28389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restart"/>
            <w:vAlign w:val="center"/>
          </w:tcPr>
          <w:p w14:paraId="04458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4</w:t>
            </w:r>
          </w:p>
        </w:tc>
        <w:tc>
          <w:tcPr>
            <w:tcW w:w="664" w:type="pct"/>
            <w:vMerge w:val="restart"/>
            <w:vAlign w:val="center"/>
          </w:tcPr>
          <w:p w14:paraId="38755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照明系统</w:t>
            </w:r>
          </w:p>
        </w:tc>
        <w:tc>
          <w:tcPr>
            <w:tcW w:w="3656" w:type="pct"/>
            <w:vAlign w:val="center"/>
          </w:tcPr>
          <w:p w14:paraId="2DCA7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（1）外观整洁无缺损、无松落。</w:t>
            </w:r>
          </w:p>
        </w:tc>
      </w:tr>
      <w:tr w14:paraId="49C87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8" w:type="pct"/>
            <w:vMerge w:val="continue"/>
            <w:vAlign w:val="center"/>
          </w:tcPr>
          <w:p w14:paraId="6BF4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664" w:type="pct"/>
            <w:vMerge w:val="continue"/>
            <w:vAlign w:val="center"/>
          </w:tcPr>
          <w:p w14:paraId="4EB9F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3656" w:type="pct"/>
            <w:vAlign w:val="center"/>
          </w:tcPr>
          <w:p w14:paraId="2874C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/>
              </w:rPr>
              <w:t>（2）更换的照明灯具应当选用节能环保产品，亮度与更换前保持一致。</w:t>
            </w:r>
          </w:p>
        </w:tc>
      </w:tr>
    </w:tbl>
    <w:p w14:paraId="01D31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</w:p>
    <w:p w14:paraId="7B21BC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5.处理突发事件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服务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：</w:t>
      </w:r>
    </w:p>
    <w:p w14:paraId="597926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（1）配合采购人制订应急保障措施，需对任务进行详细了解，并根据工作安排制定详细的应急保障措施。</w:t>
      </w:r>
    </w:p>
    <w:p w14:paraId="1E5E83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2）根据馆（园）隐患排查的结果和实际情况，制定专项预案，包括但不限于：重大活动应急预案、上级突击检查应急预案、火警紧急处理应急预案、紧急疏散应急预案、停水停电应急预案、恶劣天气应对应急预案等。</w:t>
      </w:r>
    </w:p>
    <w:p w14:paraId="4E1AC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3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）建立消防安全责任制， 确定各级消防安全责任人及其职责。</w:t>
      </w:r>
    </w:p>
    <w:p w14:paraId="4EFE96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）应急预案定期培训和演练，组织相关岗定期开展专项应急预案演练，留存培训及演练记录和影像资料，并对预案进行评价，确保与实际情况相结合。</w:t>
      </w:r>
    </w:p>
    <w:p w14:paraId="3B468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（5）消火栓、应急照明、消防及人员逃生通道、消防车通道可随时正常使用。</w:t>
      </w:r>
    </w:p>
    <w:p w14:paraId="6CE66E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（6）定期组织消防安全宣传，每半年至少开展 1 次消防演练。</w:t>
      </w:r>
    </w:p>
    <w:p w14:paraId="12F8E3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6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.公共设施节水、节电、节能管理：</w:t>
      </w:r>
    </w:p>
    <w:p w14:paraId="3EC3A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（1）定期巡查及时统计损坏的设备设施并报给采购人，消耗品及时供应保证物业正常运行。</w:t>
      </w:r>
    </w:p>
    <w:p w14:paraId="4894A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（2）巡查卫生间，发现跑、冒、滴、漏水情况迅速处理或报告；</w:t>
      </w:r>
    </w:p>
    <w:p w14:paraId="6FF96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（3）卫生间粘贴节水标识；</w:t>
      </w:r>
    </w:p>
    <w:p w14:paraId="035EB4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（4）发现房间无人时开空调的情况及时提醒；</w:t>
      </w:r>
    </w:p>
    <w:p w14:paraId="08466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（5）发现长明灯的情况要及时采取相应措施。</w:t>
      </w:r>
    </w:p>
    <w:p w14:paraId="546CD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7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.物业移交要求</w:t>
      </w:r>
    </w:p>
    <w:p w14:paraId="7717D9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1）中标人在合同签订后三天内必须与原物业公司进行交接，并派员进驻物业管理服务区域；中标人应及时与采购人沟通，了解相关情况，尽快做好接管原物业的相关图纸、资料，并对设施、设备逐项进行交接前的调试和测定；要求务必三天内完成交接，中标人应积极配合，采购人负责监督交接。</w:t>
      </w:r>
    </w:p>
    <w:p w14:paraId="4958E8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2）本项目合同期结束后，要求中标人按照采购人要求，要做好全体工作人员的思想稳定工作，在新供应商未进驻前，按原合同继续做好物业管理（注：继续做的费用不含在本合同总价内），同时清点物品，配合使用单位及新中标人做好移交工作，无条件配合移交下一合同期内的供应商。</w:t>
      </w:r>
    </w:p>
    <w:p w14:paraId="32ABE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cs="Times New Roman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二</w:t>
      </w:r>
      <w:r>
        <w:rPr>
          <w:rFonts w:hint="eastAsia" w:cs="Times New Roman"/>
          <w:sz w:val="24"/>
          <w:szCs w:val="24"/>
          <w:lang w:val="en-US" w:eastAsia="zh-CN" w:bidi="ar-SA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投标文件要求</w:t>
      </w:r>
    </w:p>
    <w:p w14:paraId="31DB6B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1、投标文件中提供《物业管理服务方案》文件。</w:t>
      </w:r>
    </w:p>
    <w:p w14:paraId="62ACD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2、《物业管理服务方案》需包括以下内容:</w:t>
      </w:r>
    </w:p>
    <w:p w14:paraId="4E3DCF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（1）基本服务方案;</w:t>
      </w:r>
    </w:p>
    <w:p w14:paraId="06A7FE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（2）保洁服务方案;</w:t>
      </w:r>
    </w:p>
    <w:p w14:paraId="5F009B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（3）保安服务方案;</w:t>
      </w:r>
    </w:p>
    <w:p w14:paraId="7F37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（4）公用设施设备维护服务;</w:t>
      </w:r>
    </w:p>
    <w:p w14:paraId="20CBB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（5）处理突发事件服务方案;</w:t>
      </w:r>
    </w:p>
    <w:p w14:paraId="06F0E2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（6）公共设施节水、节电、节能管理方案;</w:t>
      </w:r>
    </w:p>
    <w:p w14:paraId="410C8E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  <w:t>（7）物业移交衔接方案。</w:t>
      </w:r>
    </w:p>
    <w:p w14:paraId="17BDF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4"/>
          <w:szCs w:val="24"/>
          <w:lang w:val="en-US" w:eastAsia="zh-CN"/>
        </w:rPr>
        <w:t>五、组织机构设置方案及人员配备方案</w:t>
      </w:r>
    </w:p>
    <w:p w14:paraId="04D71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（一）物业管理服务人员具体需求</w:t>
      </w:r>
    </w:p>
    <w:p w14:paraId="77DBC5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</w:pP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淮海战役碾庄圩战斗纪念馆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物业服务人员</w:t>
      </w:r>
      <w:r>
        <w:rPr>
          <w:rFonts w:hint="eastAsia" w:cs="Times New Roman"/>
          <w:color w:val="auto"/>
          <w:sz w:val="24"/>
          <w:szCs w:val="24"/>
          <w:lang w:val="en-US" w:eastAsia="zh-CN" w:bidi="ar-SA"/>
        </w:rPr>
        <w:t>23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-SA"/>
        </w:rPr>
        <w:t>人，人员岗位设置如下：</w:t>
      </w:r>
    </w:p>
    <w:tbl>
      <w:tblPr>
        <w:tblStyle w:val="21"/>
        <w:tblpPr w:leftFromText="180" w:rightFromText="180" w:vertAnchor="text" w:horzAnchor="page" w:tblpX="1543" w:tblpY="300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4"/>
        <w:gridCol w:w="1604"/>
        <w:gridCol w:w="1369"/>
        <w:gridCol w:w="4246"/>
      </w:tblGrid>
      <w:tr w14:paraId="6B52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atLeast"/>
        </w:trPr>
        <w:tc>
          <w:tcPr>
            <w:tcW w:w="668" w:type="pct"/>
            <w:vAlign w:val="center"/>
          </w:tcPr>
          <w:p w14:paraId="6B721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962" w:type="pct"/>
            <w:vAlign w:val="center"/>
          </w:tcPr>
          <w:p w14:paraId="312EE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岗位</w:t>
            </w:r>
          </w:p>
        </w:tc>
        <w:tc>
          <w:tcPr>
            <w:tcW w:w="821" w:type="pct"/>
            <w:vAlign w:val="center"/>
          </w:tcPr>
          <w:p w14:paraId="1A109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人员数量</w:t>
            </w:r>
          </w:p>
        </w:tc>
        <w:tc>
          <w:tcPr>
            <w:tcW w:w="2547" w:type="pct"/>
            <w:vAlign w:val="center"/>
          </w:tcPr>
          <w:p w14:paraId="6759E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备注</w:t>
            </w:r>
          </w:p>
        </w:tc>
      </w:tr>
      <w:tr w14:paraId="0471D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7" w:hRule="atLeast"/>
        </w:trPr>
        <w:tc>
          <w:tcPr>
            <w:tcW w:w="668" w:type="pct"/>
            <w:vAlign w:val="center"/>
          </w:tcPr>
          <w:p w14:paraId="4F597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1</w:t>
            </w:r>
          </w:p>
        </w:tc>
        <w:tc>
          <w:tcPr>
            <w:tcW w:w="962" w:type="pct"/>
            <w:vAlign w:val="center"/>
          </w:tcPr>
          <w:p w14:paraId="71A58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项目经理</w:t>
            </w:r>
          </w:p>
        </w:tc>
        <w:tc>
          <w:tcPr>
            <w:tcW w:w="821" w:type="pct"/>
            <w:vAlign w:val="center"/>
          </w:tcPr>
          <w:p w14:paraId="72498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547" w:type="pct"/>
            <w:vAlign w:val="center"/>
          </w:tcPr>
          <w:p w14:paraId="74403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其中，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淮海战役碾庄圩战斗纪念馆1名，李超时纪念馆、石山烈士陵园共用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1名。</w:t>
            </w:r>
          </w:p>
        </w:tc>
      </w:tr>
      <w:tr w14:paraId="7B43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668" w:type="pct"/>
            <w:vAlign w:val="center"/>
          </w:tcPr>
          <w:p w14:paraId="04AF1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962" w:type="pct"/>
            <w:vAlign w:val="center"/>
          </w:tcPr>
          <w:p w14:paraId="276BF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水电工</w:t>
            </w:r>
          </w:p>
        </w:tc>
        <w:tc>
          <w:tcPr>
            <w:tcW w:w="821" w:type="pct"/>
            <w:vAlign w:val="center"/>
          </w:tcPr>
          <w:p w14:paraId="69FCE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2547" w:type="pct"/>
            <w:vAlign w:val="center"/>
          </w:tcPr>
          <w:p w14:paraId="2E76D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须持有初级以上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电工证。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淮海战役碾庄圩战斗纪念馆、李超时纪念馆、石山烈士陵园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共用。</w:t>
            </w:r>
          </w:p>
        </w:tc>
      </w:tr>
      <w:tr w14:paraId="2310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668" w:type="pct"/>
            <w:vAlign w:val="center"/>
          </w:tcPr>
          <w:p w14:paraId="5F304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962" w:type="pct"/>
            <w:vAlign w:val="center"/>
          </w:tcPr>
          <w:p w14:paraId="626C5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保安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人员</w:t>
            </w:r>
          </w:p>
        </w:tc>
        <w:tc>
          <w:tcPr>
            <w:tcW w:w="821" w:type="pct"/>
            <w:vAlign w:val="center"/>
          </w:tcPr>
          <w:p w14:paraId="3DFA0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2547" w:type="pct"/>
            <w:vAlign w:val="center"/>
          </w:tcPr>
          <w:p w14:paraId="0146A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须持初级保安员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及以上保安证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其中，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淮海战役碾庄圩战斗纪念馆6名、李超时纪念馆2名、石山烈士陵园2名。</w:t>
            </w:r>
          </w:p>
        </w:tc>
      </w:tr>
      <w:tr w14:paraId="3DB3C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9" w:hRule="atLeast"/>
        </w:trPr>
        <w:tc>
          <w:tcPr>
            <w:tcW w:w="668" w:type="pct"/>
            <w:vAlign w:val="center"/>
          </w:tcPr>
          <w:p w14:paraId="06A67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962" w:type="pct"/>
            <w:vAlign w:val="center"/>
          </w:tcPr>
          <w:p w14:paraId="7903E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保洁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人</w:t>
            </w:r>
            <w:r>
              <w:rPr>
                <w:rFonts w:hint="eastAsia"/>
                <w:sz w:val="22"/>
                <w:szCs w:val="22"/>
              </w:rPr>
              <w:t>员</w:t>
            </w:r>
          </w:p>
        </w:tc>
        <w:tc>
          <w:tcPr>
            <w:tcW w:w="821" w:type="pct"/>
            <w:vAlign w:val="center"/>
          </w:tcPr>
          <w:p w14:paraId="4F53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2547" w:type="pct"/>
            <w:vAlign w:val="center"/>
          </w:tcPr>
          <w:p w14:paraId="47B13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其中，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淮海战役碾庄圩战斗纪念馆7名、李超时纪念馆1名、石山烈士陵园2名。</w:t>
            </w:r>
          </w:p>
        </w:tc>
      </w:tr>
      <w:tr w14:paraId="74D45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630" w:type="pct"/>
            <w:gridSpan w:val="2"/>
            <w:vAlign w:val="center"/>
          </w:tcPr>
          <w:p w14:paraId="0F683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合计</w:t>
            </w:r>
          </w:p>
        </w:tc>
        <w:tc>
          <w:tcPr>
            <w:tcW w:w="821" w:type="pct"/>
            <w:vAlign w:val="center"/>
          </w:tcPr>
          <w:p w14:paraId="312F4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0"/>
              <w:jc w:val="center"/>
              <w:textAlignment w:val="auto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2547" w:type="pct"/>
            <w:vAlign w:val="center"/>
          </w:tcPr>
          <w:p w14:paraId="4853F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Chars="0"/>
              <w:jc w:val="left"/>
              <w:textAlignment w:val="auto"/>
              <w:rPr>
                <w:rFonts w:hint="eastAsia"/>
                <w:sz w:val="22"/>
                <w:szCs w:val="22"/>
              </w:rPr>
            </w:pPr>
          </w:p>
        </w:tc>
      </w:tr>
    </w:tbl>
    <w:p w14:paraId="2DCF9417">
      <w:pPr>
        <w:spacing w:before="32" w:line="213" w:lineRule="auto"/>
        <w:ind w:firstLine="480" w:firstLineChars="200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注： 1.供应商应当按国家相关法律法规，合理确定服务人员工资标准、工作时间等。供应商应当自行为服务人员办理必需的保险，有关人员伤亡及第三者责任险均应当考虑在报价因素中。</w:t>
      </w:r>
    </w:p>
    <w:p w14:paraId="3C580BDA">
      <w:pPr>
        <w:spacing w:before="32" w:line="213" w:lineRule="auto"/>
        <w:ind w:firstLine="480" w:firstLineChars="200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0"/>
          <w:sz w:val="24"/>
          <w:szCs w:val="24"/>
          <w:lang w:val="zh-CN" w:eastAsia="zh-CN"/>
        </w:rPr>
        <w:t>验收后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项目经理</w:t>
      </w:r>
      <w:r>
        <w:rPr>
          <w:rFonts w:hint="eastAsia" w:ascii="宋体" w:hAnsi="宋体" w:eastAsia="宋体" w:cs="宋体"/>
          <w:spacing w:val="0"/>
          <w:sz w:val="24"/>
          <w:szCs w:val="24"/>
          <w:lang w:val="zh-CN" w:eastAsia="zh-CN"/>
        </w:rPr>
        <w:t>必须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长期在本项目工作，如因故无法长期在本项目工作，需在甲方允许的情况下，更换同等资历工作人员，且需支付5万元/人违约金。</w:t>
      </w:r>
    </w:p>
    <w:p w14:paraId="6CC95E7F">
      <w:pPr>
        <w:pStyle w:val="2"/>
        <w:spacing w:before="72" w:line="240" w:lineRule="auto"/>
        <w:ind w:firstLine="482" w:firstLineChars="200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说明：上表中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人员数量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为不允许负偏离的实质性要求和条件，如有偏离，在符合性审查时按照响应无效处理。</w:t>
      </w:r>
    </w:p>
    <w:p w14:paraId="2FFB3A4D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（二）投标文件要求</w:t>
      </w:r>
    </w:p>
    <w:p w14:paraId="66F0F517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1.投标文件中提供《物业管理服务人员方案》文件。</w:t>
      </w:r>
    </w:p>
    <w:p w14:paraId="4C341A61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2.《物业管理服务人员方案》对照“（一）物业管理服务人员具体需求”编制。包含但不限于组织机构设置方案、人员配备具体方案。</w:t>
      </w:r>
    </w:p>
    <w:p w14:paraId="3A49D2AB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组织机构设置方案包含但不限于:</w:t>
      </w:r>
    </w:p>
    <w:p w14:paraId="77F7A4DC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项目经理</w:t>
      </w:r>
      <w:r>
        <w:rPr>
          <w:rFonts w:hint="eastAsia" w:ascii="宋体" w:hAnsi="宋体" w:eastAsia="宋体" w:cs="宋体"/>
          <w:sz w:val="24"/>
          <w:szCs w:val="24"/>
        </w:rPr>
        <w:t>的职责和工作流程。</w:t>
      </w:r>
    </w:p>
    <w:p w14:paraId="257F73AA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水电工</w:t>
      </w:r>
      <w:r>
        <w:rPr>
          <w:rFonts w:hint="eastAsia" w:ascii="宋体" w:hAnsi="宋体" w:eastAsia="宋体" w:cs="宋体"/>
          <w:sz w:val="24"/>
          <w:szCs w:val="24"/>
        </w:rPr>
        <w:t>的职责和工作流程。</w:t>
      </w:r>
    </w:p>
    <w:p w14:paraId="0E666B22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保安人员</w:t>
      </w:r>
      <w:r>
        <w:rPr>
          <w:rFonts w:hint="eastAsia" w:ascii="宋体" w:hAnsi="宋体" w:eastAsia="宋体" w:cs="宋体"/>
          <w:sz w:val="24"/>
          <w:szCs w:val="24"/>
        </w:rPr>
        <w:t>的职责和工作流程。</w:t>
      </w:r>
    </w:p>
    <w:p w14:paraId="4EBD045B">
      <w:pPr>
        <w:pStyle w:val="20"/>
        <w:spacing w:line="240" w:lineRule="auto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保洁人员职责和工作流程。</w:t>
      </w:r>
    </w:p>
    <w:p w14:paraId="5F2FFBF4">
      <w:pPr>
        <w:keepNext w:val="0"/>
        <w:keepLines w:val="0"/>
        <w:pageBreakBefore w:val="0"/>
        <w:widowControl/>
        <w:spacing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人员配备具体方案包含但不限于按照岗位配备人员，详细描述各岗位职责。</w:t>
      </w:r>
    </w:p>
    <w:p w14:paraId="17CEBC5F">
      <w:pPr>
        <w:keepNext w:val="0"/>
        <w:keepLines w:val="0"/>
        <w:pageBreakBefore w:val="0"/>
        <w:widowControl/>
        <w:tabs>
          <w:tab w:val="left" w:pos="0"/>
        </w:tabs>
        <w:spacing w:before="0" w:after="0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六、物业服务期限：自合同签订生效之日起3年。</w:t>
      </w:r>
    </w:p>
    <w:p w14:paraId="7D13E394">
      <w:pPr>
        <w:pStyle w:val="23"/>
        <w:spacing w:line="240" w:lineRule="auto"/>
        <w:ind w:left="0" w:right="-107" w:firstLine="482" w:firstLineChars="200"/>
        <w:jc w:val="both"/>
        <w:rPr>
          <w:rFonts w:hint="eastAsia" w:ascii="宋体" w:hAnsi="宋体" w:eastAsia="宋体" w:cs="宋体"/>
          <w:b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bidi="ar-SA"/>
        </w:rPr>
        <w:t>说明：本“付款方式”为不允许偏离的实质性要求和条件，如有偏离，在符合性审查时按照响应无效处理。</w:t>
      </w:r>
    </w:p>
    <w:p w14:paraId="2EB37764">
      <w:pPr>
        <w:keepNext w:val="0"/>
        <w:keepLines w:val="0"/>
        <w:pageBreakBefore w:val="0"/>
        <w:widowControl/>
        <w:tabs>
          <w:tab w:val="left" w:pos="0"/>
        </w:tabs>
        <w:spacing w:before="0" w:after="0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七、投标报价的相关说明</w:t>
      </w:r>
    </w:p>
    <w:p w14:paraId="6A42AF63">
      <w:pPr>
        <w:spacing w:line="24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不接受超过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227.88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万元人民币（采购项目预算金额）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的投标报价。</w:t>
      </w:r>
    </w:p>
    <w:p w14:paraId="19DE0E7E">
      <w:pPr>
        <w:spacing w:line="240" w:lineRule="auto"/>
        <w:ind w:firstLine="480" w:firstLineChars="200"/>
        <w:contextualSpacing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报价不得违反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邳州市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关于最低工资标准的相关规定和社会保险基数的相关规定。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人有权进行核查，供应商必须在采购人要求的时间内提供书面说明以及证明材料，供应商如不按照采购人要求提供书面说明以及证明材料，以及供应商违反上述规定，都将被采购人认定为该供应商具有《中华人民共和国政府采购法》第七十七条所规定的“提供虚假材料谋取中标、成交的”情形，该供应商需承担相应的法律责任。</w:t>
      </w:r>
    </w:p>
    <w:p w14:paraId="11D59020">
      <w:pPr>
        <w:spacing w:line="240" w:lineRule="auto"/>
        <w:ind w:firstLine="480" w:firstLineChars="200"/>
        <w:contextualSpacing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报价须充分考虑服务期限（合同期限）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内最低工资标准调整因素和社会保险基数调整因素。</w:t>
      </w:r>
    </w:p>
    <w:p w14:paraId="39BA18ED">
      <w:pPr>
        <w:spacing w:line="240" w:lineRule="auto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报价需充分考虑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服务期限（合同期限）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内的市场因素和成本变化状况的风险。</w:t>
      </w:r>
    </w:p>
    <w:p w14:paraId="4F5A09E4">
      <w:pPr>
        <w:spacing w:line="240" w:lineRule="auto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采购人不支付投标报价以外的任何费用。</w:t>
      </w:r>
    </w:p>
    <w:p w14:paraId="7CFCA91C">
      <w:pPr>
        <w:tabs>
          <w:tab w:val="left" w:pos="0"/>
          <w:tab w:val="left" w:pos="284"/>
        </w:tabs>
        <w:spacing w:line="240" w:lineRule="auto"/>
        <w:ind w:firstLine="480" w:firstLineChars="200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报价在合同执行过程中是固定的，不得以任何理由予以变更。</w:t>
      </w:r>
    </w:p>
    <w:p w14:paraId="4AC0DB48">
      <w:pPr>
        <w:pStyle w:val="20"/>
        <w:spacing w:line="240" w:lineRule="auto"/>
        <w:ind w:firstLine="482" w:firstLineChars="200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说明：本“投标报价的相关说明”为不允许偏离的实质性要求和条件，如有偏离，在符合性审查时按照响应无效处理。</w:t>
      </w:r>
    </w:p>
    <w:p w14:paraId="4ABE16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ar-SA"/>
        </w:rPr>
      </w:pPr>
    </w:p>
    <w:p w14:paraId="46C7FEBE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60EE3"/>
    <w:rsid w:val="00323570"/>
    <w:rsid w:val="048D3E9E"/>
    <w:rsid w:val="051541A6"/>
    <w:rsid w:val="05EC445F"/>
    <w:rsid w:val="09110F69"/>
    <w:rsid w:val="127F52E8"/>
    <w:rsid w:val="1EF30556"/>
    <w:rsid w:val="1F246B4A"/>
    <w:rsid w:val="3BBF18D7"/>
    <w:rsid w:val="57A246EE"/>
    <w:rsid w:val="6DF410F1"/>
    <w:rsid w:val="74CD20AE"/>
    <w:rsid w:val="7676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22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rFonts w:ascii="Calibri" w:eastAsia="宋体"/>
    </w:rPr>
  </w:style>
  <w:style w:type="paragraph" w:customStyle="1" w:styleId="3">
    <w:name w:val="一级条标题"/>
    <w:basedOn w:val="4"/>
    <w:next w:val="5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4">
    <w:name w:val="章标题"/>
    <w:next w:val="1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Calibri" w:eastAsia="黑体" w:cs="Times New Roman"/>
      <w:sz w:val="21"/>
      <w:szCs w:val="22"/>
      <w:lang w:val="en-US" w:eastAsia="zh-CN" w:bidi="ar-SA"/>
    </w:rPr>
  </w:style>
  <w:style w:type="paragraph" w:customStyle="1" w:styleId="5">
    <w:name w:val="段"/>
    <w:basedOn w:val="6"/>
    <w:next w:val="1"/>
    <w:qFormat/>
    <w:uiPriority w:val="0"/>
    <w:pPr>
      <w:widowControl/>
      <w:ind w:firstLine="200"/>
    </w:pPr>
    <w:rPr>
      <w:rFonts w:hint="eastAsia" w:ascii="宋体"/>
      <w:sz w:val="20"/>
      <w:szCs w:val="20"/>
    </w:rPr>
  </w:style>
  <w:style w:type="paragraph" w:customStyle="1" w:styleId="6">
    <w:name w:val="正文1"/>
    <w:basedOn w:val="7"/>
    <w:next w:val="1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7">
    <w:name w:val="正文111"/>
    <w:next w:val="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8">
    <w:name w:val="正文首行缩进11"/>
    <w:basedOn w:val="9"/>
    <w:next w:val="12"/>
    <w:qFormat/>
    <w:uiPriority w:val="0"/>
    <w:pPr>
      <w:ind w:firstLine="420"/>
    </w:pPr>
  </w:style>
  <w:style w:type="paragraph" w:customStyle="1" w:styleId="9">
    <w:name w:val="正文文本11"/>
    <w:basedOn w:val="10"/>
    <w:next w:val="7"/>
    <w:qFormat/>
    <w:uiPriority w:val="0"/>
    <w:pPr>
      <w:spacing w:after="120"/>
    </w:pPr>
  </w:style>
  <w:style w:type="paragraph" w:customStyle="1" w:styleId="10">
    <w:name w:val="正文11"/>
    <w:next w:val="1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1">
    <w:name w:val="文本块1"/>
    <w:basedOn w:val="6"/>
    <w:qFormat/>
    <w:uiPriority w:val="0"/>
    <w:pPr>
      <w:ind w:left="256" w:right="6" w:firstLine="624"/>
    </w:pPr>
    <w:rPr>
      <w:rFonts w:ascii="Times New Roman" w:hAnsi="Times New Roman" w:eastAsia="仿宋" w:cs="Times New Roman"/>
      <w:sz w:val="28"/>
      <w:szCs w:val="20"/>
    </w:rPr>
  </w:style>
  <w:style w:type="paragraph" w:customStyle="1" w:styleId="12">
    <w:name w:val="正文首行缩进 211"/>
    <w:basedOn w:val="13"/>
    <w:next w:val="14"/>
    <w:qFormat/>
    <w:uiPriority w:val="0"/>
    <w:pPr>
      <w:tabs>
        <w:tab w:val="left" w:pos="0"/>
        <w:tab w:val="left" w:pos="993"/>
        <w:tab w:val="left" w:pos="1134"/>
      </w:tabs>
      <w:ind w:firstLine="420"/>
    </w:pPr>
  </w:style>
  <w:style w:type="paragraph" w:customStyle="1" w:styleId="13">
    <w:name w:val="正文文本缩进11"/>
    <w:basedOn w:val="14"/>
    <w:next w:val="15"/>
    <w:qFormat/>
    <w:uiPriority w:val="0"/>
    <w:pPr>
      <w:spacing w:after="120"/>
      <w:ind w:left="420"/>
    </w:pPr>
  </w:style>
  <w:style w:type="paragraph" w:customStyle="1" w:styleId="14">
    <w:name w:val="正文112"/>
    <w:next w:val="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5">
    <w:name w:val="寄信人地址11"/>
    <w:basedOn w:val="16"/>
    <w:qFormat/>
    <w:uiPriority w:val="0"/>
    <w:rPr>
      <w:rFonts w:ascii="Arial" w:hAnsi="Arial"/>
    </w:rPr>
  </w:style>
  <w:style w:type="paragraph" w:customStyle="1" w:styleId="16">
    <w:name w:val="正文1121"/>
    <w:next w:val="17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7">
    <w:name w:val="文本块11"/>
    <w:basedOn w:val="16"/>
    <w:qFormat/>
    <w:uiPriority w:val="0"/>
    <w:pPr>
      <w:ind w:left="256" w:right="6" w:firstLine="624"/>
    </w:pPr>
    <w:rPr>
      <w:rFonts w:eastAsia="仿宋_GB2312"/>
      <w:sz w:val="28"/>
      <w:szCs w:val="20"/>
    </w:rPr>
  </w:style>
  <w:style w:type="paragraph" w:customStyle="1" w:styleId="18">
    <w:name w:val="正文文本1"/>
    <w:basedOn w:val="6"/>
    <w:next w:val="19"/>
    <w:qFormat/>
    <w:uiPriority w:val="0"/>
    <w:pPr>
      <w:spacing w:after="120"/>
    </w:pPr>
    <w:rPr>
      <w:rFonts w:ascii="Calibri" w:hAnsi="Calibri"/>
    </w:rPr>
  </w:style>
  <w:style w:type="paragraph" w:customStyle="1" w:styleId="19">
    <w:name w:val="正文12"/>
    <w:next w:val="1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0">
    <w:name w:val="toc 1"/>
    <w:basedOn w:val="1"/>
    <w:next w:val="1"/>
    <w:unhideWhenUsed/>
    <w:qFormat/>
    <w:uiPriority w:val="99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styleId="23">
    <w:name w:val="List Paragraph"/>
    <w:basedOn w:val="1"/>
    <w:autoRedefine/>
    <w:qFormat/>
    <w:uiPriority w:val="34"/>
    <w:pPr>
      <w:ind w:left="720"/>
      <w:contextualSpacing/>
    </w:p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1305</Words>
  <Characters>1367</Characters>
  <Lines>0</Lines>
  <Paragraphs>0</Paragraphs>
  <TotalTime>0</TotalTime>
  <ScaleCrop>false</ScaleCrop>
  <LinksUpToDate>false</LinksUpToDate>
  <CharactersWithSpaces>1367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2026-05-29T01:44:00Z</dcterms:created>
  <dc:creator>戒烟戒酒不戒你ぃ</dc:creator>
  <cp:lastModifiedBy>戒烟戒酒不戒你ぃ</cp:lastModifiedBy>
  <dcterms:modified xsi:type="dcterms:W3CDTF">2026-06-16T01:02:35Z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7E344922790E44F884C0194634083693_13</vt:lpwstr>
  </property>
  <property fmtid="{D5CDD505-2E9C-101B-9397-08002B2CF9AE}" pid="4" name="KSOTemplateDocerSaveRecord">
    <vt:lpwstr>eyJoZGlkIjoiODJjNWU0Y2YyMTc3ZjAxMTU1MTdmM2U2MzI4M2FjNTEiLCJ1c2VySWQiOiI0MTk4ODk0MzMifQ==</vt:lpwstr>
  </property>
</Properties>
</file>