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99"/>
        <w:ind w:left="0"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999"/>
        <w:ind w:left="0" w:firstLine="0"/>
        <w:rPr>
          <w:rFonts w:hint="eastAsia" w:ascii="宋体" w:hAnsi="宋体" w:cs="宋体"/>
          <w:color w:val="auto"/>
          <w:highlight w:val="none"/>
        </w:rPr>
      </w:pPr>
      <w:r>
        <w:rPr>
          <w:rFonts w:hint="eastAsia" w:ascii="宋体" w:hAnsi="宋体" w:cs="宋体"/>
          <w:color w:val="auto"/>
          <w:highlight w:val="none"/>
        </w:rPr>
      </w:r>
      <w:r/>
    </w:p>
    <w:p>
      <w:pPr>
        <w:pStyle w:val="999"/>
        <w:ind w:left="0"/>
        <w:rPr>
          <w:rFonts w:hint="eastAsia" w:ascii="宋体" w:hAnsi="宋体" w:cs="宋体"/>
          <w:color w:val="auto"/>
          <w:highlight w:val="none"/>
        </w:rPr>
      </w:pPr>
      <w:r>
        <w:rPr>
          <w:rFonts w:hint="eastAsia" w:ascii="宋体" w:hAnsi="宋体" w:cs="宋体"/>
          <w:color w:val="auto"/>
          <w:highlight w:val="none"/>
        </w:rPr>
      </w:r>
      <w:r/>
    </w:p>
    <w:p>
      <w:pPr>
        <w:pStyle w:val="1000"/>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0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eastAsia="宋体"/>
          <w:color w:val="auto"/>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strike w:val="0"/>
          <w:color w:val="auto"/>
          <w:sz w:val="32"/>
          <w:szCs w:val="32"/>
          <w:highlight w:val="none"/>
          <w:lang w:eastAsia="zh-CN"/>
        </w:rPr>
        <w:t xml:space="preserve">JSZC-320318-HWZX-C2026-0264</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京杭运河洞山西省控断面水污染综合治理</w:t>
      </w:r>
      <w:r/>
    </w:p>
    <w:p>
      <w:pPr>
        <w:ind w:firstLine="2083"/>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工程生态保护修复成效评估项目</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人：徐州淮海国际港务区柳新镇人民政府</w:t>
      </w:r>
      <w:r/>
    </w:p>
    <w:p>
      <w:pPr>
        <w:pStyle w:val="999"/>
        <w:ind w:left="0"/>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spacing w:line="360" w:lineRule="auto"/>
        <w:rPr>
          <w:rFonts w:hint="eastAsia" w:ascii="宋体" w:hAnsi="宋体" w:cs="宋体"/>
          <w:color w:val="auto"/>
          <w:sz w:val="4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1880235</wp:posOffset>
                </wp:positionH>
                <wp:positionV relativeFrom="paragraph">
                  <wp:posOffset>341630</wp:posOffset>
                </wp:positionV>
                <wp:extent cx="1363980" cy="541020"/>
                <wp:effectExtent l="0" t="0" r="0" b="0"/>
                <wp:wrapSquare wrapText="bothSides"/>
                <wp:docPr id="6" name="图片 8"/>
                <wp:cNvGraphicFramePr/>
                <a:graphic xmlns:a="http://schemas.openxmlformats.org/drawingml/2006/main">
                  <a:graphicData uri="http://schemas.openxmlformats.org/drawingml/2006/picture">
                    <pic:pic xmlns:pic="http://schemas.openxmlformats.org/drawingml/2006/picture">
                      <pic:nvPicPr>
                        <pic:cNvPr id="6" name="图片 8"/>
                        <pic:cNvPicPr/>
                        <pic:nvPr/>
                      </pic:nvPicPr>
                      <pic:blipFill>
                        <a:blip r:embed="rId20"/>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148.0pt;mso-position-horizontal:absolute;mso-position-vertical-relative:text;margin-top:26.9pt;mso-position-vertical:absolute;width:107.4pt;height:42.6pt;mso-wrap-distance-left:9.0pt;mso-wrap-distance-top:0.0pt;mso-wrap-distance-right:9.0pt;mso-wrap-distance-bottom:0.0pt;" stroked="f">
                <v:path textboxrect="0,0,0,0"/>
                <w10:wrap type="square"/>
                <v:imagedata r:id="rId20" o:title=""/>
              </v:shape>
            </w:pict>
          </mc:Fallback>
        </mc:AlternateContent>
      </w:r>
      <w:r/>
    </w:p>
    <w:p>
      <w:pPr>
        <w:ind w:right="-159"/>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0" w:lineRule="atLeast"/>
        <w:rPr>
          <w:rFonts w:hint="eastAsia" w:ascii="宋体" w:hAnsi="宋体" w:cs="宋体"/>
          <w:b/>
          <w:color w:val="auto"/>
          <w:sz w:val="36"/>
          <w:highlight w:val="none"/>
        </w:rPr>
        <w:sectPr>
          <w:headerReference w:type="default" r:id="rId9"/>
          <w:headerReference w:type="first" r:id="rId10"/>
          <w:footerReference w:type="even" r:id="rId13"/>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strike w:val="0"/>
          <w:color w:val="auto"/>
          <w:sz w:val="24"/>
          <w:highlight w:val="none"/>
          <w:lang w:eastAsia="zh-CN"/>
        </w:rPr>
        <w:t xml:space="preserve">JSZC-320318-HWZX-C2026-0264</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京杭运河洞山西省控断面水污染综合治理工程生态保护修复成效评估</w:t>
      </w:r>
      <w:r>
        <w:rPr>
          <w:rFonts w:hint="eastAsia" w:ascii="宋体" w:hAnsi="宋体" w:cs="宋体"/>
          <w:color w:val="auto"/>
          <w:sz w:val="24"/>
          <w:highlight w:val="none"/>
        </w:rPr>
        <w:t xml:space="preserve">项目采取竞争性磋商采购方式进行采购，竞争性磋商文件（以下简称《磋商文件》）内容如下：</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w:t>
      </w:r>
      <w:r>
        <w:rPr>
          <w:rFonts w:hint="eastAsia" w:ascii="宋体" w:hAnsi="宋体" w:cs="宋体"/>
          <w:color w:val="auto"/>
          <w:sz w:val="24"/>
          <w:highlight w:val="none"/>
        </w:rPr>
        <w:t xml:space="preserve">采购人：徐州淮海国际港务区柳新镇人民政府。</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color w:val="auto"/>
          <w:sz w:val="24"/>
          <w:highlight w:val="none"/>
        </w:rPr>
        <w:t xml:space="preserve">项目名称：京杭运河洞山西省控断面水污染综合治理工程生态保护修复成效评估项目。</w:t>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三、</w:t>
      </w:r>
      <w:r>
        <w:rPr>
          <w:rFonts w:hint="eastAsia" w:ascii="宋体" w:hAnsi="宋体" w:cs="宋体"/>
          <w:color w:val="auto"/>
          <w:sz w:val="24"/>
          <w:highlight w:val="none"/>
        </w:rPr>
        <w:t xml:space="preserve">项目编号：</w:t>
      </w:r>
      <w:r>
        <w:rPr>
          <w:rFonts w:hint="eastAsia" w:ascii="宋体" w:hAnsi="宋体" w:cs="宋体"/>
          <w:strike w:val="0"/>
          <w:color w:val="auto"/>
          <w:sz w:val="24"/>
          <w:highlight w:val="none"/>
          <w:lang w:eastAsia="zh-CN"/>
        </w:rPr>
        <w:t xml:space="preserve">JSZC-320318-HWZX-C2026-0264</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四、</w:t>
      </w:r>
      <w:r>
        <w:rPr>
          <w:rFonts w:hint="eastAsia" w:ascii="宋体" w:hAnsi="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五、</w:t>
      </w:r>
      <w:r>
        <w:rPr>
          <w:rFonts w:hint="eastAsia" w:ascii="宋体" w:hAnsi="宋体" w:cs="宋体"/>
          <w:color w:val="auto"/>
          <w:sz w:val="24"/>
          <w:highlight w:val="none"/>
        </w:rPr>
        <w:t xml:space="preserve">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w:t>
      </w:r>
      <w:r>
        <w:rPr>
          <w:rFonts w:hint="eastAsia" w:ascii="宋体" w:hAnsi="宋体" w:cs="宋体"/>
          <w:color w:val="auto"/>
          <w:sz w:val="24"/>
          <w:highlight w:val="none"/>
        </w:rPr>
        <w:t xml:space="preserve">采购需求：见《磋商文件》附件2、《项目要求（采购需求）》。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合同条款：见《磋商文件》附件6、《合同条款》。</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Style w:val="1237"/>
          <w:rFonts w:hint="eastAsia" w:ascii="宋体" w:hAnsi="宋体" w:cs="宋体"/>
          <w:bCs/>
          <w:color w:val="auto"/>
          <w:sz w:val="24"/>
          <w:highlight w:val="none"/>
        </w:rPr>
      </w:pPr>
      <w:r>
        <w:rPr>
          <w:rStyle w:val="1237"/>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237"/>
          <w:rFonts w:hint="eastAsia" w:ascii="宋体" w:hAnsi="宋体" w:cs="宋体"/>
          <w:bCs/>
          <w:color w:val="auto"/>
          <w:sz w:val="24"/>
          <w:highlight w:val="none"/>
        </w:rPr>
      </w:pPr>
      <w:r>
        <w:rPr>
          <w:rStyle w:val="1237"/>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color w:val="auto"/>
          <w:highlight w:val="none"/>
        </w:rPr>
      </w:pPr>
      <w:r>
        <w:rPr>
          <w:rStyle w:val="1237"/>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237"/>
          <w:rFonts w:hint="eastAsia" w:ascii="宋体" w:hAnsi="宋体"/>
          <w:b/>
          <w:color w:val="auto"/>
          <w:sz w:val="24"/>
          <w:highlight w:val="none"/>
        </w:rPr>
      </w:pPr>
      <w:r>
        <w:rPr>
          <w:rStyle w:val="1237"/>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Style w:val="1237"/>
          <w:rFonts w:ascii="宋体" w:hAnsi="宋体"/>
          <w:b/>
          <w:color w:val="auto"/>
          <w:sz w:val="24"/>
          <w:highlight w:val="none"/>
        </w:rPr>
        <w:t xml:space="preserve">“苏采云”系统使用要求：</w:t>
      </w:r>
      <w:r/>
    </w:p>
    <w:p>
      <w:pPr>
        <w:ind w:firstLine="480"/>
        <w:spacing w:line="360" w:lineRule="auto"/>
        <w:rPr>
          <w:rStyle w:val="1237"/>
          <w:rFonts w:hint="eastAsia" w:ascii="宋体" w:hAnsi="宋体" w:cs="宋体"/>
          <w:bCs/>
          <w:color w:val="auto"/>
          <w:sz w:val="24"/>
          <w:highlight w:val="none"/>
        </w:rPr>
      </w:pPr>
      <w:r>
        <w:rPr>
          <w:rStyle w:val="1237"/>
          <w:rFonts w:ascii="宋体" w:hAnsi="宋体" w:cs="宋体"/>
          <w:bCs/>
          <w:color w:val="auto"/>
          <w:sz w:val="24"/>
          <w:highlight w:val="none"/>
        </w:rPr>
        <w:t xml:space="preserve">1、使用谷歌浏览器参与不见面开标及磋商环节。</w:t>
      </w:r>
      <w:r/>
    </w:p>
    <w:p>
      <w:pPr>
        <w:ind w:firstLine="480"/>
        <w:spacing w:line="360" w:lineRule="auto"/>
        <w:rPr>
          <w:rStyle w:val="1237"/>
          <w:rFonts w:hint="eastAsia" w:ascii="宋体" w:hAnsi="宋体" w:cs="宋体"/>
          <w:bCs/>
          <w:color w:val="auto"/>
          <w:sz w:val="24"/>
          <w:highlight w:val="none"/>
        </w:rPr>
      </w:pPr>
      <w:r>
        <w:rPr>
          <w:rStyle w:val="1237"/>
          <w:rFonts w:ascii="宋体" w:hAnsi="宋体" w:cs="宋体"/>
          <w:bCs/>
          <w:color w:val="auto"/>
          <w:sz w:val="24"/>
          <w:highlight w:val="none"/>
        </w:rPr>
        <w:t xml:space="preserve">2、电脑需提前准备好麦克风、音响，摄像头，提前检查保证能够正常使用。</w:t>
      </w:r>
      <w:r/>
    </w:p>
    <w:p>
      <w:pPr>
        <w:ind w:firstLine="480"/>
        <w:spacing w:line="360" w:lineRule="auto"/>
        <w:rPr>
          <w:rStyle w:val="1237"/>
          <w:rFonts w:hint="eastAsia" w:ascii="宋体" w:hAnsi="宋体" w:cs="宋体"/>
          <w:bCs/>
          <w:color w:val="auto"/>
          <w:sz w:val="24"/>
          <w:highlight w:val="none"/>
        </w:rPr>
      </w:pPr>
      <w:r>
        <w:rPr>
          <w:rStyle w:val="1237"/>
          <w:rFonts w:ascii="宋体" w:hAnsi="宋体" w:cs="宋体"/>
          <w:bCs/>
          <w:color w:val="auto"/>
          <w:sz w:val="24"/>
          <w:highlight w:val="none"/>
        </w:rPr>
        <w:t xml:space="preserve">3、操作系统至少win7以上，建议使用win10操作系统。</w:t>
      </w:r>
      <w:r/>
    </w:p>
    <w:p>
      <w:pPr>
        <w:pStyle w:val="100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25</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0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02"/>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25</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00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002"/>
        <w:numPr>
          <w:ilvl w:val="0"/>
          <w:numId w:val="0"/>
        </w:num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w:t>
      </w:r>
      <w:r>
        <w:rPr>
          <w:rFonts w:hint="eastAsia" w:ascii="宋体" w:hAnsi="宋体" w:cs="宋体"/>
          <w:bCs/>
          <w:color w:val="auto"/>
          <w:sz w:val="24"/>
          <w:highlight w:val="none"/>
        </w:rPr>
        <w:t xml:space="preserve">或进入徐州政府采购网（网址：https://czj.xz.gov.cn/zfcg/index.html）--</w:t>
      </w:r>
      <w:r>
        <w:rPr>
          <w:rFonts w:hint="eastAsia" w:ascii="宋体" w:hAnsi="宋体" w:cs="宋体"/>
          <w:bCs/>
          <w:color w:val="auto"/>
          <w:sz w:val="24"/>
          <w:highlight w:val="none"/>
          <w:lang w:val="en-US" w:eastAsia="zh-CN"/>
        </w:rPr>
        <w:t xml:space="preserve">办事指南--供应商</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登录入口</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点击“苏采云”进入系统“开标大厅”。 </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25</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0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cs="宋体"/>
          <w:color w:val="auto"/>
          <w:sz w:val="24"/>
          <w:highlight w:val="none"/>
        </w:rPr>
        <w:br/>
      </w: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jc w:val="left"/>
        <w:spacing w:line="360" w:lineRule="auto"/>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02"/>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0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0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0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02"/>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1、《磋商报价表》（加盖电子签章，政府采购客户端工具输入报价自动生成）；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、供应商认为需要提供的其他资料的扫描件（如有）。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1、供应商合法有效的法人的营业执照</w:t>
      </w:r>
      <w:r>
        <w:rPr>
          <w:rFonts w:hint="eastAsia" w:ascii="宋体" w:hAnsi="宋体" w:eastAsia="宋体" w:cs="宋体"/>
          <w:b/>
          <w:bCs/>
          <w:color w:val="auto"/>
          <w:sz w:val="24"/>
          <w:highlight w:val="none"/>
          <w:lang w:eastAsia="zh-CN"/>
        </w:rPr>
        <w:t xml:space="preserve">复印件</w:t>
      </w:r>
      <w:r>
        <w:rPr>
          <w:rFonts w:hint="eastAsia" w:ascii="宋体" w:hAnsi="宋体" w:eastAsia="宋体" w:cs="宋体"/>
          <w:b/>
          <w:bCs/>
          <w:color w:val="auto"/>
          <w:sz w:val="24"/>
          <w:highlight w:val="none"/>
        </w:rPr>
        <w:t xml:space="preserve">或法人证书</w:t>
      </w:r>
      <w:r>
        <w:rPr>
          <w:rFonts w:hint="eastAsia" w:ascii="宋体" w:hAnsi="宋体" w:eastAsia="宋体" w:cs="宋体"/>
          <w:b/>
          <w:bCs/>
          <w:color w:val="auto"/>
          <w:sz w:val="24"/>
          <w:highlight w:val="none"/>
          <w:lang w:eastAsia="zh-CN"/>
        </w:rPr>
        <w:t xml:space="preserve">复印件</w:t>
      </w:r>
      <w:r>
        <w:rPr>
          <w:rFonts w:hint="eastAsia" w:ascii="宋体" w:hAnsi="宋体" w:eastAsia="宋体" w:cs="宋体"/>
          <w:b/>
          <w:bCs/>
          <w:color w:val="auto"/>
          <w:sz w:val="24"/>
          <w:highlight w:val="none"/>
        </w:rPr>
        <w:t xml:space="preserve">；</w:t>
      </w:r>
      <w:r/>
    </w:p>
    <w:p>
      <w:pPr>
        <w:ind w:right="26" w:firstLine="480"/>
        <w:jc w:val="left"/>
        <w:spacing w:line="360" w:lineRule="auto"/>
        <w:widowControl/>
        <w:rPr>
          <w:rFonts w:hint="eastAsia" w:ascii="宋体" w:hAnsi="宋体" w:cs="宋体"/>
          <w:b/>
          <w:bCs w:val="0"/>
          <w:color w:val="auto"/>
          <w:sz w:val="24"/>
          <w:highlight w:val="none"/>
        </w:rPr>
        <w:outlineLvl w:val="0"/>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供应商具有良好的商业信誉和健全的财务会计制度，</w:t>
      </w:r>
      <w:r>
        <w:rPr>
          <w:rFonts w:hint="eastAsia" w:ascii="宋体" w:hAnsi="宋体" w:cs="宋体"/>
          <w:b/>
          <w:bCs w:val="0"/>
          <w:color w:val="auto"/>
          <w:sz w:val="24"/>
          <w:highlight w:val="none"/>
        </w:rPr>
        <w:t xml:space="preserve">提供距</w:t>
      </w:r>
      <w:r>
        <w:rPr>
          <w:rFonts w:hint="eastAsia" w:ascii="宋体" w:hAnsi="宋体" w:cs="宋体"/>
          <w:b/>
          <w:bCs w:val="0"/>
          <w:color w:val="auto"/>
          <w:sz w:val="24"/>
          <w:highlight w:val="none"/>
          <w:lang w:eastAsia="zh-CN"/>
        </w:rPr>
        <w:t xml:space="preserve">响应文件</w:t>
      </w:r>
      <w:r>
        <w:rPr>
          <w:rFonts w:hint="eastAsia" w:ascii="宋体" w:hAnsi="宋体" w:cs="宋体"/>
          <w:b/>
          <w:bCs w:val="0"/>
          <w:color w:val="auto"/>
          <w:sz w:val="24"/>
          <w:highlight w:val="none"/>
        </w:rPr>
        <w:t xml:space="preserve">递交截止时间</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前六个月内任何时间的资产负债表、利润表扫描件各一份，或其银行出具的资信证书（复印件）</w:t>
      </w:r>
      <w:r>
        <w:rPr>
          <w:rFonts w:hint="eastAsia" w:ascii="宋体" w:hAnsi="宋体" w:cs="宋体"/>
          <w:b/>
          <w:bCs w:val="0"/>
          <w:color w:val="auto"/>
          <w:sz w:val="24"/>
          <w:highlight w:val="none"/>
          <w:lang w:eastAsia="zh-CN"/>
        </w:rPr>
        <w:t xml:space="preserve">（在响应文件</w:t>
      </w:r>
      <w:r>
        <w:rPr>
          <w:rFonts w:hint="eastAsia" w:ascii="宋体" w:hAnsi="宋体" w:cs="宋体"/>
          <w:b/>
          <w:bCs w:val="0"/>
          <w:color w:val="auto"/>
          <w:sz w:val="24"/>
          <w:highlight w:val="none"/>
        </w:rPr>
        <w:t xml:space="preserve">递交截止时间前六个月内），或其</w:t>
      </w:r>
      <w:r>
        <w:rPr>
          <w:rFonts w:hint="eastAsia" w:ascii="宋体" w:hAnsi="宋体" w:cs="宋体"/>
          <w:b/>
          <w:bCs w:val="0"/>
          <w:color w:val="auto"/>
          <w:sz w:val="24"/>
          <w:highlight w:val="none"/>
          <w:lang w:val="en-US" w:eastAsia="zh-CN"/>
        </w:rPr>
        <w:t xml:space="preserve">2025</w:t>
      </w:r>
      <w:r>
        <w:rPr>
          <w:rFonts w:hint="eastAsia" w:ascii="宋体" w:hAnsi="宋体" w:cs="宋体"/>
          <w:b/>
          <w:bCs w:val="0"/>
          <w:color w:val="auto"/>
          <w:sz w:val="24"/>
          <w:highlight w:val="none"/>
        </w:rPr>
        <w:t xml:space="preserve">年度经审计的财务报告复印件加盖电子签章；</w:t>
      </w:r>
      <w:r/>
    </w:p>
    <w:p>
      <w:pPr>
        <w:ind w:right="26" w:firstLine="480"/>
        <w:jc w:val="left"/>
        <w:spacing w:line="360" w:lineRule="auto"/>
        <w:widowControl/>
        <w:rPr>
          <w:rFonts w:hint="eastAsia" w:ascii="宋体" w:hAnsi="宋体" w:cs="宋体"/>
          <w:b w:val="0"/>
          <w:bCs/>
          <w:color w:val="auto"/>
          <w:sz w:val="24"/>
          <w:highlight w:val="none"/>
          <w:lang w:eastAsia="zh-CN"/>
        </w:rPr>
        <w:outlineLvl w:val="0"/>
      </w:pPr>
      <w:r>
        <w:rPr>
          <w:rFonts w:hint="eastAsia" w:ascii="宋体" w:hAnsi="宋体" w:cs="宋体"/>
          <w:b w:val="0"/>
          <w:bCs/>
          <w:color w:val="auto"/>
          <w:sz w:val="24"/>
          <w:highlight w:val="none"/>
        </w:rPr>
        <w:t xml:space="preserve">3</w:t>
      </w:r>
      <w:r>
        <w:rPr>
          <w:rFonts w:hint="eastAsia" w:ascii="宋体" w:hAnsi="宋体" w:cs="宋体"/>
          <w:b w:val="0"/>
          <w:bCs/>
          <w:color w:val="auto"/>
          <w:sz w:val="24"/>
          <w:highlight w:val="none"/>
          <w:lang w:eastAsia="zh-CN"/>
        </w:rPr>
        <w:t xml:space="preserve">、供应商有依法缴纳税收和</w:t>
      </w:r>
      <w:r>
        <w:rPr>
          <w:rFonts w:hint="eastAsia" w:ascii="宋体" w:hAnsi="宋体" w:cs="宋体"/>
          <w:b w:val="0"/>
          <w:bCs/>
          <w:color w:val="auto"/>
          <w:sz w:val="24"/>
          <w:highlight w:val="none"/>
          <w:lang w:val="en-US" w:eastAsia="zh-CN"/>
        </w:rPr>
        <w:t xml:space="preserve">社</w:t>
      </w:r>
      <w:r>
        <w:rPr>
          <w:rFonts w:hint="eastAsia" w:ascii="宋体" w:hAnsi="宋体" w:cs="宋体"/>
          <w:b w:val="0"/>
          <w:bCs/>
          <w:color w:val="auto"/>
          <w:sz w:val="24"/>
          <w:highlight w:val="none"/>
          <w:lang w:eastAsia="zh-CN"/>
        </w:rPr>
        <w:t xml:space="preserve">会保障资金的良好记录，</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响应文件</w:t>
      </w:r>
      <w:r>
        <w:rPr>
          <w:rFonts w:hint="eastAsia" w:ascii="宋体" w:hAnsi="宋体" w:cs="宋体"/>
          <w:b/>
          <w:color w:val="auto"/>
          <w:sz w:val="24"/>
          <w:highlight w:val="none"/>
        </w:rPr>
        <w:t xml:space="preserve">递交截止时间（不含</w:t>
      </w:r>
      <w:r>
        <w:rPr>
          <w:rFonts w:hint="eastAsia" w:ascii="宋体" w:hAnsi="宋体" w:cs="宋体"/>
          <w:b/>
          <w:color w:val="auto"/>
          <w:sz w:val="24"/>
          <w:highlight w:val="none"/>
          <w:lang w:eastAsia="zh-CN"/>
        </w:rPr>
        <w:t xml:space="preserve">响应文件</w:t>
      </w:r>
      <w:r>
        <w:rPr>
          <w:rFonts w:hint="eastAsia" w:ascii="宋体" w:hAnsi="宋体" w:cs="宋体"/>
          <w:b/>
          <w:color w:val="auto"/>
          <w:sz w:val="24"/>
          <w:highlight w:val="none"/>
        </w:rPr>
        <w:t xml:space="preserve">递交截止当月）前六个月内任意一个月份的依法缴纳税收和社会保障资金的相关材料扫描件</w:t>
      </w:r>
      <w:r>
        <w:rPr>
          <w:rFonts w:hint="eastAsia" w:ascii="宋体" w:hAnsi="宋体" w:cs="宋体"/>
          <w:b/>
          <w:color w:val="auto"/>
          <w:sz w:val="24"/>
          <w:highlight w:val="none"/>
          <w:lang w:val="en-US" w:eastAsia="zh-CN"/>
        </w:rPr>
        <w:t xml:space="preserve">加盖电子签章</w:t>
      </w:r>
      <w:r>
        <w:rPr>
          <w:rFonts w:hint="eastAsia" w:ascii="宋体" w:hAnsi="宋体" w:cs="宋体"/>
          <w:b/>
          <w:bCs w:val="0"/>
          <w:color w:val="auto"/>
          <w:sz w:val="24"/>
          <w:highlight w:val="none"/>
          <w:lang w:eastAsia="zh-CN"/>
        </w:rPr>
        <w:t xml:space="preserve">，或依法免税或不需要缴纳社会保障资金的供应商应提供相应其依法免税或不需要缴纳社会保障资金的证明文件扫描件；</w:t>
      </w:r>
      <w:r/>
    </w:p>
    <w:p>
      <w:pPr>
        <w:ind w:right="0" w:firstLine="482"/>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、本项目为专门面向中小微企业采购的项目，</w:t>
      </w:r>
      <w:r>
        <w:rPr>
          <w:rFonts w:hint="eastAsia" w:ascii="宋体" w:hAnsi="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cs="宋体"/>
          <w:b/>
          <w:bCs w:val="0"/>
          <w:color w:val="auto"/>
          <w:sz w:val="24"/>
          <w:highlight w:val="none"/>
        </w:rPr>
        <w:t xml:space="preserve">必须提供</w:t>
      </w:r>
      <w:r>
        <w:rPr>
          <w:rFonts w:hint="eastAsia" w:ascii="宋体" w:hAnsi="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1、报价</w:t>
      </w:r>
      <w:r/>
    </w:p>
    <w:p>
      <w:pPr>
        <w:ind w:firstLine="482"/>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1.1 《报价符合性审查》</w:t>
      </w:r>
      <w:bookmarkStart w:id="2" w:name="_GoBack"/>
      <w:r>
        <w:rPr>
          <w:rFonts w:hint="eastAsia" w:ascii="宋体" w:hAnsi="宋体" w:cs="宋体"/>
          <w:b/>
          <w:bCs/>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属于投标（响应）报价低于采购项目最高限价65%的，即投标（响应）报价&lt;采购项目最高限价×65%，供应商可随投标（响应）文件一并提交相关书面说明及必要的证明材料</w:t>
      </w:r>
      <w:r>
        <w:rPr>
          <w:rFonts w:hint="eastAsia" w:ascii="宋体" w:hAnsi="宋体" w:cs="宋体"/>
          <w:b/>
          <w:bCs/>
          <w:color w:val="auto"/>
          <w:sz w:val="24"/>
          <w:highlight w:val="none"/>
          <w:lang w:val="en-US" w:eastAsia="zh-CN"/>
        </w:rPr>
        <w:t xml:space="preserve">）；</w:t>
      </w:r>
      <w:bookmarkEnd w:id="2"/>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1.1 《磋商报价表》</w:t>
      </w:r>
      <w:r>
        <w:rPr>
          <w:rFonts w:hint="eastAsia" w:ascii="宋体" w:hAnsi="宋体" w:cs="宋体"/>
          <w:b w:val="0"/>
          <w:bCs w:val="0"/>
          <w:color w:val="auto"/>
          <w:sz w:val="24"/>
          <w:highlight w:val="none"/>
          <w:lang w:val="en-US" w:eastAsia="zh-CN"/>
        </w:rPr>
        <w:t xml:space="preserve">（政府采购客户端工具输入报价自动生成）；</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1.2 《</w:t>
      </w:r>
      <w:r>
        <w:rPr>
          <w:rFonts w:hint="eastAsia" w:ascii="宋体" w:hAnsi="宋体" w:cs="宋体"/>
          <w:b/>
          <w:bCs/>
          <w:color w:val="auto"/>
          <w:sz w:val="24"/>
          <w:highlight w:val="none"/>
        </w:rPr>
        <w:t xml:space="preserve">分项价格表</w:t>
      </w:r>
      <w:r>
        <w:rPr>
          <w:rFonts w:hint="eastAsia" w:ascii="宋体" w:hAnsi="宋体" w:cs="宋体"/>
          <w:b/>
          <w:bCs/>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（加盖电子签章，格式《磋商文件》附件）</w:t>
      </w:r>
      <w:r>
        <w:rPr>
          <w:rFonts w:hint="eastAsia" w:ascii="宋体" w:hAnsi="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2、商务资信</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2.1 </w:t>
      </w:r>
      <w:r>
        <w:rPr>
          <w:rFonts w:hint="eastAsia" w:ascii="宋体" w:hAnsi="宋体" w:cs="宋体"/>
          <w:b/>
          <w:bCs/>
          <w:color w:val="auto"/>
          <w:sz w:val="24"/>
          <w:highlight w:val="none"/>
        </w:rPr>
        <w:t xml:space="preserve">《承诺书》</w:t>
      </w:r>
      <w:r>
        <w:rPr>
          <w:rFonts w:hint="eastAsia" w:ascii="宋体" w:hAnsi="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2.2 《</w:t>
      </w:r>
      <w:r>
        <w:rPr>
          <w:rFonts w:hint="eastAsia" w:ascii="宋体" w:hAnsi="宋体" w:cs="宋体"/>
          <w:b/>
          <w:bCs/>
          <w:color w:val="auto"/>
          <w:sz w:val="24"/>
          <w:highlight w:val="none"/>
        </w:rPr>
        <w:t xml:space="preserve">授权委托书</w:t>
      </w:r>
      <w:r>
        <w:rPr>
          <w:rFonts w:hint="eastAsia" w:ascii="宋体" w:hAnsi="宋体" w:cs="宋体"/>
          <w:b/>
          <w:bCs/>
          <w:color w:val="auto"/>
          <w:sz w:val="24"/>
          <w:highlight w:val="none"/>
          <w:lang w:val="en-US" w:eastAsia="zh-CN"/>
        </w:rPr>
        <w:t xml:space="preserve">》</w:t>
      </w:r>
      <w:r>
        <w:rPr>
          <w:rFonts w:hint="eastAsia" w:ascii="宋体" w:hAnsi="宋体" w:cs="宋体"/>
          <w:b w:val="0"/>
          <w:bCs w:val="0"/>
          <w:color w:val="auto"/>
          <w:sz w:val="24"/>
          <w:highlight w:val="none"/>
        </w:rPr>
        <w:t xml:space="preserve">（提供扫描件，格式见招标文件第七章《投标文件相关格式》，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2.3 </w:t>
      </w:r>
      <w:r>
        <w:rPr>
          <w:rFonts w:hint="eastAsia" w:ascii="宋体" w:hAnsi="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技术响应</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3.1 《</w:t>
      </w:r>
      <w:r>
        <w:rPr>
          <w:rFonts w:hint="eastAsia" w:ascii="宋体" w:hAnsi="宋体" w:cs="宋体"/>
          <w:b/>
          <w:bCs/>
          <w:color w:val="auto"/>
          <w:sz w:val="24"/>
          <w:highlight w:val="none"/>
        </w:rPr>
        <w:t xml:space="preserve">偏离表</w:t>
      </w:r>
      <w:r>
        <w:rPr>
          <w:rFonts w:hint="eastAsia" w:ascii="宋体" w:hAnsi="宋体" w:cs="宋体"/>
          <w:b/>
          <w:bCs/>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 </w:t>
      </w:r>
      <w:r>
        <w:rPr>
          <w:rFonts w:hint="eastAsia" w:ascii="宋体" w:hAnsi="宋体" w:cs="宋体"/>
          <w:b/>
          <w:bCs/>
          <w:color w:val="auto"/>
          <w:sz w:val="24"/>
          <w:highlight w:val="none"/>
        </w:rPr>
        <w:t xml:space="preserve">《拟投入本项目人员情况表》</w:t>
      </w:r>
      <w:r>
        <w:rPr>
          <w:rFonts w:hint="eastAsia" w:ascii="宋体" w:hAnsi="宋体" w:cs="宋体"/>
          <w:b w:val="0"/>
          <w:bCs w:val="0"/>
          <w:color w:val="auto"/>
          <w:sz w:val="24"/>
          <w:highlight w:val="none"/>
        </w:rPr>
        <w:t xml:space="preserve">（加盖电子签章，格式《磋商文件》附件）；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1、现状分析</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、技术服务方案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、工作进度</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、质量保障</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5、应急保障方案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、企业综合实力</w:t>
      </w:r>
      <w:r>
        <w:rPr>
          <w:rFonts w:hint="eastAsia" w:ascii="宋体" w:hAnsi="宋体" w:cs="宋体"/>
          <w:color w:val="auto"/>
          <w:sz w:val="24"/>
          <w:highlight w:val="none"/>
        </w:rPr>
        <w:t xml:space="preserve">（要求见《磋商文件》附件1、《评分细则》）；</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、人员配备</w:t>
      </w:r>
      <w:r>
        <w:rPr>
          <w:rFonts w:hint="eastAsia" w:ascii="宋体" w:hAnsi="宋体" w:cs="宋体"/>
          <w:color w:val="auto"/>
          <w:sz w:val="24"/>
          <w:highlight w:val="none"/>
        </w:rPr>
        <w:t xml:space="preserve">（要求见《磋商文件》附件1、《评分细则》）；</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、设备配置</w:t>
      </w:r>
      <w:r>
        <w:rPr>
          <w:rFonts w:hint="eastAsia" w:ascii="宋体" w:hAnsi="宋体" w:cs="宋体"/>
          <w:color w:val="auto"/>
          <w:sz w:val="24"/>
          <w:highlight w:val="none"/>
        </w:rPr>
        <w:t xml:space="preserve">（要求见《磋商文件》附件1、《评分细则》）；</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100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0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02"/>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1、密封（加密）要求：</w:t>
      </w: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0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1002"/>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0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0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0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0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02"/>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00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pStyle w:val="920"/>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评审过程中出现下列情形之一的，评审委员会应当启动异常低价投标（响应）审查程序：</w:t>
      </w:r>
      <w:r/>
    </w:p>
    <w:p>
      <w:pPr>
        <w:pStyle w:val="92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92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92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920"/>
        <w:spacing w:after="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rFonts w:hint="eastAsia" w:ascii="宋体" w:hAnsi="宋体" w:cs="宋体"/>
          <w:color w:val="auto"/>
          <w:sz w:val="24"/>
          <w:highlight w:val="none"/>
          <w:lang w:eastAsia="zh-CN"/>
        </w:rPr>
        <w:t xml:space="preserve">。</w:t>
      </w:r>
      <w:r/>
    </w:p>
    <w:p>
      <w:pPr>
        <w:pStyle w:val="92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920"/>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0"/>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2"/>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及《关于推动解决政府采购异常低价问题的通知》。</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23"/>
        <w:ind w:firstLine="480"/>
        <w:spacing w:line="360" w:lineRule="auto"/>
        <w:rPr>
          <w:rStyle w:val="1052"/>
          <w:rFonts w:hint="eastAsia" w:ascii="宋体" w:hAnsi="宋体"/>
          <w:color w:val="auto"/>
          <w:sz w:val="24"/>
          <w:highlight w:val="none"/>
        </w:rPr>
      </w:pPr>
      <w:r>
        <w:rPr>
          <w:rStyle w:val="1052"/>
          <w:rFonts w:hint="eastAsia" w:ascii="宋体" w:hAnsi="宋体"/>
          <w:color w:val="auto"/>
          <w:sz w:val="24"/>
          <w:highlight w:val="none"/>
        </w:rPr>
        <w:t xml:space="preserve">（3）“信用江苏”网（http://credit.jiangsu.gov.cn/）；</w:t>
      </w:r>
      <w:r/>
    </w:p>
    <w:p>
      <w:pPr>
        <w:pStyle w:val="1123"/>
        <w:ind w:firstLine="480"/>
        <w:spacing w:line="360" w:lineRule="auto"/>
        <w:rPr>
          <w:rFonts w:hint="eastAsia" w:ascii="宋体" w:hAnsi="宋体" w:cs="宋体"/>
          <w:color w:val="auto"/>
          <w:sz w:val="24"/>
          <w:highlight w:val="none"/>
        </w:rPr>
      </w:pPr>
      <w:r>
        <w:rPr>
          <w:rStyle w:val="1052"/>
          <w:rFonts w:hint="eastAsia" w:ascii="宋体" w:hAnsi="宋体"/>
          <w:color w:val="auto"/>
          <w:sz w:val="24"/>
          <w:highlight w:val="none"/>
        </w:rPr>
        <w:t xml:space="preserve">（4）“信用中国(江苏徐州)”网（http://www.xuzhoucredit.gov.cn）</w:t>
      </w:r>
      <w:r>
        <w:rPr>
          <w:rStyle w:val="1052"/>
          <w:rFonts w:ascii="宋体" w:hAnsi="宋体"/>
          <w:color w:val="auto"/>
          <w:sz w:val="24"/>
          <w:highlight w:val="none"/>
        </w:rPr>
        <w:t xml:space="preserve">。</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00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002"/>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0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00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0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02"/>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02"/>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00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2"/>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002"/>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按照《政府采购法》及其实施条例以及相关规定，中标或者成交后无正当理由拒不与采购人签订政府采购合同的,在一至三年内禁止参加政府采购活动，列入政府采购严重违法失信行为记录名单。</w:t>
      </w:r>
      <w:r/>
    </w:p>
    <w:p>
      <w:pPr>
        <w:pStyle w:val="1002"/>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02"/>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02"/>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00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王一冰</w:t>
      </w:r>
      <w:r>
        <w:rPr>
          <w:rFonts w:hint="eastAsia" w:ascii="宋体" w:hAnsi="宋体" w:cs="宋体"/>
          <w:color w:val="auto"/>
          <w:sz w:val="24"/>
          <w:highlight w:val="none"/>
        </w:rPr>
        <w:t xml:space="preserve">        联系电话：0516-83999</w:t>
      </w:r>
      <w:r>
        <w:rPr>
          <w:rFonts w:hint="eastAsia" w:ascii="宋体" w:hAnsi="宋体" w:cs="宋体"/>
          <w:color w:val="auto"/>
          <w:sz w:val="24"/>
          <w:highlight w:val="none"/>
          <w:lang w:val="en-US" w:eastAsia="zh-CN"/>
        </w:rPr>
        <w:t xml:space="preserve">206</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名称：徐州淮海国际港务区柳新镇人民政府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地址：徐州淮海国际港务区柳新镇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姜大强  </w:t>
      </w:r>
      <w:r>
        <w:rPr>
          <w:rFonts w:hint="eastAsia" w:ascii="宋体" w:hAnsi="宋体" w:cs="宋体"/>
          <w:color w:val="auto"/>
          <w:sz w:val="24"/>
          <w:highlight w:val="none"/>
        </w:rPr>
        <w:t xml:space="preserve">13805210180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联系方式：王一冰  0516-83999206/0516-83999055</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二十五、采购人确定的采购项目属性：服务。</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6、《拟签订的合同文本》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8、《授权委托书》</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9、《中小企业声明函》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12、《拟投入本项目人员情况表》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14、《代理服务收费标准》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15、《供应商明确表示无需预付款的承诺函》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16、《预付款保函支付条款模板》</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0" w:lineRule="atLeast"/>
        <w:rPr>
          <w:rFonts w:hint="eastAsia" w:ascii="宋体" w:hAnsi="宋体" w:cs="宋体"/>
          <w:b/>
          <w:bCs/>
          <w:color w:val="auto"/>
          <w:sz w:val="24"/>
          <w:highlight w:val="none"/>
        </w:rPr>
      </w:pPr>
      <w:r>
        <w:rPr>
          <w:rFonts w:hint="eastAsia" w:ascii="宋体" w:hAnsi="宋体" w:cs="宋体"/>
          <w:b/>
          <w:color w:val="auto"/>
          <w:sz w:val="36"/>
          <w:highlight w:val="none"/>
          <w:lang w:val="en-US" w:eastAsia="zh-CN"/>
        </w:rPr>
        <w:t xml:space="preserve">1、</w:t>
      </w:r>
      <w:r>
        <w:rPr>
          <w:rFonts w:hint="eastAsia" w:ascii="宋体" w:hAnsi="宋体" w:cs="宋体"/>
          <w:b/>
          <w:color w:val="auto"/>
          <w:sz w:val="36"/>
          <w:highlight w:val="none"/>
        </w:rPr>
        <w:t xml:space="preserve">评分细则</w:t>
      </w:r>
      <w:r/>
    </w:p>
    <w:tbl>
      <w:tblPr>
        <w:tblStyle w:val="91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7926"/>
      </w:tblGrid>
      <w:tr>
        <w:trPr>
          <w:jc w:val="center"/>
          <w:trHeight w:val="701"/>
        </w:trPr>
        <w:tc>
          <w:tcPr>
            <w:tcW w:w="878" w:type="pct"/>
            <w:vAlign w:val="center"/>
            <w:textDirection w:val="lrTb"/>
            <w:noWrap w:val="false"/>
          </w:tcPr>
          <w:p>
            <w:pPr>
              <w:pStyle w:val="921"/>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评分项目</w:t>
            </w:r>
            <w:r/>
          </w:p>
        </w:tc>
        <w:tc>
          <w:tcPr>
            <w:tcW w:w="4121" w:type="pct"/>
            <w:vAlign w:val="center"/>
            <w:textDirection w:val="lrTb"/>
            <w:noWrap w:val="false"/>
          </w:tcPr>
          <w:p>
            <w:pPr>
              <w:pStyle w:val="921"/>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评分标准</w:t>
            </w:r>
            <w:r/>
          </w:p>
        </w:tc>
      </w:tr>
      <w:tr>
        <w:trPr>
          <w:jc w:val="center"/>
          <w:trHeight w:val="1372"/>
        </w:trPr>
        <w:tc>
          <w:tcPr>
            <w:tcW w:w="8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4121"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其他供应商的价格分统一按照下列公式计算：磋商报价得分=（磋商基准价/最后磋商报价）×10</w:t>
            </w:r>
            <w:r/>
          </w:p>
        </w:tc>
      </w:tr>
      <w:tr>
        <w:trPr>
          <w:jc w:val="center"/>
          <w:trHeight w:val="2175"/>
        </w:trPr>
        <w:tc>
          <w:tcPr>
            <w:tcW w:w="878" w:type="pct"/>
            <w:vAlign w:val="center"/>
            <w:vMerge w:val="restart"/>
            <w:textDirection w:val="lrTb"/>
            <w:noWrap w:val="false"/>
          </w:tcPr>
          <w:p>
            <w:pPr>
              <w:jc w:val="center"/>
              <w:widowControl/>
              <w:rPr>
                <w:rFonts w:hint="eastAsia" w:ascii="宋体" w:hAnsi="宋体" w:cs="宋体"/>
                <w:color w:val="auto"/>
                <w:sz w:val="24"/>
                <w:szCs w:val="20"/>
                <w:highlight w:val="none"/>
              </w:rPr>
              <w:outlineLvl w:val="0"/>
            </w:pPr>
            <w:r>
              <w:rPr>
                <w:rFonts w:hint="eastAsia" w:ascii="宋体" w:hAnsi="宋体" w:cs="宋体"/>
                <w:color w:val="auto"/>
                <w:sz w:val="24"/>
                <w:szCs w:val="20"/>
                <w:highlight w:val="none"/>
              </w:rPr>
              <w:t xml:space="preserve">企业综合实力（5分）</w:t>
            </w:r>
            <w:r/>
          </w:p>
        </w:tc>
        <w:tc>
          <w:tcPr>
            <w:tcW w:w="4121" w:type="pct"/>
            <w:textDirection w:val="lrTb"/>
            <w:noWrap w:val="false"/>
          </w:tcPr>
          <w:p>
            <w:pPr>
              <w:jc w:val="left"/>
              <w:widowControl/>
              <w:rPr>
                <w:rFonts w:hint="eastAsia" w:ascii="宋体" w:hAnsi="宋体" w:cs="宋体"/>
                <w:color w:val="auto"/>
                <w:sz w:val="24"/>
                <w:szCs w:val="20"/>
                <w:highlight w:val="none"/>
              </w:rPr>
              <w:outlineLvl w:val="0"/>
            </w:pPr>
            <w:r>
              <w:rPr>
                <w:rFonts w:hint="eastAsia" w:ascii="宋体" w:hAnsi="宋体" w:cs="宋体"/>
                <w:color w:val="auto"/>
                <w:sz w:val="24"/>
                <w:szCs w:val="20"/>
                <w:highlight w:val="none"/>
              </w:rPr>
              <w:t xml:space="preserve">1、供应商具有有效期内的质量管理体系认证证书、环境管理体系认证证书、职业健康安全管理体系认证证书，每个证书得1分，本项最高得3分。</w:t>
            </w:r>
            <w:r/>
          </w:p>
          <w:p>
            <w:pPr>
              <w:jc w:val="left"/>
              <w:widowControl/>
              <w:rPr>
                <w:rFonts w:hint="eastAsia" w:ascii="宋体" w:hAnsi="宋体" w:cs="宋体"/>
                <w:color w:val="auto"/>
                <w:sz w:val="24"/>
                <w:szCs w:val="20"/>
                <w:highlight w:val="none"/>
              </w:rPr>
              <w:outlineLvl w:val="0"/>
            </w:pPr>
            <w:r>
              <w:rPr>
                <w:rFonts w:hint="eastAsia" w:ascii="宋体" w:hAnsi="宋体" w:cs="宋体"/>
                <w:b/>
                <w:bCs/>
                <w:color w:val="auto"/>
                <w:sz w:val="24"/>
                <w:szCs w:val="20"/>
                <w:highlight w:val="none"/>
              </w:rPr>
              <w:t xml:space="preserve">注：响应文件中提供上述认证证书扫描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717"/>
        </w:trPr>
        <w:tc>
          <w:tcPr>
            <w:tcW w:w="878" w:type="pct"/>
            <w:vAlign w:val="center"/>
            <w:vMerge w:val="continue"/>
            <w:textDirection w:val="lrTb"/>
            <w:noWrap w:val="false"/>
          </w:tcPr>
          <w:p>
            <w:pPr>
              <w:jc w:val="left"/>
              <w:widowControl/>
              <w:rPr>
                <w:rFonts w:hint="eastAsia" w:ascii="宋体" w:hAnsi="宋体" w:cs="宋体"/>
                <w:color w:val="auto"/>
                <w:sz w:val="24"/>
                <w:szCs w:val="20"/>
                <w:highlight w:val="none"/>
              </w:rPr>
              <w:outlineLvl w:val="0"/>
            </w:pPr>
            <w:r>
              <w:rPr>
                <w:rFonts w:hint="eastAsia" w:ascii="宋体" w:hAnsi="宋体" w:cs="宋体"/>
                <w:color w:val="auto"/>
                <w:sz w:val="24"/>
                <w:szCs w:val="20"/>
                <w:highlight w:val="none"/>
              </w:rPr>
            </w:r>
            <w:r/>
          </w:p>
        </w:tc>
        <w:tc>
          <w:tcPr>
            <w:tcW w:w="4121" w:type="pct"/>
            <w:textDirection w:val="lrTb"/>
            <w:noWrap w:val="false"/>
          </w:tcPr>
          <w:p>
            <w:pPr>
              <w:jc w:val="left"/>
              <w:widowControl/>
              <w:rPr>
                <w:rFonts w:hint="eastAsia" w:ascii="宋体" w:hAnsi="宋体" w:cs="宋体"/>
                <w:color w:val="auto"/>
                <w:sz w:val="24"/>
                <w:szCs w:val="20"/>
                <w:highlight w:val="none"/>
              </w:rPr>
              <w:outlineLvl w:val="0"/>
            </w:pPr>
            <w:r>
              <w:rPr>
                <w:rFonts w:hint="eastAsia" w:ascii="宋体" w:hAnsi="宋体" w:cs="宋体"/>
                <w:color w:val="auto"/>
                <w:sz w:val="24"/>
                <w:szCs w:val="20"/>
                <w:highlight w:val="none"/>
              </w:rPr>
              <w:t xml:space="preserve">2、供应商具备有效的检验检测机构资质认定证书(CMA)得2分。</w:t>
            </w:r>
            <w:r/>
          </w:p>
          <w:p>
            <w:pPr>
              <w:jc w:val="left"/>
              <w:widowControl/>
              <w:rPr>
                <w:rFonts w:hint="eastAsia" w:ascii="宋体" w:hAnsi="宋体" w:cs="宋体"/>
                <w:color w:val="auto"/>
                <w:sz w:val="24"/>
                <w:szCs w:val="20"/>
                <w:highlight w:val="none"/>
              </w:rPr>
              <w:outlineLvl w:val="0"/>
            </w:pPr>
            <w:r>
              <w:rPr>
                <w:rFonts w:hint="eastAsia" w:ascii="宋体" w:hAnsi="宋体" w:cs="宋体"/>
                <w:b/>
                <w:bCs/>
                <w:color w:val="auto"/>
                <w:sz w:val="24"/>
                <w:szCs w:val="20"/>
                <w:highlight w:val="none"/>
              </w:rPr>
              <w:t xml:space="preserve">注：响应文件中提供上述认证证书扫描件,清晰可辨，否则不予认可。</w:t>
            </w:r>
            <w:r/>
          </w:p>
        </w:tc>
      </w:tr>
      <w:tr>
        <w:trPr>
          <w:jc w:val="center"/>
          <w:trHeight w:val="90"/>
        </w:trPr>
        <w:tc>
          <w:tcPr>
            <w:tcW w:w="878" w:type="pct"/>
            <w:vAlign w:val="center"/>
            <w:vMerge w:val="restart"/>
            <w:textDirection w:val="lrTb"/>
            <w:noWrap w:val="false"/>
          </w:tcPr>
          <w:p>
            <w:pPr>
              <w:jc w:val="center"/>
              <w:widowControl/>
              <w:rPr>
                <w:rFonts w:hint="eastAsia" w:ascii="宋体" w:hAnsi="宋体" w:cs="宋体"/>
                <w:color w:val="auto"/>
                <w:sz w:val="24"/>
                <w:szCs w:val="20"/>
                <w:highlight w:val="none"/>
              </w:rPr>
              <w:outlineLvl w:val="0"/>
            </w:pPr>
            <w:r>
              <w:rPr>
                <w:rFonts w:ascii="宋体" w:hAnsi="宋体" w:cs="宋体"/>
                <w:color w:val="auto"/>
                <w:sz w:val="24"/>
                <w:szCs w:val="20"/>
                <w:highlight w:val="none"/>
              </w:rPr>
              <w:t xml:space="preserve">人员配备</w:t>
            </w:r>
            <w:r/>
          </w:p>
          <w:p>
            <w:pPr>
              <w:pStyle w:val="1240"/>
              <w:jc w:val="center"/>
              <w:rPr>
                <w:rFonts w:hint="eastAsia" w:ascii="宋体" w:hAnsi="宋体" w:cs="宋体"/>
                <w:color w:val="auto"/>
                <w:sz w:val="24"/>
                <w:highlight w:val="none"/>
              </w:rPr>
            </w:pPr>
            <w:r>
              <w:rPr>
                <w:rFonts w:hint="eastAsia" w:ascii="宋体" w:hAnsi="宋体" w:cs="宋体"/>
                <w:color w:val="auto"/>
                <w:sz w:val="24"/>
                <w:szCs w:val="20"/>
                <w:highlight w:val="none"/>
              </w:rPr>
              <w:t xml:space="preserve">（13分）</w:t>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1、项目负责人具备环境类相关专业高级及以上职称证的得2分。</w:t>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注：响应文件提供相关证书及开标前6个月内</w:t>
            </w:r>
            <w:r>
              <w:rPr>
                <w:rFonts w:hint="eastAsia" w:ascii="宋体" w:hAnsi="宋体" w:cs="宋体"/>
                <w:b/>
                <w:bCs/>
                <w:color w:val="auto"/>
                <w:sz w:val="24"/>
                <w:highlight w:val="none"/>
                <w:lang w:val="en-US" w:eastAsia="zh-CN"/>
              </w:rPr>
              <w:t xml:space="preserve">任意1个月</w:t>
            </w:r>
            <w:r>
              <w:rPr>
                <w:rFonts w:hint="eastAsia" w:ascii="宋体" w:hAnsi="宋体" w:cs="宋体"/>
                <w:b/>
                <w:bCs/>
                <w:color w:val="auto"/>
                <w:sz w:val="24"/>
                <w:highlight w:val="none"/>
              </w:rPr>
              <w:t xml:space="preserve">供应商为其缴纳社保证明材料原件扫描件，否则不得分。</w:t>
            </w:r>
            <w:r/>
          </w:p>
        </w:tc>
      </w:tr>
      <w:tr>
        <w:trPr>
          <w:jc w:val="center"/>
          <w:trHeight w:val="90"/>
        </w:trPr>
        <w:tc>
          <w:tcPr>
            <w:tcW w:w="878" w:type="pct"/>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2、拟投入本项目的其他成员具备环境类相关专业中级及以上职称的，每提供一名得0.5分，本项最高得5分。</w:t>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注：响应文件提供相关证书及开标前6个月内</w:t>
            </w:r>
            <w:r>
              <w:rPr>
                <w:rFonts w:hint="eastAsia" w:ascii="宋体" w:hAnsi="宋体" w:cs="宋体"/>
                <w:b/>
                <w:bCs/>
                <w:color w:val="auto"/>
                <w:sz w:val="24"/>
                <w:highlight w:val="none"/>
                <w:lang w:val="en-US" w:eastAsia="zh-CN"/>
              </w:rPr>
              <w:t xml:space="preserve">任意1个月</w:t>
            </w:r>
            <w:r>
              <w:rPr>
                <w:rFonts w:hint="eastAsia" w:ascii="宋体" w:hAnsi="宋体" w:cs="宋体"/>
                <w:b/>
                <w:bCs/>
                <w:color w:val="auto"/>
                <w:sz w:val="24"/>
                <w:highlight w:val="none"/>
              </w:rPr>
              <w:t xml:space="preserve">供应商为其缴纳社保证明材料原件扫描件，否则不得分。</w:t>
            </w:r>
            <w:r/>
          </w:p>
        </w:tc>
      </w:tr>
      <w:tr>
        <w:trPr>
          <w:jc w:val="center"/>
          <w:trHeight w:val="940"/>
        </w:trPr>
        <w:tc>
          <w:tcPr>
            <w:tcW w:w="878" w:type="pct"/>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3、拟投入本项目的成员持有中国环境保护部环境工程评估中心颁发的建设项目竣工环境保护验收调查基础能力培训证书的，每提供1个得2分，最高得4分。</w:t>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注：响应文件提供相关证书及开标前6个月内</w:t>
            </w:r>
            <w:r>
              <w:rPr>
                <w:rFonts w:hint="eastAsia" w:ascii="宋体" w:hAnsi="宋体" w:cs="宋体"/>
                <w:b/>
                <w:bCs/>
                <w:color w:val="auto"/>
                <w:sz w:val="24"/>
                <w:highlight w:val="none"/>
                <w:lang w:val="en-US" w:eastAsia="zh-CN"/>
              </w:rPr>
              <w:t xml:space="preserve">任意1个月</w:t>
            </w:r>
            <w:r>
              <w:rPr>
                <w:rFonts w:hint="eastAsia" w:ascii="宋体" w:hAnsi="宋体" w:cs="宋体"/>
                <w:b/>
                <w:bCs/>
                <w:color w:val="auto"/>
                <w:sz w:val="24"/>
                <w:highlight w:val="none"/>
              </w:rPr>
              <w:t xml:space="preserve">供应商为其缴纳社保证明材料原件扫描件，否则不得分。</w:t>
            </w:r>
            <w:r/>
          </w:p>
        </w:tc>
      </w:tr>
      <w:tr>
        <w:trPr>
          <w:jc w:val="center"/>
          <w:trHeight w:val="238"/>
        </w:trPr>
        <w:tc>
          <w:tcPr>
            <w:tcBorders>
              <w:bottom w:val="single" w:color="auto" w:sz="4" w:space="0"/>
            </w:tcBorders>
            <w:tcW w:w="878" w:type="pct"/>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4、上述1-3项人员</w:t>
            </w:r>
            <w:r>
              <w:rPr>
                <w:rFonts w:hint="eastAsia" w:ascii="宋体" w:hAnsi="宋体" w:cs="宋体"/>
                <w:color w:val="auto"/>
                <w:sz w:val="24"/>
                <w:highlight w:val="none"/>
                <w:lang w:val="en-US" w:eastAsia="zh-CN"/>
              </w:rPr>
              <w:t xml:space="preserve">配备</w:t>
            </w:r>
            <w:r>
              <w:rPr>
                <w:rFonts w:hint="eastAsia" w:ascii="宋体" w:hAnsi="宋体" w:cs="宋体"/>
                <w:color w:val="auto"/>
                <w:sz w:val="24"/>
                <w:highlight w:val="none"/>
              </w:rPr>
              <w:t xml:space="preserve">中任意一人同时持有无人驾驶航空器操作手合格证的得2分，不提供不得分。</w:t>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注：响应文件提供相关证书及开标前6个月内</w:t>
            </w:r>
            <w:r>
              <w:rPr>
                <w:rFonts w:hint="eastAsia" w:ascii="宋体" w:hAnsi="宋体" w:cs="宋体"/>
                <w:b/>
                <w:bCs/>
                <w:color w:val="auto"/>
                <w:sz w:val="24"/>
                <w:highlight w:val="none"/>
                <w:lang w:val="en-US" w:eastAsia="zh-CN"/>
              </w:rPr>
              <w:t xml:space="preserve">任意1个月</w:t>
            </w:r>
            <w:r>
              <w:rPr>
                <w:rFonts w:hint="eastAsia" w:ascii="宋体" w:hAnsi="宋体" w:cs="宋体"/>
                <w:b/>
                <w:bCs/>
                <w:color w:val="auto"/>
                <w:sz w:val="24"/>
                <w:highlight w:val="none"/>
              </w:rPr>
              <w:t xml:space="preserve">供应商为其缴纳社保证明材料原件扫描件，否则不得分。</w:t>
            </w:r>
            <w:r/>
          </w:p>
        </w:tc>
      </w:tr>
      <w:tr>
        <w:trPr>
          <w:jc w:val="center"/>
          <w:trHeight w:val="1035"/>
        </w:trPr>
        <w:tc>
          <w:tcPr>
            <w:tcBorders>
              <w:top w:val="single" w:color="auto" w:sz="4" w:space="0"/>
              <w:left w:val="single" w:color="auto" w:sz="4" w:space="0"/>
              <w:right w:val="single" w:color="auto" w:sz="4" w:space="0"/>
            </w:tcBorders>
            <w:tcW w:w="878" w:type="pct"/>
            <w:vAlign w:val="center"/>
            <w:vMerge w:val="restart"/>
            <w:textDirection w:val="lrTb"/>
            <w:noWrap w:val="false"/>
          </w:tcPr>
          <w:p>
            <w:pPr>
              <w:jc w:val="center"/>
              <w:rPr>
                <w:rFonts w:hint="eastAsia" w:ascii="宋体" w:hAnsi="宋体" w:cs="宋体"/>
                <w:color w:val="auto"/>
                <w:sz w:val="24"/>
                <w:szCs w:val="20"/>
                <w:highlight w:val="none"/>
              </w:rPr>
            </w:pPr>
            <w:r>
              <w:rPr>
                <w:rFonts w:ascii="宋体" w:hAnsi="宋体" w:cs="宋体"/>
                <w:color w:val="auto"/>
                <w:sz w:val="24"/>
                <w:szCs w:val="20"/>
                <w:highlight w:val="none"/>
              </w:rPr>
              <w:t xml:space="preserve">设备配置</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Borders>
              <w:left w:val="single" w:color="auto" w:sz="4" w:space="0"/>
            </w:tcBorders>
            <w:tcW w:w="4121" w:type="pct"/>
            <w:vAlign w:val="center"/>
            <w:textDirection w:val="lrTb"/>
            <w:noWrap w:val="false"/>
          </w:tcPr>
          <w:p>
            <w:pPr>
              <w:pStyle w:val="1241"/>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highlight w:val="none"/>
                <w:lang w:val="en-US" w:eastAsia="zh-CN"/>
              </w:rPr>
              <w:t xml:space="preserve">配备以下五类设备：①</w:t>
            </w:r>
            <w:r>
              <w:rPr>
                <w:rFonts w:hint="eastAsia" w:ascii="宋体" w:hAnsi="宋体" w:eastAsia="宋体" w:cs="宋体"/>
                <w:color w:val="auto"/>
                <w:highlight w:val="none"/>
              </w:rPr>
              <w:t xml:space="preserve">快速检测便携式多参数分析仪、</w:t>
            </w:r>
            <w:r>
              <w:rPr>
                <w:rFonts w:hint="eastAsia" w:ascii="宋体" w:hAnsi="宋体" w:eastAsia="宋体" w:cs="宋体"/>
                <w:color w:val="auto"/>
                <w:highlight w:val="none"/>
                <w:lang w:val="en-US" w:eastAsia="zh-CN"/>
              </w:rPr>
              <w:t xml:space="preserve">②电感耦合等离子体质谱仪、③原子吸收分光光度计</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④原子荧光光度计、⑤</w:t>
            </w:r>
            <w:r>
              <w:rPr>
                <w:rFonts w:hint="eastAsia" w:ascii="宋体" w:hAnsi="宋体" w:eastAsia="宋体" w:cs="宋体"/>
                <w:color w:val="auto"/>
                <w:highlight w:val="none"/>
              </w:rPr>
              <w:t xml:space="preserve">无人机，</w:t>
            </w:r>
            <w:r>
              <w:rPr>
                <w:rFonts w:hint="eastAsia" w:ascii="宋体" w:hAnsi="宋体" w:eastAsia="宋体" w:cs="宋体"/>
                <w:color w:val="auto"/>
                <w:highlight w:val="none"/>
                <w:lang w:val="en-US" w:eastAsia="zh-CN"/>
              </w:rPr>
              <w:t xml:space="preserve">上述</w:t>
            </w:r>
            <w:r>
              <w:rPr>
                <w:rFonts w:hint="eastAsia" w:ascii="宋体" w:hAnsi="宋体" w:eastAsia="宋体" w:cs="宋体"/>
                <w:color w:val="auto"/>
                <w:highlight w:val="none"/>
              </w:rPr>
              <w:t xml:space="preserve">每</w:t>
            </w:r>
            <w:r>
              <w:rPr>
                <w:rFonts w:hint="eastAsia" w:ascii="宋体" w:hAnsi="宋体" w:eastAsia="宋体" w:cs="宋体"/>
                <w:color w:val="auto"/>
                <w:highlight w:val="none"/>
                <w:lang w:val="en-US" w:eastAsia="zh-CN"/>
              </w:rPr>
              <w:t xml:space="preserve">类设备配备</w:t>
            </w:r>
            <w:r>
              <w:rPr>
                <w:rFonts w:hint="eastAsia" w:ascii="宋体" w:hAnsi="宋体" w:eastAsia="宋体" w:cs="宋体"/>
                <w:color w:val="auto"/>
                <w:highlight w:val="none"/>
              </w:rPr>
              <w:t xml:space="preserve">1台得1分，最高得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p>
            <w:pPr>
              <w:pStyle w:val="1241"/>
              <w:ind w:left="0" w:firstLine="0"/>
              <w:spacing w:line="240" w:lineRule="auto"/>
              <w:rPr>
                <w:color w:val="auto"/>
                <w:highlight w:val="none"/>
              </w:rPr>
            </w:pPr>
            <w:r>
              <w:rPr>
                <w:rFonts w:hint="eastAsia" w:ascii="宋体" w:hAnsi="宋体" w:eastAsia="宋体" w:cs="宋体"/>
                <w:b/>
                <w:bCs/>
                <w:color w:val="auto"/>
                <w:highlight w:val="none"/>
              </w:rPr>
              <w:t xml:space="preserve">注：响应文件提供设备购买合同发票</w:t>
            </w:r>
            <w:r>
              <w:rPr>
                <w:rFonts w:hint="eastAsia" w:ascii="宋体" w:hAnsi="宋体" w:eastAsia="宋体" w:cs="宋体"/>
                <w:b/>
                <w:bCs/>
                <w:color w:val="auto"/>
                <w:highlight w:val="none"/>
                <w:lang w:val="en-US" w:eastAsia="zh-CN"/>
              </w:rPr>
              <w:t xml:space="preserve">原件扫描件</w:t>
            </w:r>
            <w:r>
              <w:rPr>
                <w:rFonts w:hint="eastAsia" w:ascii="宋体" w:hAnsi="宋体" w:eastAsia="宋体" w:cs="宋体"/>
                <w:b/>
                <w:bCs/>
                <w:color w:val="auto"/>
                <w:highlight w:val="none"/>
              </w:rPr>
              <w:t xml:space="preserve">或</w:t>
            </w:r>
            <w:r>
              <w:rPr>
                <w:rFonts w:hint="eastAsia" w:ascii="宋体" w:hAnsi="宋体" w:eastAsia="宋体" w:cs="宋体"/>
                <w:b/>
                <w:bCs/>
                <w:color w:val="auto"/>
                <w:highlight w:val="none"/>
                <w:lang w:val="en-US" w:eastAsia="zh-CN"/>
              </w:rPr>
              <w:t xml:space="preserve">租赁</w:t>
            </w:r>
            <w:r>
              <w:rPr>
                <w:rFonts w:hint="eastAsia" w:ascii="宋体" w:hAnsi="宋体" w:eastAsia="宋体" w:cs="宋体"/>
                <w:b/>
                <w:bCs/>
                <w:color w:val="auto"/>
                <w:highlight w:val="none"/>
              </w:rPr>
              <w:t xml:space="preserve">合同扫描件，否则不予认可。</w:t>
            </w:r>
            <w:r/>
          </w:p>
        </w:tc>
      </w:tr>
      <w:tr>
        <w:trPr>
          <w:jc w:val="center"/>
          <w:trHeight w:val="358"/>
        </w:trPr>
        <w:tc>
          <w:tcPr>
            <w:tcBorders>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color w:val="auto"/>
                <w:sz w:val="24"/>
                <w:szCs w:val="20"/>
                <w:highlight w:val="none"/>
              </w:rPr>
            </w:pPr>
            <w:r>
              <w:rPr>
                <w:rFonts w:ascii="宋体" w:hAnsi="宋体" w:cs="宋体"/>
                <w:color w:val="auto"/>
                <w:sz w:val="24"/>
                <w:szCs w:val="20"/>
                <w:highlight w:val="none"/>
              </w:rPr>
              <w:t xml:space="preserve">现状分析</w:t>
            </w:r>
            <w:r/>
          </w:p>
          <w:p>
            <w:pPr>
              <w:jc w:val="center"/>
              <w:rPr>
                <w:rFonts w:hint="eastAsia" w:ascii="宋体" w:hAnsi="宋体" w:cs="宋体"/>
                <w:color w:val="auto"/>
                <w:sz w:val="24"/>
                <w:highlight w:val="none"/>
              </w:rPr>
            </w:pPr>
            <w:r>
              <w:rPr>
                <w:rFonts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15</w:t>
            </w:r>
            <w:r>
              <w:rPr>
                <w:rFonts w:ascii="宋体" w:hAnsi="宋体" w:cs="宋体"/>
                <w:color w:val="auto"/>
                <w:sz w:val="24"/>
                <w:szCs w:val="20"/>
                <w:highlight w:val="none"/>
              </w:rPr>
              <w:t xml:space="preserve">分）</w:t>
            </w:r>
            <w:r/>
          </w:p>
        </w:tc>
        <w:tc>
          <w:tcPr>
            <w:tcBorders>
              <w:left w:val="single" w:color="auto" w:sz="4" w:space="0"/>
            </w:tcBorders>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根据响应文件中提供的本项目现状分析的全面性、理解性</w:t>
            </w:r>
            <w:r>
              <w:rPr>
                <w:rFonts w:hint="eastAsia" w:ascii="宋体" w:hAnsi="宋体" w:cs="宋体"/>
                <w:color w:val="auto"/>
                <w:sz w:val="24"/>
                <w:highlight w:val="none"/>
                <w:lang w:eastAsia="zh-CN"/>
              </w:rPr>
              <w:t xml:space="preserve">、针对性</w:t>
            </w:r>
            <w:r>
              <w:rPr>
                <w:rFonts w:hint="eastAsia" w:ascii="宋体" w:hAnsi="宋体" w:cs="宋体"/>
                <w:color w:val="auto"/>
                <w:sz w:val="24"/>
                <w:highlight w:val="none"/>
              </w:rPr>
              <w:t xml:space="preserve">进行综合</w:t>
            </w:r>
            <w:r>
              <w:rPr>
                <w:rFonts w:hint="eastAsia" w:ascii="宋体" w:hAnsi="宋体" w:cs="宋体"/>
                <w:color w:val="auto"/>
                <w:sz w:val="24"/>
                <w:highlight w:val="none"/>
                <w:lang w:val="en-US" w:eastAsia="zh-CN"/>
              </w:rPr>
              <w:t xml:space="preserve">评价</w:t>
            </w:r>
            <w:r>
              <w:rPr>
                <w:rFonts w:hint="eastAsia" w:ascii="宋体" w:hAnsi="宋体" w:cs="宋体"/>
                <w:color w:val="auto"/>
                <w:sz w:val="24"/>
                <w:highlight w:val="none"/>
              </w:rPr>
              <w:t xml:space="preserve">。</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分)：全面具体详实的得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分；较全面的得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分；不太全面的得1分。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理解性（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分）：理解深刻透彻得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分；基本全面得1分。</w:t>
            </w:r>
            <w:r/>
          </w:p>
          <w:p>
            <w:pPr>
              <w:pStyle w:val="926"/>
              <w:spacing w:after="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针对性（5分）：针对性强的得5分，针对性较强得3分，针对性不强得1分。</w:t>
            </w:r>
            <w:r/>
          </w:p>
          <w:p>
            <w:pPr>
              <w:pStyle w:val="926"/>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未提供的不得分。本项最高得1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分，最低得0分。</w:t>
            </w:r>
            <w:r/>
          </w:p>
        </w:tc>
      </w:tr>
      <w:tr>
        <w:trPr>
          <w:jc w:val="center"/>
          <w:trHeight w:val="2215"/>
        </w:trPr>
        <w:tc>
          <w:tcPr>
            <w:tcBorders>
              <w:top w:val="single" w:color="auto" w:sz="4" w:space="0"/>
            </w:tcBorders>
            <w:tcW w:w="87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技术服务方案(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根据响应文件中提供的技术服务方案的内容的科学性、可行性、针对性进行评价。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科学性（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分）：科学合理得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分，较科学合理得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分，不太科学合理得1分。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分）：切实可行得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分；可行性欠缺得1分。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分；针对性不强得1分。</w:t>
            </w:r>
            <w:r/>
          </w:p>
          <w:p>
            <w:pPr>
              <w:rPr>
                <w:rFonts w:hint="eastAsia" w:ascii="宋体" w:hAnsi="宋体" w:cs="宋体"/>
                <w:color w:val="auto"/>
                <w:sz w:val="24"/>
                <w:highlight w:val="none"/>
              </w:rPr>
            </w:pPr>
            <w:r>
              <w:rPr>
                <w:rFonts w:hint="eastAsia" w:ascii="宋体" w:hAnsi="宋体" w:cs="宋体"/>
                <w:b/>
                <w:bCs/>
                <w:color w:val="auto"/>
                <w:sz w:val="24"/>
                <w:highlight w:val="none"/>
              </w:rPr>
              <w:t xml:space="preserve">未提供的不得分。本项最高得</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分，最低得0分。</w:t>
            </w:r>
            <w:r/>
          </w:p>
        </w:tc>
      </w:tr>
      <w:tr>
        <w:trPr>
          <w:jc w:val="center"/>
          <w:trHeight w:val="2506"/>
        </w:trPr>
        <w:tc>
          <w:tcPr>
            <w:tcW w:w="878" w:type="pct"/>
            <w:vAlign w:val="center"/>
            <w:textDirection w:val="lrTb"/>
            <w:noWrap w:val="false"/>
          </w:tcPr>
          <w:p>
            <w:pPr>
              <w:pStyle w:val="1240"/>
              <w:jc w:val="center"/>
              <w:rPr>
                <w:rFonts w:hint="eastAsia" w:ascii="宋体" w:hAnsi="宋体" w:cs="宋体"/>
                <w:color w:val="auto"/>
                <w:sz w:val="24"/>
                <w:szCs w:val="20"/>
                <w:highlight w:val="none"/>
              </w:rPr>
            </w:pPr>
            <w:r>
              <w:rPr>
                <w:rFonts w:ascii="宋体" w:hAnsi="宋体" w:cs="宋体"/>
                <w:color w:val="auto"/>
                <w:sz w:val="24"/>
                <w:szCs w:val="20"/>
                <w:highlight w:val="none"/>
              </w:rPr>
              <w:t xml:space="preserve">工作进度</w:t>
            </w:r>
            <w:r/>
          </w:p>
          <w:p>
            <w:pPr>
              <w:pStyle w:val="1240"/>
              <w:jc w:val="center"/>
              <w:rPr>
                <w:rFonts w:hint="eastAsia" w:ascii="宋体" w:hAnsi="宋体" w:cs="宋体"/>
                <w:color w:val="auto"/>
                <w:sz w:val="24"/>
                <w:highlight w:val="none"/>
              </w:rPr>
            </w:pPr>
            <w:r>
              <w:rPr>
                <w:rFonts w:hint="eastAsia" w:ascii="宋体" w:hAnsi="宋体" w:cs="宋体"/>
                <w:color w:val="auto"/>
                <w:sz w:val="24"/>
                <w:highlight w:val="none"/>
              </w:rPr>
              <w:t xml:space="preserve">（15分）</w:t>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根据响应文件中提供的工作进度（包括但不限于项目进度计划、服务期承诺等）合理性、可行性、针对性进行评审：</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合理性（5分）：合理性强的得5分，合理性较强得3分，合理性不强得1分。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可行性（5分）：可行性强的得5分，可行性较强得3分，可行不强得1分。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针对性（5分）：针对性强的得5分，针对性较强得3分，针对性不强得1分。</w:t>
            </w:r>
            <w:r/>
          </w:p>
          <w:p>
            <w:pPr>
              <w:rPr>
                <w:rFonts w:hint="eastAsia" w:ascii="宋体" w:hAnsi="宋体" w:cs="宋体"/>
                <w:color w:val="auto"/>
                <w:highlight w:val="none"/>
              </w:rPr>
            </w:pPr>
            <w:r>
              <w:rPr>
                <w:rFonts w:hint="eastAsia" w:ascii="宋体" w:hAnsi="宋体" w:cs="宋体"/>
                <w:b/>
                <w:bCs/>
                <w:color w:val="auto"/>
                <w:sz w:val="24"/>
                <w:highlight w:val="none"/>
              </w:rPr>
              <w:t xml:space="preserve">未提供的不得分。本项最高得15分，最低得0分。</w:t>
            </w:r>
            <w:r/>
          </w:p>
        </w:tc>
      </w:tr>
      <w:tr>
        <w:trPr>
          <w:jc w:val="center"/>
          <w:trHeight w:val="1001"/>
        </w:trPr>
        <w:tc>
          <w:tcPr>
            <w:tcW w:w="878" w:type="pct"/>
            <w:vAlign w:val="center"/>
            <w:textDirection w:val="lrTb"/>
            <w:noWrap w:val="false"/>
          </w:tcPr>
          <w:p>
            <w:pPr>
              <w:jc w:val="center"/>
              <w:widowControl/>
              <w:rPr>
                <w:rFonts w:hint="eastAsia" w:ascii="宋体" w:hAnsi="宋体" w:cs="宋体"/>
                <w:color w:val="auto"/>
                <w:sz w:val="24"/>
                <w:szCs w:val="20"/>
                <w:highlight w:val="none"/>
              </w:rPr>
              <w:outlineLvl w:val="0"/>
            </w:pPr>
            <w:r>
              <w:rPr>
                <w:rFonts w:hint="eastAsia" w:ascii="宋体" w:hAnsi="宋体" w:cs="宋体"/>
                <w:color w:val="auto"/>
                <w:sz w:val="24"/>
                <w:szCs w:val="20"/>
                <w:highlight w:val="none"/>
              </w:rPr>
              <w:t xml:space="preserve">质量保障</w:t>
            </w:r>
            <w:r/>
          </w:p>
          <w:p>
            <w:pPr>
              <w:pStyle w:val="1240"/>
              <w:jc w:val="center"/>
              <w:rPr>
                <w:rFonts w:hint="eastAsia" w:ascii="宋体" w:hAnsi="宋体" w:cs="宋体"/>
                <w:color w:val="auto"/>
                <w:sz w:val="24"/>
                <w:highlight w:val="none"/>
              </w:rPr>
            </w:pPr>
            <w:r>
              <w:rPr>
                <w:rFonts w:hint="eastAsia" w:ascii="宋体" w:hAnsi="宋体" w:cs="宋体"/>
                <w:color w:val="auto"/>
                <w:sz w:val="24"/>
                <w:highlight w:val="none"/>
              </w:rPr>
              <w:t xml:space="preserve">（15分）</w:t>
            </w:r>
            <w:r/>
          </w:p>
        </w:tc>
        <w:tc>
          <w:tcPr>
            <w:tcW w:w="4121"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根据响应文件中提供的质量保障措施（包括但不限于项目质量保障计划安排方案、质量保障措施及保证措施等）科学性、合理性、可行性进行评审：</w:t>
            </w:r>
            <w:r/>
          </w:p>
          <w:p>
            <w:pPr>
              <w:rPr>
                <w:rFonts w:hint="eastAsia" w:ascii="宋体" w:hAnsi="宋体" w:cs="宋体"/>
                <w:color w:val="auto"/>
                <w:sz w:val="24"/>
                <w:highlight w:val="none"/>
              </w:rPr>
            </w:pPr>
            <w:r>
              <w:rPr>
                <w:rFonts w:hint="eastAsia" w:ascii="宋体" w:hAnsi="宋体" w:cs="宋体"/>
                <w:color w:val="auto"/>
                <w:sz w:val="24"/>
                <w:highlight w:val="none"/>
              </w:rPr>
              <w:t xml:space="preserve">科学性（5分）：科学合理得5分，较科学合理得3分，不太科学合理得1分。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合理性（5分）：方案合理得5分，方案较合理得3分，方案合理性不强得1分。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可行性（5分）：切实可行得5分，较切实可行得3分，可行欠缺得1分。</w:t>
            </w:r>
            <w:r/>
          </w:p>
          <w:p>
            <w:pPr>
              <w:rPr>
                <w:rFonts w:hint="eastAsia" w:ascii="宋体" w:hAnsi="宋体" w:cs="宋体"/>
                <w:color w:val="auto"/>
                <w:highlight w:val="none"/>
              </w:rPr>
            </w:pPr>
            <w:r>
              <w:rPr>
                <w:rFonts w:hint="eastAsia" w:ascii="宋体" w:hAnsi="宋体" w:cs="宋体"/>
                <w:b/>
                <w:bCs/>
                <w:color w:val="auto"/>
                <w:sz w:val="24"/>
                <w:highlight w:val="none"/>
              </w:rPr>
              <w:t xml:space="preserve">未提供的不得分。本项最高得15分，最低得0分。</w:t>
            </w:r>
            <w:r/>
          </w:p>
        </w:tc>
      </w:tr>
      <w:tr>
        <w:trPr>
          <w:jc w:val="center"/>
          <w:trHeight w:val="1001"/>
        </w:trPr>
        <w:tc>
          <w:tcPr>
            <w:tcW w:w="878" w:type="pct"/>
            <w:vAlign w:val="center"/>
            <w:textDirection w:val="lrTb"/>
            <w:noWrap w:val="false"/>
          </w:tcPr>
          <w:p>
            <w:pPr>
              <w:pStyle w:val="124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应急保障方案</w:t>
            </w:r>
            <w:r/>
          </w:p>
          <w:p>
            <w:pPr>
              <w:jc w:val="center"/>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4121" w:type="pct"/>
            <w:vAlign w:val="center"/>
            <w:textDirection w:val="lrTb"/>
            <w:noWrap w:val="false"/>
          </w:tcPr>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根据响应文件中提供的应急保障方案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包括但不限于突发水环境风险、应急处置保障、现场安全与作业应急保障等</w:t>
            </w:r>
            <w:r>
              <w:rPr>
                <w:rFonts w:hint="eastAsia" w:ascii="宋体" w:hAnsi="宋体" w:cs="宋体"/>
                <w:color w:val="auto"/>
                <w:sz w:val="24"/>
                <w:highlight w:val="none"/>
                <w:lang w:eastAsia="zh-CN"/>
              </w:rPr>
              <w:t xml:space="preserve">）合理性、可行性、针对性进行评审：</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分）：合理性强的得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分，合理性较强得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分，合理性不强得1分。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分）：可行性强的得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分，可行性较强得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分，可行不强得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分）：针对性强的得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未提供的不得分。本项最高得</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分，最低得0分。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说明：1、本项目采用综合评分法。</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jc w:val="center"/>
        <w:spacing w:line="0" w:lineRule="atLeast"/>
        <w:rPr>
          <w:rFonts w:hint="eastAsia" w:ascii="宋体" w:hAnsi="宋体" w:cs="宋体"/>
          <w:b/>
          <w:bCs/>
          <w:color w:val="auto"/>
          <w:sz w:val="32"/>
          <w:szCs w:val="32"/>
          <w:highlight w:val="none"/>
        </w:rPr>
      </w:pPr>
      <w:r>
        <w:rPr>
          <w:rFonts w:hint="eastAsia" w:ascii="宋体" w:hAnsi="宋体" w:cs="宋体"/>
          <w:b/>
          <w:color w:val="auto"/>
          <w:sz w:val="36"/>
          <w:highlight w:val="none"/>
          <w:lang w:val="en-US" w:eastAsia="zh-CN"/>
        </w:rPr>
        <w:t xml:space="preserve">2、项目要求（采购需求）</w:t>
      </w:r>
      <w:r/>
    </w:p>
    <w:p>
      <w:pPr>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一、本项目不接受超过人民币189.00万元的投标报价。</w:t>
      </w:r>
      <w:r>
        <w:rPr>
          <w:rFonts w:hint="eastAsia" w:asciiTheme="minorEastAsia" w:hAnsiTheme="minorEastAsia" w:eastAsiaTheme="minorEastAsia" w:cstheme="minorEastAsia"/>
          <w:color w:val="auto"/>
          <w:sz w:val="24"/>
          <w:highlight w:val="none"/>
        </w:rPr>
        <w:t xml:space="preserve">本项目报价包括但不限于人工、设备、材料、验收、税金、后续服务、技术支持、利润等全部费用，采购人不再支付报价以外的任何费用。</w:t>
      </w:r>
      <w:r/>
    </w:p>
    <w:p>
      <w:pPr>
        <w:pStyle w:val="1080"/>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二、项目概况</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1、项目名称：</w:t>
      </w:r>
      <w:r>
        <w:rPr>
          <w:rFonts w:hint="eastAsia" w:asciiTheme="minorEastAsia" w:hAnsiTheme="minorEastAsia" w:eastAsiaTheme="minorEastAsia" w:cstheme="minorEastAsia"/>
          <w:color w:val="auto"/>
          <w:highlight w:val="none"/>
          <w:lang w:eastAsia="zh-CN"/>
        </w:rPr>
        <w:t xml:space="preserve">京杭运河洞山西省控断面水污染综合治理工程生态保护修复成效评估项目</w:t>
      </w:r>
      <w:r>
        <w:rPr>
          <w:rFonts w:hint="eastAsia" w:asciiTheme="minorEastAsia" w:hAnsiTheme="minorEastAsia" w:eastAsiaTheme="minorEastAsia" w:cstheme="minorEastAsia"/>
          <w:color w:val="auto"/>
          <w:highlight w:val="none"/>
        </w:rPr>
        <w:t xml:space="preserve">2、服务地点：徐州淮海国际港务区柳新镇，具体地点由采购人指定。</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服务期限</w:t>
      </w:r>
      <w:r>
        <w:rPr>
          <w:rFonts w:hint="eastAsia" w:asciiTheme="minorEastAsia" w:hAnsiTheme="minorEastAsia" w:eastAsiaTheme="minorEastAsia" w:cstheme="minorEastAsia"/>
          <w:color w:val="auto"/>
          <w:highlight w:val="none"/>
        </w:rPr>
        <w:t xml:space="preserve">：自签订合同之日起三年。</w:t>
      </w:r>
      <w:r/>
    </w:p>
    <w:p>
      <w:pPr>
        <w:pStyle w:val="920"/>
        <w:spacing w:after="0" w:line="5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4、服务内容：</w:t>
      </w:r>
      <w:r/>
    </w:p>
    <w:p>
      <w:pPr>
        <w:pStyle w:val="920"/>
        <w:ind w:firstLine="480"/>
        <w:spacing w:after="0" w:line="5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w:t>
      </w:r>
      <w:r>
        <w:rPr>
          <w:rFonts w:asciiTheme="minorEastAsia" w:hAnsiTheme="minorEastAsia" w:eastAsiaTheme="minorEastAsia" w:cstheme="minorEastAsia"/>
          <w:color w:val="auto"/>
          <w:sz w:val="24"/>
          <w:highlight w:val="none"/>
        </w:rPr>
        <w:t xml:space="preserve">《关于加快推进生态文明建设的意见》《生态文明体制改革总体方案》《关于全面加强生态环境保护 坚决打好污染防治攻坚战的意见》等重要文件，我国持续推进生态保护修复工作，明确要求重大生态工程必须开展常态化、规范化的成效评估。评估结果应以客观、公正的数据，向上级主管部门和社会公众清晰展示治理成效，并为考核提供坚实依据。</w:t>
      </w:r>
      <w:r/>
    </w:p>
    <w:p>
      <w:pPr>
        <w:pStyle w:val="920"/>
        <w:ind w:firstLine="480"/>
        <w:spacing w:after="0" w:line="500" w:lineRule="exact"/>
        <w:rPr>
          <w:rFonts w:hint="eastAsia" w:asciiTheme="minorEastAsia" w:hAnsiTheme="minorEastAsia" w:eastAsiaTheme="minorEastAsia" w:cstheme="minorEastAsia"/>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asciiTheme="minorEastAsia" w:hAnsiTheme="minorEastAsia" w:eastAsiaTheme="minorEastAsia" w:cstheme="minorEastAsia"/>
          <w:color w:val="auto"/>
          <w:sz w:val="24"/>
          <w:highlight w:val="none"/>
        </w:rPr>
        <w:t xml:space="preserve">徐州淮海国际港务区柳新镇境内</w:t>
      </w:r>
      <w:r>
        <w:rPr>
          <w:rFonts w:hint="eastAsia" w:asciiTheme="minorEastAsia" w:hAnsiTheme="minorEastAsia" w:eastAsiaTheme="minorEastAsia" w:cstheme="minorEastAsia"/>
          <w:color w:val="auto"/>
          <w:sz w:val="24"/>
          <w:highlight w:val="none"/>
        </w:rPr>
        <w:t xml:space="preserve">的</w:t>
      </w:r>
      <w:r>
        <w:rPr>
          <w:rFonts w:asciiTheme="minorEastAsia" w:hAnsiTheme="minorEastAsia" w:eastAsiaTheme="minorEastAsia" w:cstheme="minorEastAsia"/>
          <w:color w:val="auto"/>
          <w:sz w:val="24"/>
          <w:highlight w:val="none"/>
        </w:rPr>
        <w:t xml:space="preserve">洞山断面作为省控断面，其上游支流包括桃园河、苏北堤河及柳沿路边沟。洞山西省控断面要求水质稳定达到Ⅲ类，该项水质目标为硬性考核指标。为保障断面水质达标，实施了“京杭运河洞山西省控断面水污染综合治理工程”，主要内容包括对桃园河、苏北堤河、柳沿路边沟周边区域开展河道生态修复与农田退水治理等工程。</w:t>
      </w:r>
      <w:r>
        <w:rPr>
          <w:rFonts w:hint="eastAsia" w:asciiTheme="minorEastAsia" w:hAnsiTheme="minorEastAsia" w:eastAsiaTheme="minorEastAsia" w:cstheme="minorEastAsia"/>
          <w:color w:val="auto"/>
          <w:sz w:val="24"/>
          <w:highlight w:val="none"/>
        </w:rPr>
        <w:t xml:space="preserve">为科学评判水污染综合治理工程成效，评估工程实施对区域水环境、水生态改善程度，现计划开展工程跟踪评估工作，主要涵盖工程项目修复实施前监测、修复实施过程中监测和修复实施后中长期监测，工程结束后，需对治理工程生态保护成效进行系统性评估，具体内容见下表：</w:t>
      </w:r>
      <w:r/>
    </w:p>
    <w:tbl>
      <w:tblPr>
        <w:tblStyle w:val="919"/>
        <w:tblW w:w="50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15"/>
        <w:gridCol w:w="703"/>
        <w:gridCol w:w="666"/>
        <w:gridCol w:w="5799"/>
        <w:gridCol w:w="1790"/>
      </w:tblGrid>
      <w:tr>
        <w:trPr>
          <w:jc w:val="center"/>
          <w:trHeight w:val="340"/>
          <w:tblHeader/>
        </w:trPr>
        <w:tc>
          <w:tcPr>
            <w:tcW w:w="271" w:type="pct"/>
            <w:vAlign w:val="center"/>
            <w:textDirection w:val="lrTb"/>
            <w:noWrap w:val="false"/>
          </w:tcPr>
          <w:p>
            <w:pPr>
              <w:jc w:val="center"/>
              <w:spacing w:line="360" w:lineRule="exact"/>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W w:w="369" w:type="pct"/>
            <w:vAlign w:val="center"/>
            <w:textDirection w:val="lrTb"/>
            <w:noWrap w:val="false"/>
          </w:tcPr>
          <w:p>
            <w:pPr>
              <w:jc w:val="center"/>
              <w:spacing w:line="360" w:lineRule="exact"/>
              <w:widowControl/>
              <w:rPr>
                <w:rFonts w:eastAsiaTheme="minorEastAsia"/>
                <w:b/>
                <w:bCs/>
                <w:color w:val="auto"/>
                <w:szCs w:val="21"/>
                <w:highlight w:val="none"/>
              </w:rPr>
            </w:pPr>
            <w:r>
              <w:rPr>
                <w:rFonts w:eastAsiaTheme="minorEastAsia"/>
                <w:b/>
                <w:bCs/>
                <w:color w:val="auto"/>
                <w:szCs w:val="21"/>
                <w:highlight w:val="none"/>
              </w:rPr>
              <w:t xml:space="preserve">监测时期</w:t>
            </w:r>
            <w:r/>
          </w:p>
        </w:tc>
        <w:tc>
          <w:tcPr>
            <w:tcW w:w="350" w:type="pct"/>
            <w:vAlign w:val="center"/>
            <w:textDirection w:val="lrTb"/>
            <w:noWrap w:val="false"/>
          </w:tcPr>
          <w:p>
            <w:pPr>
              <w:jc w:val="center"/>
              <w:spacing w:line="360" w:lineRule="exact"/>
              <w:widowControl/>
              <w:rPr>
                <w:rFonts w:eastAsiaTheme="minorEastAsia"/>
                <w:b/>
                <w:bCs/>
                <w:color w:val="auto"/>
                <w:szCs w:val="21"/>
                <w:highlight w:val="none"/>
              </w:rPr>
            </w:pPr>
            <w:r>
              <w:rPr>
                <w:rFonts w:eastAsiaTheme="minorEastAsia"/>
                <w:b/>
                <w:bCs/>
                <w:color w:val="auto"/>
                <w:szCs w:val="21"/>
                <w:highlight w:val="none"/>
              </w:rPr>
              <w:t xml:space="preserve">监测类别</w:t>
            </w:r>
            <w:r/>
          </w:p>
        </w:tc>
        <w:tc>
          <w:tcPr>
            <w:tcW w:w="3046" w:type="pct"/>
            <w:vAlign w:val="center"/>
            <w:textDirection w:val="lrTb"/>
            <w:noWrap w:val="false"/>
          </w:tcPr>
          <w:p>
            <w:pPr>
              <w:jc w:val="center"/>
              <w:spacing w:line="360" w:lineRule="exact"/>
              <w:widowControl/>
              <w:rPr>
                <w:rFonts w:eastAsiaTheme="minorEastAsia"/>
                <w:b/>
                <w:bCs/>
                <w:color w:val="auto"/>
                <w:szCs w:val="21"/>
                <w:highlight w:val="none"/>
              </w:rPr>
            </w:pPr>
            <w:r>
              <w:rPr>
                <w:rFonts w:eastAsiaTheme="minorEastAsia"/>
                <w:b/>
                <w:bCs/>
                <w:color w:val="auto"/>
                <w:szCs w:val="21"/>
                <w:highlight w:val="none"/>
              </w:rPr>
              <w:t xml:space="preserve">监测项目</w:t>
            </w:r>
            <w:r/>
          </w:p>
        </w:tc>
        <w:tc>
          <w:tcPr>
            <w:tcW w:w="940" w:type="pct"/>
            <w:vAlign w:val="center"/>
            <w:textDirection w:val="lrTb"/>
            <w:noWrap w:val="false"/>
          </w:tcPr>
          <w:p>
            <w:pPr>
              <w:jc w:val="center"/>
              <w:spacing w:line="360" w:lineRule="exact"/>
              <w:widowControl/>
              <w:rPr>
                <w:rFonts w:eastAsiaTheme="minorEastAsia"/>
                <w:b/>
                <w:bCs/>
                <w:color w:val="auto"/>
                <w:szCs w:val="21"/>
                <w:highlight w:val="none"/>
              </w:rPr>
            </w:pPr>
            <w:r>
              <w:rPr>
                <w:rFonts w:eastAsiaTheme="minorEastAsia"/>
                <w:b/>
                <w:bCs/>
                <w:color w:val="auto"/>
                <w:szCs w:val="21"/>
                <w:highlight w:val="none"/>
              </w:rPr>
              <w:t xml:space="preserve">备注</w:t>
            </w:r>
            <w:r/>
          </w:p>
        </w:tc>
      </w:tr>
      <w:tr>
        <w:trPr>
          <w:jc w:val="center"/>
          <w:trHeight w:val="340"/>
        </w:trPr>
        <w:tc>
          <w:tcPr>
            <w:tcW w:w="271" w:type="pct"/>
            <w:vAlign w:val="center"/>
            <w:vMerge w:val="restart"/>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1</w:t>
            </w:r>
            <w:r/>
          </w:p>
        </w:tc>
        <w:tc>
          <w:tcPr>
            <w:tcW w:w="369" w:type="pct"/>
            <w:vAlign w:val="center"/>
            <w:vMerge w:val="restart"/>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施工前背景监测</w:t>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水质</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水温、pH值、溶解氧、电导率、透明度、悬浮物、高锰酸盐指数、化学需氧量、氨氮、总氮、总磷、流量共12个指标</w:t>
            </w:r>
            <w:r/>
          </w:p>
        </w:tc>
        <w:tc>
          <w:tcPr>
            <w:tcW w:w="940" w:type="pct"/>
            <w:vAlign w:val="center"/>
            <w:vMerge w:val="restart"/>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修复工程开工前开展1次</w:t>
            </w:r>
            <w:r/>
          </w:p>
        </w:tc>
      </w:tr>
      <w:tr>
        <w:trPr>
          <w:jc w:val="center"/>
          <w:trHeight w:val="340"/>
        </w:trPr>
        <w:tc>
          <w:tcPr>
            <w:tcW w:w="271"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69"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沉积物</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总氮、总磷、有机质、重金属（Hg、Cu、Zn、Pb、Cr、Cd、As、Ni）</w:t>
            </w:r>
            <w:r/>
          </w:p>
        </w:tc>
        <w:tc>
          <w:tcPr>
            <w:tcW w:w="940" w:type="pct"/>
            <w:vAlign w:val="center"/>
            <w:vMerge w:val="continue"/>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r>
            <w:r/>
          </w:p>
        </w:tc>
      </w:tr>
      <w:tr>
        <w:trPr>
          <w:jc w:val="center"/>
          <w:trHeight w:val="340"/>
        </w:trPr>
        <w:tc>
          <w:tcPr>
            <w:tcW w:w="271"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69"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水生态</w:t>
            </w:r>
            <w:r/>
          </w:p>
        </w:tc>
        <w:tc>
          <w:tcPr>
            <w:tcW w:w="3046" w:type="pct"/>
            <w:vAlign w:val="center"/>
            <w:textDirection w:val="lrTb"/>
            <w:noWrap w:val="false"/>
          </w:tcPr>
          <w:p>
            <w:pPr>
              <w:jc w:val="center"/>
              <w:spacing w:line="360" w:lineRule="exact"/>
              <w:widowControl/>
              <w:rPr>
                <w:rFonts w:hint="default" w:eastAsiaTheme="minorEastAsia"/>
                <w:color w:val="auto"/>
                <w:szCs w:val="21"/>
                <w:highlight w:val="none"/>
                <w:lang w:val="en-US" w:eastAsia="zh-CN"/>
              </w:rPr>
            </w:pPr>
            <w:r>
              <w:rPr>
                <w:rFonts w:eastAsiaTheme="minorEastAsia"/>
                <w:color w:val="auto"/>
                <w:szCs w:val="21"/>
                <w:highlight w:val="none"/>
              </w:rPr>
              <w:t xml:space="preserve">自然岸线率、植被覆盖度、大型水生植物、浮游动物、浮游植物、底栖动物、鱼类</w:t>
            </w:r>
            <w:r>
              <w:rPr>
                <w:rFonts w:hint="eastAsia" w:eastAsiaTheme="minorEastAsia"/>
                <w:color w:val="auto"/>
                <w:szCs w:val="21"/>
                <w:highlight w:val="none"/>
                <w:lang w:eastAsia="zh-CN"/>
              </w:rPr>
              <w:t xml:space="preserve">、</w:t>
            </w:r>
            <w:r>
              <w:rPr>
                <w:rFonts w:hint="eastAsia" w:eastAsiaTheme="minorEastAsia"/>
                <w:color w:val="auto"/>
                <w:szCs w:val="21"/>
                <w:highlight w:val="none"/>
                <w:lang w:val="en-US" w:eastAsia="zh-CN"/>
              </w:rPr>
              <w:t xml:space="preserve">着生藻类</w:t>
            </w:r>
            <w:r/>
          </w:p>
        </w:tc>
        <w:tc>
          <w:tcPr>
            <w:tcW w:w="940" w:type="pct"/>
            <w:vAlign w:val="center"/>
            <w:vMerge w:val="continue"/>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r>
            <w:r/>
          </w:p>
        </w:tc>
      </w:tr>
      <w:tr>
        <w:trPr>
          <w:jc w:val="center"/>
          <w:trHeight w:val="340"/>
        </w:trPr>
        <w:tc>
          <w:tcPr>
            <w:tcW w:w="271"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2</w:t>
            </w:r>
            <w:r/>
          </w:p>
        </w:tc>
        <w:tc>
          <w:tcPr>
            <w:tcW w:w="369"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施工过程中监测</w:t>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水质</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水温、pH值、溶解氧、电导率、透明度、悬浮物、高锰酸盐指数、化学需氧量、氨氮、总氮、总磷、流量共12个指标</w:t>
            </w:r>
            <w:r/>
          </w:p>
        </w:tc>
        <w:tc>
          <w:tcPr>
            <w:tcW w:w="940" w:type="pct"/>
            <w:vAlign w:val="center"/>
            <w:textDirection w:val="lrTb"/>
            <w:noWrap w:val="false"/>
          </w:tcPr>
          <w:p>
            <w:pPr>
              <w:jc w:val="center"/>
              <w:spacing w:line="360" w:lineRule="exact"/>
              <w:rPr>
                <w:rFonts w:hint="eastAsia" w:eastAsiaTheme="minorEastAsia"/>
                <w:color w:val="auto"/>
                <w:szCs w:val="21"/>
                <w:highlight w:val="none"/>
                <w:lang w:val="en-US" w:eastAsia="zh-CN"/>
              </w:rPr>
            </w:pPr>
            <w:r>
              <w:rPr>
                <w:rFonts w:eastAsiaTheme="minorEastAsia"/>
                <w:color w:val="auto"/>
                <w:szCs w:val="21"/>
                <w:highlight w:val="none"/>
              </w:rPr>
              <w:t xml:space="preserve">施工过程中开展</w:t>
            </w:r>
            <w:r>
              <w:rPr>
                <w:rFonts w:hint="eastAsia" w:eastAsiaTheme="minorEastAsia"/>
                <w:color w:val="auto"/>
                <w:szCs w:val="21"/>
                <w:highlight w:val="none"/>
                <w:lang w:val="en-US" w:eastAsia="zh-CN"/>
              </w:rPr>
              <w:t xml:space="preserve">8次</w:t>
            </w:r>
            <w:r/>
          </w:p>
        </w:tc>
      </w:tr>
      <w:tr>
        <w:trPr>
          <w:jc w:val="center"/>
          <w:trHeight w:val="340"/>
        </w:trPr>
        <w:tc>
          <w:tcPr>
            <w:tcW w:w="271" w:type="pct"/>
            <w:vAlign w:val="center"/>
            <w:vMerge w:val="restart"/>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3</w:t>
            </w:r>
            <w:r/>
          </w:p>
        </w:tc>
        <w:tc>
          <w:tcPr>
            <w:tcW w:w="369" w:type="pct"/>
            <w:vAlign w:val="center"/>
            <w:vMerge w:val="restart"/>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施工后中长期监测</w:t>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水质</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水温、pH值、溶解氧、电导率、透明度、悬浮物、高锰酸盐指数、化学需氧量、氨氮、总氮、总磷、流量共12个指标</w:t>
            </w:r>
            <w:r/>
          </w:p>
        </w:tc>
        <w:tc>
          <w:tcPr>
            <w:tcW w:w="940" w:type="pct"/>
            <w:vAlign w:val="center"/>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施工后中长期每季度开展1次，连续开展3年</w:t>
            </w:r>
            <w:r/>
          </w:p>
        </w:tc>
      </w:tr>
      <w:tr>
        <w:trPr>
          <w:jc w:val="center"/>
          <w:trHeight w:val="340"/>
        </w:trPr>
        <w:tc>
          <w:tcPr>
            <w:tcW w:w="271"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69"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沉积物</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总氮、总磷、有机质、重金属（Hg、Cu、Zn、Pb、Cr、Cd、As、Ni）</w:t>
            </w:r>
            <w:r/>
          </w:p>
        </w:tc>
        <w:tc>
          <w:tcPr>
            <w:tcW w:w="940" w:type="pct"/>
            <w:vAlign w:val="center"/>
            <w:vMerge w:val="restart"/>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施工后监测2次</w:t>
            </w:r>
            <w:r/>
          </w:p>
        </w:tc>
      </w:tr>
      <w:tr>
        <w:trPr>
          <w:jc w:val="center"/>
          <w:trHeight w:val="340"/>
        </w:trPr>
        <w:tc>
          <w:tcPr>
            <w:tcW w:w="271"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69" w:type="pct"/>
            <w:vAlign w:val="center"/>
            <w:vMerge w:val="continue"/>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r>
            <w:r/>
          </w:p>
        </w:tc>
        <w:tc>
          <w:tcPr>
            <w:tcW w:w="350"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水生态</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自然岸线率、植被覆盖度、大型水生植物、浮游动物、浮游植物、底栖动物、鱼类</w:t>
            </w:r>
            <w:r>
              <w:rPr>
                <w:rFonts w:hint="eastAsia" w:eastAsiaTheme="minorEastAsia"/>
                <w:color w:val="auto"/>
                <w:szCs w:val="21"/>
                <w:highlight w:val="none"/>
                <w:lang w:eastAsia="zh-CN"/>
              </w:rPr>
              <w:t xml:space="preserve">、</w:t>
            </w:r>
            <w:r>
              <w:rPr>
                <w:rFonts w:hint="eastAsia" w:eastAsiaTheme="minorEastAsia"/>
                <w:color w:val="auto"/>
                <w:szCs w:val="21"/>
                <w:highlight w:val="none"/>
                <w:lang w:val="en-US" w:eastAsia="zh-CN"/>
              </w:rPr>
              <w:t xml:space="preserve">着生藻类</w:t>
            </w:r>
            <w:r/>
          </w:p>
        </w:tc>
        <w:tc>
          <w:tcPr>
            <w:tcW w:w="940" w:type="pct"/>
            <w:vAlign w:val="center"/>
            <w:vMerge w:val="continue"/>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r>
            <w:r/>
          </w:p>
        </w:tc>
      </w:tr>
      <w:tr>
        <w:trPr>
          <w:jc w:val="center"/>
          <w:trHeight w:val="340"/>
        </w:trPr>
        <w:tc>
          <w:tcPr>
            <w:tcW w:w="271"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4</w:t>
            </w:r>
            <w:r/>
          </w:p>
        </w:tc>
        <w:tc>
          <w:tcPr>
            <w:gridSpan w:val="2"/>
            <w:tcW w:w="719"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雷达流量计</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水位、流速、流量</w:t>
            </w:r>
            <w:r/>
          </w:p>
        </w:tc>
        <w:tc>
          <w:tcPr>
            <w:tcW w:w="940" w:type="pct"/>
            <w:vAlign w:val="center"/>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3套设备，包含安装</w:t>
            </w:r>
            <w:r/>
          </w:p>
        </w:tc>
      </w:tr>
      <w:tr>
        <w:trPr>
          <w:jc w:val="center"/>
          <w:trHeight w:val="340"/>
        </w:trPr>
        <w:tc>
          <w:tcPr>
            <w:tcW w:w="271"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5</w:t>
            </w:r>
            <w:r/>
          </w:p>
        </w:tc>
        <w:tc>
          <w:tcPr>
            <w:gridSpan w:val="2"/>
            <w:tcW w:w="719"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技术服务</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全过程环境监理、重要环节旁站记录、中央资金绩效使用效果评估等</w:t>
            </w:r>
            <w:r/>
          </w:p>
        </w:tc>
        <w:tc>
          <w:tcPr>
            <w:tcW w:w="940" w:type="pct"/>
            <w:vAlign w:val="center"/>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包含一人3年驻场服务，2小时内到场。</w:t>
            </w:r>
            <w:r/>
          </w:p>
        </w:tc>
      </w:tr>
      <w:tr>
        <w:trPr>
          <w:jc w:val="center"/>
          <w:trHeight w:val="340"/>
        </w:trPr>
        <w:tc>
          <w:tcPr>
            <w:tcW w:w="271"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6</w:t>
            </w:r>
            <w:r/>
          </w:p>
        </w:tc>
        <w:tc>
          <w:tcPr>
            <w:gridSpan w:val="2"/>
            <w:tcW w:w="719"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专家指导</w:t>
            </w:r>
            <w:r/>
          </w:p>
        </w:tc>
        <w:tc>
          <w:tcPr>
            <w:tcW w:w="3046"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聘请省级专家/领导定期现场指导、核定中央资金使用合规性</w:t>
            </w:r>
            <w:r/>
          </w:p>
        </w:tc>
        <w:tc>
          <w:tcPr>
            <w:tcW w:w="940" w:type="pct"/>
            <w:vAlign w:val="center"/>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w:t>
            </w:r>
            <w:r/>
          </w:p>
        </w:tc>
      </w:tr>
      <w:tr>
        <w:trPr>
          <w:jc w:val="center"/>
          <w:trHeight w:val="340"/>
        </w:trPr>
        <w:tc>
          <w:tcPr>
            <w:tcW w:w="271"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7</w:t>
            </w:r>
            <w:r/>
          </w:p>
        </w:tc>
        <w:tc>
          <w:tcPr>
            <w:gridSpan w:val="3"/>
            <w:tcW w:w="3765" w:type="pct"/>
            <w:vAlign w:val="center"/>
            <w:textDirection w:val="lrTb"/>
            <w:noWrap w:val="false"/>
          </w:tcPr>
          <w:p>
            <w:pPr>
              <w:jc w:val="center"/>
              <w:spacing w:line="360" w:lineRule="exact"/>
              <w:widowControl/>
              <w:rPr>
                <w:rFonts w:eastAsiaTheme="minorEastAsia"/>
                <w:color w:val="auto"/>
                <w:szCs w:val="21"/>
                <w:highlight w:val="none"/>
              </w:rPr>
            </w:pPr>
            <w:r>
              <w:rPr>
                <w:rFonts w:eastAsiaTheme="minorEastAsia"/>
                <w:color w:val="auto"/>
                <w:szCs w:val="21"/>
                <w:highlight w:val="none"/>
              </w:rPr>
              <w:t xml:space="preserve">评估报告编制</w:t>
            </w:r>
            <w:r/>
          </w:p>
        </w:tc>
        <w:tc>
          <w:tcPr>
            <w:tcW w:w="940" w:type="pct"/>
            <w:vAlign w:val="center"/>
            <w:textDirection w:val="lrTb"/>
            <w:noWrap w:val="false"/>
          </w:tcPr>
          <w:p>
            <w:pPr>
              <w:jc w:val="center"/>
              <w:spacing w:line="360" w:lineRule="exact"/>
              <w:rPr>
                <w:rFonts w:eastAsiaTheme="minorEastAsia"/>
                <w:color w:val="auto"/>
                <w:szCs w:val="21"/>
                <w:highlight w:val="none"/>
              </w:rPr>
            </w:pPr>
            <w:r>
              <w:rPr>
                <w:rFonts w:eastAsiaTheme="minorEastAsia"/>
                <w:color w:val="auto"/>
                <w:szCs w:val="21"/>
                <w:highlight w:val="none"/>
              </w:rPr>
              <w:t xml:space="preserve">/</w:t>
            </w:r>
            <w:r/>
          </w:p>
        </w:tc>
      </w:tr>
    </w:tbl>
    <w:p>
      <w:pPr>
        <w:pStyle w:val="920"/>
        <w:spacing w:after="0"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三、服务要求</w:t>
      </w:r>
      <w:r/>
    </w:p>
    <w:p>
      <w:pPr>
        <w:pStyle w:val="1080"/>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(一）水环境质量监测</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1、施工前背景监测</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监测内容：</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水质：在开展生态化改造的排水渠、关联河道的干支流处布设水质监测点位，监测因子包括水温、pH值、溶解氧、电导率、透明度、悬浮物、高锰酸盐指数、化学需氧量、氨氮、总氮、总磷、流量等指标。</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 水生态：对桃园河、苏北堤河、柳沿路边沟3条河道监测自然岸线率、植被覆盖度、大型水生植物、浮游动物、浮游植物、底栖动物、鱼类、着生藻类等指标，并评估水生生物指标种类组成、数量、多样性、优势种等特征。</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1.1.3 沉积物：对桃园河、苏北堤河、柳沿路边沟3条河道沉积物监测指标为总氮、总磷、有机质、重金属（Hg、Cu、Zn、Pb、Cr、Cd、As、Ni）等指标。</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监测时间和频次：工程修复开始前，开展1次修复区域的背景值调查。</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 监测点位：按照《</w:t>
      </w:r>
      <w:r>
        <w:rPr>
          <w:rFonts w:asciiTheme="minorEastAsia" w:hAnsiTheme="minorEastAsia" w:eastAsiaTheme="minorEastAsia" w:cstheme="minorEastAsia"/>
          <w:color w:val="auto"/>
          <w:highlight w:val="none"/>
        </w:rPr>
        <w:t xml:space="preserve">地表水环境质量监测技术规范</w:t>
      </w:r>
      <w:r>
        <w:rPr>
          <w:rFonts w:hint="eastAsia" w:asciiTheme="minorEastAsia" w:hAnsiTheme="minorEastAsia" w:eastAsiaTheme="minorEastAsia" w:cstheme="minorEastAsia"/>
          <w:color w:val="auto"/>
          <w:highlight w:val="none"/>
        </w:rPr>
        <w:t xml:space="preserve">》（</w:t>
      </w:r>
      <w:r>
        <w:rPr>
          <w:rFonts w:asciiTheme="minorEastAsia" w:hAnsiTheme="minorEastAsia" w:eastAsiaTheme="minorEastAsia" w:cstheme="minorEastAsia"/>
          <w:color w:val="auto"/>
          <w:highlight w:val="none"/>
        </w:rPr>
        <w:t xml:space="preserve">HJ 91.2-2022</w:t>
      </w:r>
      <w:r>
        <w:rPr>
          <w:rFonts w:hint="eastAsia" w:asciiTheme="minorEastAsia" w:hAnsiTheme="minorEastAsia" w:eastAsiaTheme="minorEastAsia" w:cstheme="minorEastAsia"/>
          <w:color w:val="auto"/>
          <w:highlight w:val="none"/>
        </w:rPr>
        <w:t xml:space="preserve">）、</w:t>
      </w:r>
      <w:r>
        <w:rPr>
          <w:rFonts w:asciiTheme="minorEastAsia" w:hAnsiTheme="minorEastAsia" w:eastAsiaTheme="minorEastAsia" w:cstheme="minorEastAsia"/>
          <w:color w:val="auto"/>
          <w:highlight w:val="none"/>
        </w:rPr>
        <w:t xml:space="preserve">《水生态监测技术指南 河流水生生物监测与评价（试行》（HJ1295-2023）</w:t>
      </w:r>
      <w:r>
        <w:rPr>
          <w:rFonts w:hint="eastAsia" w:asciiTheme="minorEastAsia" w:hAnsiTheme="minorEastAsia" w:eastAsiaTheme="minorEastAsia" w:cstheme="minorEastAsia"/>
          <w:color w:val="auto"/>
          <w:highlight w:val="none"/>
        </w:rPr>
        <w:t xml:space="preserve">等文件要求布设监测点位。2、施工期过程监测</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监测内容：在区域重点河道、断面上游布设监测点位，水质监测因子与背景监测一样，包括水温、pH值、溶解氧、电导率、透明度、悬浮物、高锰酸盐指数、化学需氧量、氨氮、总氮、总磷、流量等指标。</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监测时间和频次：</w:t>
      </w:r>
      <w:r>
        <w:rPr>
          <w:rFonts w:asciiTheme="minorEastAsia" w:hAnsiTheme="minorEastAsia" w:eastAsiaTheme="minorEastAsia" w:cstheme="minorEastAsia"/>
          <w:color w:val="auto"/>
          <w:highlight w:val="none"/>
        </w:rPr>
        <w:t xml:space="preserve">共监测8次</w:t>
      </w:r>
      <w:r>
        <w:rPr>
          <w:rFonts w:hint="eastAsia" w:asciiTheme="minorEastAsia" w:hAnsiTheme="minorEastAsia" w:eastAsiaTheme="minorEastAsia" w:cstheme="minorEastAsia"/>
          <w:color w:val="auto"/>
          <w:highlight w:val="none"/>
        </w:rPr>
        <w:t xml:space="preserve">。</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 监测点位：按照《</w:t>
      </w:r>
      <w:r>
        <w:rPr>
          <w:rFonts w:asciiTheme="minorEastAsia" w:hAnsiTheme="minorEastAsia" w:eastAsiaTheme="minorEastAsia" w:cstheme="minorEastAsia"/>
          <w:color w:val="auto"/>
          <w:highlight w:val="none"/>
        </w:rPr>
        <w:t xml:space="preserve">地表水环境质量监测技术规范</w:t>
      </w:r>
      <w:r>
        <w:rPr>
          <w:rFonts w:hint="eastAsia" w:asciiTheme="minorEastAsia" w:hAnsiTheme="minorEastAsia" w:eastAsiaTheme="minorEastAsia" w:cstheme="minorEastAsia"/>
          <w:color w:val="auto"/>
          <w:highlight w:val="none"/>
        </w:rPr>
        <w:t xml:space="preserve">》（</w:t>
      </w:r>
      <w:r>
        <w:rPr>
          <w:rFonts w:asciiTheme="minorEastAsia" w:hAnsiTheme="minorEastAsia" w:eastAsiaTheme="minorEastAsia" w:cstheme="minorEastAsia"/>
          <w:color w:val="auto"/>
          <w:highlight w:val="none"/>
        </w:rPr>
        <w:t xml:space="preserve">HJ 91.2-2022</w:t>
      </w:r>
      <w:r>
        <w:rPr>
          <w:rFonts w:hint="eastAsia" w:asciiTheme="minorEastAsia" w:hAnsiTheme="minorEastAsia" w:eastAsiaTheme="minorEastAsia" w:cstheme="minorEastAsia"/>
          <w:color w:val="auto"/>
          <w:highlight w:val="none"/>
        </w:rPr>
        <w:t xml:space="preserve">）、</w:t>
      </w:r>
      <w:r>
        <w:rPr>
          <w:rFonts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水质采样技术指导</w:t>
      </w:r>
      <w:r>
        <w:rPr>
          <w:rFonts w:asciiTheme="minorEastAsia" w:hAnsiTheme="minorEastAsia" w:eastAsiaTheme="minorEastAsia" w:cstheme="minorEastAsia"/>
          <w:color w:val="auto"/>
          <w:highlight w:val="none"/>
        </w:rPr>
        <w:t xml:space="preserve">》（HJ</w:t>
      </w:r>
      <w:r>
        <w:rPr>
          <w:rFonts w:hint="eastAsia" w:asciiTheme="minorEastAsia" w:hAnsiTheme="minorEastAsia" w:eastAsiaTheme="minorEastAsia" w:cstheme="minorEastAsia"/>
          <w:color w:val="auto"/>
          <w:highlight w:val="none"/>
          <w:lang w:val="en-US" w:eastAsia="zh-CN"/>
        </w:rPr>
        <w:t xml:space="preserve"> 494-2009</w:t>
      </w:r>
      <w:r>
        <w:rPr>
          <w:rFonts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rPr>
        <w:t xml:space="preserve">等文件要求布设监测点位。</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3、施工后中长期监测</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监测内容：监测指标与监测点位与施工前背景监测保持一致。</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3.2 监测时间和频次： 水质指标</w:t>
      </w:r>
      <w:r>
        <w:rPr>
          <w:rFonts w:asciiTheme="minorEastAsia" w:hAnsiTheme="minorEastAsia" w:eastAsiaTheme="minorEastAsia" w:cstheme="minorEastAsia"/>
          <w:color w:val="auto"/>
          <w:highlight w:val="none"/>
        </w:rPr>
        <w:t xml:space="preserve">每季度开展1次，连续开展3年</w:t>
      </w:r>
      <w:r>
        <w:rPr>
          <w:rFonts w:hint="eastAsia" w:asciiTheme="minorEastAsia" w:hAnsiTheme="minorEastAsia" w:eastAsiaTheme="minorEastAsia" w:cstheme="minorEastAsia"/>
          <w:color w:val="auto"/>
          <w:highlight w:val="none"/>
        </w:rPr>
        <w:t xml:space="preserve">，沉积物和水生态指标</w:t>
      </w:r>
      <w:r>
        <w:rPr>
          <w:rFonts w:asciiTheme="minorEastAsia" w:hAnsiTheme="minorEastAsia" w:eastAsiaTheme="minorEastAsia" w:cstheme="minorEastAsia"/>
          <w:color w:val="auto"/>
          <w:highlight w:val="none"/>
        </w:rPr>
        <w:t xml:space="preserve">施工后</w:t>
      </w:r>
      <w:r>
        <w:rPr>
          <w:rFonts w:hint="eastAsia" w:asciiTheme="minorEastAsia" w:hAnsiTheme="minorEastAsia" w:eastAsiaTheme="minorEastAsia" w:cstheme="minorEastAsia"/>
          <w:color w:val="auto"/>
          <w:highlight w:val="none"/>
        </w:rPr>
        <w:t xml:space="preserve">（第一年末、第三年末）开展</w:t>
      </w:r>
      <w:r>
        <w:rPr>
          <w:rFonts w:asciiTheme="minorEastAsia" w:hAnsiTheme="minorEastAsia" w:eastAsiaTheme="minorEastAsia" w:cstheme="minorEastAsia"/>
          <w:color w:val="auto"/>
          <w:highlight w:val="none"/>
        </w:rPr>
        <w:t xml:space="preserve">2次</w:t>
      </w:r>
      <w:r>
        <w:rPr>
          <w:rFonts w:hint="eastAsia" w:asciiTheme="minorEastAsia" w:hAnsiTheme="minorEastAsia" w:eastAsiaTheme="minorEastAsia" w:cstheme="minorEastAsia"/>
          <w:color w:val="auto"/>
          <w:highlight w:val="none"/>
          <w:lang w:eastAsia="zh-CN"/>
        </w:rPr>
        <w:t xml:space="preserve">。</w:t>
      </w:r>
      <w:r/>
    </w:p>
    <w:p>
      <w:pPr>
        <w:pStyle w:val="1080"/>
        <w:spacing w:before="0" w:beforeAutospacing="0" w:after="0" w:afterAutospacing="0" w:line="50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3.3 监测点位：监测点位与施工前背景监测保持一致。</w:t>
      </w:r>
      <w:r/>
    </w:p>
    <w:p>
      <w:pPr>
        <w:pStyle w:val="1080"/>
        <w:ind w:firstLine="48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（二）流量计</w:t>
      </w:r>
      <w:r/>
    </w:p>
    <w:p>
      <w:pPr>
        <w:pStyle w:val="1080"/>
        <w:ind w:firstLine="4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京杭运河洞山西省控断面水污染综合治理工程中</w:t>
      </w:r>
      <w:r>
        <w:rPr>
          <w:rFonts w:asciiTheme="minorEastAsia" w:hAnsiTheme="minorEastAsia" w:eastAsiaTheme="minorEastAsia" w:cstheme="minorEastAsia"/>
          <w:color w:val="auto"/>
          <w:highlight w:val="none"/>
        </w:rPr>
        <w:t xml:space="preserve">在骨干河道安装3台雷达流量计</w:t>
      </w:r>
      <w:r>
        <w:rPr>
          <w:rFonts w:hint="eastAsia" w:asciiTheme="minorEastAsia" w:hAnsiTheme="minorEastAsia" w:eastAsiaTheme="minorEastAsia" w:cstheme="minorEastAsia"/>
          <w:color w:val="auto"/>
          <w:highlight w:val="none"/>
        </w:rPr>
        <w:t xml:space="preserve">，方便</w:t>
      </w:r>
      <w:r>
        <w:rPr>
          <w:rFonts w:asciiTheme="minorEastAsia" w:hAnsiTheme="minorEastAsia" w:eastAsiaTheme="minorEastAsia" w:cstheme="minorEastAsia"/>
          <w:color w:val="auto"/>
          <w:highlight w:val="none"/>
        </w:rPr>
        <w:t xml:space="preserve">精准计量河道的水量，直观的体现本修复工程在恢复河道基流、提升水动力条件方面的成效，同时实时获取河道流量，动态计算出水体的环境容量，核算的污染物减排目标。</w:t>
      </w:r>
      <w:r/>
    </w:p>
    <w:tbl>
      <w:tblPr>
        <w:tblStyle w:val="919"/>
        <w:tblpPr w:horzAnchor="page" w:tblpX="1421" w:vertAnchor="text" w:tblpY="63" w:leftFromText="180" w:topFromText="0" w:rightFromText="180" w:bottomFromText="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26"/>
        <w:gridCol w:w="2133"/>
        <w:gridCol w:w="6109"/>
      </w:tblGrid>
      <w:tr>
        <w:trPr>
          <w:trHeight w:val="595"/>
        </w:trPr>
        <w:tc>
          <w:tcPr>
            <w:tcW w:w="494" w:type="pct"/>
            <w:vAlign w:val="center"/>
            <w:textDirection w:val="lrTb"/>
            <w:noWrap w:val="false"/>
          </w:tcPr>
          <w:p>
            <w:pPr>
              <w:jc w:val="center"/>
              <w:spacing w:after="120"/>
              <w:rPr>
                <w:rFonts w:hint="eastAsia" w:ascii="宋体" w:hAnsi="宋体" w:cs="宋体"/>
                <w:b/>
                <w:bCs/>
                <w:color w:val="auto"/>
                <w:szCs w:val="21"/>
                <w:highlight w:val="none"/>
              </w:rPr>
            </w:pPr>
            <w:r>
              <w:rPr>
                <w:rFonts w:hint="eastAsia" w:asciiTheme="minorEastAsia" w:hAnsiTheme="minorEastAsia" w:eastAsiaTheme="minorEastAsia" w:cstheme="minorEastAsia"/>
                <w:b/>
                <w:bCs/>
                <w:color w:val="auto"/>
                <w:highlight w:val="none"/>
              </w:rPr>
              <w:t xml:space="preserve">参数要求</w:t>
            </w:r>
            <w:r>
              <w:rPr>
                <w:rFonts w:hint="eastAsia" w:ascii="宋体" w:hAnsi="宋体" w:cs="宋体"/>
                <w:b/>
                <w:bCs/>
                <w:color w:val="auto"/>
                <w:szCs w:val="21"/>
                <w:highlight w:val="none"/>
              </w:rPr>
              <w:t xml:space="preserve">序号</w:t>
            </w:r>
            <w:r/>
          </w:p>
        </w:tc>
        <w:tc>
          <w:tcPr>
            <w:gridSpan w:val="3"/>
            <w:tcW w:w="4506" w:type="pct"/>
            <w:vAlign w:val="center"/>
            <w:textDirection w:val="lrTb"/>
            <w:noWrap w:val="false"/>
          </w:tcPr>
          <w:p>
            <w:pPr>
              <w:jc w:val="center"/>
              <w:spacing w:after="120"/>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技术指标</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1" w:type="pct"/>
            <w:vAlign w:val="center"/>
            <w:vMerge w:val="restart"/>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使用功能</w:t>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流速</w:t>
            </w:r>
            <w:r>
              <w:rPr>
                <w:rFonts w:ascii="宋体" w:hAnsi="宋体" w:cs="宋体"/>
                <w:color w:val="auto"/>
                <w:szCs w:val="21"/>
                <w:highlight w:val="none"/>
              </w:rPr>
              <w:t xml:space="preserve">测量范围</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测量范围：0～10m/s，分辨率：0.001m/s</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流量测量</w:t>
            </w:r>
            <w:r>
              <w:rPr>
                <w:rFonts w:hint="eastAsia" w:ascii="宋体" w:hAnsi="宋体" w:cs="宋体"/>
                <w:color w:val="auto"/>
                <w:szCs w:val="21"/>
                <w:highlight w:val="none"/>
              </w:rPr>
              <w:t xml:space="preserve">范围</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瞬时测量范围：0.001～65m³/s</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水位测量范围</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内置压力水位计，测量范围：0～10m，精度±0.1%FS</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温度测量范围</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测量范围：0～60℃</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测量精度</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1%±1mm/s</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221" w:type="pct"/>
            <w:vAlign w:val="center"/>
            <w:vMerge w:val="restart"/>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基本配置</w:t>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传感器</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雷达</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控制终端</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无线控制，并须包含1年的4G网络通信费用</w:t>
            </w:r>
            <w:r>
              <w:rPr>
                <w:rFonts w:hint="eastAsia" w:ascii="宋体" w:hAnsi="宋体" w:cs="宋体"/>
                <w:color w:val="auto"/>
                <w:szCs w:val="21"/>
                <w:highlight w:val="none"/>
              </w:rPr>
              <w:t xml:space="preserve">。</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CPU处理器</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工业级32位，低功耗。</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防护性能</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符合Exia防爆和IP68防护的等级要求。</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安装附件</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天线、安装底座、拉伸式支架和相关紧固件及专用安装维修工具，且便于拆装。</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通信协议</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RS485、RS232、SDI-12或RS-422</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数据输出</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流速、水位、面积、瞬时流量和累计流量等</w:t>
            </w:r>
            <w:r>
              <w:rPr>
                <w:rFonts w:hint="eastAsia" w:ascii="宋体" w:hAnsi="宋体" w:cs="宋体"/>
                <w:color w:val="auto"/>
                <w:szCs w:val="21"/>
                <w:highlight w:val="none"/>
              </w:rPr>
              <w:t xml:space="preserve">。</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供电形式</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内置电池，可满足设备24h连续不间断半年以上的测量使用，且配置有可供外接市电的接口，并可满足采集多路脉冲量、开关量、模拟量和RS232/485信号等。</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数据存储空间</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可满足24h连续不间断至少半年以上的测量记录数据存储。</w:t>
            </w:r>
            <w:r/>
          </w:p>
        </w:tc>
      </w:tr>
      <w:tr>
        <w:trPr>
          <w:trHeight w:val="409"/>
        </w:trPr>
        <w:tc>
          <w:tcPr>
            <w:tcW w:w="494" w:type="pct"/>
            <w:vAlign w:val="center"/>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221" w:type="pct"/>
            <w:vAlign w:val="center"/>
            <w:vMerge w:val="continue"/>
            <w:textDirection w:val="lrTb"/>
            <w:noWrap w:val="false"/>
          </w:tcPr>
          <w:p>
            <w:pPr>
              <w:jc w:val="center"/>
              <w:spacing w:after="120"/>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数据读取</w:t>
            </w:r>
            <w:r/>
          </w:p>
        </w:tc>
        <w:tc>
          <w:tcPr>
            <w:tcW w:w="3176" w:type="pct"/>
            <w:vAlign w:val="center"/>
            <w:textDirection w:val="lrTb"/>
            <w:noWrap w:val="false"/>
          </w:tcPr>
          <w:p>
            <w:pPr>
              <w:jc w:val="center"/>
              <w:spacing w:after="120"/>
              <w:rPr>
                <w:rFonts w:hint="eastAsia" w:ascii="宋体" w:hAnsi="宋体" w:cs="宋体"/>
                <w:color w:val="auto"/>
                <w:szCs w:val="21"/>
                <w:highlight w:val="none"/>
              </w:rPr>
            </w:pPr>
            <w:r>
              <w:rPr>
                <w:rFonts w:ascii="宋体" w:hAnsi="宋体" w:cs="宋体"/>
                <w:color w:val="auto"/>
                <w:szCs w:val="21"/>
                <w:highlight w:val="none"/>
              </w:rPr>
              <w:t xml:space="preserve">具备在手机上的远程读取功能，以及现场读取功能。</w:t>
            </w:r>
            <w:r/>
          </w:p>
        </w:tc>
      </w:tr>
    </w:tbl>
    <w:p>
      <w:pPr>
        <w:pStyle w:val="1080"/>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（三）工程全过程监督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1、提供一人驻场服务，服务期限3年。驻场人员需按计划进行日常巡检，详细记录问题现象、分析过程、处理和最终解决方案，紧急情况需2小时内到场。</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2、前期决策与设计阶段监督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项目的符合性、立项审批程序、工程设计方案等方面的监督。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3、实施阶段监督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施工准备监督、施工过程环保措施监督、工程实体质量监督：对所有材料和设备(如污水处理设施，植物种植，填料)是否符合设计要求和质量标准；隐蔽工程(如水下工程，基底改造)的验收记录是否齐全，真实；生态施(如生态护岸的结构，植物配置，鱼类投放)是否按设计落实，通过现场拍照和无人机拍摄等方式进行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4、资金使用管理阶段监督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5、竣工验收监督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竣工图、施工记录、监理报告、各项验收文件等资料是否齐全、真实、准确，并规范归档。</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6、运营维护与长效管护阶段监督</w:t>
      </w:r>
      <w:r/>
    </w:p>
    <w:p>
      <w:pPr>
        <w:pStyle w:val="1080"/>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（四）专家指导</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1、聘请省级专家/领导定期现场指导、核定项目过程的合规性。</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指导建立从采样、保存、运输、实验室分析到数据录入的全流程质控体系，确保数据的准确性、可比性和完整性；对监测中遇到的异常数据、复杂污染溯源、生物监测等难题提供现场或远程指导；需评审或指导撰写最终的成效评估报告，确保评估过程规范、数据翔实、结论客观、逻辑严密。</w:t>
      </w:r>
      <w:r/>
    </w:p>
    <w:p>
      <w:pPr>
        <w:pStyle w:val="1080"/>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（五）工程生态保护修复成效评估报告编制</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对《生态保护修复成效评估技术指南》（试行）（HJ1272-2022）要求的生态连通度、自然岸线保有率、植被覆盖度、环境质量、生物多样性、主导生态功能、人为胁迫、公众满意度、特色指标等评估指标体系进行赋分，确定生态保护修复成效等级。</w:t>
      </w:r>
      <w:r/>
    </w:p>
    <w:p>
      <w:pPr>
        <w:pStyle w:val="1080"/>
        <w:spacing w:before="0" w:beforeAutospacing="0" w:after="0"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2、按照《生态保护修复成效评估技术指南》（试行）（HJ1272-2022）附录C《生态保护修复成效评估技术报告》编写提纲编制《京杭运河洞山西省控断面水污染综合治理工程生态保护修复成效评估技术报告》。</w:t>
      </w:r>
      <w:r/>
    </w:p>
    <w:p>
      <w:pPr>
        <w:pStyle w:val="920"/>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四、其他要求：见《磋商文件》附件：6、《合同条款》。</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numPr>
          <w:ilvl w:val="0"/>
          <w:numId w:val="0"/>
        </w:numPr>
        <w:jc w:val="center"/>
        <w:spacing w:line="0" w:lineRule="atLeast"/>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货币单位：人民币元</w:t>
      </w:r>
      <w:r/>
    </w:p>
    <w:p>
      <w:pPr>
        <w:pStyle w:val="920"/>
        <w:jc w:val="center"/>
        <w:rPr>
          <w:rFonts w:hint="eastAsia" w:ascii="宋体" w:hAnsi="宋体" w:cs="宋体"/>
          <w:b/>
          <w:color w:val="auto"/>
          <w:sz w:val="24"/>
          <w:highlight w:val="none"/>
        </w:rPr>
      </w:pPr>
      <w:r>
        <w:rPr>
          <w:rFonts w:hint="eastAsia" w:ascii="宋体" w:hAnsi="宋体" w:cs="宋体"/>
          <w:b/>
          <w:color w:val="auto"/>
          <w:sz w:val="24"/>
          <w:highlight w:val="none"/>
        </w:rPr>
      </w:r>
      <w:r/>
    </w:p>
    <w:p>
      <w:pPr>
        <w:pStyle w:val="920"/>
        <w:jc w:val="center"/>
        <w:rPr>
          <w:rFonts w:hint="eastAsia" w:ascii="宋体" w:hAnsi="宋体" w:cs="宋体"/>
          <w:b/>
          <w:color w:val="auto"/>
          <w:sz w:val="24"/>
          <w:highlight w:val="none"/>
        </w:rPr>
      </w:pPr>
      <w:r>
        <w:rPr>
          <w:rFonts w:hint="eastAsia" w:ascii="宋体" w:hAnsi="宋体" w:cs="宋体"/>
          <w:b/>
          <w:color w:val="auto"/>
          <w:sz w:val="24"/>
          <w:highlight w:val="none"/>
        </w:rPr>
      </w:r>
      <w:r/>
    </w:p>
    <w:p>
      <w:pPr>
        <w:pStyle w:val="920"/>
        <w:jc w:val="center"/>
        <w:rPr>
          <w:color w:val="auto"/>
          <w:highlight w:val="none"/>
        </w:rPr>
      </w:pPr>
      <w:r>
        <w:rPr>
          <w:rFonts w:hint="eastAsia" w:ascii="宋体" w:hAnsi="宋体" w:cs="宋体"/>
          <w:b/>
          <w:color w:val="auto"/>
          <w:sz w:val="24"/>
          <w:highlight w:val="none"/>
        </w:rPr>
        <w:t xml:space="preserve">政府采购客户端工具输入报价自动生成，加盖电子签章。</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920"/>
        <w:rPr>
          <w:rFonts w:hint="eastAsia"/>
          <w:color w:val="auto"/>
          <w:highlight w:val="none"/>
        </w:rPr>
      </w:pPr>
      <w:r>
        <w:rPr>
          <w:rFonts w:hint="eastAsia"/>
          <w:color w:val="auto"/>
          <w:highlight w:val="none"/>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cs="宋体"/>
          <w:b/>
          <w:bCs/>
          <w:color w:val="auto"/>
          <w:sz w:val="36"/>
          <w:highlight w:val="none"/>
        </w:rPr>
      </w:pPr>
      <w:r>
        <w:rPr>
          <w:rFonts w:hint="eastAsia" w:ascii="宋体" w:hAnsi="宋体" w:cs="宋体"/>
          <w:b/>
          <w:color w:val="auto"/>
          <w:sz w:val="36"/>
          <w:highlight w:val="none"/>
          <w:lang w:val="en-US" w:eastAsia="zh-CN"/>
        </w:rPr>
        <w:t xml:space="preserve">4、分项价格表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002"/>
        <w:rPr>
          <w:color w:val="auto"/>
          <w:highlight w:val="none"/>
        </w:rPr>
      </w:pP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格式自制</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cs="宋体"/>
          <w:b/>
          <w:bCs/>
          <w:color w:val="auto"/>
          <w:sz w:val="36"/>
          <w:highlight w:val="none"/>
        </w:rPr>
      </w:pPr>
      <w:r>
        <w:rPr>
          <w:rFonts w:hint="eastAsia" w:ascii="宋体" w:hAnsi="宋体" w:cs="宋体"/>
          <w:b/>
          <w:color w:val="auto"/>
          <w:sz w:val="36"/>
          <w:highlight w:val="none"/>
          <w:lang w:val="en-US" w:eastAsia="zh-CN"/>
        </w:rPr>
        <w:t xml:space="preserve">5、偏离表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91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4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exact"/>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numPr>
          <w:ilvl w:val="0"/>
          <w:numId w:val="0"/>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6、合同条款</w:t>
      </w:r>
      <w:r/>
    </w:p>
    <w:p>
      <w:pPr>
        <w:pStyle w:val="1078"/>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11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京杭运河洞山西省控断面水污染综合治理工程生态保护修复成效评估项目合同</w:t>
      </w:r>
      <w:r/>
    </w:p>
    <w:p>
      <w:pPr>
        <w:pStyle w:val="111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1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10"/>
        <w:ind w:firstLine="562"/>
        <w:spacing w:line="360" w:lineRule="auto"/>
        <w:rPr>
          <w:rFonts w:hint="eastAsia" w:ascii="宋体" w:hAnsi="宋体" w:cs="宋体"/>
          <w:b/>
          <w:strike/>
          <w:color w:val="auto"/>
          <w:sz w:val="30"/>
          <w:szCs w:val="30"/>
          <w:highlight w:val="none"/>
        </w:rPr>
      </w:pPr>
      <w:r>
        <w:rPr>
          <w:rFonts w:hint="eastAsia" w:ascii="宋体" w:hAnsi="宋体" w:cs="宋体"/>
          <w:b/>
          <w:color w:val="auto"/>
          <w:sz w:val="30"/>
          <w:szCs w:val="30"/>
          <w:highlight w:val="none"/>
        </w:rPr>
        <w:t xml:space="preserve">项目编号：</w:t>
      </w:r>
      <w:r/>
    </w:p>
    <w:p>
      <w:pPr>
        <w:pStyle w:val="1110"/>
        <w:ind w:firstLine="90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10"/>
        <w:ind w:firstLine="60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京杭运河洞山西省控断面水污染综合治理工程生态保护修复成效评估项目</w:t>
      </w:r>
      <w:r/>
    </w:p>
    <w:p>
      <w:pPr>
        <w:pStyle w:val="1110"/>
        <w:ind w:firstLine="56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10"/>
        <w:ind w:firstLine="56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甲方：徐州淮海国际港务区柳新镇人民政府</w:t>
      </w:r>
      <w:r/>
    </w:p>
    <w:p>
      <w:pPr>
        <w:pStyle w:val="111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10"/>
        <w:ind w:firstLine="56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11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10"/>
        <w:ind w:firstLine="56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110"/>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1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11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11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110"/>
        <w:ind w:firstLine="562"/>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友情提醒：</w:t>
      </w:r>
      <w:r>
        <w:rPr>
          <w:rFonts w:hint="eastAsia" w:ascii="宋体" w:hAnsi="宋体" w:cs="宋体"/>
          <w:bCs/>
          <w:color w:val="auto"/>
          <w:sz w:val="28"/>
          <w:szCs w:val="28"/>
          <w:highlight w:val="none"/>
        </w:rPr>
        <w:t xml:space="preserve">采购人与成交供应商应当在成交通知书发出之日起三十日内，按照采购文件确定的事项签订政府采购合同。</w:t>
      </w:r>
      <w:r/>
    </w:p>
    <w:p>
      <w:pPr>
        <w:pStyle w:val="1110"/>
        <w:ind w:firstLine="560"/>
        <w:rPr>
          <w:rFonts w:hint="eastAsia" w:ascii="宋体" w:hAnsi="宋体" w:cs="宋体"/>
          <w:bCs/>
          <w:color w:val="auto"/>
          <w:sz w:val="28"/>
          <w:szCs w:val="28"/>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京杭运河洞山西省控断面水污染综合治理工程生态保护修复成效评估项目合同</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left"/>
        <w:spacing w:line="360" w:lineRule="auto"/>
        <w:rPr>
          <w:rFonts w:hint="eastAsia" w:ascii="宋体" w:hAnsi="宋体"/>
          <w:color w:val="auto"/>
          <w:sz w:val="24"/>
          <w:highlight w:val="none"/>
          <w:u w:val="single"/>
        </w:rPr>
      </w:pPr>
      <w:r>
        <w:rPr>
          <w:rFonts w:ascii="宋体" w:hAnsi="宋体"/>
          <w:color w:val="auto"/>
          <w:sz w:val="24"/>
          <w:highlight w:val="none"/>
          <w:lang w:val="zh-CN"/>
        </w:rPr>
        <w:t xml:space="preserve">甲方：</w:t>
      </w:r>
      <w:r>
        <w:rPr>
          <w:rFonts w:hint="eastAsia" w:ascii="宋体" w:hAnsi="宋体"/>
          <w:color w:val="auto"/>
          <w:sz w:val="24"/>
          <w:highlight w:val="none"/>
          <w:u w:val="single"/>
        </w:rPr>
        <w:t xml:space="preserve">徐州淮海国际港务区柳新镇人民政府</w:t>
      </w:r>
      <w:r/>
    </w:p>
    <w:p>
      <w:pPr>
        <w:jc w:val="left"/>
        <w:spacing w:line="360" w:lineRule="auto"/>
        <w:rPr>
          <w:rFonts w:hint="eastAsia" w:ascii="宋体" w:hAnsi="宋体"/>
          <w:color w:val="auto"/>
          <w:sz w:val="24"/>
          <w:highlight w:val="none"/>
          <w:u w:val="single"/>
        </w:rPr>
      </w:pPr>
      <w:r>
        <w:rPr>
          <w:rFonts w:ascii="宋体" w:hAnsi="宋体"/>
          <w:color w:val="auto"/>
          <w:sz w:val="24"/>
          <w:highlight w:val="none"/>
          <w:lang w:val="zh-CN"/>
        </w:rPr>
        <w:t xml:space="preserve">乙方：</w:t>
      </w:r>
      <w:r>
        <w:rPr>
          <w:rFonts w:ascii="宋体" w:hAnsi="宋体"/>
          <w:color w:val="auto"/>
          <w:sz w:val="24"/>
          <w:highlight w:val="none"/>
          <w:u w:val="single"/>
          <w:lang w:val="zh-CN"/>
        </w:rPr>
        <w:t xml:space="preserve"> </w:t>
      </w:r>
      <w:r>
        <w:rPr>
          <w:rFonts w:ascii="宋体" w:hAnsi="宋体"/>
          <w:color w:val="auto"/>
          <w:sz w:val="24"/>
          <w:highlight w:val="none"/>
          <w:u w:val="singl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根据《中华人民共和国政府采购法》、《中华人民共和国民法典》及其他相关法律法规，本着平等、自愿、公平互利的原则，甲乙双方就</w:t>
      </w:r>
      <w:r>
        <w:rPr>
          <w:rFonts w:hint="eastAsia" w:ascii="宋体" w:hAnsi="宋体"/>
          <w:bCs/>
          <w:color w:val="auto"/>
          <w:sz w:val="24"/>
          <w:highlight w:val="none"/>
          <w:u w:val="single"/>
        </w:rPr>
        <w:t xml:space="preserve">京杭运河洞山西省控断面水污染综合治理工程生态保护修复成效评估项目</w:t>
      </w:r>
      <w:r>
        <w:rPr>
          <w:rFonts w:hint="eastAsia" w:ascii="宋体" w:hAnsi="宋体"/>
          <w:color w:val="auto"/>
          <w:sz w:val="24"/>
          <w:highlight w:val="none"/>
        </w:rPr>
        <w:t xml:space="preserve">相关事宜，经协商一致，签订本合同。</w:t>
      </w:r>
      <w:r/>
    </w:p>
    <w:p>
      <w:pPr>
        <w:ind w:firstLine="482"/>
        <w:jc w:val="left"/>
        <w:spacing w:line="360" w:lineRule="auto"/>
        <w:rPr>
          <w:rFonts w:hint="eastAsia" w:ascii="宋体" w:hAnsi="宋体"/>
          <w:b/>
          <w:bCs/>
          <w:color w:val="auto"/>
          <w:sz w:val="24"/>
          <w:highlight w:val="none"/>
          <w:lang w:val="zh-CN"/>
        </w:rPr>
      </w:pPr>
      <w:r>
        <w:rPr>
          <w:rFonts w:ascii="宋体" w:hAnsi="宋体"/>
          <w:b/>
          <w:bCs/>
          <w:color w:val="auto"/>
          <w:sz w:val="24"/>
          <w:highlight w:val="none"/>
          <w:lang w:val="zh-CN"/>
        </w:rPr>
        <w:t xml:space="preserve">一、合同文件的组成</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本合同所附下列文件是构成本合同不可分割的部分：</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w:t>
      </w:r>
      <w:r>
        <w:rPr>
          <w:rFonts w:hint="eastAsia" w:ascii="宋体" w:hAnsi="宋体" w:cs="宋体"/>
          <w:color w:val="auto"/>
          <w:sz w:val="24"/>
          <w:szCs w:val="21"/>
          <w:highlight w:val="none"/>
          <w:u w:val="single"/>
        </w:rPr>
        <w:t xml:space="preserve">京杭运河洞山西省控断面水污染综合治理工程生态保护修复成效评估项目</w:t>
      </w:r>
      <w:r>
        <w:rPr>
          <w:rFonts w:hint="eastAsia" w:ascii="宋体" w:hAnsi="宋体" w:cs="宋体"/>
          <w:color w:val="auto"/>
          <w:sz w:val="24"/>
          <w:szCs w:val="21"/>
          <w:highlight w:val="none"/>
        </w:rPr>
        <w:t xml:space="preserve">竞争性磋商文件(项目编号：</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)以及相关的澄清、补充文件等；</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（二）乙方的响应文件及其澄清、补充说明文件等；</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（三）成交通知书。</w:t>
      </w:r>
      <w:r/>
    </w:p>
    <w:p>
      <w:pPr>
        <w:ind w:firstLine="482"/>
        <w:jc w:val="left"/>
        <w:spacing w:line="360" w:lineRule="auto"/>
        <w:rPr>
          <w:rFonts w:hint="eastAsia" w:ascii="宋体" w:hAnsi="宋体"/>
          <w:b/>
          <w:bCs/>
          <w:color w:val="auto"/>
          <w:sz w:val="24"/>
          <w:highlight w:val="none"/>
        </w:rPr>
      </w:pPr>
      <w:r>
        <w:rPr>
          <w:rFonts w:ascii="宋体" w:hAnsi="宋体"/>
          <w:b/>
          <w:bCs/>
          <w:color w:val="auto"/>
          <w:sz w:val="24"/>
          <w:highlight w:val="none"/>
          <w:lang w:val="zh-CN"/>
        </w:rPr>
        <w:t xml:space="preserve">二、</w:t>
      </w:r>
      <w:r>
        <w:rPr>
          <w:rFonts w:ascii="宋体" w:hAnsi="宋体"/>
          <w:b/>
          <w:bCs/>
          <w:color w:val="auto"/>
          <w:sz w:val="24"/>
          <w:highlight w:val="none"/>
        </w:rPr>
        <w:t xml:space="preserve">合同内容：</w:t>
      </w:r>
      <w:r/>
    </w:p>
    <w:p>
      <w:pPr>
        <w:ind w:firstLine="482"/>
        <w:jc w:val="left"/>
        <w:spacing w:line="360" w:lineRule="auto"/>
        <w:rPr>
          <w:rFonts w:hint="eastAsia" w:ascii="宋体" w:hAnsi="宋体"/>
          <w:b/>
          <w:bCs/>
          <w:color w:val="auto"/>
          <w:sz w:val="24"/>
          <w:highlight w:val="none"/>
        </w:rPr>
      </w:pPr>
      <w:r>
        <w:rPr>
          <w:rFonts w:ascii="宋体" w:hAnsi="宋体"/>
          <w:b/>
          <w:bCs/>
          <w:color w:val="auto"/>
          <w:sz w:val="24"/>
          <w:highlight w:val="none"/>
        </w:rPr>
        <w:t xml:space="preserve">乙方负责提供甲方所需的</w:t>
      </w:r>
      <w:r>
        <w:rPr>
          <w:rFonts w:hint="eastAsia" w:ascii="宋体" w:hAnsi="宋体"/>
          <w:b/>
          <w:bCs/>
          <w:color w:val="auto"/>
          <w:sz w:val="24"/>
          <w:highlight w:val="none"/>
        </w:rPr>
        <w:t xml:space="preserve">京杭运河洞山西省控断面水污染综合治理工程生态保护修复成效评估项目</w:t>
      </w:r>
      <w:r>
        <w:rPr>
          <w:rFonts w:ascii="宋体" w:hAnsi="宋体"/>
          <w:b/>
          <w:bCs/>
          <w:color w:val="auto"/>
          <w:sz w:val="24"/>
          <w:highlight w:val="none"/>
        </w:rPr>
        <w:t xml:space="preserve">。要求详见</w:t>
      </w:r>
      <w:r>
        <w:rPr>
          <w:rFonts w:hint="eastAsia" w:ascii="宋体" w:hAnsi="宋体"/>
          <w:b/>
          <w:bCs/>
          <w:color w:val="auto"/>
          <w:sz w:val="24"/>
          <w:highlight w:val="none"/>
        </w:rPr>
        <w:t xml:space="preserve">竞争性磋商文件</w:t>
      </w:r>
      <w:r>
        <w:rPr>
          <w:rFonts w:ascii="宋体" w:hAnsi="宋体"/>
          <w:b/>
          <w:bCs/>
          <w:color w:val="auto"/>
          <w:sz w:val="24"/>
          <w:highlight w:val="none"/>
        </w:rPr>
        <w:t xml:space="preserve">，响应内容详见乙方</w:t>
      </w:r>
      <w:r>
        <w:rPr>
          <w:rFonts w:hint="eastAsia" w:ascii="宋体" w:hAnsi="宋体"/>
          <w:b/>
          <w:bCs/>
          <w:color w:val="auto"/>
          <w:sz w:val="24"/>
          <w:highlight w:val="none"/>
        </w:rPr>
        <w:t xml:space="preserve">响应文件</w:t>
      </w:r>
      <w:r>
        <w:rPr>
          <w:rFonts w:ascii="宋体" w:hAnsi="宋体"/>
          <w:b/>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（1）乙方提供</w:t>
      </w:r>
      <w:r>
        <w:rPr>
          <w:rFonts w:hint="eastAsia" w:ascii="宋体" w:hAnsi="宋体"/>
          <w:bCs/>
          <w:color w:val="auto"/>
          <w:sz w:val="24"/>
          <w:highlight w:val="none"/>
        </w:rPr>
        <w:t xml:space="preserve">项目负责人：</w:t>
      </w:r>
      <w:r>
        <w:rPr>
          <w:rFonts w:hint="eastAsia" w:ascii="宋体" w:hAnsi="宋体"/>
          <w:bCs/>
          <w:color w:val="auto"/>
          <w:sz w:val="24"/>
          <w:highlight w:val="none"/>
          <w:u w:val="single"/>
        </w:rPr>
        <w:t xml:space="preserve">     </w:t>
      </w:r>
      <w:r>
        <w:rPr>
          <w:rFonts w:ascii="宋体" w:hAnsi="宋体"/>
          <w:bCs/>
          <w:color w:val="auto"/>
          <w:sz w:val="24"/>
          <w:highlight w:val="none"/>
        </w:rPr>
        <w:t xml:space="preserve">，按照甲方工作标准完成</w:t>
      </w:r>
      <w:r>
        <w:rPr>
          <w:rFonts w:hint="eastAsia" w:ascii="宋体" w:hAnsi="宋体"/>
          <w:bCs/>
          <w:color w:val="auto"/>
          <w:sz w:val="24"/>
          <w:highlight w:val="none"/>
        </w:rPr>
        <w:t xml:space="preserve">京杭运河洞山西省控断面水污染综合治理工程生态保护修复成效评估项目</w:t>
      </w:r>
      <w:r>
        <w:rPr>
          <w:rFonts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（2）乙方应当于合同签订之日起</w:t>
      </w:r>
      <w:r>
        <w:rPr>
          <w:rFonts w:hint="eastAsia" w:ascii="宋体" w:hAnsi="宋体"/>
          <w:bCs/>
          <w:color w:val="auto"/>
          <w:sz w:val="24"/>
          <w:highlight w:val="none"/>
        </w:rPr>
        <w:t xml:space="preserve">7</w:t>
      </w:r>
      <w:r>
        <w:rPr>
          <w:rFonts w:ascii="宋体" w:hAnsi="宋体"/>
          <w:bCs/>
          <w:color w:val="auto"/>
          <w:sz w:val="24"/>
          <w:highlight w:val="none"/>
        </w:rPr>
        <w:t xml:space="preserve">个工作日内将</w:t>
      </w:r>
      <w:r>
        <w:rPr>
          <w:rFonts w:hint="eastAsia" w:ascii="宋体" w:hAnsi="宋体"/>
          <w:bCs/>
          <w:color w:val="auto"/>
          <w:sz w:val="24"/>
          <w:highlight w:val="none"/>
        </w:rPr>
        <w:t xml:space="preserve">技术</w:t>
      </w:r>
      <w:r>
        <w:rPr>
          <w:rFonts w:ascii="宋体" w:hAnsi="宋体"/>
          <w:bCs/>
          <w:color w:val="auto"/>
          <w:sz w:val="24"/>
          <w:highlight w:val="none"/>
        </w:rPr>
        <w:t xml:space="preserve">人员配备到位。</w:t>
      </w:r>
      <w:r/>
    </w:p>
    <w:p>
      <w:pPr>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本项目合同有效期为</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年。</w:t>
      </w:r>
      <w:r>
        <w:rPr>
          <w:rFonts w:ascii="宋体" w:hAnsi="宋体"/>
          <w:bCs/>
          <w:color w:val="auto"/>
          <w:sz w:val="24"/>
          <w:highlight w:val="none"/>
        </w:rPr>
        <w:t xml:space="preserve">（从202</w:t>
      </w:r>
      <w:r>
        <w:rPr>
          <w:rFonts w:hint="eastAsia" w:ascii="宋体" w:hAnsi="宋体"/>
          <w:bCs/>
          <w:color w:val="auto"/>
          <w:sz w:val="24"/>
          <w:highlight w:val="none"/>
        </w:rPr>
        <w:t xml:space="preserve">5</w:t>
      </w:r>
      <w:r>
        <w:rPr>
          <w:rFonts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ascii="宋体" w:hAnsi="宋体"/>
          <w:bCs/>
          <w:color w:val="auto"/>
          <w:sz w:val="24"/>
          <w:highlight w:val="none"/>
        </w:rPr>
        <w:t xml:space="preserve">日起至</w:t>
      </w:r>
      <w:r>
        <w:rPr>
          <w:rFonts w:hint="eastAsia" w:ascii="宋体" w:hAnsi="宋体"/>
          <w:bCs/>
          <w:color w:val="auto"/>
          <w:sz w:val="24"/>
          <w:highlight w:val="none"/>
        </w:rPr>
        <w:t xml:space="preserve">2028</w:t>
      </w:r>
      <w:r>
        <w:rPr>
          <w:rFonts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ascii="宋体" w:hAnsi="宋体"/>
          <w:bCs/>
          <w:color w:val="auto"/>
          <w:sz w:val="24"/>
          <w:highlight w:val="none"/>
        </w:rPr>
        <w:t xml:space="preserve">日止）</w:t>
      </w:r>
      <w:r/>
    </w:p>
    <w:p>
      <w:pPr>
        <w:ind w:firstLine="480"/>
        <w:jc w:val="left"/>
        <w:spacing w:line="360" w:lineRule="auto"/>
        <w:rPr>
          <w:rFonts w:hint="eastAsia"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驻场地点为甲方指定工作场所。</w:t>
      </w:r>
      <w:r/>
    </w:p>
    <w:p>
      <w:pPr>
        <w:ind w:firstLine="482"/>
        <w:jc w:val="left"/>
        <w:spacing w:line="360" w:lineRule="auto"/>
        <w:rPr>
          <w:rFonts w:hint="eastAsia" w:ascii="宋体" w:hAnsi="宋体"/>
          <w:b/>
          <w:bCs/>
          <w:color w:val="auto"/>
          <w:sz w:val="24"/>
          <w:highlight w:val="none"/>
        </w:rPr>
      </w:pPr>
      <w:r>
        <w:rPr>
          <w:rFonts w:ascii="宋体" w:hAnsi="宋体"/>
          <w:b/>
          <w:bCs/>
          <w:color w:val="auto"/>
          <w:sz w:val="24"/>
          <w:highlight w:val="none"/>
          <w:lang w:val="zh-CN"/>
        </w:rPr>
        <w:t xml:space="preserve">三、合同价款及付款方式</w:t>
      </w:r>
      <w:r/>
    </w:p>
    <w:p>
      <w:pPr>
        <w:ind w:firstLine="480"/>
        <w:jc w:val="left"/>
        <w:spacing w:line="360" w:lineRule="auto"/>
        <w:rPr>
          <w:rFonts w:hint="eastAsia" w:ascii="宋体" w:hAnsi="宋体"/>
          <w:color w:val="auto"/>
          <w:sz w:val="24"/>
          <w:highlight w:val="none"/>
        </w:rPr>
      </w:pPr>
      <w:r>
        <w:rPr>
          <w:rFonts w:ascii="宋体" w:hAnsi="宋体"/>
          <w:color w:val="auto"/>
          <w:sz w:val="24"/>
          <w:highlight w:val="none"/>
        </w:rPr>
        <w:t xml:space="preserve">合同总价为人民币（小写）</w:t>
      </w:r>
      <w:r>
        <w:rPr>
          <w:rFonts w:ascii="宋体" w:hAnsi="宋体"/>
          <w:color w:val="auto"/>
          <w:sz w:val="24"/>
          <w:highlight w:val="none"/>
          <w:u w:val="single"/>
        </w:rPr>
        <w:t xml:space="preserve">             </w:t>
      </w:r>
      <w:r>
        <w:rPr>
          <w:rFonts w:ascii="宋体" w:hAnsi="宋体"/>
          <w:color w:val="auto"/>
          <w:sz w:val="24"/>
          <w:highlight w:val="none"/>
        </w:rPr>
        <w:t xml:space="preserve">，（大写）</w:t>
      </w:r>
      <w:r>
        <w:rPr>
          <w:rFonts w:ascii="宋体" w:hAnsi="宋体"/>
          <w:color w:val="auto"/>
          <w:sz w:val="24"/>
          <w:highlight w:val="none"/>
          <w:u w:val="single"/>
        </w:rPr>
        <w:t xml:space="preserve">                </w:t>
      </w:r>
      <w:r>
        <w:rPr>
          <w:rFonts w:ascii="宋体" w:hAnsi="宋体"/>
          <w:color w:val="auto"/>
          <w:sz w:val="24"/>
          <w:highlight w:val="none"/>
        </w:rPr>
        <w:t xml:space="preserve">。经双方协商一致，选择以下第</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种付款方式：</w:t>
      </w:r>
      <w:r/>
    </w:p>
    <w:p>
      <w:pPr>
        <w:ind w:firstLine="480"/>
        <w:jc w:val="left"/>
        <w:spacing w:line="360" w:lineRule="auto"/>
        <w:rPr>
          <w:rFonts w:hint="eastAsia" w:ascii="宋体" w:hAnsi="宋体"/>
          <w:b/>
          <w:bCs/>
          <w:color w:val="auto"/>
          <w:sz w:val="24"/>
          <w:highlight w:val="none"/>
        </w:rPr>
      </w:pPr>
      <w:r>
        <w:rPr>
          <w:rFonts w:ascii="宋体" w:hAnsi="宋体"/>
          <w:b/>
          <w:bCs/>
          <w:color w:val="auto"/>
          <w:sz w:val="24"/>
          <w:highlight w:val="none"/>
        </w:rPr>
        <w:t xml:space="preserve">（一）付款方式</w:t>
      </w:r>
      <w:r>
        <w:rPr>
          <w:rFonts w:hint="eastAsia" w:ascii="宋体" w:hAnsi="宋体"/>
          <w:b/>
          <w:bCs/>
          <w:color w:val="auto"/>
          <w:sz w:val="24"/>
          <w:highlight w:val="none"/>
        </w:rPr>
        <w:t xml:space="preserve">1</w:t>
      </w:r>
      <w:r>
        <w:rPr>
          <w:rFonts w:ascii="宋体" w:hAnsi="宋体"/>
          <w:b/>
          <w:bCs/>
          <w:color w:val="auto"/>
          <w:sz w:val="24"/>
          <w:highlight w:val="none"/>
        </w:rPr>
        <w:t xml:space="preserve">（提交预付款保函的）</w:t>
      </w:r>
      <w:r/>
    </w:p>
    <w:p>
      <w:pPr>
        <w:ind w:firstLine="482"/>
        <w:jc w:val="left"/>
        <w:spacing w:line="360" w:lineRule="auto"/>
        <w:rPr>
          <w:rFonts w:hint="eastAsia" w:ascii="宋体" w:hAnsi="宋体"/>
          <w:color w:val="auto"/>
          <w:sz w:val="24"/>
          <w:highlight w:val="none"/>
        </w:rPr>
      </w:pPr>
      <w:r>
        <w:rPr>
          <w:rFonts w:ascii="宋体" w:hAnsi="宋体"/>
          <w:color w:val="auto"/>
          <w:sz w:val="24"/>
          <w:highlight w:val="none"/>
        </w:rPr>
        <w:t xml:space="preserve">合同价款的百分之</w:t>
      </w:r>
      <w:r>
        <w:rPr>
          <w:rFonts w:hint="eastAsia" w:ascii="宋体" w:hAnsi="宋体"/>
          <w:color w:val="auto"/>
          <w:sz w:val="24"/>
          <w:highlight w:val="none"/>
        </w:rPr>
        <w:t xml:space="preserve">四十</w:t>
      </w: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0%)即￥</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元整，在双方签订合同后1</w:t>
      </w:r>
      <w:r>
        <w:rPr>
          <w:rFonts w:hint="eastAsia" w:ascii="宋体" w:hAnsi="宋体"/>
          <w:color w:val="auto"/>
          <w:sz w:val="24"/>
          <w:highlight w:val="none"/>
        </w:rPr>
        <w:t xml:space="preserve">0</w:t>
      </w:r>
      <w:r>
        <w:rPr>
          <w:rFonts w:ascii="宋体" w:hAnsi="宋体"/>
          <w:color w:val="auto"/>
          <w:sz w:val="24"/>
          <w:highlight w:val="none"/>
        </w:rPr>
        <w:t xml:space="preserve">个工作日内，乙方向甲方出具等额预付款保函后，由甲方办理政府采购资金结算手续支付给乙方。</w:t>
      </w:r>
      <w:r/>
    </w:p>
    <w:p>
      <w:pPr>
        <w:ind w:firstLine="482"/>
        <w:jc w:val="left"/>
        <w:spacing w:line="360" w:lineRule="auto"/>
        <w:rPr>
          <w:rFonts w:hint="eastAsia" w:ascii="宋体" w:hAnsi="宋体"/>
          <w:color w:val="auto"/>
          <w:sz w:val="24"/>
          <w:highlight w:val="none"/>
        </w:rPr>
      </w:pPr>
      <w:r>
        <w:rPr>
          <w:rFonts w:ascii="宋体" w:hAnsi="宋体"/>
          <w:color w:val="auto"/>
          <w:sz w:val="24"/>
          <w:highlight w:val="none"/>
        </w:rPr>
        <w:t xml:space="preserve">合同总价的百分之</w:t>
      </w:r>
      <w:r>
        <w:rPr>
          <w:rFonts w:hint="eastAsia" w:ascii="宋体" w:hAnsi="宋体"/>
          <w:color w:val="auto"/>
          <w:sz w:val="24"/>
          <w:highlight w:val="none"/>
        </w:rPr>
        <w:t xml:space="preserve">六十</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0%)即￥</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w:t>
      </w:r>
      <w:r>
        <w:rPr>
          <w:rFonts w:hint="eastAsia" w:ascii="宋体" w:hAnsi="宋体"/>
          <w:color w:val="auto"/>
          <w:sz w:val="24"/>
          <w:highlight w:val="none"/>
        </w:rPr>
        <w:t xml:space="preserve">自合同服务期开始，按半年为一个付款周期，分6次等额支付（</w:t>
      </w:r>
      <w:r>
        <w:rPr>
          <w:rFonts w:ascii="宋体" w:hAnsi="宋体"/>
          <w:color w:val="auto"/>
          <w:sz w:val="24"/>
          <w:highlight w:val="none"/>
        </w:rPr>
        <w:t xml:space="preserve">即</w:t>
      </w:r>
      <w:r>
        <w:rPr>
          <w:rFonts w:hint="eastAsia" w:ascii="宋体" w:hAnsi="宋体"/>
          <w:color w:val="auto"/>
          <w:sz w:val="24"/>
          <w:highlight w:val="none"/>
        </w:rPr>
        <w:t xml:space="preserve">每次</w:t>
      </w:r>
      <w:r>
        <w:rPr>
          <w:rFonts w:ascii="宋体" w:hAnsi="宋体"/>
          <w:color w:val="auto"/>
          <w:sz w:val="24"/>
          <w:highlight w:val="non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w:t>
      </w:r>
      <w:r>
        <w:rPr>
          <w:rFonts w:hint="eastAsia" w:ascii="宋体" w:hAnsi="宋体"/>
          <w:color w:val="auto"/>
          <w:sz w:val="24"/>
          <w:highlight w:val="none"/>
        </w:rPr>
        <w:t xml:space="preserve">），直至服务期第三年末付清。具体付款时间为每个付款周期届满后10个工作日内乙方向甲方递交结算手续，</w:t>
      </w:r>
      <w:r>
        <w:rPr>
          <w:rFonts w:ascii="宋体" w:hAnsi="宋体"/>
          <w:color w:val="auto"/>
          <w:sz w:val="24"/>
          <w:highlight w:val="none"/>
        </w:rPr>
        <w:t xml:space="preserve">由甲方办理政府采购资金结算手续，经审核后向乙方支付相应价款。</w:t>
      </w:r>
      <w:r/>
    </w:p>
    <w:p>
      <w:pPr>
        <w:ind w:firstLine="482"/>
        <w:jc w:val="left"/>
        <w:spacing w:line="360" w:lineRule="auto"/>
        <w:rPr>
          <w:rFonts w:hint="eastAsia" w:ascii="宋体" w:hAnsi="宋体"/>
          <w:b/>
          <w:color w:val="auto"/>
          <w:sz w:val="24"/>
          <w:highlight w:val="none"/>
        </w:rPr>
      </w:pPr>
      <w:r>
        <w:rPr>
          <w:rFonts w:ascii="宋体" w:hAnsi="宋体"/>
          <w:b/>
          <w:color w:val="auto"/>
          <w:sz w:val="24"/>
          <w:highlight w:val="none"/>
        </w:rPr>
        <w:t xml:space="preserve">（二）付款方式</w:t>
      </w:r>
      <w:r>
        <w:rPr>
          <w:rFonts w:hint="eastAsia" w:ascii="宋体" w:hAnsi="宋体"/>
          <w:b/>
          <w:color w:val="auto"/>
          <w:sz w:val="24"/>
          <w:highlight w:val="none"/>
        </w:rPr>
        <w:t xml:space="preserve">2</w:t>
      </w:r>
      <w:r>
        <w:rPr>
          <w:rFonts w:ascii="宋体" w:hAnsi="宋体"/>
          <w:b/>
          <w:color w:val="auto"/>
          <w:sz w:val="24"/>
          <w:highlight w:val="none"/>
        </w:rPr>
        <w:t xml:space="preserve">（不提交预付款保函的）</w:t>
      </w:r>
      <w:r/>
    </w:p>
    <w:p>
      <w:pPr>
        <w:ind w:firstLine="482"/>
        <w:jc w:val="left"/>
        <w:spacing w:line="360" w:lineRule="auto"/>
        <w:rPr>
          <w:rFonts w:hint="eastAsia" w:ascii="宋体" w:hAnsi="宋体"/>
          <w:color w:val="auto"/>
          <w:sz w:val="24"/>
          <w:highlight w:val="none"/>
        </w:rPr>
      </w:pPr>
      <w:r>
        <w:rPr>
          <w:rFonts w:ascii="宋体" w:hAnsi="宋体"/>
          <w:color w:val="auto"/>
          <w:sz w:val="24"/>
          <w:highlight w:val="none"/>
        </w:rPr>
        <w:t xml:space="preserve">合同价款的百分之</w:t>
      </w:r>
      <w:r>
        <w:rPr>
          <w:rFonts w:hint="eastAsia" w:ascii="宋体" w:hAnsi="宋体"/>
          <w:color w:val="auto"/>
          <w:sz w:val="24"/>
          <w:highlight w:val="none"/>
        </w:rPr>
        <w:t xml:space="preserve">三十</w:t>
      </w:r>
      <w:r>
        <w:rPr>
          <w:rFonts w:ascii="宋体" w:hAnsi="宋体"/>
          <w:color w:val="auto"/>
          <w:sz w:val="24"/>
          <w:highlight w:val="none"/>
        </w:rPr>
        <w:t xml:space="preserve">(30%)即￥</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元整，在双方签订合同后1</w:t>
      </w:r>
      <w:r>
        <w:rPr>
          <w:rFonts w:hint="eastAsia" w:ascii="宋体" w:hAnsi="宋体"/>
          <w:color w:val="auto"/>
          <w:sz w:val="24"/>
          <w:highlight w:val="none"/>
        </w:rPr>
        <w:t xml:space="preserve">0</w:t>
      </w:r>
      <w:r>
        <w:rPr>
          <w:rFonts w:ascii="宋体" w:hAnsi="宋体"/>
          <w:color w:val="auto"/>
          <w:sz w:val="24"/>
          <w:highlight w:val="none"/>
        </w:rPr>
        <w:t xml:space="preserve">个工作日内，办理政府采购资金结算手续支付给乙方。</w:t>
      </w:r>
      <w:r/>
    </w:p>
    <w:p>
      <w:pPr>
        <w:ind w:firstLine="482"/>
        <w:jc w:val="left"/>
        <w:spacing w:line="360" w:lineRule="auto"/>
        <w:rPr>
          <w:rFonts w:hint="eastAsia" w:ascii="宋体" w:hAnsi="宋体"/>
          <w:color w:val="auto"/>
          <w:sz w:val="24"/>
          <w:highlight w:val="none"/>
        </w:rPr>
      </w:pPr>
      <w:r>
        <w:rPr>
          <w:rFonts w:ascii="宋体" w:hAnsi="宋体"/>
          <w:color w:val="auto"/>
          <w:sz w:val="24"/>
          <w:highlight w:val="none"/>
        </w:rPr>
        <w:t xml:space="preserve">合同总价的百分之</w:t>
      </w:r>
      <w:r>
        <w:rPr>
          <w:rFonts w:hint="eastAsia" w:ascii="宋体" w:hAnsi="宋体"/>
          <w:color w:val="auto"/>
          <w:sz w:val="24"/>
          <w:highlight w:val="none"/>
        </w:rPr>
        <w:t xml:space="preserve">七十</w:t>
      </w:r>
      <w:r>
        <w:rPr>
          <w:rFonts w:ascii="宋体" w:hAnsi="宋体"/>
          <w:color w:val="auto"/>
          <w:sz w:val="24"/>
          <w:highlight w:val="none"/>
        </w:rPr>
        <w:t xml:space="preserve">(70%)即￥</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w:t>
      </w:r>
      <w:r>
        <w:rPr>
          <w:rFonts w:hint="eastAsia" w:ascii="宋体" w:hAnsi="宋体"/>
          <w:color w:val="auto"/>
          <w:sz w:val="24"/>
          <w:highlight w:val="none"/>
        </w:rPr>
        <w:t xml:space="preserve">自合同服务期开始，按半年为一个付款周期，分6次等额支付（</w:t>
      </w:r>
      <w:r>
        <w:rPr>
          <w:rFonts w:ascii="宋体" w:hAnsi="宋体"/>
          <w:color w:val="auto"/>
          <w:sz w:val="24"/>
          <w:highlight w:val="none"/>
        </w:rPr>
        <w:t xml:space="preserve">即</w:t>
      </w:r>
      <w:r>
        <w:rPr>
          <w:rFonts w:hint="eastAsia" w:ascii="宋体" w:hAnsi="宋体"/>
          <w:color w:val="auto"/>
          <w:sz w:val="24"/>
          <w:highlight w:val="none"/>
        </w:rPr>
        <w:t xml:space="preserve">每次</w:t>
      </w:r>
      <w:r>
        <w:rPr>
          <w:rFonts w:ascii="宋体" w:hAnsi="宋体"/>
          <w:color w:val="auto"/>
          <w:sz w:val="24"/>
          <w:highlight w:val="non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w:t>
      </w:r>
      <w:r>
        <w:rPr>
          <w:rFonts w:hint="eastAsia" w:ascii="宋体" w:hAnsi="宋体"/>
          <w:color w:val="auto"/>
          <w:sz w:val="24"/>
          <w:highlight w:val="none"/>
        </w:rPr>
        <w:t xml:space="preserve">），直至服务期第三年末付清。具体付款时间为每个付款周期届满后10个工作日内乙方向甲方递交结算手续，</w:t>
      </w:r>
      <w:r>
        <w:rPr>
          <w:rFonts w:ascii="宋体" w:hAnsi="宋体"/>
          <w:color w:val="auto"/>
          <w:sz w:val="24"/>
          <w:highlight w:val="none"/>
        </w:rPr>
        <w:t xml:space="preserve">由甲方办理政府采购资金结算手续，经审核后向乙方支付相应价款。</w:t>
      </w:r>
      <w:r/>
    </w:p>
    <w:p>
      <w:pPr>
        <w:ind w:firstLine="482"/>
        <w:jc w:val="left"/>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付款方式3（乙方明确表示不需要预付款的）</w:t>
      </w:r>
      <w:r/>
    </w:p>
    <w:p>
      <w:pPr>
        <w:ind w:firstLine="482"/>
        <w:jc w:val="left"/>
        <w:spacing w:line="360" w:lineRule="auto"/>
        <w:rPr>
          <w:rFonts w:hint="eastAsia" w:ascii="宋体" w:hAnsi="宋体"/>
          <w:b/>
          <w:bCs/>
          <w:color w:val="auto"/>
          <w:sz w:val="24"/>
          <w:highlight w:val="none"/>
        </w:rPr>
      </w:pPr>
      <w:r>
        <w:rPr>
          <w:rFonts w:ascii="宋体" w:hAnsi="宋体"/>
          <w:color w:val="auto"/>
          <w:sz w:val="24"/>
          <w:highlight w:val="none"/>
        </w:rPr>
        <w:t xml:space="preserve">合同总价的百分之</w:t>
      </w:r>
      <w:r>
        <w:rPr>
          <w:rFonts w:hint="eastAsia" w:ascii="宋体" w:hAnsi="宋体"/>
          <w:color w:val="auto"/>
          <w:sz w:val="24"/>
          <w:highlight w:val="none"/>
          <w:lang w:val="en-US" w:eastAsia="zh-CN"/>
        </w:rPr>
        <w:t xml:space="preserve">一百</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100</w:t>
      </w:r>
      <w:r>
        <w:rPr>
          <w:rFonts w:ascii="宋体" w:hAnsi="宋体"/>
          <w:color w:val="auto"/>
          <w:sz w:val="24"/>
          <w:highlight w:val="none"/>
        </w:rPr>
        <w:t xml:space="preserve">%)即￥</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w:t>
      </w:r>
      <w:r>
        <w:rPr>
          <w:rFonts w:hint="eastAsia" w:ascii="宋体" w:hAnsi="宋体"/>
          <w:color w:val="auto"/>
          <w:sz w:val="24"/>
          <w:highlight w:val="none"/>
        </w:rPr>
        <w:t xml:space="preserve">自合同服务期开始，按半年为一个付款周期，分6次等额支付（</w:t>
      </w:r>
      <w:r>
        <w:rPr>
          <w:rFonts w:ascii="宋体" w:hAnsi="宋体"/>
          <w:color w:val="auto"/>
          <w:sz w:val="24"/>
          <w:highlight w:val="none"/>
        </w:rPr>
        <w:t xml:space="preserve">即</w:t>
      </w:r>
      <w:r>
        <w:rPr>
          <w:rFonts w:hint="eastAsia" w:ascii="宋体" w:hAnsi="宋体"/>
          <w:color w:val="auto"/>
          <w:sz w:val="24"/>
          <w:highlight w:val="none"/>
        </w:rPr>
        <w:t xml:space="preserve">每次</w:t>
      </w:r>
      <w:r>
        <w:rPr>
          <w:rFonts w:ascii="宋体" w:hAnsi="宋体"/>
          <w:color w:val="auto"/>
          <w:sz w:val="24"/>
          <w:highlight w:val="non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元整</w:t>
      </w:r>
      <w:r>
        <w:rPr>
          <w:rFonts w:hint="eastAsia" w:ascii="宋体" w:hAnsi="宋体"/>
          <w:color w:val="auto"/>
          <w:sz w:val="24"/>
          <w:highlight w:val="none"/>
        </w:rPr>
        <w:t xml:space="preserve">），直至服务期第三年末付清。具体付款时间为每个付款周期届满后10个工作日内乙方向甲方递交结算手续，</w:t>
      </w:r>
      <w:r>
        <w:rPr>
          <w:rFonts w:ascii="宋体" w:hAnsi="宋体"/>
          <w:color w:val="auto"/>
          <w:sz w:val="24"/>
          <w:highlight w:val="none"/>
        </w:rPr>
        <w:t xml:space="preserve">由甲方办理政府采购资金结算手续，经审核后向乙方支付相应价款。</w:t>
      </w:r>
      <w:r>
        <w:rPr>
          <w:rFonts w:hint="eastAsia" w:ascii="宋体" w:hAnsi="宋体"/>
          <w:b/>
          <w:bCs/>
          <w:color w:val="auto"/>
          <w:sz w:val="24"/>
          <w:highlight w:val="none"/>
        </w:rPr>
        <w:t xml:space="preserve">（注：此条符合苏财购〔2020〕52号文件要求）</w:t>
      </w:r>
      <w:r/>
    </w:p>
    <w:p>
      <w:pPr>
        <w:ind w:firstLine="482"/>
        <w:jc w:val="left"/>
        <w:spacing w:line="360" w:lineRule="auto"/>
        <w:rPr>
          <w:rFonts w:hint="eastAsia" w:ascii="宋体" w:hAnsi="宋体"/>
          <w:b/>
          <w:bCs/>
          <w:color w:val="auto"/>
          <w:sz w:val="24"/>
          <w:highlight w:val="none"/>
          <w:lang w:val="zh-CN"/>
        </w:rPr>
      </w:pPr>
      <w:r>
        <w:rPr>
          <w:rFonts w:hint="eastAsia" w:ascii="宋体" w:hAnsi="宋体"/>
          <w:b/>
          <w:bCs/>
          <w:color w:val="auto"/>
          <w:sz w:val="24"/>
          <w:highlight w:val="none"/>
        </w:rPr>
        <w:t xml:space="preserve">四</w:t>
      </w:r>
      <w:r>
        <w:rPr>
          <w:rFonts w:hint="eastAsia" w:ascii="宋体" w:hAnsi="宋体"/>
          <w:b/>
          <w:bCs/>
          <w:color w:val="auto"/>
          <w:sz w:val="24"/>
          <w:highlight w:val="none"/>
          <w:lang w:val="zh-CN"/>
        </w:rPr>
        <w:t xml:space="preserve">、服务要求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科学评判水污染综合治理工程成效，评估工程实施对区域水环境、水生态改善程度，现计划开展工程跟踪评估工作，主要涵盖工程项目修复实施前监测、修复实施过程中监测和修复实施后中长期监测，工程结束后，需对治理工程生态保护成效进行系统性评估，具体服务要求详见竞争性磋商文件及乙方响应文件。</w:t>
      </w:r>
      <w:r/>
    </w:p>
    <w:p>
      <w:pPr>
        <w:ind w:firstLine="482"/>
        <w:jc w:val="left"/>
        <w:spacing w:line="360" w:lineRule="auto"/>
        <w:widowControl/>
        <w:tabs>
          <w:tab w:val="left" w:pos="540" w:leader="none"/>
        </w:tabs>
        <w:rPr>
          <w:rFonts w:hint="eastAsia" w:ascii="宋体" w:hAnsi="宋体"/>
          <w:b/>
          <w:bCs/>
          <w:color w:val="auto"/>
          <w:sz w:val="24"/>
          <w:highlight w:val="none"/>
        </w:rPr>
      </w:pPr>
      <w:r>
        <w:rPr>
          <w:rFonts w:hint="eastAsia" w:ascii="宋体" w:hAnsi="宋体"/>
          <w:b/>
          <w:bCs/>
          <w:color w:val="auto"/>
          <w:sz w:val="24"/>
          <w:highlight w:val="none"/>
        </w:rPr>
        <w:t xml:space="preserve">五、人员配备和设备设施配备</w:t>
      </w:r>
      <w:r/>
    </w:p>
    <w:p>
      <w:pPr>
        <w:ind w:firstLine="482"/>
        <w:jc w:val="left"/>
        <w:spacing w:line="360" w:lineRule="auto"/>
        <w:widowControl/>
        <w:tabs>
          <w:tab w:val="left" w:pos="540" w:leader="none"/>
        </w:tabs>
        <w:rPr>
          <w:rFonts w:hint="eastAsia" w:ascii="宋体" w:hAnsi="宋体"/>
          <w:color w:val="auto"/>
          <w:sz w:val="24"/>
          <w:highlight w:val="none"/>
        </w:rPr>
      </w:pPr>
      <w:r>
        <w:rPr>
          <w:rFonts w:hint="eastAsia" w:ascii="宋体" w:hAnsi="宋体"/>
          <w:color w:val="auto"/>
          <w:sz w:val="24"/>
          <w:highlight w:val="none"/>
        </w:rPr>
        <w:t xml:space="preserve">具体详见竞争性磋商文件及乙方响应文件。</w:t>
      </w:r>
      <w:r/>
    </w:p>
    <w:p>
      <w:pPr>
        <w:ind w:firstLine="482"/>
        <w:jc w:val="left"/>
        <w:spacing w:line="360" w:lineRule="auto"/>
        <w:widowControl/>
        <w:tabs>
          <w:tab w:val="left" w:pos="540" w:leader="none"/>
        </w:tabs>
        <w:rPr>
          <w:rFonts w:hint="eastAsia" w:ascii="宋体" w:hAnsi="宋体"/>
          <w:b/>
          <w:bCs/>
          <w:color w:val="auto"/>
          <w:sz w:val="24"/>
          <w:highlight w:val="none"/>
        </w:rPr>
      </w:pPr>
      <w:r>
        <w:rPr>
          <w:rFonts w:hint="eastAsia" w:ascii="宋体" w:hAnsi="宋体"/>
          <w:b/>
          <w:bCs/>
          <w:color w:val="auto"/>
          <w:sz w:val="24"/>
          <w:highlight w:val="none"/>
        </w:rPr>
        <w:t xml:space="preserve">六、双方权利和义务</w:t>
      </w:r>
      <w:r/>
    </w:p>
    <w:p>
      <w:pPr>
        <w:ind w:firstLine="480"/>
        <w:jc w:val="left"/>
        <w:spacing w:line="360" w:lineRule="auto"/>
        <w:widowControl/>
        <w:tabs>
          <w:tab w:val="left" w:pos="540" w:leader="none"/>
        </w:tabs>
        <w:rPr>
          <w:rFonts w:ascii="宋体" w:hAnsi="宋体" w:eastAsia="Arial" w:cs="宋体"/>
          <w:b/>
          <w:color w:val="auto"/>
          <w:sz w:val="24"/>
          <w:highlight w:val="none"/>
        </w:rPr>
      </w:pPr>
      <w:r>
        <w:rPr>
          <w:rFonts w:hint="eastAsia" w:ascii="宋体" w:hAnsi="宋体" w:eastAsia="Arial" w:cs="宋体"/>
          <w:b/>
          <w:color w:val="auto"/>
          <w:sz w:val="24"/>
          <w:highlight w:val="none"/>
        </w:rPr>
        <w:t xml:space="preserve">（一）甲方的权利和义务</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1、甲方负责提供采样工作所需的基础资料，并配合和协助乙方进行现场工作；</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2、甲方负责提供检测工作所需的基础资料，并配合和协助乙方进行现场工作。</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3、按合同有关条款规定申请拨付经费给乙方。</w:t>
      </w:r>
      <w:r/>
    </w:p>
    <w:p>
      <w:pPr>
        <w:ind w:firstLine="480"/>
        <w:jc w:val="left"/>
        <w:spacing w:line="360" w:lineRule="auto"/>
        <w:widowControl/>
        <w:tabs>
          <w:tab w:val="left" w:pos="540" w:leader="none"/>
        </w:tabs>
        <w:rPr>
          <w:rFonts w:ascii="宋体" w:hAnsi="宋体" w:eastAsia="Arial" w:cs="宋体"/>
          <w:b/>
          <w:color w:val="auto"/>
          <w:sz w:val="24"/>
          <w:highlight w:val="none"/>
        </w:rPr>
      </w:pPr>
      <w:r>
        <w:rPr>
          <w:rFonts w:hint="eastAsia" w:ascii="宋体" w:hAnsi="宋体" w:eastAsia="Arial" w:cs="宋体"/>
          <w:b/>
          <w:color w:val="auto"/>
          <w:sz w:val="24"/>
          <w:highlight w:val="none"/>
        </w:rPr>
        <w:t xml:space="preserve">（二）乙方的权利和义务</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1、按照甲方要求，按时完成采样及采样单编制工作，对采取的水样按水质检测要求保管存放；</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2、采用国家或行业标准方法进行采样。</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3、对水质采样段面水体的真实性、有效性负责。</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4、乙方应为甲方所提供的资料等承担保密义务。</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5、采用国家或行业标准方法进行检测。</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6、按时完成化验检测及报告编制，对出具的检测报告真实有效性及保密性负责。</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7、应及时向甲方反映检测过程中发现的问题，并提出相关的意见建议。</w:t>
      </w:r>
      <w:r/>
    </w:p>
    <w:p>
      <w:pPr>
        <w:ind w:firstLine="480"/>
        <w:jc w:val="left"/>
        <w:spacing w:line="360" w:lineRule="auto"/>
        <w:widowControl/>
        <w:tabs>
          <w:tab w:val="left" w:pos="540" w:leader="none"/>
        </w:tabs>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8、乙方在项目实施过程中，承担安全主体责任。</w:t>
      </w:r>
      <w:r/>
    </w:p>
    <w:p>
      <w:pPr>
        <w:ind w:firstLine="480"/>
        <w:jc w:val="left"/>
        <w:spacing w:line="360" w:lineRule="auto"/>
        <w:widowControl/>
        <w:tabs>
          <w:tab w:val="left" w:pos="540" w:leader="none"/>
        </w:tabs>
        <w:rPr>
          <w:rFonts w:ascii="宋体" w:hAnsi="宋体" w:eastAsia="Arial" w:cs="宋体"/>
          <w:b/>
          <w:color w:val="auto"/>
          <w:sz w:val="24"/>
          <w:highlight w:val="none"/>
        </w:rPr>
      </w:pPr>
      <w:r>
        <w:rPr>
          <w:rFonts w:hint="eastAsia" w:ascii="宋体" w:hAnsi="宋体" w:eastAsia="Arial" w:cs="宋体"/>
          <w:b/>
          <w:color w:val="auto"/>
          <w:sz w:val="24"/>
          <w:highlight w:val="none"/>
        </w:rPr>
        <w:t xml:space="preserve">六</w:t>
      </w:r>
      <w:r>
        <w:rPr>
          <w:rFonts w:ascii="宋体" w:hAnsi="宋体" w:eastAsia="Arial" w:cs="宋体"/>
          <w:b/>
          <w:color w:val="auto"/>
          <w:sz w:val="24"/>
          <w:highlight w:val="none"/>
        </w:rPr>
        <w:t xml:space="preserve">、违约责任</w:t>
      </w:r>
      <w:r/>
    </w:p>
    <w:p>
      <w:pPr>
        <w:ind w:firstLine="482"/>
        <w:jc w:val="left"/>
        <w:spacing w:line="360" w:lineRule="auto"/>
        <w:widowControl/>
        <w:tabs>
          <w:tab w:val="left" w:pos="540" w:leader="none"/>
        </w:tabs>
        <w:rPr>
          <w:rFonts w:ascii="宋体" w:hAnsi="宋体" w:eastAsia="Arial" w:cs="宋体"/>
          <w:bCs/>
          <w:color w:val="auto"/>
          <w:sz w:val="24"/>
          <w:highlight w:val="none"/>
        </w:rPr>
      </w:pPr>
      <w:r>
        <w:rPr>
          <w:rFonts w:ascii="宋体" w:hAnsi="宋体" w:eastAsia="Arial" w:cs="宋体"/>
          <w:bCs/>
          <w:color w:val="auto"/>
          <w:sz w:val="24"/>
          <w:highlight w:val="none"/>
        </w:rPr>
        <w:t xml:space="preserve">1.如乙方提供的服务无法满足要求的，甲方有权中止合同,出现一般性管理责任事件,除由乙方继续改正完善外，甲方可视造成的损失程度扣除乙方合同价的5%～10%的违约赔偿金。</w:t>
      </w:r>
      <w:r/>
    </w:p>
    <w:p>
      <w:pPr>
        <w:ind w:firstLine="482"/>
        <w:jc w:val="left"/>
        <w:spacing w:line="360" w:lineRule="auto"/>
        <w:widowControl/>
        <w:tabs>
          <w:tab w:val="left" w:pos="540" w:leader="none"/>
        </w:tabs>
        <w:rPr>
          <w:rFonts w:ascii="宋体" w:hAnsi="宋体" w:eastAsia="Arial" w:cs="宋体"/>
          <w:bCs/>
          <w:color w:val="auto"/>
          <w:sz w:val="24"/>
          <w:highlight w:val="none"/>
        </w:rPr>
      </w:pPr>
      <w:r>
        <w:rPr>
          <w:rFonts w:ascii="宋体" w:hAnsi="宋体" w:eastAsia="Arial" w:cs="宋体"/>
          <w:bCs/>
          <w:color w:val="auto"/>
          <w:sz w:val="24"/>
          <w:highlight w:val="none"/>
        </w:rPr>
        <w:t xml:space="preserve">2.如乙方未按国家及行业现行的强制性技术标准规范等提供服务，甲方可按合同价的5%～10%扣除乙方的违约金。</w:t>
      </w:r>
      <w:r/>
    </w:p>
    <w:p>
      <w:pPr>
        <w:ind w:firstLine="482"/>
        <w:jc w:val="left"/>
        <w:spacing w:line="360" w:lineRule="auto"/>
        <w:widowControl/>
        <w:tabs>
          <w:tab w:val="left" w:pos="540" w:leader="none"/>
        </w:tabs>
        <w:rPr>
          <w:rFonts w:ascii="宋体" w:hAnsi="宋体" w:eastAsia="Arial" w:cs="宋体"/>
          <w:bCs/>
          <w:color w:val="auto"/>
          <w:sz w:val="24"/>
          <w:highlight w:val="none"/>
        </w:rPr>
      </w:pPr>
      <w:r>
        <w:rPr>
          <w:rFonts w:ascii="宋体" w:hAnsi="宋体" w:eastAsia="Arial" w:cs="宋体"/>
          <w:bCs/>
          <w:color w:val="auto"/>
          <w:sz w:val="24"/>
          <w:highlight w:val="none"/>
        </w:rPr>
        <w:t xml:space="preserve">3.未经甲方同意，乙方擅自更换本项目经理，甲方将按合同价的5%扣除乙方的违约金。未经甲方同意，乙方擅自更换本合同项目运行人员，每更换一个，甲方将扣除乙方的违约金壹万元。</w:t>
      </w:r>
      <w:r/>
    </w:p>
    <w:p>
      <w:pPr>
        <w:ind w:firstLine="482"/>
        <w:jc w:val="left"/>
        <w:spacing w:line="360" w:lineRule="auto"/>
        <w:widowControl/>
        <w:tabs>
          <w:tab w:val="left" w:pos="540" w:leader="none"/>
        </w:tabs>
        <w:rPr>
          <w:rFonts w:ascii="宋体" w:hAnsi="宋体" w:eastAsia="Arial" w:cs="宋体"/>
          <w:bCs/>
          <w:color w:val="auto"/>
          <w:sz w:val="24"/>
          <w:highlight w:val="none"/>
        </w:rPr>
      </w:pPr>
      <w:r>
        <w:rPr>
          <w:rFonts w:ascii="宋体" w:hAnsi="宋体" w:eastAsia="Arial" w:cs="宋体"/>
          <w:bCs/>
          <w:color w:val="auto"/>
          <w:sz w:val="24"/>
          <w:highlight w:val="none"/>
        </w:rPr>
        <w:t xml:space="preserve">4.如乙方将本合同项目转让，或未经甲方同意擅自将本合同项目任何部分分包出去，甲方有权终止合同，且不支付该分包工作量的费用，并按费用总额的5%～10%扣除乙方的违约金。</w:t>
      </w:r>
      <w:r/>
    </w:p>
    <w:p>
      <w:pPr>
        <w:ind w:firstLine="482"/>
        <w:jc w:val="left"/>
        <w:spacing w:line="360" w:lineRule="auto"/>
        <w:widowControl/>
        <w:tabs>
          <w:tab w:val="left" w:pos="540" w:leader="none"/>
        </w:tabs>
        <w:rPr>
          <w:rFonts w:hint="eastAsia" w:ascii="宋体" w:hAnsi="宋体"/>
          <w:b/>
          <w:bCs/>
          <w:color w:val="auto"/>
          <w:sz w:val="24"/>
          <w:highlight w:val="none"/>
          <w:lang w:val="zh-CN"/>
        </w:rPr>
      </w:pPr>
      <w:r>
        <w:rPr>
          <w:rFonts w:hint="eastAsia" w:ascii="宋体" w:hAnsi="宋体"/>
          <w:b/>
          <w:bCs/>
          <w:color w:val="auto"/>
          <w:sz w:val="24"/>
          <w:highlight w:val="none"/>
        </w:rPr>
        <w:t xml:space="preserve">七、</w:t>
      </w:r>
      <w:r>
        <w:rPr>
          <w:rFonts w:ascii="宋体" w:hAnsi="宋体"/>
          <w:b/>
          <w:bCs/>
          <w:color w:val="auto"/>
          <w:sz w:val="24"/>
          <w:highlight w:val="none"/>
          <w:lang w:val="zh-CN"/>
        </w:rPr>
        <w:t xml:space="preserve">违约解决途径</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本合同的变更、解除和终止。</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1、经双方当事人协商一致，合同内容可以变更，并签订变更合同。</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2、甲乙双方解除本合同时，必须依照法律法规进行。</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3、服务期内，甲方监督餐厅运作，乙方如不按本合同规定事项办理，甲方有权终止本合同。</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4、如双方在履约过程中发生纠纷，双方协商解决不了的，向甲方所在地人民法院起诉解决。</w:t>
      </w:r>
      <w:r/>
    </w:p>
    <w:p>
      <w:pPr>
        <w:ind w:firstLine="482"/>
        <w:jc w:val="left"/>
        <w:spacing w:line="360" w:lineRule="auto"/>
        <w:widowControl/>
        <w:tabs>
          <w:tab w:val="left" w:pos="540" w:leader="none"/>
        </w:tabs>
        <w:rPr>
          <w:rFonts w:hint="eastAsia" w:ascii="宋体" w:hAnsi="宋体"/>
          <w:b/>
          <w:bCs/>
          <w:color w:val="auto"/>
          <w:sz w:val="24"/>
          <w:highlight w:val="none"/>
          <w:lang w:val="zh-CN"/>
        </w:rPr>
      </w:pPr>
      <w:r>
        <w:rPr>
          <w:rFonts w:hint="eastAsia" w:ascii="宋体" w:hAnsi="宋体"/>
          <w:b/>
          <w:bCs/>
          <w:color w:val="auto"/>
          <w:sz w:val="24"/>
          <w:highlight w:val="none"/>
        </w:rPr>
        <w:t xml:space="preserve">八、</w:t>
      </w:r>
      <w:r>
        <w:rPr>
          <w:rFonts w:ascii="宋体" w:hAnsi="宋体"/>
          <w:b/>
          <w:bCs/>
          <w:color w:val="auto"/>
          <w:sz w:val="24"/>
          <w:highlight w:val="none"/>
          <w:lang w:val="zh-CN"/>
        </w:rPr>
        <w:t xml:space="preserve">其他事项</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1、服务结束后，乙方应将甲方提供的场地、设施、设备、工具等全部清还甲方，并配合甲方完成清算工作。</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2、本合同若有未尽事宜，由双方代表协商处理。</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3、本合同一式</w:t>
      </w:r>
      <w:r>
        <w:rPr>
          <w:rFonts w:hint="eastAsia" w:ascii="宋体" w:hAnsi="宋体"/>
          <w:color w:val="auto"/>
          <w:sz w:val="24"/>
          <w:highlight w:val="none"/>
          <w:u w:val="single"/>
        </w:rPr>
        <w:t xml:space="preserve">     </w:t>
      </w:r>
      <w:r>
        <w:rPr>
          <w:rFonts w:ascii="宋体" w:hAnsi="宋体"/>
          <w:color w:val="auto"/>
          <w:sz w:val="24"/>
          <w:highlight w:val="none"/>
          <w:lang w:val="zh-CN"/>
        </w:rPr>
        <w:t xml:space="preserve">份，具有同等法律效力，甲方</w:t>
      </w:r>
      <w:r>
        <w:rPr>
          <w:rFonts w:hint="eastAsia" w:ascii="宋体" w:hAnsi="宋体"/>
          <w:color w:val="auto"/>
          <w:sz w:val="24"/>
          <w:highlight w:val="none"/>
          <w:u w:val="single"/>
        </w:rPr>
        <w:t xml:space="preserve">    </w:t>
      </w:r>
      <w:r>
        <w:rPr>
          <w:rFonts w:ascii="宋体" w:hAnsi="宋体"/>
          <w:color w:val="auto"/>
          <w:sz w:val="24"/>
          <w:highlight w:val="none"/>
          <w:lang w:val="zh-CN"/>
        </w:rPr>
        <w:t xml:space="preserve">份，乙方</w:t>
      </w:r>
      <w:r>
        <w:rPr>
          <w:rFonts w:hint="eastAsia" w:ascii="宋体" w:hAnsi="宋体"/>
          <w:color w:val="auto"/>
          <w:sz w:val="24"/>
          <w:highlight w:val="none"/>
          <w:u w:val="single"/>
        </w:rPr>
        <w:t xml:space="preserve">    </w:t>
      </w:r>
      <w:r>
        <w:rPr>
          <w:rFonts w:ascii="宋体" w:hAnsi="宋体"/>
          <w:color w:val="auto"/>
          <w:sz w:val="24"/>
          <w:highlight w:val="none"/>
          <w:lang w:val="zh-CN"/>
        </w:rPr>
        <w:t xml:space="preserve">份，代理机构备案一份。</w:t>
      </w:r>
      <w:r/>
    </w:p>
    <w:p>
      <w:pPr>
        <w:ind w:firstLine="480"/>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4、本合同自双方加盖公章或合同专用章后生效。</w:t>
      </w:r>
      <w:r/>
    </w:p>
    <w:p>
      <w:pPr>
        <w:jc w:val="left"/>
        <w:spacing w:line="360" w:lineRule="auto"/>
        <w:widowControl/>
        <w:tabs>
          <w:tab w:val="left" w:pos="540" w:leader="none"/>
        </w:tabs>
        <w:rPr>
          <w:rFonts w:hint="eastAsia" w:ascii="宋体" w:hAnsi="宋体"/>
          <w:color w:val="auto"/>
          <w:sz w:val="24"/>
          <w:highlight w:val="none"/>
          <w:lang w:val="zh-CN"/>
        </w:rPr>
      </w:pPr>
      <w:r>
        <w:rPr>
          <w:rFonts w:ascii="宋体" w:hAnsi="宋体"/>
          <w:color w:val="auto"/>
          <w:sz w:val="24"/>
          <w:highlight w:val="none"/>
          <w:lang w:val="zh-CN"/>
        </w:rPr>
        <w:t xml:space="preserve">（以下无正文）</w:t>
      </w:r>
      <w:r/>
    </w:p>
    <w:p>
      <w:pPr>
        <w:jc w:val="left"/>
        <w:spacing w:line="360" w:lineRule="auto"/>
        <w:widowControl/>
        <w:tabs>
          <w:tab w:val="left" w:pos="540" w:leader="none"/>
        </w:tabs>
        <w:rPr>
          <w:rFonts w:hint="eastAsia" w:ascii="宋体" w:hAnsi="宋体"/>
          <w:color w:val="auto"/>
          <w:sz w:val="24"/>
          <w:highlight w:val="none"/>
          <w:lang w:val="zh-CN"/>
        </w:rPr>
      </w:pPr>
      <w:r>
        <w:rPr>
          <w:rFonts w:hint="eastAsia" w:ascii="宋体" w:hAnsi="宋体"/>
          <w:color w:val="auto"/>
          <w:sz w:val="24"/>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甲方（签章）：____________________________________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地址： ____________________________________</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邮编： ____________________________________</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传真：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电话：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法定代表人或授权代表(签名)： 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签订时间：___________________________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乙方（签章）：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地址：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邮编：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传真：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电话： ____________________________________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开户银行：________________________________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银行帐号： ________________________________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法定代表人或授权代表(签名)： ___________________________ </w:t>
      </w:r>
      <w:r/>
    </w:p>
    <w:p>
      <w:pPr>
        <w:jc w:val="left"/>
        <w:spacing w:line="360" w:lineRule="auto"/>
        <w:widowControl/>
        <w:tabs>
          <w:tab w:val="left" w:pos="540" w:leader="none"/>
        </w:tabs>
        <w:rPr>
          <w:rFonts w:ascii="宋体" w:hAnsi="宋体" w:eastAsia="楷体_GB2312"/>
          <w:color w:val="auto"/>
          <w:sz w:val="24"/>
          <w:szCs w:val="28"/>
          <w:highlight w:val="none"/>
        </w:rPr>
      </w:pPr>
      <w:r>
        <w:rPr>
          <w:rFonts w:hint="eastAsia" w:ascii="宋体" w:hAnsi="宋体"/>
          <w:color w:val="auto"/>
          <w:sz w:val="24"/>
          <w:highlight w:val="none"/>
        </w:rPr>
        <w:t xml:space="preserve">签订时间：___________________________</w:t>
      </w:r>
      <w:r/>
    </w:p>
    <w:p>
      <w:pPr>
        <w:numPr>
          <w:ilvl w:val="0"/>
          <w:numId w:val="0"/>
        </w:numPr>
        <w:jc w:val="center"/>
        <w:spacing w:line="0" w:lineRule="atLeast"/>
        <w:rPr>
          <w:rFonts w:hint="eastAsia" w:hAnsi="宋体" w:cs="宋体"/>
          <w:b/>
          <w:color w:val="auto"/>
          <w:sz w:val="36"/>
          <w:highlight w:val="none"/>
        </w:rPr>
      </w:pPr>
      <w:r>
        <w:rPr>
          <w:rFonts w:hint="eastAsia" w:ascii="宋体" w:hAnsi="宋体" w:cs="宋体"/>
          <w:b/>
          <w:color w:val="auto"/>
          <w:sz w:val="36"/>
          <w:highlight w:val="none"/>
          <w:lang w:val="en-US" w:eastAsia="zh-CN"/>
        </w:rPr>
        <w:t xml:space="preserve">7、承诺书</w:t>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徐州淮海国际港务区柳新镇人民政府</w:t>
      </w:r>
      <w:r>
        <w:rPr>
          <w:rFonts w:hint="eastAsia" w:ascii="宋体" w:hAnsi="宋体" w:cs="宋体"/>
          <w:b/>
          <w:bCs/>
          <w:color w:val="auto"/>
          <w:sz w:val="24"/>
          <w:highlight w:val="none"/>
        </w:rPr>
        <w:t xml:space="preserve">：</w:t>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JSZC-320318-HWZX-C2026-0264</w:t>
      </w:r>
      <w:r>
        <w:rPr>
          <w:rFonts w:hint="eastAsia" w:ascii="宋体" w:hAnsi="宋体" w:cs="宋体"/>
          <w:color w:val="auto"/>
          <w:sz w:val="24"/>
          <w:szCs w:val="24"/>
          <w:highlight w:val="none"/>
        </w:rPr>
        <w:t xml:space="preserve">）要求，本供应商正式提交以下首次响应文件。</w:t>
      </w:r>
      <w:r/>
    </w:p>
    <w:p>
      <w:pPr>
        <w:pStyle w:val="1121"/>
        <w:ind w:firstLine="480"/>
        <w:spacing w:line="288" w:lineRule="auto"/>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2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21"/>
        <w:ind w:firstLine="480"/>
        <w:spacing w:line="288" w:lineRule="auto"/>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21"/>
        <w:ind w:firstLine="480"/>
        <w:spacing w:line="288" w:lineRule="auto"/>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r/>
    </w:p>
    <w:p>
      <w:pPr>
        <w:numPr>
          <w:ilvl w:val="0"/>
          <w:numId w:val="0"/>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8、授权委托书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highlight w:val="none"/>
          <w:lang w:val="en-US" w:eastAsia="zh-CN"/>
        </w:rPr>
        <w:t xml:space="preserve">9、中小企业声明函</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u w:val="single"/>
        </w:rPr>
        <w:t xml:space="preserve">               </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u w:val="singl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（徐州淮海国际港务区柳新镇人民政府）</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（京杭运河洞山西省控断面水污染综合治理工程生态保护修复成效评估项目）</w:t>
      </w:r>
      <w:r>
        <w:rPr>
          <w:rFonts w:hint="eastAsia" w:ascii="宋体" w:hAnsi="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（京杭运河洞山西省控断面水污染综合治理工程生态保护修复成效评估项目）</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val="en-US" w:eastAsia="zh-CN"/>
        </w:rPr>
        <w:t xml:space="preserve">科学研究和技术服务业</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，其从业人员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企业名称（电子签章）：</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6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2"/>
        <w:ind w:left="0"/>
        <w:jc w:val="left"/>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1102"/>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02"/>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2、从业人员、营业收入、资产总额填报上一年度数据，无上一年度数据的新成立企业可不填报。</w:t>
      </w:r>
      <w:r/>
    </w:p>
    <w:p>
      <w:pPr>
        <w:pStyle w:val="1102"/>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3、中标人为小型、微型企业的，采购人或者其委托的采购代理机构有权随中标、成交结果同时公告其《中小企业声明函》，接受社会监督。</w:t>
      </w:r>
      <w:r/>
    </w:p>
    <w:p>
      <w:pPr>
        <w:pStyle w:val="1102"/>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102"/>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5、供应商提供的《中小企业声明函》与事实不符的，依照《政府采购法》第七十七条第一款的规定追究法律责任。</w:t>
      </w:r>
      <w:r/>
    </w:p>
    <w:p>
      <w:pPr>
        <w:jc w:val="left"/>
        <w:widowControl/>
        <w:rPr>
          <w:rFonts w:hint="eastAsia" w:ascii="宋体" w:hAnsi="宋体" w:cs="宋体"/>
          <w:b/>
          <w:bCs/>
          <w:color w:val="auto"/>
          <w:sz w:val="28"/>
          <w:szCs w:val="28"/>
          <w:highlight w:val="none"/>
        </w:rPr>
      </w:pPr>
      <w:r>
        <w:rPr>
          <w:rFonts w:hint="eastAsia" w:ascii="宋体" w:hAnsi="宋体" w:cs="宋体"/>
          <w:b/>
          <w:bCs/>
          <w:color w:val="auto"/>
          <w:sz w:val="24"/>
          <w:highlight w:val="none"/>
        </w:rPr>
        <w:t xml:space="preserve">6、《中小企业声明函》查询渠道用微信搜索“中小企业规模类型自测小程序”。</w:t>
      </w:r>
      <w:r/>
    </w:p>
    <w:p>
      <w:pPr>
        <w:pStyle w:val="991"/>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olor w:val="auto"/>
          <w:highlight w:val="none"/>
        </w:rPr>
        <mc:AlternateContent>
          <mc:Choice Requires="wpg">
            <w:drawing>
              <wp:inline xmlns:wp="http://schemas.openxmlformats.org/drawingml/2006/wordprocessingDrawing"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3"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6pt;height:258.6pt;mso-wrap-distance-left:0.0pt;mso-wrap-distance-top:0.0pt;mso-wrap-distance-right:0.0pt;mso-wrap-distance-bottom:0.0pt;" stroked="f">
                <v:path textboxrect="0,0,0,0"/>
                <v:imagedata r:id="rId21" o:title=""/>
              </v:shape>
            </w:pict>
          </mc:Fallback>
        </mc:AlternateContent>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京杭运河洞山西省控断面水污染综合治理工程生态保护修复成效评估</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lang w:eastAsia="zh-CN"/>
        </w:rPr>
        <w:t xml:space="preserve">JSZC-320318-HWZX-C2026-0264</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pStyle w:val="1080"/>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cs="宋体"/>
          <w:b/>
          <w:color w:val="auto"/>
          <w:sz w:val="36"/>
          <w:szCs w:val="36"/>
          <w:highlight w:val="none"/>
        </w:rPr>
      </w:pPr>
      <w:r/>
      <w:bookmarkStart w:id="0" w:name="OLE_LINK13"/>
      <w:r/>
      <w:bookmarkStart w:id="1" w:name="OLE_LINK14"/>
      <w:r>
        <w:rPr>
          <w:rFonts w:hint="eastAsia" w:ascii="宋体" w:hAnsi="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京杭运河洞山西省控断面水污染综合治理工程生态保护修复成效评估项目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JSZC-320318-HWZX-C2026-0264</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rPr>
        <w:t xml:space="preserve">京杭运河洞山西省控断面水污染综合治理工程生态保护修复成效评估项目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JSZC-320318-HWZX-C2026-0264</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1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highlight w:val="none"/>
          <w:lang w:val="en-US" w:eastAsia="zh-CN"/>
        </w:rPr>
        <w:t xml:space="preserve">12、拟投入本项目人员情况表</w:t>
      </w:r>
      <w:r/>
    </w:p>
    <w:p>
      <w:pPr>
        <w:pStyle w:val="926"/>
        <w:rPr>
          <w:color w:val="auto"/>
          <w:highlight w:val="none"/>
        </w:rPr>
      </w:pPr>
      <w:r>
        <w:rPr>
          <w:color w:val="auto"/>
          <w:highlight w:val="none"/>
        </w:rPr>
      </w:r>
      <w:r/>
    </w:p>
    <w:tbl>
      <w:tblPr>
        <w:tblStyle w:val="9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
        <w:gridCol w:w="940"/>
        <w:gridCol w:w="1679"/>
        <w:gridCol w:w="761"/>
        <w:gridCol w:w="940"/>
        <w:gridCol w:w="857"/>
        <w:gridCol w:w="1241"/>
        <w:gridCol w:w="1677"/>
      </w:tblGrid>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序</w:t>
            </w:r>
            <w:r/>
          </w:p>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号</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姓  名</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担任项目岗位</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学历</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专业</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职称</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执业资格</w:t>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资格证书编号</w:t>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82" w:type="pct"/>
            <w:vAlign w:val="center"/>
            <w:textDirection w:val="lrTb"/>
            <w:noWrap w:val="false"/>
          </w:tcPr>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874"/>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注：</w:t>
      </w:r>
      <w:r/>
    </w:p>
    <w:p>
      <w:pPr>
        <w:jc w:val="left"/>
        <w:spacing w:line="360" w:lineRule="auto"/>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1、附各专业人员简历及资质证书、身份证、职称证书、社保材料扫描件。</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2、表格不够填写可添加。</w:t>
      </w:r>
      <w:r/>
    </w:p>
    <w:p>
      <w:pPr>
        <w:ind w:left="420" w:right="357" w:hanging="400"/>
        <w:jc w:val="left"/>
        <w:spacing w:before="120"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 </w:t>
      </w:r>
      <w:r/>
    </w:p>
    <w:p>
      <w:pPr>
        <w:pStyle w:val="923"/>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供应商：            （电子签章） </w:t>
      </w:r>
      <w:r/>
    </w:p>
    <w:p>
      <w:pPr>
        <w:pStyle w:val="923"/>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923"/>
        <w:ind w:firstLine="0"/>
        <w:jc w:val="both"/>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24"/>
          <w:highlight w:val="none"/>
        </w:rPr>
        <w:br w:type="page" w:clear="all"/>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highlight w:val="none"/>
          <w:lang w:val="en-US" w:eastAsia="zh-CN"/>
        </w:rPr>
        <w:t xml:space="preserve">13、残疾人福利性单位声明函</w:t>
      </w:r>
      <w:bookmarkEnd w:id="0"/>
      <w:r/>
      <w:bookmarkEnd w:id="1"/>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999"/>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highlight w:val="none"/>
          <w:lang w:val="en-US" w:eastAsia="zh-CN"/>
        </w:rPr>
        <w:t xml:space="preserve">14、代理服务收费标准</w:t>
      </w:r>
      <w:r/>
    </w:p>
    <w:p>
      <w:pPr>
        <w:jc w:val="center"/>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tbl>
      <w:tblPr>
        <w:tblStyle w:val="9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0.005%</w:t>
            </w:r>
            <w:r/>
          </w:p>
        </w:tc>
      </w:tr>
    </w:tbl>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1、按上表计算的收费为代理服务全过程的收费金额。各社会代理机构不再收取采购文件制作售卖费用。</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2、代理服务费按差额定率累进法计算。</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3、代理服务费基准金额（按差额定率累进法计算的）=中标金额（按差额定率累进法计算的） * 费率（%）</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4、代理服务费应收取金额=代理服务费基准金额（按差额定率累进法计算的）的合计数。</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5、定点类等无金额或事先不能计算出价格总额的项目，按中标（成交）金额100万元计算服务费。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6、有分包（分标段）项目按总项目中标（成交）金额收费。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7、上该表为自行约定的代理服务费标准。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8、账户信息：</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账户名：江苏海外集团国际工程咨询有限公司徐州分公司</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开户银行：上海浦东发展银行股份有限公司徐州分行</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账号：11110154740005866</w:t>
      </w:r>
      <w:r/>
    </w:p>
    <w:p>
      <w:pPr>
        <w:jc w:val="center"/>
        <w:spacing w:line="360" w:lineRule="auto"/>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0"/>
          <w:highlight w:val="none"/>
        </w:rPr>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highlight w:val="none"/>
          <w:lang w:val="en-US" w:eastAsia="zh-CN"/>
        </w:rPr>
        <w:t xml:space="preserve">15、供应商明确表示无需预付款的承诺函</w:t>
      </w:r>
      <w:r/>
    </w:p>
    <w:p>
      <w:pPr>
        <w:ind w:firstLine="548"/>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我单位在参加</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lang w:eastAsia="zh-CN"/>
        </w:rPr>
        <w:t xml:space="preserve">京杭运河洞山西省控断面水污染综合治理工程生态保护修复成效评估项目</w:t>
      </w:r>
      <w:r>
        <w:rPr>
          <w:rFonts w:hint="eastAsia" w:ascii="宋体" w:hAnsi="宋体" w:cs="宋体"/>
          <w:bCs/>
          <w:color w:val="auto"/>
          <w:sz w:val="28"/>
          <w:szCs w:val="28"/>
          <w:highlight w:val="none"/>
        </w:rPr>
        <w:t xml:space="preserve">（项目编号：</w:t>
      </w:r>
      <w:r>
        <w:rPr>
          <w:rFonts w:hint="eastAsia" w:ascii="宋体" w:hAnsi="宋体" w:cs="宋体"/>
          <w:bCs/>
          <w:color w:val="auto"/>
          <w:sz w:val="28"/>
          <w:szCs w:val="28"/>
          <w:highlight w:val="none"/>
          <w:u w:val="single"/>
          <w:lang w:eastAsia="zh-CN"/>
        </w:rPr>
        <w:t xml:space="preserve">JSZC-320318-HWZX-C2026-0264</w:t>
      </w:r>
      <w:r>
        <w:rPr>
          <w:rFonts w:hint="eastAsia" w:ascii="宋体" w:hAnsi="宋体" w:cs="宋体"/>
          <w:bCs/>
          <w:color w:val="auto"/>
          <w:sz w:val="28"/>
          <w:szCs w:val="28"/>
          <w:highlight w:val="none"/>
        </w:rPr>
        <w:t xml:space="preserve">号）政府采购活动，我单位承诺在签订合同时，明确表示无需预付款。</w:t>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25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firstLine="25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cs="宋体"/>
          <w:b/>
          <w:color w:val="auto"/>
          <w:sz w:val="36"/>
          <w:szCs w:val="36"/>
          <w:highlight w:val="none"/>
        </w:rPr>
      </w:pPr>
      <w:r>
        <w:rPr>
          <w:rFonts w:hint="eastAsia" w:ascii="宋体" w:hAnsi="宋体" w:cs="宋体"/>
          <w:b/>
          <w:color w:val="auto"/>
          <w:sz w:val="36"/>
          <w:highlight w:val="none"/>
          <w:lang w:val="en-US" w:eastAsia="zh-CN"/>
        </w:rPr>
        <w:t xml:space="preserve">16、预付款保函支付条款模板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999"/>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083"/>
      </w:rPr>
      <w:framePr w:wrap="around" w:vAnchor="text" w:hAnchor="margin" w:xAlign="center" w:y="1"/>
    </w:pPr>
    <w:r>
      <w:fldChar w:fldCharType="begin"/>
    </w:r>
    <w:r>
      <w:rPr>
        <w:rStyle w:val="1083"/>
      </w:rPr>
      <w:instrText xml:space="preserve">PAGE  </w:instrText>
    </w:r>
    <w:r>
      <w:fldChar w:fldCharType="end"/>
    </w:r>
    <w:r/>
  </w:p>
  <w:p>
    <w:pPr>
      <w:pStyle w:val="11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2921635</wp:posOffset>
              </wp:positionH>
              <wp:positionV relativeFrom="paragraph">
                <wp:posOffset>-2540</wp:posOffset>
              </wp:positionV>
              <wp:extent cx="229870" cy="317500"/>
              <wp:effectExtent l="0" t="0" r="17780" b="6985"/>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8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8">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7">
    <w:name w:val="TOC Heading"/>
    <w:uiPriority w:val="39"/>
    <w:unhideWhenUsed/>
  </w:style>
  <w:style w:type="paragraph" w:styleId="908" w:default="1">
    <w:name w:val="Normal"/>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09">
    <w:name w:val="Heading 1"/>
    <w:basedOn w:val="908"/>
    <w:next w:val="908"/>
    <w:link w:val="1008"/>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link w:val="1009"/>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link w:val="952"/>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1010"/>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1011"/>
    <w:uiPriority w:val="9"/>
    <w:unhideWhenUsed/>
    <w:qFormat/>
    <w:pPr>
      <w:keepLines/>
      <w:keepNext/>
      <w:spacing w:before="320" w:after="200"/>
      <w:outlineLvl w:val="4"/>
    </w:pPr>
    <w:rPr>
      <w:rFonts w:ascii="Arial" w:hAnsi="Arial" w:eastAsia="Arial" w:cs="Arial"/>
      <w:b/>
      <w:bCs/>
      <w:sz w:val="24"/>
    </w:rPr>
  </w:style>
  <w:style w:type="paragraph" w:styleId="914">
    <w:name w:val="Heading 6"/>
    <w:basedOn w:val="908"/>
    <w:next w:val="908"/>
    <w:link w:val="1012"/>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1014"/>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1015"/>
    <w:uiPriority w:val="9"/>
    <w:unhideWhenUsed/>
    <w:qFormat/>
    <w:pPr>
      <w:keepLines/>
      <w:keepNext/>
      <w:spacing w:before="320" w:after="200"/>
      <w:outlineLvl w:val="8"/>
    </w:pPr>
    <w:rPr>
      <w:rFonts w:ascii="Arial" w:hAnsi="Arial" w:eastAsia="Arial" w:cs="Arial"/>
      <w:i/>
      <w:iCs/>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customStyle="1">
    <w:name w:val="正文文本11"/>
    <w:basedOn w:val="921"/>
    <w:next w:val="908"/>
    <w:uiPriority w:val="0"/>
    <w:qFormat/>
    <w:pPr>
      <w:spacing w:after="120"/>
    </w:pPr>
  </w:style>
  <w:style w:type="paragraph" w:styleId="921" w:customStyle="1">
    <w:name w:val="正文112"/>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toc 7"/>
    <w:basedOn w:val="908"/>
    <w:next w:val="908"/>
    <w:uiPriority w:val="39"/>
    <w:unhideWhenUsed/>
    <w:qFormat/>
    <w:pPr>
      <w:ind w:left="1701"/>
      <w:spacing w:after="57"/>
    </w:pPr>
  </w:style>
  <w:style w:type="paragraph" w:styleId="923">
    <w:name w:val="Normal Indent"/>
    <w:basedOn w:val="908"/>
    <w:uiPriority w:val="99"/>
    <w:semiHidden/>
    <w:unhideWhenUsed/>
    <w:qFormat/>
    <w:pPr>
      <w:ind w:firstLine="420"/>
      <w:jc w:val="left"/>
    </w:pPr>
    <w:rPr>
      <w:rFonts w:eastAsia="楷体_GB2312"/>
      <w:color w:val="000000"/>
      <w:sz w:val="24"/>
    </w:rPr>
  </w:style>
  <w:style w:type="paragraph" w:styleId="924">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5">
    <w:name w:val="annotation text"/>
    <w:basedOn w:val="908"/>
    <w:uiPriority w:val="0"/>
    <w:qFormat/>
    <w:pPr>
      <w:jc w:val="left"/>
    </w:pPr>
  </w:style>
  <w:style w:type="paragraph" w:styleId="926">
    <w:name w:val="Body Text"/>
    <w:basedOn w:val="908"/>
    <w:next w:val="908"/>
    <w:uiPriority w:val="99"/>
    <w:qFormat/>
    <w:pPr>
      <w:spacing w:after="120"/>
    </w:pPr>
    <w:rPr>
      <w:rFonts w:ascii="Calibri" w:hAnsi="Calibri"/>
    </w:rPr>
  </w:style>
  <w:style w:type="paragraph" w:styleId="927">
    <w:name w:val="Body Text Indent"/>
    <w:basedOn w:val="908"/>
    <w:uiPriority w:val="0"/>
    <w:qFormat/>
    <w:pPr>
      <w:ind w:left="420"/>
      <w:spacing w:after="120"/>
    </w:pPr>
    <w:rPr>
      <w:rFonts w:ascii="Calibri" w:hAnsi="Calibri"/>
    </w:rPr>
  </w:style>
  <w:style w:type="paragraph" w:styleId="928">
    <w:name w:val="Block Text"/>
    <w:basedOn w:val="908"/>
    <w:uiPriority w:val="99"/>
    <w:unhideWhenUsed/>
    <w:qFormat/>
    <w:pPr>
      <w:ind w:left="1440" w:right="1440"/>
      <w:spacing w:after="120"/>
    </w:pPr>
  </w:style>
  <w:style w:type="paragraph" w:styleId="929">
    <w:name w:val="toc 5"/>
    <w:basedOn w:val="908"/>
    <w:next w:val="908"/>
    <w:uiPriority w:val="39"/>
    <w:unhideWhenUsed/>
    <w:qFormat/>
    <w:pPr>
      <w:ind w:left="1134"/>
      <w:spacing w:after="57"/>
    </w:pPr>
  </w:style>
  <w:style w:type="paragraph" w:styleId="930">
    <w:name w:val="toc 3"/>
    <w:basedOn w:val="908"/>
    <w:next w:val="908"/>
    <w:uiPriority w:val="39"/>
    <w:unhideWhenUsed/>
    <w:qFormat/>
    <w:pPr>
      <w:ind w:left="567"/>
      <w:spacing w:after="57"/>
    </w:pPr>
  </w:style>
  <w:style w:type="paragraph" w:styleId="931">
    <w:name w:val="toc 8"/>
    <w:basedOn w:val="908"/>
    <w:next w:val="908"/>
    <w:uiPriority w:val="39"/>
    <w:unhideWhenUsed/>
    <w:qFormat/>
    <w:pPr>
      <w:ind w:left="1984"/>
      <w:spacing w:after="57"/>
    </w:pPr>
  </w:style>
  <w:style w:type="paragraph" w:styleId="932">
    <w:name w:val="endnote text"/>
    <w:basedOn w:val="908"/>
    <w:link w:val="1027"/>
    <w:uiPriority w:val="99"/>
    <w:semiHidden/>
    <w:unhideWhenUsed/>
    <w:qFormat/>
    <w:rPr>
      <w:sz w:val="20"/>
    </w:rPr>
  </w:style>
  <w:style w:type="paragraph" w:styleId="933">
    <w:name w:val="Footer"/>
    <w:basedOn w:val="908"/>
    <w:link w:val="1025"/>
    <w:uiPriority w:val="99"/>
    <w:unhideWhenUsed/>
    <w:qFormat/>
    <w:pPr>
      <w:tabs>
        <w:tab w:val="center" w:pos="7143" w:leader="none"/>
        <w:tab w:val="right" w:pos="14287" w:leader="none"/>
      </w:tabs>
    </w:pPr>
  </w:style>
  <w:style w:type="paragraph" w:styleId="934">
    <w:name w:val="Header"/>
    <w:basedOn w:val="908"/>
    <w:link w:val="1024"/>
    <w:uiPriority w:val="99"/>
    <w:unhideWhenUsed/>
    <w:qFormat/>
    <w:pPr>
      <w:tabs>
        <w:tab w:val="center" w:pos="7143" w:leader="none"/>
        <w:tab w:val="right" w:pos="14287" w:leader="none"/>
      </w:tabs>
    </w:pPr>
  </w:style>
  <w:style w:type="paragraph" w:styleId="935">
    <w:name w:val="toc 1"/>
    <w:basedOn w:val="908"/>
    <w:next w:val="908"/>
    <w:uiPriority w:val="39"/>
    <w:unhideWhenUsed/>
    <w:qFormat/>
    <w:pPr>
      <w:spacing w:after="57"/>
    </w:pPr>
  </w:style>
  <w:style w:type="paragraph" w:styleId="936">
    <w:name w:val="toc 4"/>
    <w:basedOn w:val="908"/>
    <w:next w:val="908"/>
    <w:uiPriority w:val="39"/>
    <w:unhideWhenUsed/>
    <w:qFormat/>
    <w:pPr>
      <w:ind w:left="850"/>
      <w:spacing w:after="57"/>
    </w:pPr>
  </w:style>
  <w:style w:type="paragraph" w:styleId="937">
    <w:name w:val="Subtitle"/>
    <w:basedOn w:val="908"/>
    <w:next w:val="908"/>
    <w:link w:val="1019"/>
    <w:uiPriority w:val="11"/>
    <w:qFormat/>
    <w:pPr>
      <w:spacing w:before="200" w:after="200"/>
    </w:pPr>
    <w:rPr>
      <w:sz w:val="24"/>
    </w:rPr>
  </w:style>
  <w:style w:type="paragraph" w:styleId="938">
    <w:name w:val="footnote text"/>
    <w:basedOn w:val="908"/>
    <w:link w:val="1026"/>
    <w:uiPriority w:val="99"/>
    <w:semiHidden/>
    <w:unhideWhenUsed/>
    <w:qFormat/>
    <w:pPr>
      <w:spacing w:after="40"/>
    </w:pPr>
    <w:rPr>
      <w:sz w:val="18"/>
    </w:rPr>
  </w:style>
  <w:style w:type="paragraph" w:styleId="939">
    <w:name w:val="toc 6"/>
    <w:basedOn w:val="908"/>
    <w:next w:val="908"/>
    <w:uiPriority w:val="39"/>
    <w:unhideWhenUsed/>
    <w:qFormat/>
    <w:pPr>
      <w:ind w:left="1417"/>
      <w:spacing w:after="57"/>
    </w:pPr>
  </w:style>
  <w:style w:type="paragraph" w:styleId="940">
    <w:name w:val="table of figures"/>
    <w:basedOn w:val="908"/>
    <w:next w:val="908"/>
    <w:uiPriority w:val="99"/>
    <w:unhideWhenUsed/>
    <w:qFormat/>
  </w:style>
  <w:style w:type="paragraph" w:styleId="941">
    <w:name w:val="toc 2"/>
    <w:basedOn w:val="908"/>
    <w:next w:val="908"/>
    <w:uiPriority w:val="39"/>
    <w:unhideWhenUsed/>
    <w:qFormat/>
    <w:pPr>
      <w:ind w:left="283"/>
      <w:spacing w:after="57"/>
    </w:pPr>
  </w:style>
  <w:style w:type="paragraph" w:styleId="942">
    <w:name w:val="toc 9"/>
    <w:basedOn w:val="908"/>
    <w:next w:val="908"/>
    <w:uiPriority w:val="39"/>
    <w:unhideWhenUsed/>
    <w:qFormat/>
    <w:pPr>
      <w:ind w:left="2268"/>
      <w:spacing w:after="57"/>
    </w:pPr>
  </w:style>
  <w:style w:type="paragraph" w:styleId="943">
    <w:name w:val="Normal (Web)"/>
    <w:basedOn w:val="908"/>
    <w:uiPriority w:val="0"/>
    <w:qFormat/>
    <w:pPr>
      <w:jc w:val="left"/>
      <w:spacing w:before="100" w:beforeAutospacing="1" w:after="100" w:afterAutospacing="1"/>
      <w:widowControl/>
    </w:pPr>
    <w:rPr>
      <w:rFonts w:ascii="宋体" w:hAnsi="宋体" w:cs="宋体"/>
      <w:sz w:val="24"/>
    </w:rPr>
  </w:style>
  <w:style w:type="paragraph" w:styleId="944">
    <w:name w:val="Title"/>
    <w:basedOn w:val="908"/>
    <w:next w:val="908"/>
    <w:link w:val="1018"/>
    <w:uiPriority w:val="10"/>
    <w:qFormat/>
    <w:pPr>
      <w:contextualSpacing/>
      <w:spacing w:before="300" w:after="200"/>
    </w:pPr>
    <w:rPr>
      <w:sz w:val="48"/>
      <w:szCs w:val="48"/>
    </w:rPr>
  </w:style>
  <w:style w:type="table" w:styleId="9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annotation reference"/>
    <w:basedOn w:val="918"/>
    <w:uiPriority w:val="99"/>
    <w:semiHidden/>
    <w:unhideWhenUsed/>
    <w:qFormat/>
    <w:rPr>
      <w:sz w:val="21"/>
      <w:szCs w:val="21"/>
    </w:rPr>
  </w:style>
  <w:style w:type="character" w:styleId="949">
    <w:name w:val="footnote reference"/>
    <w:uiPriority w:val="99"/>
    <w:unhideWhenUsed/>
    <w:qFormat/>
    <w:rPr>
      <w:vertAlign w:val="superscript"/>
    </w:rPr>
  </w:style>
  <w:style w:type="character" w:styleId="950" w:customStyle="1">
    <w:name w:val="标题 1 Char"/>
    <w:link w:val="951"/>
    <w:uiPriority w:val="9"/>
    <w:qFormat/>
    <w:rPr>
      <w:rFonts w:ascii="Arial" w:hAnsi="Arial" w:eastAsia="Arial" w:cs="Arial"/>
      <w:sz w:val="40"/>
      <w:szCs w:val="40"/>
    </w:rPr>
  </w:style>
  <w:style w:type="paragraph" w:styleId="951" w:customStyle="1">
    <w:name w:val="标题 111"/>
    <w:basedOn w:val="908"/>
    <w:next w:val="908"/>
    <w:link w:val="950"/>
    <w:uiPriority w:val="9"/>
    <w:qFormat/>
    <w:pPr>
      <w:keepLines/>
      <w:keepNext/>
      <w:spacing w:before="480" w:after="200"/>
      <w:outlineLvl w:val="0"/>
    </w:pPr>
    <w:rPr>
      <w:rFonts w:ascii="Arial" w:hAnsi="Arial" w:eastAsia="Arial" w:cs="Arial"/>
      <w:sz w:val="40"/>
      <w:szCs w:val="40"/>
    </w:rPr>
  </w:style>
  <w:style w:type="character" w:styleId="952" w:customStyle="1">
    <w:name w:val="标题 3 字符"/>
    <w:link w:val="911"/>
    <w:uiPriority w:val="9"/>
    <w:qFormat/>
    <w:rPr>
      <w:rFonts w:ascii="Arial" w:hAnsi="Arial" w:eastAsia="Arial" w:cs="Arial"/>
      <w:sz w:val="30"/>
      <w:szCs w:val="30"/>
    </w:rPr>
  </w:style>
  <w:style w:type="character" w:styleId="953" w:customStyle="1">
    <w:name w:val="Heading 1 Char"/>
    <w:basedOn w:val="918"/>
    <w:uiPriority w:val="9"/>
    <w:qFormat/>
    <w:rPr>
      <w:rFonts w:ascii="Arial" w:hAnsi="Arial" w:eastAsia="Arial" w:cs="Arial"/>
      <w:sz w:val="40"/>
      <w:szCs w:val="40"/>
    </w:rPr>
  </w:style>
  <w:style w:type="character" w:styleId="954" w:customStyle="1">
    <w:name w:val="Heading 2 Char"/>
    <w:basedOn w:val="918"/>
    <w:uiPriority w:val="9"/>
    <w:qFormat/>
    <w:rPr>
      <w:rFonts w:ascii="Arial" w:hAnsi="Arial" w:eastAsia="Arial" w:cs="Arial"/>
      <w:sz w:val="34"/>
    </w:rPr>
  </w:style>
  <w:style w:type="character" w:styleId="955" w:customStyle="1">
    <w:name w:val="Heading 3 Char"/>
    <w:basedOn w:val="918"/>
    <w:uiPriority w:val="9"/>
    <w:qFormat/>
    <w:rPr>
      <w:rFonts w:ascii="Arial" w:hAnsi="Arial" w:eastAsia="Arial" w:cs="Arial"/>
      <w:sz w:val="30"/>
      <w:szCs w:val="30"/>
    </w:rPr>
  </w:style>
  <w:style w:type="character" w:styleId="956" w:customStyle="1">
    <w:name w:val="Heading 4 Char"/>
    <w:basedOn w:val="918"/>
    <w:uiPriority w:val="9"/>
    <w:qFormat/>
    <w:rPr>
      <w:rFonts w:ascii="Arial" w:hAnsi="Arial" w:eastAsia="Arial" w:cs="Arial"/>
      <w:b/>
      <w:bCs/>
      <w:sz w:val="26"/>
      <w:szCs w:val="26"/>
    </w:rPr>
  </w:style>
  <w:style w:type="character" w:styleId="957" w:customStyle="1">
    <w:name w:val="Heading 5 Char"/>
    <w:basedOn w:val="918"/>
    <w:uiPriority w:val="9"/>
    <w:qFormat/>
    <w:rPr>
      <w:rFonts w:ascii="Arial" w:hAnsi="Arial" w:eastAsia="Arial" w:cs="Arial"/>
      <w:b/>
      <w:bCs/>
      <w:sz w:val="24"/>
      <w:szCs w:val="24"/>
    </w:rPr>
  </w:style>
  <w:style w:type="character" w:styleId="958" w:customStyle="1">
    <w:name w:val="Heading 6 Char"/>
    <w:basedOn w:val="918"/>
    <w:uiPriority w:val="9"/>
    <w:qFormat/>
    <w:rPr>
      <w:rFonts w:ascii="Arial" w:hAnsi="Arial" w:eastAsia="Arial" w:cs="Arial"/>
      <w:b/>
      <w:bCs/>
      <w:sz w:val="22"/>
      <w:szCs w:val="22"/>
    </w:rPr>
  </w:style>
  <w:style w:type="character" w:styleId="959" w:customStyle="1">
    <w:name w:val="Heading 7 Char"/>
    <w:basedOn w:val="918"/>
    <w:uiPriority w:val="9"/>
    <w:qFormat/>
    <w:rPr>
      <w:rFonts w:ascii="Arial" w:hAnsi="Arial" w:eastAsia="Arial" w:cs="Arial"/>
      <w:b/>
      <w:bCs/>
      <w:i/>
      <w:iCs/>
      <w:sz w:val="22"/>
      <w:szCs w:val="22"/>
    </w:rPr>
  </w:style>
  <w:style w:type="character" w:styleId="960" w:customStyle="1">
    <w:name w:val="Heading 8 Char"/>
    <w:basedOn w:val="918"/>
    <w:uiPriority w:val="9"/>
    <w:qFormat/>
    <w:rPr>
      <w:rFonts w:ascii="Arial" w:hAnsi="Arial" w:eastAsia="Arial" w:cs="Arial"/>
      <w:i/>
      <w:iCs/>
      <w:sz w:val="22"/>
      <w:szCs w:val="22"/>
    </w:rPr>
  </w:style>
  <w:style w:type="character" w:styleId="961" w:customStyle="1">
    <w:name w:val="Heading 9 Char"/>
    <w:basedOn w:val="918"/>
    <w:uiPriority w:val="9"/>
    <w:qFormat/>
    <w:rPr>
      <w:rFonts w:ascii="Arial" w:hAnsi="Arial" w:eastAsia="Arial" w:cs="Arial"/>
      <w:i/>
      <w:iCs/>
      <w:sz w:val="21"/>
      <w:szCs w:val="21"/>
    </w:rPr>
  </w:style>
  <w:style w:type="character" w:styleId="962" w:customStyle="1">
    <w:name w:val="Title Char"/>
    <w:basedOn w:val="918"/>
    <w:uiPriority w:val="10"/>
    <w:qFormat/>
    <w:rPr>
      <w:sz w:val="48"/>
      <w:szCs w:val="48"/>
    </w:rPr>
  </w:style>
  <w:style w:type="character" w:styleId="963" w:customStyle="1">
    <w:name w:val="Subtitle Char"/>
    <w:basedOn w:val="918"/>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Header Char"/>
    <w:basedOn w:val="918"/>
    <w:uiPriority w:val="99"/>
    <w:qFormat/>
  </w:style>
  <w:style w:type="character" w:styleId="967" w:customStyle="1">
    <w:name w:val="Caption Char"/>
    <w:uiPriority w:val="99"/>
    <w:qFormat/>
  </w:style>
  <w:style w:type="table" w:styleId="968" w:customStyle="1">
    <w:name w:val="无格式表格 11"/>
    <w:basedOn w:val="919"/>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19"/>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19"/>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919"/>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网格表 31"/>
    <w:basedOn w:val="919"/>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网格表 41"/>
    <w:basedOn w:val="919"/>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网格表 5 深色1"/>
    <w:basedOn w:val="919"/>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网格表 6 彩色1"/>
    <w:basedOn w:val="91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网格表 7 彩色1"/>
    <w:basedOn w:val="91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清单表 1 浅色1"/>
    <w:basedOn w:val="9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清单表 21"/>
    <w:basedOn w:val="919"/>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清单表 31"/>
    <w:basedOn w:val="919"/>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41"/>
    <w:basedOn w:val="919"/>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5 深色1"/>
    <w:basedOn w:val="919"/>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basedOn w:val="919"/>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清单表 7 彩色1"/>
    <w:basedOn w:val="91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标题1"/>
    <w:uiPriority w:val="39"/>
    <w:unhideWhenUsed/>
    <w:qFormat/>
    <w:rPr>
      <w:rFonts w:ascii="Times New Roman" w:hAnsi="Times New Roman" w:eastAsia="宋体" w:cs="Times New Roman"/>
      <w:lang w:val="en-US" w:eastAsia="zh-CN" w:bidi="ar-SA"/>
    </w:rPr>
  </w:style>
  <w:style w:type="paragraph" w:styleId="990" w:customStyle="1">
    <w:name w:val="正文11"/>
    <w:next w:val="991"/>
    <w:uiPriority w:val="0"/>
    <w:qFormat/>
    <w:pPr>
      <w:jc w:val="both"/>
      <w:widowControl w:val="off"/>
    </w:pPr>
    <w:rPr>
      <w:rFonts w:ascii="Times New Roman" w:hAnsi="Times New Roman" w:eastAsia="宋体" w:cs="Times New Roman"/>
      <w:sz w:val="21"/>
      <w:szCs w:val="24"/>
      <w:lang w:val="en-US" w:eastAsia="zh-CN" w:bidi="ar-SA"/>
    </w:rPr>
  </w:style>
  <w:style w:type="paragraph" w:styleId="991" w:customStyle="1">
    <w:name w:val="目录 11"/>
    <w:basedOn w:val="992"/>
    <w:next w:val="990"/>
    <w:uiPriority w:val="39"/>
    <w:unhideWhenUsed/>
    <w:qFormat/>
    <w:pPr>
      <w:spacing w:after="57"/>
    </w:pPr>
  </w:style>
  <w:style w:type="paragraph" w:styleId="992" w:customStyle="1">
    <w:name w:val="正文12"/>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文本块1"/>
    <w:basedOn w:val="908"/>
    <w:next w:val="994"/>
    <w:uiPriority w:val="99"/>
    <w:unhideWhenUsed/>
    <w:qFormat/>
    <w:pPr>
      <w:ind w:left="567" w:right="454" w:firstLine="498"/>
      <w:jc w:val="left"/>
      <w:widowControl/>
    </w:pPr>
    <w:rPr>
      <w:rFonts w:ascii="仿宋_GB2312" w:eastAsia="仿宋_GB2312"/>
      <w:sz w:val="30"/>
      <w:szCs w:val="20"/>
    </w:rPr>
  </w:style>
  <w:style w:type="paragraph" w:styleId="994" w:customStyle="1">
    <w:name w:val="标题 411"/>
    <w:basedOn w:val="992"/>
    <w:next w:val="990"/>
    <w:link w:val="1050"/>
    <w:uiPriority w:val="9"/>
    <w:qFormat/>
    <w:pPr>
      <w:keepLines/>
      <w:keepNext/>
      <w:spacing w:before="320" w:after="200"/>
      <w:outlineLvl w:val="3"/>
    </w:pPr>
    <w:rPr>
      <w:rFonts w:ascii="Arial" w:hAnsi="Arial" w:eastAsia="Arial" w:cs="Arial"/>
      <w:b/>
      <w:bCs/>
      <w:sz w:val="26"/>
      <w:szCs w:val="26"/>
    </w:rPr>
  </w:style>
  <w:style w:type="paragraph" w:styleId="995" w:customStyle="1">
    <w:name w:val="脚注文本1"/>
    <w:basedOn w:val="996"/>
    <w:next w:val="1001"/>
    <w:link w:val="1067"/>
    <w:uiPriority w:val="99"/>
    <w:unhideWhenUsed/>
    <w:qFormat/>
    <w:pPr>
      <w:spacing w:after="40"/>
    </w:pPr>
    <w:rPr>
      <w:sz w:val="18"/>
    </w:rPr>
  </w:style>
  <w:style w:type="paragraph" w:styleId="996" w:customStyle="1">
    <w:name w:val="正文111"/>
    <w:next w:val="997"/>
    <w:uiPriority w:val="0"/>
    <w:qFormat/>
    <w:pPr>
      <w:jc w:val="both"/>
      <w:widowControl w:val="off"/>
    </w:pPr>
    <w:rPr>
      <w:rFonts w:ascii="Times New Roman" w:hAnsi="Times New Roman" w:eastAsia="宋体" w:cs="Times New Roman"/>
      <w:sz w:val="21"/>
      <w:szCs w:val="24"/>
      <w:lang w:val="en-US" w:eastAsia="zh-CN" w:bidi="ar-SA"/>
    </w:rPr>
  </w:style>
  <w:style w:type="paragraph" w:styleId="997" w:customStyle="1">
    <w:name w:val="正文首行缩进1"/>
    <w:basedOn w:val="920"/>
    <w:next w:val="998"/>
    <w:uiPriority w:val="0"/>
    <w:qFormat/>
    <w:pPr>
      <w:ind w:firstLine="200"/>
      <w:spacing w:line="360" w:lineRule="auto"/>
    </w:pPr>
    <w:rPr>
      <w:rFonts w:ascii="仿宋_GB2312" w:eastAsia="仿宋_GB2312"/>
      <w:sz w:val="30"/>
      <w:szCs w:val="30"/>
    </w:rPr>
  </w:style>
  <w:style w:type="paragraph" w:styleId="998" w:customStyle="1">
    <w:name w:val="正文首行缩进 21"/>
    <w:basedOn w:val="999"/>
    <w:next w:val="996"/>
    <w:link w:val="1090"/>
    <w:uiPriority w:val="0"/>
    <w:qFormat/>
    <w:pPr>
      <w:ind w:firstLine="420"/>
    </w:pPr>
  </w:style>
  <w:style w:type="paragraph" w:styleId="999" w:customStyle="1">
    <w:name w:val="正文文本缩进1"/>
    <w:basedOn w:val="908"/>
    <w:next w:val="1000"/>
    <w:link w:val="1070"/>
    <w:uiPriority w:val="0"/>
    <w:qFormat/>
    <w:pPr>
      <w:ind w:left="420"/>
      <w:spacing w:after="120"/>
    </w:pPr>
  </w:style>
  <w:style w:type="paragraph" w:styleId="1000" w:customStyle="1">
    <w:name w:val="寄信人地址1"/>
    <w:basedOn w:val="908"/>
    <w:uiPriority w:val="0"/>
    <w:qFormat/>
    <w:rPr>
      <w:rFonts w:ascii="Arial" w:hAnsi="Arial"/>
    </w:rPr>
  </w:style>
  <w:style w:type="paragraph" w:styleId="1001" w:customStyle="1">
    <w:name w:val="索引 51"/>
    <w:basedOn w:val="1002"/>
    <w:next w:val="1002"/>
    <w:uiPriority w:val="0"/>
    <w:qFormat/>
    <w:pPr>
      <w:ind w:left="798"/>
    </w:pPr>
    <w:rPr>
      <w:rFonts w:ascii="Calibri" w:hAnsi="Calibri"/>
    </w:rPr>
  </w:style>
  <w:style w:type="paragraph" w:styleId="1002" w:customStyle="1">
    <w:name w:val="正文1"/>
    <w:basedOn w:val="990"/>
    <w:next w:val="1003"/>
    <w:link w:val="1088"/>
    <w:uiPriority w:val="0"/>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正文文本1"/>
    <w:basedOn w:val="1002"/>
    <w:next w:val="1002"/>
    <w:uiPriority w:val="0"/>
    <w:qFormat/>
    <w:pPr>
      <w:spacing w:after="120"/>
    </w:pPr>
    <w:rPr>
      <w:lang w:eastAsia="en-US"/>
    </w:r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0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06" w:customStyle="1">
    <w:name w:val="段"/>
    <w:basedOn w:val="1002"/>
    <w:next w:val="908"/>
    <w:uiPriority w:val="0"/>
    <w:qFormat/>
    <w:pPr>
      <w:ind w:firstLine="200"/>
      <w:widowControl/>
    </w:pPr>
    <w:rPr>
      <w:rFonts w:hint="eastAsia" w:ascii="宋体"/>
      <w:szCs w:val="20"/>
    </w:rPr>
  </w:style>
  <w:style w:type="paragraph" w:styleId="1007" w:customStyle="1">
    <w:name w:val="正文缩进1"/>
    <w:basedOn w:val="908"/>
    <w:uiPriority w:val="0"/>
    <w:qFormat/>
    <w:pPr>
      <w:ind w:firstLine="420"/>
    </w:pPr>
  </w:style>
  <w:style w:type="character" w:styleId="1008" w:customStyle="1">
    <w:name w:val="标题 1 字符"/>
    <w:link w:val="909"/>
    <w:uiPriority w:val="9"/>
    <w:qFormat/>
    <w:rPr>
      <w:rFonts w:ascii="Arial" w:hAnsi="Arial" w:eastAsia="Arial" w:cs="Arial"/>
      <w:sz w:val="40"/>
      <w:szCs w:val="40"/>
    </w:rPr>
  </w:style>
  <w:style w:type="character" w:styleId="1009" w:customStyle="1">
    <w:name w:val="标题 2 字符"/>
    <w:link w:val="910"/>
    <w:uiPriority w:val="9"/>
    <w:qFormat/>
    <w:rPr>
      <w:rFonts w:ascii="Arial" w:hAnsi="Arial" w:eastAsia="Arial" w:cs="Arial"/>
      <w:sz w:val="34"/>
    </w:rPr>
  </w:style>
  <w:style w:type="character" w:styleId="1010" w:customStyle="1">
    <w:name w:val="标题 4 字符"/>
    <w:link w:val="912"/>
    <w:uiPriority w:val="9"/>
    <w:qFormat/>
    <w:rPr>
      <w:rFonts w:ascii="Arial" w:hAnsi="Arial" w:eastAsia="Arial" w:cs="Arial"/>
      <w:b/>
      <w:bCs/>
      <w:sz w:val="26"/>
      <w:szCs w:val="26"/>
    </w:rPr>
  </w:style>
  <w:style w:type="character" w:styleId="1011" w:customStyle="1">
    <w:name w:val="标题 5 字符"/>
    <w:link w:val="913"/>
    <w:uiPriority w:val="9"/>
    <w:qFormat/>
    <w:rPr>
      <w:rFonts w:ascii="Arial" w:hAnsi="Arial" w:eastAsia="Arial" w:cs="Arial"/>
      <w:b/>
      <w:bCs/>
      <w:sz w:val="24"/>
      <w:szCs w:val="24"/>
    </w:rPr>
  </w:style>
  <w:style w:type="character" w:styleId="1012" w:customStyle="1">
    <w:name w:val="标题 6 字符"/>
    <w:link w:val="914"/>
    <w:uiPriority w:val="9"/>
    <w:qFormat/>
    <w:rPr>
      <w:rFonts w:ascii="Arial" w:hAnsi="Arial" w:eastAsia="Arial" w:cs="Arial"/>
      <w:b/>
      <w:bCs/>
      <w:sz w:val="22"/>
      <w:szCs w:val="22"/>
    </w:rPr>
  </w:style>
  <w:style w:type="character" w:styleId="1013" w:customStyle="1">
    <w:name w:val="标题 7 字符"/>
    <w:link w:val="915"/>
    <w:uiPriority w:val="9"/>
    <w:qFormat/>
    <w:rPr>
      <w:rFonts w:ascii="Arial" w:hAnsi="Arial" w:eastAsia="Arial" w:cs="Arial"/>
      <w:b/>
      <w:bCs/>
      <w:i/>
      <w:iCs/>
      <w:sz w:val="22"/>
      <w:szCs w:val="22"/>
    </w:rPr>
  </w:style>
  <w:style w:type="character" w:styleId="1014" w:customStyle="1">
    <w:name w:val="标题 8 字符"/>
    <w:link w:val="916"/>
    <w:uiPriority w:val="9"/>
    <w:qFormat/>
    <w:rPr>
      <w:rFonts w:ascii="Arial" w:hAnsi="Arial" w:eastAsia="Arial" w:cs="Arial"/>
      <w:i/>
      <w:iCs/>
      <w:sz w:val="22"/>
      <w:szCs w:val="22"/>
    </w:rPr>
  </w:style>
  <w:style w:type="character" w:styleId="1015" w:customStyle="1">
    <w:name w:val="标题 9 字符"/>
    <w:link w:val="917"/>
    <w:uiPriority w:val="9"/>
    <w:qFormat/>
    <w:rPr>
      <w:rFonts w:ascii="Arial" w:hAnsi="Arial" w:eastAsia="Arial" w:cs="Arial"/>
      <w:i/>
      <w:iCs/>
      <w:sz w:val="21"/>
      <w:szCs w:val="21"/>
    </w:rPr>
  </w:style>
  <w:style w:type="paragraph" w:styleId="1016">
    <w:name w:val="List Paragraph"/>
    <w:basedOn w:val="908"/>
    <w:uiPriority w:val="34"/>
    <w:qFormat/>
    <w:pPr>
      <w:contextualSpacing/>
      <w:ind w:left="720"/>
    </w:pPr>
  </w:style>
  <w:style w:type="paragraph" w:styleId="1017">
    <w:name w:val="No Spacing"/>
    <w:uiPriority w:val="1"/>
    <w:qFormat/>
    <w:rPr>
      <w:rFonts w:ascii="Times New Roman" w:hAnsi="Times New Roman" w:eastAsia="宋体" w:cs="Times New Roman"/>
      <w:lang w:val="en-US" w:eastAsia="zh-CN" w:bidi="ar-SA"/>
    </w:rPr>
  </w:style>
  <w:style w:type="character" w:styleId="1018" w:customStyle="1">
    <w:name w:val="标题 字符"/>
    <w:link w:val="944"/>
    <w:uiPriority w:val="10"/>
    <w:qFormat/>
    <w:rPr>
      <w:sz w:val="48"/>
      <w:szCs w:val="48"/>
    </w:rPr>
  </w:style>
  <w:style w:type="character" w:styleId="1019" w:customStyle="1">
    <w:name w:val="副标题 字符"/>
    <w:link w:val="937"/>
    <w:uiPriority w:val="11"/>
    <w:qFormat/>
    <w:rPr>
      <w:sz w:val="24"/>
      <w:szCs w:val="24"/>
    </w:rPr>
  </w:style>
  <w:style w:type="paragraph" w:styleId="1020">
    <w:name w:val="Quote"/>
    <w:basedOn w:val="908"/>
    <w:next w:val="908"/>
    <w:link w:val="1021"/>
    <w:uiPriority w:val="29"/>
    <w:qFormat/>
    <w:pPr>
      <w:ind w:left="720" w:right="720"/>
    </w:pPr>
    <w:rPr>
      <w:i/>
    </w:rPr>
  </w:style>
  <w:style w:type="character" w:styleId="1021" w:customStyle="1">
    <w:name w:val="引用 字符"/>
    <w:link w:val="1020"/>
    <w:uiPriority w:val="29"/>
    <w:qFormat/>
    <w:rPr>
      <w:i/>
    </w:rPr>
  </w:style>
  <w:style w:type="paragraph" w:styleId="1022">
    <w:name w:val="Intense Quote"/>
    <w:basedOn w:val="908"/>
    <w:next w:val="908"/>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30"/>
    <w:qFormat/>
    <w:rPr>
      <w:i/>
    </w:rPr>
  </w:style>
  <w:style w:type="character" w:styleId="1024" w:customStyle="1">
    <w:name w:val="页眉 字符"/>
    <w:link w:val="934"/>
    <w:uiPriority w:val="99"/>
    <w:qFormat/>
  </w:style>
  <w:style w:type="character" w:styleId="1025" w:customStyle="1">
    <w:name w:val="页脚 字符"/>
    <w:link w:val="933"/>
    <w:uiPriority w:val="99"/>
    <w:qFormat/>
  </w:style>
  <w:style w:type="character" w:styleId="1026" w:customStyle="1">
    <w:name w:val="脚注文本 字符"/>
    <w:link w:val="938"/>
    <w:uiPriority w:val="99"/>
    <w:qFormat/>
    <w:rPr>
      <w:sz w:val="18"/>
    </w:rPr>
  </w:style>
  <w:style w:type="character" w:styleId="1027" w:customStyle="1">
    <w:name w:val="尾注文本 字符"/>
    <w:link w:val="932"/>
    <w:uiPriority w:val="99"/>
    <w:qFormat/>
    <w:rPr>
      <w:sz w:val="20"/>
    </w:rPr>
  </w:style>
  <w:style w:type="paragraph" w:styleId="1028" w:customStyle="1">
    <w:name w:val="TOC 标题111"/>
    <w:uiPriority w:val="39"/>
    <w:unhideWhenUsed/>
    <w:qFormat/>
    <w:rPr>
      <w:rFonts w:ascii="Times New Roman" w:hAnsi="Times New Roman" w:eastAsia="宋体" w:cs="Times New Roman"/>
      <w:lang w:val="en-US" w:eastAsia="zh-CN" w:bidi="ar-SA"/>
    </w:rPr>
  </w:style>
  <w:style w:type="paragraph" w:styleId="1029" w:customStyle="1">
    <w:name w:val="标题 211"/>
    <w:basedOn w:val="908"/>
    <w:next w:val="908"/>
    <w:link w:val="1048"/>
    <w:uiPriority w:val="9"/>
    <w:qFormat/>
    <w:pPr>
      <w:keepLines/>
      <w:keepNext/>
      <w:spacing w:before="360" w:after="200"/>
      <w:outlineLvl w:val="1"/>
    </w:pPr>
    <w:rPr>
      <w:rFonts w:ascii="Arial" w:hAnsi="Arial" w:eastAsia="Arial" w:cs="Arial"/>
      <w:sz w:val="34"/>
    </w:rPr>
  </w:style>
  <w:style w:type="paragraph" w:styleId="1030" w:customStyle="1">
    <w:name w:val="标题 311"/>
    <w:basedOn w:val="908"/>
    <w:next w:val="908"/>
    <w:link w:val="1049"/>
    <w:uiPriority w:val="9"/>
    <w:qFormat/>
    <w:pPr>
      <w:keepLines/>
      <w:keepNext/>
      <w:spacing w:before="320" w:after="200"/>
      <w:outlineLvl w:val="2"/>
    </w:pPr>
    <w:rPr>
      <w:rFonts w:ascii="Arial" w:hAnsi="Arial" w:eastAsia="Arial" w:cs="Arial"/>
      <w:sz w:val="30"/>
      <w:szCs w:val="30"/>
    </w:rPr>
  </w:style>
  <w:style w:type="paragraph" w:styleId="1031" w:customStyle="1">
    <w:name w:val="标题 51"/>
    <w:basedOn w:val="908"/>
    <w:next w:val="908"/>
    <w:link w:val="1051"/>
    <w:uiPriority w:val="9"/>
    <w:qFormat/>
    <w:pPr>
      <w:keepLines/>
      <w:keepNext/>
      <w:spacing w:before="320" w:after="200"/>
      <w:outlineLvl w:val="4"/>
    </w:pPr>
    <w:rPr>
      <w:rFonts w:ascii="Arial" w:hAnsi="Arial" w:eastAsia="Arial" w:cs="Arial"/>
      <w:b/>
      <w:bCs/>
      <w:sz w:val="24"/>
    </w:rPr>
  </w:style>
  <w:style w:type="paragraph" w:styleId="1032" w:customStyle="1">
    <w:name w:val="标题 61"/>
    <w:basedOn w:val="908"/>
    <w:next w:val="908"/>
    <w:link w:val="1053"/>
    <w:uiPriority w:val="9"/>
    <w:qFormat/>
    <w:pPr>
      <w:keepLines/>
      <w:keepNext/>
      <w:spacing w:before="320" w:after="200"/>
      <w:outlineLvl w:val="5"/>
    </w:pPr>
    <w:rPr>
      <w:rFonts w:ascii="Arial" w:hAnsi="Arial" w:eastAsia="Arial" w:cs="Arial"/>
      <w:b/>
      <w:bCs/>
      <w:sz w:val="22"/>
      <w:szCs w:val="22"/>
    </w:rPr>
  </w:style>
  <w:style w:type="paragraph" w:styleId="1033" w:customStyle="1">
    <w:name w:val="标题 71"/>
    <w:basedOn w:val="908"/>
    <w:next w:val="908"/>
    <w:link w:val="1054"/>
    <w:uiPriority w:val="9"/>
    <w:qFormat/>
    <w:pPr>
      <w:keepLines/>
      <w:keepNext/>
      <w:spacing w:before="320" w:after="200"/>
      <w:outlineLvl w:val="6"/>
    </w:pPr>
    <w:rPr>
      <w:rFonts w:ascii="Arial" w:hAnsi="Arial" w:eastAsia="Arial" w:cs="Arial"/>
      <w:b/>
      <w:bCs/>
      <w:i/>
      <w:iCs/>
      <w:sz w:val="22"/>
      <w:szCs w:val="22"/>
    </w:rPr>
  </w:style>
  <w:style w:type="paragraph" w:styleId="1034" w:customStyle="1">
    <w:name w:val="标题 81"/>
    <w:basedOn w:val="908"/>
    <w:next w:val="908"/>
    <w:link w:val="1055"/>
    <w:uiPriority w:val="9"/>
    <w:qFormat/>
    <w:pPr>
      <w:keepLines/>
      <w:keepNext/>
      <w:spacing w:before="320" w:after="200"/>
      <w:outlineLvl w:val="7"/>
    </w:pPr>
    <w:rPr>
      <w:rFonts w:ascii="Arial" w:hAnsi="Arial" w:eastAsia="Arial" w:cs="Arial"/>
      <w:i/>
      <w:iCs/>
      <w:sz w:val="22"/>
      <w:szCs w:val="22"/>
    </w:rPr>
  </w:style>
  <w:style w:type="paragraph" w:styleId="1035" w:customStyle="1">
    <w:name w:val="标题 91"/>
    <w:basedOn w:val="908"/>
    <w:next w:val="908"/>
    <w:link w:val="1056"/>
    <w:uiPriority w:val="9"/>
    <w:qFormat/>
    <w:pPr>
      <w:keepLines/>
      <w:keepNext/>
      <w:spacing w:before="320" w:after="200"/>
      <w:outlineLvl w:val="8"/>
    </w:pPr>
    <w:rPr>
      <w:rFonts w:ascii="Arial" w:hAnsi="Arial" w:eastAsia="Arial" w:cs="Arial"/>
      <w:i/>
      <w:iCs/>
      <w:szCs w:val="21"/>
    </w:rPr>
  </w:style>
  <w:style w:type="character" w:styleId="1036" w:customStyle="1">
    <w:name w:val="默认段落字体11"/>
    <w:uiPriority w:val="1"/>
    <w:unhideWhenUsed/>
    <w:qFormat/>
  </w:style>
  <w:style w:type="table" w:styleId="1037" w:customStyle="1">
    <w:name w:val="普通表格11"/>
    <w:uiPriority w:val="99"/>
    <w:unhideWhenUsed/>
    <w:qFormat/>
    <w:tblPr>
      <w:tblCellMar>
        <w:left w:w="0" w:type="dxa"/>
        <w:top w:w="0" w:type="dxa"/>
        <w:right w:w="0" w:type="dxa"/>
        <w:bottom w:w="0" w:type="dxa"/>
      </w:tblCellMar>
    </w:tblPr>
  </w:style>
  <w:style w:type="character" w:styleId="1038" w:customStyle="1">
    <w:name w:val="超链接11"/>
    <w:uiPriority w:val="99"/>
    <w:unhideWhenUsed/>
    <w:qFormat/>
    <w:rPr>
      <w:color w:val="0000ff"/>
      <w:u w:val="single"/>
    </w:rPr>
  </w:style>
  <w:style w:type="character" w:styleId="1039" w:customStyle="1">
    <w:name w:val="脚注引用1"/>
    <w:uiPriority w:val="99"/>
    <w:unhideWhenUsed/>
    <w:qFormat/>
    <w:rPr>
      <w:vertAlign w:val="superscript"/>
    </w:rPr>
  </w:style>
  <w:style w:type="character" w:styleId="1040" w:customStyle="1">
    <w:name w:val="页码11"/>
    <w:uiPriority w:val="0"/>
    <w:qFormat/>
  </w:style>
  <w:style w:type="character" w:styleId="1041" w:customStyle="1">
    <w:name w:val="尾注引用1"/>
    <w:uiPriority w:val="99"/>
    <w:unhideWhenUsed/>
    <w:qFormat/>
    <w:rPr>
      <w:vertAlign w:val="superscript"/>
    </w:rPr>
  </w:style>
  <w:style w:type="character" w:styleId="1042" w:customStyle="1">
    <w:name w:val="批注框文本 Char"/>
    <w:link w:val="1043"/>
    <w:uiPriority w:val="0"/>
    <w:qFormat/>
    <w:rPr>
      <w:sz w:val="18"/>
      <w:szCs w:val="18"/>
    </w:rPr>
  </w:style>
  <w:style w:type="paragraph" w:styleId="1043" w:customStyle="1">
    <w:name w:val="批注框文本1"/>
    <w:basedOn w:val="908"/>
    <w:link w:val="1042"/>
    <w:uiPriority w:val="0"/>
    <w:qFormat/>
    <w:rPr>
      <w:sz w:val="18"/>
      <w:szCs w:val="18"/>
    </w:rPr>
  </w:style>
  <w:style w:type="character" w:styleId="1044" w:customStyle="1">
    <w:name w:val="标题 Char"/>
    <w:link w:val="1045"/>
    <w:uiPriority w:val="10"/>
    <w:qFormat/>
    <w:rPr>
      <w:sz w:val="48"/>
      <w:szCs w:val="48"/>
    </w:rPr>
  </w:style>
  <w:style w:type="paragraph" w:styleId="1045" w:customStyle="1">
    <w:name w:val="标题1"/>
    <w:basedOn w:val="996"/>
    <w:next w:val="921"/>
    <w:link w:val="1044"/>
    <w:uiPriority w:val="10"/>
    <w:qFormat/>
    <w:pPr>
      <w:contextualSpacing/>
      <w:spacing w:before="300" w:after="200"/>
    </w:pPr>
    <w:rPr>
      <w:sz w:val="48"/>
      <w:szCs w:val="48"/>
    </w:rPr>
  </w:style>
  <w:style w:type="paragraph" w:styleId="1046" w:customStyle="1">
    <w:name w:val="正文文本12"/>
    <w:basedOn w:val="921"/>
    <w:next w:val="1047"/>
    <w:uiPriority w:val="0"/>
    <w:qFormat/>
    <w:pPr>
      <w:spacing w:after="120"/>
    </w:pPr>
  </w:style>
  <w:style w:type="paragraph" w:styleId="1047" w:customStyle="1">
    <w:name w:val="标题 41"/>
    <w:basedOn w:val="1045"/>
    <w:next w:val="992"/>
    <w:uiPriority w:val="0"/>
    <w:qFormat/>
    <w:pPr>
      <w:keepLines/>
      <w:keepNext/>
      <w:spacing w:before="280" w:after="290" w:line="372" w:lineRule="auto"/>
      <w:outlineLvl w:val="3"/>
    </w:pPr>
    <w:rPr>
      <w:rFonts w:ascii="Cambria" w:hAnsi="Cambria"/>
      <w:b/>
      <w:bCs/>
      <w:sz w:val="28"/>
      <w:szCs w:val="28"/>
    </w:rPr>
  </w:style>
  <w:style w:type="character" w:styleId="1048" w:customStyle="1">
    <w:name w:val="标题 2 Char1"/>
    <w:link w:val="1029"/>
    <w:uiPriority w:val="9"/>
    <w:qFormat/>
    <w:rPr>
      <w:rFonts w:ascii="Arial" w:hAnsi="Arial" w:eastAsia="Arial" w:cs="Arial"/>
      <w:sz w:val="34"/>
    </w:rPr>
  </w:style>
  <w:style w:type="character" w:styleId="1049" w:customStyle="1">
    <w:name w:val="标题 3 Char"/>
    <w:link w:val="1030"/>
    <w:uiPriority w:val="9"/>
    <w:qFormat/>
    <w:rPr>
      <w:rFonts w:ascii="Arial" w:hAnsi="Arial" w:eastAsia="Arial" w:cs="Arial"/>
      <w:sz w:val="30"/>
      <w:szCs w:val="30"/>
    </w:rPr>
  </w:style>
  <w:style w:type="character" w:styleId="1050" w:customStyle="1">
    <w:name w:val="标题 4 Char"/>
    <w:link w:val="994"/>
    <w:uiPriority w:val="9"/>
    <w:qFormat/>
    <w:rPr>
      <w:rFonts w:ascii="Arial" w:hAnsi="Arial" w:eastAsia="Arial" w:cs="Arial"/>
      <w:b/>
      <w:bCs/>
      <w:sz w:val="26"/>
      <w:szCs w:val="26"/>
    </w:rPr>
  </w:style>
  <w:style w:type="character" w:styleId="1051" w:customStyle="1">
    <w:name w:val="标题 5 Char"/>
    <w:link w:val="1031"/>
    <w:uiPriority w:val="9"/>
    <w:qFormat/>
    <w:rPr>
      <w:rFonts w:ascii="Arial" w:hAnsi="Arial" w:eastAsia="Arial" w:cs="Arial"/>
      <w:b/>
      <w:bCs/>
      <w:sz w:val="24"/>
      <w:szCs w:val="24"/>
    </w:rPr>
  </w:style>
  <w:style w:type="character" w:styleId="1052" w:customStyle="1">
    <w:name w:val="NormalCharacter1"/>
    <w:uiPriority w:val="0"/>
    <w:semiHidden/>
    <w:qFormat/>
  </w:style>
  <w:style w:type="character" w:styleId="1053" w:customStyle="1">
    <w:name w:val="标题 6 Char"/>
    <w:link w:val="1032"/>
    <w:uiPriority w:val="9"/>
    <w:qFormat/>
    <w:rPr>
      <w:rFonts w:ascii="Arial" w:hAnsi="Arial" w:eastAsia="Arial" w:cs="Arial"/>
      <w:b/>
      <w:bCs/>
      <w:sz w:val="22"/>
      <w:szCs w:val="22"/>
    </w:rPr>
  </w:style>
  <w:style w:type="character" w:styleId="1054" w:customStyle="1">
    <w:name w:val="标题 7 Char"/>
    <w:link w:val="1033"/>
    <w:uiPriority w:val="9"/>
    <w:qFormat/>
    <w:rPr>
      <w:rFonts w:ascii="Arial" w:hAnsi="Arial" w:eastAsia="Arial" w:cs="Arial"/>
      <w:b/>
      <w:bCs/>
      <w:i/>
      <w:iCs/>
      <w:sz w:val="22"/>
      <w:szCs w:val="22"/>
    </w:rPr>
  </w:style>
  <w:style w:type="character" w:styleId="1055" w:customStyle="1">
    <w:name w:val="标题 8 Char"/>
    <w:link w:val="1034"/>
    <w:uiPriority w:val="9"/>
    <w:qFormat/>
    <w:rPr>
      <w:rFonts w:ascii="Arial" w:hAnsi="Arial" w:eastAsia="Arial" w:cs="Arial"/>
      <w:i/>
      <w:iCs/>
      <w:sz w:val="22"/>
      <w:szCs w:val="22"/>
    </w:rPr>
  </w:style>
  <w:style w:type="character" w:styleId="1056" w:customStyle="1">
    <w:name w:val="标题 9 Char"/>
    <w:link w:val="1035"/>
    <w:uiPriority w:val="9"/>
    <w:qFormat/>
    <w:rPr>
      <w:rFonts w:ascii="Arial" w:hAnsi="Arial" w:eastAsia="Arial" w:cs="Arial"/>
      <w:i/>
      <w:iCs/>
      <w:sz w:val="21"/>
      <w:szCs w:val="21"/>
    </w:rPr>
  </w:style>
  <w:style w:type="character" w:styleId="1057" w:customStyle="1">
    <w:name w:val="尾注文本 Char"/>
    <w:link w:val="1058"/>
    <w:uiPriority w:val="99"/>
    <w:qFormat/>
    <w:rPr>
      <w:sz w:val="20"/>
    </w:rPr>
  </w:style>
  <w:style w:type="paragraph" w:styleId="1058" w:customStyle="1">
    <w:name w:val="尾注文本1"/>
    <w:basedOn w:val="908"/>
    <w:link w:val="1057"/>
    <w:uiPriority w:val="99"/>
    <w:unhideWhenUsed/>
    <w:qFormat/>
    <w:rPr>
      <w:sz w:val="20"/>
    </w:rPr>
  </w:style>
  <w:style w:type="character" w:styleId="1059" w:customStyle="1">
    <w:name w:val="批注框文本 Char1"/>
    <w:link w:val="1060"/>
    <w:uiPriority w:val="99"/>
    <w:semiHidden/>
    <w:qFormat/>
    <w:rPr>
      <w:sz w:val="18"/>
      <w:szCs w:val="18"/>
    </w:rPr>
  </w:style>
  <w:style w:type="paragraph" w:styleId="1060" w:customStyle="1">
    <w:name w:val="批注框文本11"/>
    <w:basedOn w:val="908"/>
    <w:link w:val="1059"/>
    <w:uiPriority w:val="99"/>
    <w:unhideWhenUsed/>
    <w:qFormat/>
    <w:rPr>
      <w:sz w:val="18"/>
      <w:szCs w:val="18"/>
    </w:rPr>
  </w:style>
  <w:style w:type="character" w:styleId="1061" w:customStyle="1">
    <w:name w:val="页脚 Char"/>
    <w:link w:val="1062"/>
    <w:uiPriority w:val="99"/>
    <w:qFormat/>
  </w:style>
  <w:style w:type="paragraph" w:styleId="1062" w:customStyle="1">
    <w:name w:val="页脚11"/>
    <w:basedOn w:val="908"/>
    <w:link w:val="1061"/>
    <w:uiPriority w:val="99"/>
    <w:unhideWhenUsed/>
    <w:qFormat/>
    <w:pPr>
      <w:tabs>
        <w:tab w:val="center" w:pos="7143" w:leader="none"/>
        <w:tab w:val="right" w:pos="14287" w:leader="none"/>
      </w:tabs>
    </w:pPr>
  </w:style>
  <w:style w:type="character" w:styleId="1063" w:customStyle="1">
    <w:name w:val="页眉 Char"/>
    <w:link w:val="1064"/>
    <w:uiPriority w:val="99"/>
    <w:qFormat/>
  </w:style>
  <w:style w:type="paragraph" w:styleId="1064" w:customStyle="1">
    <w:name w:val="页眉11"/>
    <w:basedOn w:val="908"/>
    <w:link w:val="1063"/>
    <w:uiPriority w:val="99"/>
    <w:unhideWhenUsed/>
    <w:qFormat/>
    <w:pPr>
      <w:tabs>
        <w:tab w:val="center" w:pos="7143" w:leader="none"/>
        <w:tab w:val="right" w:pos="14287" w:leader="none"/>
      </w:tabs>
    </w:pPr>
  </w:style>
  <w:style w:type="character" w:styleId="1065" w:customStyle="1">
    <w:name w:val="副标题 Char"/>
    <w:link w:val="1066"/>
    <w:uiPriority w:val="11"/>
    <w:qFormat/>
    <w:rPr>
      <w:sz w:val="24"/>
      <w:szCs w:val="24"/>
    </w:rPr>
  </w:style>
  <w:style w:type="paragraph" w:styleId="1066" w:customStyle="1">
    <w:name w:val="副标题1"/>
    <w:basedOn w:val="908"/>
    <w:next w:val="908"/>
    <w:link w:val="1065"/>
    <w:uiPriority w:val="11"/>
    <w:qFormat/>
    <w:pPr>
      <w:spacing w:before="200" w:after="200"/>
    </w:pPr>
    <w:rPr>
      <w:sz w:val="24"/>
    </w:rPr>
  </w:style>
  <w:style w:type="character" w:styleId="1067" w:customStyle="1">
    <w:name w:val="脚注文本 Char"/>
    <w:link w:val="995"/>
    <w:uiPriority w:val="99"/>
    <w:qFormat/>
    <w:rPr>
      <w:sz w:val="18"/>
    </w:rPr>
  </w:style>
  <w:style w:type="character" w:styleId="1068" w:customStyle="1">
    <w:name w:val="引用 Char"/>
    <w:link w:val="1069"/>
    <w:uiPriority w:val="29"/>
    <w:qFormat/>
    <w:rPr>
      <w:i/>
    </w:rPr>
  </w:style>
  <w:style w:type="paragraph" w:styleId="1069" w:customStyle="1">
    <w:name w:val="引用1"/>
    <w:basedOn w:val="908"/>
    <w:next w:val="908"/>
    <w:link w:val="1068"/>
    <w:uiPriority w:val="29"/>
    <w:qFormat/>
    <w:pPr>
      <w:ind w:left="720" w:right="720"/>
    </w:pPr>
    <w:rPr>
      <w:i/>
    </w:rPr>
  </w:style>
  <w:style w:type="character" w:styleId="1070" w:customStyle="1">
    <w:name w:val="正文文本缩进 Char"/>
    <w:link w:val="999"/>
    <w:uiPriority w:val="0"/>
    <w:qFormat/>
    <w:rPr>
      <w:sz w:val="21"/>
      <w:szCs w:val="24"/>
    </w:rPr>
  </w:style>
  <w:style w:type="character" w:styleId="1071" w:customStyle="1">
    <w:name w:val="默认段落字体1"/>
    <w:uiPriority w:val="0"/>
    <w:semiHidden/>
    <w:qFormat/>
  </w:style>
  <w:style w:type="character" w:styleId="1072" w:customStyle="1">
    <w:name w:val="NormalCharacter11"/>
    <w:uiPriority w:val="0"/>
    <w:semiHidden/>
    <w:qFormat/>
    <w:rPr>
      <w:sz w:val="21"/>
      <w:szCs w:val="24"/>
      <w:lang w:val="en-US" w:eastAsia="zh-CN" w:bidi="ar-SA"/>
    </w:rPr>
  </w:style>
  <w:style w:type="character" w:styleId="1073" w:customStyle="1">
    <w:name w:val="明显引用 Char"/>
    <w:link w:val="1074"/>
    <w:uiPriority w:val="30"/>
    <w:qFormat/>
    <w:rPr>
      <w:i/>
    </w:rPr>
  </w:style>
  <w:style w:type="paragraph" w:styleId="1074" w:customStyle="1">
    <w:name w:val="明显引用1"/>
    <w:basedOn w:val="908"/>
    <w:next w:val="908"/>
    <w:link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Footer Char"/>
    <w:uiPriority w:val="99"/>
    <w:qFormat/>
  </w:style>
  <w:style w:type="character" w:styleId="1076" w:customStyle="1">
    <w:name w:val="font11"/>
    <w:uiPriority w:val="0"/>
    <w:qFormat/>
    <w:rPr>
      <w:rFonts w:hint="eastAsia" w:ascii="宋体" w:hAnsi="宋体" w:eastAsia="宋体" w:cs="宋体"/>
      <w:b/>
      <w:color w:val="000000"/>
      <w:sz w:val="32"/>
      <w:szCs w:val="32"/>
      <w:u w:val="none"/>
    </w:rPr>
  </w:style>
  <w:style w:type="character" w:styleId="1077" w:customStyle="1">
    <w:name w:val="纯文本 Char"/>
    <w:link w:val="1078"/>
    <w:uiPriority w:val="0"/>
    <w:qFormat/>
    <w:rPr>
      <w:rFonts w:ascii="宋体" w:hAnsi="Courier New" w:eastAsia="宋体"/>
      <w:sz w:val="21"/>
      <w:szCs w:val="21"/>
      <w:lang w:bidi="ar-SA"/>
    </w:rPr>
  </w:style>
  <w:style w:type="paragraph" w:styleId="1078" w:customStyle="1">
    <w:name w:val="纯文本1"/>
    <w:basedOn w:val="908"/>
    <w:link w:val="1077"/>
    <w:uiPriority w:val="0"/>
    <w:qFormat/>
    <w:rPr>
      <w:rFonts w:ascii="宋体" w:hAnsi="Courier New"/>
      <w:szCs w:val="21"/>
    </w:rPr>
  </w:style>
  <w:style w:type="character" w:styleId="1079" w:customStyle="1">
    <w:name w:val="普通(网站) Char"/>
    <w:link w:val="1080"/>
    <w:uiPriority w:val="99"/>
    <w:qFormat/>
    <w:rPr>
      <w:rFonts w:ascii="宋体" w:hAnsi="宋体" w:cs="宋体"/>
      <w:sz w:val="24"/>
      <w:szCs w:val="24"/>
    </w:rPr>
  </w:style>
  <w:style w:type="paragraph" w:styleId="1080" w:customStyle="1">
    <w:name w:val="普通(网站)1"/>
    <w:basedOn w:val="908"/>
    <w:link w:val="1079"/>
    <w:uiPriority w:val="99"/>
    <w:qFormat/>
    <w:pPr>
      <w:jc w:val="left"/>
      <w:spacing w:before="100" w:beforeAutospacing="1" w:after="100" w:afterAutospacing="1"/>
      <w:widowControl/>
    </w:pPr>
    <w:rPr>
      <w:rFonts w:ascii="宋体" w:hAnsi="宋体" w:cs="宋体"/>
      <w:sz w:val="24"/>
    </w:rPr>
  </w:style>
  <w:style w:type="character" w:styleId="1081" w:customStyle="1">
    <w:name w:val="标题 2 Char"/>
    <w:link w:val="1082"/>
    <w:uiPriority w:val="9"/>
    <w:qFormat/>
    <w:rPr>
      <w:rFonts w:ascii="Cambria" w:hAnsi="Cambria"/>
      <w:b/>
      <w:bCs/>
      <w:sz w:val="28"/>
      <w:szCs w:val="32"/>
    </w:rPr>
  </w:style>
  <w:style w:type="paragraph" w:styleId="1082" w:customStyle="1">
    <w:name w:val="标题 21"/>
    <w:basedOn w:val="908"/>
    <w:next w:val="908"/>
    <w:link w:val="1081"/>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83" w:customStyle="1">
    <w:name w:val="页码1"/>
    <w:uiPriority w:val="0"/>
    <w:qFormat/>
  </w:style>
  <w:style w:type="character" w:styleId="1084" w:customStyle="1">
    <w:name w:val="批注主题 Char"/>
    <w:link w:val="1085"/>
    <w:uiPriority w:val="0"/>
    <w:qFormat/>
    <w:rPr>
      <w:b/>
      <w:bCs/>
      <w:sz w:val="21"/>
      <w:szCs w:val="24"/>
    </w:rPr>
  </w:style>
  <w:style w:type="paragraph" w:styleId="1085" w:customStyle="1">
    <w:name w:val="批注主题1"/>
    <w:basedOn w:val="1086"/>
    <w:next w:val="1086"/>
    <w:link w:val="1084"/>
    <w:uiPriority w:val="0"/>
    <w:qFormat/>
    <w:rPr>
      <w:b/>
      <w:bCs/>
    </w:rPr>
  </w:style>
  <w:style w:type="paragraph" w:styleId="1086" w:customStyle="1">
    <w:name w:val="批注文字1"/>
    <w:basedOn w:val="908"/>
    <w:link w:val="1087"/>
    <w:uiPriority w:val="0"/>
    <w:qFormat/>
    <w:pPr>
      <w:jc w:val="left"/>
    </w:pPr>
  </w:style>
  <w:style w:type="character" w:styleId="1087" w:customStyle="1">
    <w:name w:val="批注文字 Char"/>
    <w:link w:val="1086"/>
    <w:uiPriority w:val="0"/>
    <w:qFormat/>
    <w:rPr>
      <w:sz w:val="21"/>
      <w:szCs w:val="24"/>
    </w:rPr>
  </w:style>
  <w:style w:type="character" w:styleId="1088" w:customStyle="1">
    <w:name w:val="超链接1"/>
    <w:link w:val="1002"/>
    <w:uiPriority w:val="0"/>
    <w:qFormat/>
    <w:rPr>
      <w:rFonts w:ascii="Times New Roman" w:hAnsi="Times New Roman" w:eastAsia="宋体" w:cs="Times New Roman"/>
      <w:sz w:val="21"/>
      <w:szCs w:val="24"/>
      <w:lang w:val="en-US" w:eastAsia="zh-CN" w:bidi="ar-SA"/>
    </w:rPr>
  </w:style>
  <w:style w:type="character" w:styleId="1089" w:customStyle="1">
    <w:name w:val="批注引用1"/>
    <w:uiPriority w:val="0"/>
    <w:qFormat/>
    <w:rPr>
      <w:sz w:val="21"/>
      <w:szCs w:val="21"/>
    </w:rPr>
  </w:style>
  <w:style w:type="character" w:styleId="1090" w:customStyle="1">
    <w:name w:val="正文首行缩进 2 Char"/>
    <w:link w:val="998"/>
    <w:uiPriority w:val="0"/>
    <w:qFormat/>
    <w:rPr>
      <w:sz w:val="21"/>
      <w:szCs w:val="24"/>
    </w:rPr>
  </w:style>
  <w:style w:type="paragraph" w:styleId="1091" w:customStyle="1">
    <w:name w:val="表格3"/>
    <w:basedOn w:val="908"/>
    <w:uiPriority w:val="0"/>
    <w:qFormat/>
    <w:pPr>
      <w:jc w:val="center"/>
    </w:pPr>
  </w:style>
  <w:style w:type="paragraph" w:styleId="1092" w:customStyle="1">
    <w:name w:val="无间隔1"/>
    <w:uiPriority w:val="1"/>
    <w:qFormat/>
    <w:rPr>
      <w:rFonts w:ascii="Times New Roman" w:hAnsi="Times New Roman" w:eastAsia="宋体" w:cs="Times New Roman"/>
      <w:lang w:val="en-US" w:eastAsia="zh-CN" w:bidi="ar-SA"/>
    </w:rPr>
  </w:style>
  <w:style w:type="paragraph" w:styleId="1093" w:customStyle="1">
    <w:name w:val="目录 31"/>
    <w:basedOn w:val="908"/>
    <w:next w:val="908"/>
    <w:uiPriority w:val="39"/>
    <w:unhideWhenUsed/>
    <w:qFormat/>
    <w:pPr>
      <w:ind w:left="567"/>
      <w:spacing w:after="57"/>
    </w:pPr>
  </w:style>
  <w:style w:type="paragraph" w:styleId="1094" w:customStyle="1">
    <w:name w:val="图表目录1"/>
    <w:basedOn w:val="908"/>
    <w:next w:val="908"/>
    <w:uiPriority w:val="99"/>
    <w:unhideWhenUsed/>
    <w:qFormat/>
  </w:style>
  <w:style w:type="paragraph" w:styleId="109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96" w:customStyle="1">
    <w:name w:val="列出段落1"/>
    <w:basedOn w:val="908"/>
    <w:uiPriority w:val="34"/>
    <w:qFormat/>
    <w:pPr>
      <w:ind w:firstLine="420"/>
    </w:pPr>
    <w:rPr>
      <w:rFonts w:ascii="Calibri" w:hAnsi="Calibri"/>
    </w:rPr>
  </w:style>
  <w:style w:type="paragraph" w:styleId="1097" w:customStyle="1">
    <w:name w:val="Blockquote"/>
    <w:basedOn w:val="908"/>
    <w:uiPriority w:val="0"/>
    <w:qFormat/>
    <w:pPr>
      <w:ind w:left="764" w:right="567"/>
      <w:jc w:val="left"/>
      <w:spacing w:before="100" w:after="100"/>
    </w:pPr>
    <w:rPr>
      <w:sz w:val="24"/>
    </w:rPr>
  </w:style>
  <w:style w:type="paragraph" w:styleId="1098" w:customStyle="1">
    <w:name w:val="_Style 2"/>
    <w:basedOn w:val="1099"/>
    <w:next w:val="908"/>
    <w:uiPriority w:val="0"/>
    <w:qFormat/>
    <w:pPr>
      <w:jc w:val="both"/>
      <w:spacing w:line="576" w:lineRule="auto"/>
      <w:outlineLvl w:val="9"/>
    </w:pPr>
  </w:style>
  <w:style w:type="paragraph" w:styleId="1099" w:customStyle="1">
    <w:name w:val="标题 11"/>
    <w:basedOn w:val="908"/>
    <w:next w:val="908"/>
    <w:uiPriority w:val="0"/>
    <w:qFormat/>
    <w:pPr>
      <w:jc w:val="center"/>
      <w:keepLines/>
      <w:keepNext/>
      <w:spacing w:before="340" w:after="330" w:line="578" w:lineRule="auto"/>
      <w:outlineLvl w:val="0"/>
    </w:pPr>
    <w:rPr>
      <w:b/>
      <w:bCs/>
      <w:sz w:val="44"/>
      <w:szCs w:val="44"/>
    </w:rPr>
  </w:style>
  <w:style w:type="paragraph" w:styleId="1100" w:customStyle="1">
    <w:name w:val="默认段落字体 Para Char Char Char Char Char Char Char"/>
    <w:basedOn w:val="908"/>
    <w:uiPriority w:val="0"/>
    <w:qFormat/>
    <w:rPr>
      <w:rFonts w:ascii="Tahoma" w:hAnsi="Tahoma"/>
      <w:sz w:val="24"/>
      <w:szCs w:val="20"/>
    </w:rPr>
  </w:style>
  <w:style w:type="paragraph" w:styleId="1101" w:customStyle="1">
    <w:name w:val="目录 91"/>
    <w:basedOn w:val="908"/>
    <w:next w:val="908"/>
    <w:uiPriority w:val="39"/>
    <w:unhideWhenUsed/>
    <w:qFormat/>
    <w:pPr>
      <w:ind w:left="2268"/>
      <w:spacing w:after="57"/>
    </w:pPr>
  </w:style>
  <w:style w:type="paragraph" w:styleId="1102" w:customStyle="1">
    <w:name w:val="正文文本缩进2"/>
    <w:basedOn w:val="908"/>
    <w:uiPriority w:val="0"/>
    <w:qFormat/>
    <w:pPr>
      <w:ind w:left="420"/>
      <w:spacing w:after="120"/>
    </w:pPr>
    <w:rPr>
      <w:rFonts w:ascii="Calibri" w:hAnsi="Calibri"/>
    </w:rPr>
  </w:style>
  <w:style w:type="paragraph" w:styleId="1103" w:customStyle="1">
    <w:name w:val="目录 21"/>
    <w:basedOn w:val="908"/>
    <w:next w:val="908"/>
    <w:uiPriority w:val="39"/>
    <w:unhideWhenUsed/>
    <w:qFormat/>
    <w:pPr>
      <w:ind w:left="283"/>
      <w:spacing w:after="57"/>
    </w:pPr>
  </w:style>
  <w:style w:type="paragraph" w:styleId="1104" w:customStyle="1">
    <w:name w:val="Char"/>
    <w:basedOn w:val="908"/>
    <w:uiPriority w:val="0"/>
    <w:qFormat/>
    <w:pPr>
      <w:tabs>
        <w:tab w:val="left" w:pos="360" w:leader="none"/>
      </w:tabs>
    </w:pPr>
    <w:rPr>
      <w:sz w:val="24"/>
    </w:rPr>
  </w:style>
  <w:style w:type="paragraph" w:styleId="1105" w:customStyle="1">
    <w:name w:val="正文文本111"/>
    <w:basedOn w:val="908"/>
    <w:next w:val="908"/>
    <w:uiPriority w:val="0"/>
    <w:qFormat/>
    <w:pPr>
      <w:spacing w:after="120"/>
    </w:pPr>
  </w:style>
  <w:style w:type="paragraph" w:styleId="1106" w:customStyle="1">
    <w:name w:val="列出段落"/>
    <w:basedOn w:val="908"/>
    <w:uiPriority w:val="34"/>
    <w:qFormat/>
    <w:pPr>
      <w:contextualSpacing/>
      <w:ind w:left="720"/>
    </w:pPr>
  </w:style>
  <w:style w:type="paragraph" w:styleId="1107" w:customStyle="1">
    <w:name w:val="目录 81"/>
    <w:basedOn w:val="908"/>
    <w:next w:val="908"/>
    <w:uiPriority w:val="39"/>
    <w:unhideWhenUsed/>
    <w:qFormat/>
    <w:pPr>
      <w:ind w:left="1984"/>
      <w:spacing w:after="57"/>
    </w:pPr>
  </w:style>
  <w:style w:type="paragraph" w:styleId="1108" w:customStyle="1">
    <w:name w:val="页眉1"/>
    <w:basedOn w:val="908"/>
    <w:uiPriority w:val="0"/>
    <w:qFormat/>
    <w:pPr>
      <w:jc w:val="center"/>
      <w:tabs>
        <w:tab w:val="center" w:pos="4153" w:leader="none"/>
        <w:tab w:val="right" w:pos="8306" w:leader="none"/>
      </w:tabs>
      <w:pBdr>
        <w:bottom w:val="single" w:color="000000" w:sz="6" w:space="1"/>
      </w:pBdr>
    </w:pPr>
    <w:rPr>
      <w:sz w:val="18"/>
      <w:szCs w:val="18"/>
    </w:rPr>
  </w:style>
  <w:style w:type="paragraph" w:styleId="1109" w:customStyle="1">
    <w:name w:val="_Style 11"/>
    <w:uiPriority w:val="1"/>
    <w:qFormat/>
    <w:pPr>
      <w:jc w:val="both"/>
      <w:widowControl w:val="off"/>
    </w:pPr>
    <w:rPr>
      <w:rFonts w:ascii="宋体" w:hAnsi="宋体" w:eastAsia="宋体" w:cs="宋体"/>
      <w:sz w:val="21"/>
      <w:szCs w:val="22"/>
      <w:lang w:val="en-US" w:eastAsia="zh-CN" w:bidi="ar-SA"/>
    </w:rPr>
  </w:style>
  <w:style w:type="paragraph" w:styleId="111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11" w:customStyle="1">
    <w:name w:val="题注1"/>
    <w:basedOn w:val="908"/>
    <w:next w:val="908"/>
    <w:uiPriority w:val="35"/>
    <w:qFormat/>
    <w:pPr>
      <w:spacing w:line="276" w:lineRule="auto"/>
    </w:pPr>
    <w:rPr>
      <w:b/>
      <w:bCs/>
      <w:color w:val="4f81bd"/>
      <w:sz w:val="18"/>
      <w:szCs w:val="18"/>
    </w:rPr>
  </w:style>
  <w:style w:type="paragraph" w:styleId="1112" w:customStyle="1">
    <w:name w:val="目录 61"/>
    <w:basedOn w:val="908"/>
    <w:next w:val="908"/>
    <w:uiPriority w:val="39"/>
    <w:unhideWhenUsed/>
    <w:qFormat/>
    <w:pPr>
      <w:ind w:left="1417"/>
      <w:spacing w:after="57"/>
    </w:pPr>
  </w:style>
  <w:style w:type="paragraph" w:styleId="1113" w:customStyle="1">
    <w:name w:val="目录 51"/>
    <w:basedOn w:val="908"/>
    <w:next w:val="908"/>
    <w:uiPriority w:val="39"/>
    <w:unhideWhenUsed/>
    <w:qFormat/>
    <w:pPr>
      <w:ind w:left="1134"/>
      <w:spacing w:after="57"/>
    </w:pPr>
  </w:style>
  <w:style w:type="paragraph" w:styleId="1114" w:customStyle="1">
    <w:name w:val="目录 71"/>
    <w:basedOn w:val="908"/>
    <w:next w:val="908"/>
    <w:uiPriority w:val="39"/>
    <w:unhideWhenUsed/>
    <w:qFormat/>
    <w:pPr>
      <w:ind w:left="1701"/>
      <w:spacing w:after="57"/>
    </w:pPr>
  </w:style>
  <w:style w:type="paragraph" w:styleId="1115" w:customStyle="1">
    <w:name w:val="TOC 标题11"/>
    <w:uiPriority w:val="39"/>
    <w:unhideWhenUsed/>
    <w:qFormat/>
    <w:rPr>
      <w:rFonts w:ascii="Times New Roman" w:hAnsi="Times New Roman" w:eastAsia="宋体" w:cs="Times New Roman"/>
      <w:lang w:val="en-US" w:eastAsia="zh-CN" w:bidi="ar-SA"/>
    </w:rPr>
  </w:style>
  <w:style w:type="paragraph" w:styleId="1116" w:customStyle="1">
    <w:name w:val="标题 31"/>
    <w:basedOn w:val="908"/>
    <w:next w:val="908"/>
    <w:uiPriority w:val="0"/>
    <w:qFormat/>
    <w:pPr>
      <w:keepLines/>
      <w:keepNext/>
      <w:spacing w:before="260" w:after="260" w:line="416" w:lineRule="auto"/>
      <w:outlineLvl w:val="2"/>
    </w:pPr>
    <w:rPr>
      <w:b/>
      <w:bCs/>
      <w:sz w:val="32"/>
      <w:szCs w:val="32"/>
    </w:rPr>
  </w:style>
  <w:style w:type="paragraph" w:styleId="1117" w:customStyle="1">
    <w:name w:val="目录 41"/>
    <w:basedOn w:val="908"/>
    <w:next w:val="908"/>
    <w:uiPriority w:val="39"/>
    <w:unhideWhenUsed/>
    <w:qFormat/>
    <w:pPr>
      <w:ind w:left="850"/>
      <w:spacing w:after="57"/>
    </w:pPr>
  </w:style>
  <w:style w:type="paragraph" w:styleId="1118" w:customStyle="1">
    <w:name w:val="p0"/>
    <w:basedOn w:val="908"/>
    <w:uiPriority w:val="0"/>
    <w:qFormat/>
    <w:pPr>
      <w:widowControl/>
    </w:pPr>
    <w:rPr>
      <w:szCs w:val="21"/>
    </w:rPr>
  </w:style>
  <w:style w:type="paragraph" w:styleId="1119" w:customStyle="1">
    <w:name w:val="文本块{858D7CFB-ED40-4347-BF05-701D383B685F}{858D7CFB-ED40-4347-BF05-701D383B685F}"/>
    <w:basedOn w:val="908"/>
    <w:uiPriority w:val="0"/>
    <w:qFormat/>
    <w:pPr>
      <w:ind w:left="256" w:right="6" w:firstLine="200"/>
    </w:pPr>
    <w:rPr>
      <w:rFonts w:eastAsia="仿宋_GB2312"/>
      <w:sz w:val="28"/>
    </w:rPr>
  </w:style>
  <w:style w:type="paragraph" w:styleId="1120" w:customStyle="1">
    <w:name w:val="_HT_正文"/>
    <w:basedOn w:val="908"/>
    <w:uiPriority w:val="0"/>
    <w:qFormat/>
    <w:pPr>
      <w:ind w:firstLine="200"/>
      <w:spacing w:line="360" w:lineRule="auto"/>
    </w:pPr>
    <w:rPr>
      <w:sz w:val="24"/>
    </w:rPr>
  </w:style>
  <w:style w:type="paragraph" w:styleId="1121" w:customStyle="1">
    <w:name w:val="页脚1"/>
    <w:basedOn w:val="908"/>
    <w:uiPriority w:val="0"/>
    <w:qFormat/>
    <w:pPr>
      <w:jc w:val="left"/>
      <w:tabs>
        <w:tab w:val="center" w:pos="4153" w:leader="none"/>
        <w:tab w:val="right" w:pos="8306" w:leader="none"/>
      </w:tabs>
    </w:pPr>
    <w:rPr>
      <w:sz w:val="18"/>
      <w:szCs w:val="18"/>
    </w:rPr>
  </w:style>
  <w:style w:type="paragraph" w:styleId="1122" w:customStyle="1">
    <w:name w:val="彩色列表 - 强调文字颜色 11"/>
    <w:basedOn w:val="908"/>
    <w:uiPriority w:val="34"/>
    <w:qFormat/>
    <w:pPr>
      <w:ind w:firstLine="420"/>
    </w:pPr>
    <w:rPr>
      <w:rFonts w:ascii="Calibri" w:hAnsi="Calibri"/>
      <w:szCs w:val="22"/>
    </w:rPr>
  </w:style>
  <w:style w:type="paragraph" w:styleId="1123" w:customStyle="1">
    <w:name w:val="UserStyle_0"/>
    <w:next w:val="1124"/>
    <w:uiPriority w:val="0"/>
    <w:qFormat/>
    <w:pPr>
      <w:jc w:val="both"/>
    </w:pPr>
    <w:rPr>
      <w:rFonts w:ascii="Times New Roman" w:hAnsi="Times New Roman" w:eastAsia="宋体" w:cs="Times New Roman"/>
      <w:sz w:val="21"/>
      <w:szCs w:val="24"/>
      <w:lang w:val="en-US" w:eastAsia="zh-CN" w:bidi="ar-SA"/>
    </w:rPr>
  </w:style>
  <w:style w:type="paragraph" w:styleId="1124" w:customStyle="1">
    <w:name w:val="UserStyle_1"/>
    <w:basedOn w:val="1123"/>
    <w:next w:val="1125"/>
    <w:uiPriority w:val="0"/>
    <w:qFormat/>
    <w:pPr>
      <w:spacing w:after="120"/>
    </w:pPr>
    <w:rPr>
      <w:lang w:eastAsia="en-US"/>
    </w:rPr>
  </w:style>
  <w:style w:type="paragraph" w:styleId="1125" w:customStyle="1">
    <w:name w:val="UserStyle_3"/>
    <w:basedOn w:val="1126"/>
    <w:next w:val="112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26" w:customStyle="1">
    <w:name w:val="UserStyle_4"/>
    <w:next w:val="908"/>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127" w:customStyle="1">
    <w:name w:val="UserStyle_5"/>
    <w:basedOn w:val="908"/>
    <w:next w:val="908"/>
    <w:uiPriority w:val="0"/>
    <w:qFormat/>
    <w:pPr>
      <w:ind w:firstLine="200"/>
    </w:pPr>
    <w:rPr>
      <w:rFonts w:ascii="宋体"/>
      <w:szCs w:val="20"/>
    </w:rPr>
  </w:style>
  <w:style w:type="table" w:styleId="1128" w:customStyle="1">
    <w:name w:val="Grid Table 3 - Accent 2"/>
    <w:uiPriority w:val="99"/>
    <w:qFormat/>
    <w:tblPr>
      <w:tblCellMar>
        <w:left w:w="0" w:type="dxa"/>
        <w:top w:w="0" w:type="dxa"/>
        <w:right w:w="0" w:type="dxa"/>
        <w:bottom w:w="0" w:type="dxa"/>
      </w:tblCellMar>
    </w:tblPr>
  </w:style>
  <w:style w:type="table" w:styleId="1129" w:customStyle="1">
    <w:name w:val="List Table 4 - Accent 1"/>
    <w:uiPriority w:val="99"/>
    <w:qFormat/>
    <w:tblPr>
      <w:tblCellMar>
        <w:left w:w="0" w:type="dxa"/>
        <w:top w:w="0" w:type="dxa"/>
        <w:right w:w="0" w:type="dxa"/>
        <w:bottom w:w="0" w:type="dxa"/>
      </w:tblCellMar>
    </w:tblPr>
  </w:style>
  <w:style w:type="table" w:styleId="1130" w:customStyle="1">
    <w:name w:val="网格型11"/>
    <w:uiPriority w:val="59"/>
    <w:qFormat/>
    <w:tblPr>
      <w:tblCellMar>
        <w:left w:w="0" w:type="dxa"/>
        <w:top w:w="0" w:type="dxa"/>
        <w:right w:w="0" w:type="dxa"/>
        <w:bottom w:w="0" w:type="dxa"/>
      </w:tblCellMar>
    </w:tblPr>
  </w:style>
  <w:style w:type="table" w:styleId="1131" w:customStyle="1">
    <w:name w:val="Grid Table 4 - Accent 1"/>
    <w:uiPriority w:val="59"/>
    <w:qFormat/>
    <w:tblPr>
      <w:tblCellMar>
        <w:left w:w="0" w:type="dxa"/>
        <w:top w:w="0" w:type="dxa"/>
        <w:right w:w="0" w:type="dxa"/>
        <w:bottom w:w="0" w:type="dxa"/>
      </w:tblCellMar>
    </w:tblPr>
  </w:style>
  <w:style w:type="table" w:styleId="1132" w:customStyle="1">
    <w:name w:val="List Table 5 Dark - Accent 5"/>
    <w:uiPriority w:val="99"/>
    <w:qFormat/>
    <w:tblPr>
      <w:tblCellMar>
        <w:left w:w="0" w:type="dxa"/>
        <w:top w:w="0" w:type="dxa"/>
        <w:right w:w="0" w:type="dxa"/>
        <w:bottom w:w="0" w:type="dxa"/>
      </w:tblCellMar>
    </w:tblPr>
  </w:style>
  <w:style w:type="table" w:styleId="1133" w:customStyle="1">
    <w:name w:val="Grid Table 4 - Accent 6"/>
    <w:uiPriority w:val="59"/>
    <w:qFormat/>
    <w:tblPr>
      <w:tblCellMar>
        <w:left w:w="0" w:type="dxa"/>
        <w:top w:w="0" w:type="dxa"/>
        <w:right w:w="0" w:type="dxa"/>
        <w:bottom w:w="0" w:type="dxa"/>
      </w:tblCellMar>
    </w:tblPr>
  </w:style>
  <w:style w:type="table" w:styleId="1134" w:customStyle="1">
    <w:name w:val="Lined - Accent 1"/>
    <w:uiPriority w:val="99"/>
    <w:qFormat/>
    <w:rPr>
      <w:color w:val="404040"/>
    </w:rPr>
    <w:tblPr>
      <w:tblCellMar>
        <w:left w:w="0" w:type="dxa"/>
        <w:top w:w="0" w:type="dxa"/>
        <w:right w:w="0" w:type="dxa"/>
        <w:bottom w:w="0" w:type="dxa"/>
      </w:tblCellMar>
    </w:tblPr>
  </w:style>
  <w:style w:type="table" w:styleId="1135" w:customStyle="1">
    <w:name w:val="Bordered - Accent 1"/>
    <w:uiPriority w:val="99"/>
    <w:qFormat/>
    <w:tblPr>
      <w:tblCellMar>
        <w:left w:w="0" w:type="dxa"/>
        <w:top w:w="0" w:type="dxa"/>
        <w:right w:w="0" w:type="dxa"/>
        <w:bottom w:w="0" w:type="dxa"/>
      </w:tblCellMar>
    </w:tblPr>
  </w:style>
  <w:style w:type="table" w:styleId="1136" w:customStyle="1">
    <w:name w:val="List Table 2 - Accent 3"/>
    <w:uiPriority w:val="99"/>
    <w:qFormat/>
    <w:tblPr>
      <w:tblCellMar>
        <w:left w:w="0" w:type="dxa"/>
        <w:top w:w="0" w:type="dxa"/>
        <w:right w:w="0" w:type="dxa"/>
        <w:bottom w:w="0" w:type="dxa"/>
      </w:tblCellMar>
    </w:tblPr>
  </w:style>
  <w:style w:type="table" w:styleId="1137" w:customStyle="1">
    <w:name w:val="Grid Table 1 Light - Accent 6"/>
    <w:uiPriority w:val="99"/>
    <w:qFormat/>
    <w:tblPr>
      <w:tblCellMar>
        <w:left w:w="0" w:type="dxa"/>
        <w:top w:w="0" w:type="dxa"/>
        <w:right w:w="0" w:type="dxa"/>
        <w:bottom w:w="0" w:type="dxa"/>
      </w:tblCellMar>
    </w:tblPr>
  </w:style>
  <w:style w:type="table" w:styleId="1138" w:customStyle="1">
    <w:name w:val="Grid Table 3 - Accent 1"/>
    <w:uiPriority w:val="99"/>
    <w:qFormat/>
    <w:tblPr>
      <w:tblCellMar>
        <w:left w:w="0" w:type="dxa"/>
        <w:top w:w="0" w:type="dxa"/>
        <w:right w:w="0" w:type="dxa"/>
        <w:bottom w:w="0" w:type="dxa"/>
      </w:tblCellMar>
    </w:tblPr>
  </w:style>
  <w:style w:type="table" w:styleId="1139" w:customStyle="1">
    <w:name w:val="Grid Table 7 Colorful - Accent 4"/>
    <w:uiPriority w:val="99"/>
    <w:qFormat/>
    <w:tblPr>
      <w:tblCellMar>
        <w:left w:w="0" w:type="dxa"/>
        <w:top w:w="0" w:type="dxa"/>
        <w:right w:w="0" w:type="dxa"/>
        <w:bottom w:w="0" w:type="dxa"/>
      </w:tblCellMar>
    </w:tblPr>
  </w:style>
  <w:style w:type="table" w:styleId="1140" w:customStyle="1">
    <w:name w:val="Bordered - Accent 4"/>
    <w:uiPriority w:val="99"/>
    <w:qFormat/>
    <w:tblPr>
      <w:tblCellMar>
        <w:left w:w="0" w:type="dxa"/>
        <w:top w:w="0" w:type="dxa"/>
        <w:right w:w="0" w:type="dxa"/>
        <w:bottom w:w="0" w:type="dxa"/>
      </w:tblCellMar>
    </w:tblPr>
  </w:style>
  <w:style w:type="table" w:styleId="1141" w:customStyle="1">
    <w:name w:val="List Table 7 Colorful - Accent 6"/>
    <w:uiPriority w:val="99"/>
    <w:qFormat/>
    <w:tblPr>
      <w:tblCellMar>
        <w:left w:w="0" w:type="dxa"/>
        <w:top w:w="0" w:type="dxa"/>
        <w:right w:w="0" w:type="dxa"/>
        <w:bottom w:w="0" w:type="dxa"/>
      </w:tblCellMar>
    </w:tblPr>
  </w:style>
  <w:style w:type="table" w:styleId="1142" w:customStyle="1">
    <w:name w:val="List Table 2 - Accent 5"/>
    <w:uiPriority w:val="99"/>
    <w:qFormat/>
    <w:tblPr>
      <w:tblCellMar>
        <w:left w:w="0" w:type="dxa"/>
        <w:top w:w="0" w:type="dxa"/>
        <w:right w:w="0" w:type="dxa"/>
        <w:bottom w:w="0" w:type="dxa"/>
      </w:tblCellMar>
    </w:tblPr>
  </w:style>
  <w:style w:type="table" w:styleId="1143" w:customStyle="1">
    <w:name w:val="Lined - Accent 4"/>
    <w:uiPriority w:val="99"/>
    <w:qFormat/>
    <w:rPr>
      <w:color w:val="404040"/>
    </w:rPr>
    <w:tblPr>
      <w:tblCellMar>
        <w:left w:w="0" w:type="dxa"/>
        <w:top w:w="0" w:type="dxa"/>
        <w:right w:w="0" w:type="dxa"/>
        <w:bottom w:w="0" w:type="dxa"/>
      </w:tblCellMar>
    </w:tblPr>
  </w:style>
  <w:style w:type="table" w:styleId="1144" w:customStyle="1">
    <w:name w:val="List Table 3 - Accent 2"/>
    <w:uiPriority w:val="99"/>
    <w:qFormat/>
    <w:tblPr>
      <w:tblCellMar>
        <w:left w:w="0" w:type="dxa"/>
        <w:top w:w="0" w:type="dxa"/>
        <w:right w:w="0" w:type="dxa"/>
        <w:bottom w:w="0" w:type="dxa"/>
      </w:tblCellMar>
    </w:tblPr>
  </w:style>
  <w:style w:type="table" w:styleId="1145" w:customStyle="1">
    <w:name w:val="网格型1"/>
    <w:basedOn w:val="1146"/>
    <w:uiPriority w:val="0"/>
    <w:qFormat/>
    <w:tblPr/>
  </w:style>
  <w:style w:type="table" w:styleId="1146" w:customStyle="1">
    <w:name w:val="普通表格1"/>
    <w:uiPriority w:val="0"/>
    <w:semiHidden/>
    <w:qFormat/>
    <w:tblPr>
      <w:tblCellMar>
        <w:left w:w="0" w:type="dxa"/>
        <w:top w:w="0" w:type="dxa"/>
        <w:right w:w="0" w:type="dxa"/>
        <w:bottom w:w="0" w:type="dxa"/>
      </w:tblCellMar>
    </w:tblPr>
  </w:style>
  <w:style w:type="table" w:styleId="1147" w:customStyle="1">
    <w:name w:val="Grid Table 6 Colorful - Accent 5"/>
    <w:uiPriority w:val="99"/>
    <w:qFormat/>
    <w:tblPr>
      <w:tblCellMar>
        <w:left w:w="0" w:type="dxa"/>
        <w:top w:w="0" w:type="dxa"/>
        <w:right w:w="0" w:type="dxa"/>
        <w:bottom w:w="0" w:type="dxa"/>
      </w:tblCellMar>
    </w:tblPr>
  </w:style>
  <w:style w:type="table" w:styleId="1148" w:customStyle="1">
    <w:name w:val="Grid Table 2 - Accent 6"/>
    <w:uiPriority w:val="99"/>
    <w:qFormat/>
    <w:tblPr>
      <w:tblCellMar>
        <w:left w:w="0" w:type="dxa"/>
        <w:top w:w="0" w:type="dxa"/>
        <w:right w:w="0" w:type="dxa"/>
        <w:bottom w:w="0" w:type="dxa"/>
      </w:tblCellMar>
    </w:tblPr>
  </w:style>
  <w:style w:type="table" w:styleId="1149" w:customStyle="1">
    <w:name w:val="Grid Table 6 Colorful - Accent 2"/>
    <w:uiPriority w:val="99"/>
    <w:qFormat/>
    <w:tblPr>
      <w:tblCellMar>
        <w:left w:w="0" w:type="dxa"/>
        <w:top w:w="0" w:type="dxa"/>
        <w:right w:w="0" w:type="dxa"/>
        <w:bottom w:w="0" w:type="dxa"/>
      </w:tblCellMar>
    </w:tblPr>
  </w:style>
  <w:style w:type="table" w:styleId="1150" w:customStyle="1">
    <w:name w:val="Grid Table 2 - Accent 3"/>
    <w:uiPriority w:val="99"/>
    <w:qFormat/>
    <w:tblPr>
      <w:tblCellMar>
        <w:left w:w="0" w:type="dxa"/>
        <w:top w:w="0" w:type="dxa"/>
        <w:right w:w="0" w:type="dxa"/>
        <w:bottom w:w="0" w:type="dxa"/>
      </w:tblCellMar>
    </w:tblPr>
  </w:style>
  <w:style w:type="table" w:styleId="1151" w:customStyle="1">
    <w:name w:val="Grid Table 3 - Accent 6"/>
    <w:uiPriority w:val="99"/>
    <w:qFormat/>
    <w:tblPr>
      <w:tblCellMar>
        <w:left w:w="0" w:type="dxa"/>
        <w:top w:w="0" w:type="dxa"/>
        <w:right w:w="0" w:type="dxa"/>
        <w:bottom w:w="0" w:type="dxa"/>
      </w:tblCellMar>
    </w:tblPr>
  </w:style>
  <w:style w:type="table" w:styleId="1152" w:customStyle="1">
    <w:name w:val="Grid Table 5 Dark - Accent 5"/>
    <w:uiPriority w:val="99"/>
    <w:qFormat/>
    <w:tblPr>
      <w:tblCellMar>
        <w:left w:w="0" w:type="dxa"/>
        <w:top w:w="0" w:type="dxa"/>
        <w:right w:w="0" w:type="dxa"/>
        <w:bottom w:w="0" w:type="dxa"/>
      </w:tblCellMar>
    </w:tblPr>
  </w:style>
  <w:style w:type="table" w:styleId="1153" w:customStyle="1">
    <w:name w:val="List Table 1 Light - Accent 2"/>
    <w:uiPriority w:val="99"/>
    <w:qFormat/>
    <w:tblPr>
      <w:tblCellMar>
        <w:left w:w="0" w:type="dxa"/>
        <w:top w:w="0" w:type="dxa"/>
        <w:right w:w="0" w:type="dxa"/>
        <w:bottom w:w="0" w:type="dxa"/>
      </w:tblCellMar>
    </w:tblPr>
  </w:style>
  <w:style w:type="table" w:styleId="1154" w:customStyle="1">
    <w:name w:val="List Table 2 - Accent 1"/>
    <w:uiPriority w:val="99"/>
    <w:qFormat/>
    <w:tblPr>
      <w:tblCellMar>
        <w:left w:w="0" w:type="dxa"/>
        <w:top w:w="0" w:type="dxa"/>
        <w:right w:w="0" w:type="dxa"/>
        <w:bottom w:w="0" w:type="dxa"/>
      </w:tblCellMar>
    </w:tblPr>
  </w:style>
  <w:style w:type="table" w:styleId="1155" w:customStyle="1">
    <w:name w:val="List Table 1 Light - Accent 3"/>
    <w:uiPriority w:val="99"/>
    <w:qFormat/>
    <w:tblPr>
      <w:tblCellMar>
        <w:left w:w="0" w:type="dxa"/>
        <w:top w:w="0" w:type="dxa"/>
        <w:right w:w="0" w:type="dxa"/>
        <w:bottom w:w="0" w:type="dxa"/>
      </w:tblCellMar>
    </w:tblPr>
  </w:style>
  <w:style w:type="table" w:styleId="1156" w:customStyle="1">
    <w:name w:val="List Table 6 Colorful - Accent 2"/>
    <w:uiPriority w:val="99"/>
    <w:qFormat/>
    <w:tblPr>
      <w:tblCellMar>
        <w:left w:w="0" w:type="dxa"/>
        <w:top w:w="0" w:type="dxa"/>
        <w:right w:w="0" w:type="dxa"/>
        <w:bottom w:w="0" w:type="dxa"/>
      </w:tblCellMar>
    </w:tblPr>
  </w:style>
  <w:style w:type="table" w:styleId="1157" w:customStyle="1">
    <w:name w:val="Grid Table 3 - Accent 5"/>
    <w:uiPriority w:val="99"/>
    <w:qFormat/>
    <w:tblPr>
      <w:tblCellMar>
        <w:left w:w="0" w:type="dxa"/>
        <w:top w:w="0" w:type="dxa"/>
        <w:right w:w="0" w:type="dxa"/>
        <w:bottom w:w="0" w:type="dxa"/>
      </w:tblCellMar>
    </w:tblPr>
  </w:style>
  <w:style w:type="table" w:styleId="1158" w:customStyle="1">
    <w:name w:val="List Table 5 Dark - Accent 6"/>
    <w:uiPriority w:val="99"/>
    <w:qFormat/>
    <w:tblPr>
      <w:tblCellMar>
        <w:left w:w="0" w:type="dxa"/>
        <w:top w:w="0" w:type="dxa"/>
        <w:right w:w="0" w:type="dxa"/>
        <w:bottom w:w="0" w:type="dxa"/>
      </w:tblCellMar>
    </w:tblPr>
  </w:style>
  <w:style w:type="table" w:styleId="1159" w:customStyle="1">
    <w:name w:val="Table Grid Light"/>
    <w:uiPriority w:val="59"/>
    <w:qFormat/>
    <w:tblPr>
      <w:tblCellMar>
        <w:left w:w="0" w:type="dxa"/>
        <w:top w:w="0" w:type="dxa"/>
        <w:right w:w="0" w:type="dxa"/>
        <w:bottom w:w="0" w:type="dxa"/>
      </w:tblCellMar>
    </w:tblPr>
  </w:style>
  <w:style w:type="table" w:styleId="1160" w:customStyle="1">
    <w:name w:val="Lined - Accent 6"/>
    <w:uiPriority w:val="99"/>
    <w:qFormat/>
    <w:rPr>
      <w:color w:val="404040"/>
    </w:rPr>
    <w:tblPr>
      <w:tblCellMar>
        <w:left w:w="0" w:type="dxa"/>
        <w:top w:w="0" w:type="dxa"/>
        <w:right w:w="0" w:type="dxa"/>
        <w:bottom w:w="0" w:type="dxa"/>
      </w:tblCellMar>
    </w:tblPr>
  </w:style>
  <w:style w:type="table" w:styleId="1161" w:customStyle="1">
    <w:name w:val="List Table 1 Light - Accent 6"/>
    <w:uiPriority w:val="99"/>
    <w:qFormat/>
    <w:tblPr>
      <w:tblCellMar>
        <w:left w:w="0" w:type="dxa"/>
        <w:top w:w="0" w:type="dxa"/>
        <w:right w:w="0" w:type="dxa"/>
        <w:bottom w:w="0" w:type="dxa"/>
      </w:tblCellMar>
    </w:tblPr>
  </w:style>
  <w:style w:type="table" w:styleId="1162" w:customStyle="1">
    <w:name w:val="List Table 7 Colorful - Accent 1"/>
    <w:uiPriority w:val="99"/>
    <w:qFormat/>
    <w:tblPr>
      <w:tblCellMar>
        <w:left w:w="0" w:type="dxa"/>
        <w:top w:w="0" w:type="dxa"/>
        <w:right w:w="0" w:type="dxa"/>
        <w:bottom w:w="0" w:type="dxa"/>
      </w:tblCellMar>
    </w:tblPr>
  </w:style>
  <w:style w:type="table" w:styleId="1163" w:customStyle="1">
    <w:name w:val="Lined - Accent"/>
    <w:uiPriority w:val="99"/>
    <w:qFormat/>
    <w:rPr>
      <w:color w:val="404040"/>
    </w:rPr>
    <w:tblPr>
      <w:tblCellMar>
        <w:left w:w="0" w:type="dxa"/>
        <w:top w:w="0" w:type="dxa"/>
        <w:right w:w="0" w:type="dxa"/>
        <w:bottom w:w="0" w:type="dxa"/>
      </w:tblCellMar>
    </w:tblPr>
  </w:style>
  <w:style w:type="table" w:styleId="1164" w:customStyle="1">
    <w:name w:val="Grid Table 2 - Accent 1"/>
    <w:uiPriority w:val="99"/>
    <w:qFormat/>
    <w:tblPr>
      <w:tblCellMar>
        <w:left w:w="0" w:type="dxa"/>
        <w:top w:w="0" w:type="dxa"/>
        <w:right w:w="0" w:type="dxa"/>
        <w:bottom w:w="0" w:type="dxa"/>
      </w:tblCellMar>
    </w:tblPr>
  </w:style>
  <w:style w:type="table" w:styleId="1165" w:customStyle="1">
    <w:name w:val="List Table 6 Colorful - Accent 4"/>
    <w:uiPriority w:val="99"/>
    <w:qFormat/>
    <w:tblPr>
      <w:tblCellMar>
        <w:left w:w="0" w:type="dxa"/>
        <w:top w:w="0" w:type="dxa"/>
        <w:right w:w="0" w:type="dxa"/>
        <w:bottom w:w="0" w:type="dxa"/>
      </w:tblCellMar>
    </w:tblPr>
  </w:style>
  <w:style w:type="table" w:styleId="1166" w:customStyle="1">
    <w:name w:val="List Table 2 - Accent 6"/>
    <w:uiPriority w:val="99"/>
    <w:qFormat/>
    <w:tblPr>
      <w:tblCellMar>
        <w:left w:w="0" w:type="dxa"/>
        <w:top w:w="0" w:type="dxa"/>
        <w:right w:w="0" w:type="dxa"/>
        <w:bottom w:w="0" w:type="dxa"/>
      </w:tblCellMar>
    </w:tblPr>
  </w:style>
  <w:style w:type="table" w:styleId="1167" w:customStyle="1">
    <w:name w:val="Grid Table 1 Light - Accent 3"/>
    <w:uiPriority w:val="99"/>
    <w:qFormat/>
    <w:tblPr>
      <w:tblCellMar>
        <w:left w:w="0" w:type="dxa"/>
        <w:top w:w="0" w:type="dxa"/>
        <w:right w:w="0" w:type="dxa"/>
        <w:bottom w:w="0" w:type="dxa"/>
      </w:tblCellMar>
    </w:tblPr>
  </w:style>
  <w:style w:type="table" w:styleId="1168" w:customStyle="1">
    <w:name w:val="List Table 5 Dark - Accent 2"/>
    <w:uiPriority w:val="99"/>
    <w:qFormat/>
    <w:tblPr>
      <w:tblCellMar>
        <w:left w:w="0" w:type="dxa"/>
        <w:top w:w="0" w:type="dxa"/>
        <w:right w:w="0" w:type="dxa"/>
        <w:bottom w:w="0" w:type="dxa"/>
      </w:tblCellMar>
    </w:tblPr>
  </w:style>
  <w:style w:type="table" w:styleId="1169" w:customStyle="1">
    <w:name w:val="List Table 2 - Accent 2"/>
    <w:uiPriority w:val="99"/>
    <w:qFormat/>
    <w:tblPr>
      <w:tblCellMar>
        <w:left w:w="0" w:type="dxa"/>
        <w:top w:w="0" w:type="dxa"/>
        <w:right w:w="0" w:type="dxa"/>
        <w:bottom w:w="0" w:type="dxa"/>
      </w:tblCellMar>
    </w:tblPr>
  </w:style>
  <w:style w:type="table" w:styleId="1170" w:customStyle="1">
    <w:name w:val="Grid Table 4 - Accent 4"/>
    <w:uiPriority w:val="59"/>
    <w:qFormat/>
    <w:tblPr>
      <w:tblCellMar>
        <w:left w:w="0" w:type="dxa"/>
        <w:top w:w="0" w:type="dxa"/>
        <w:right w:w="0" w:type="dxa"/>
        <w:bottom w:w="0" w:type="dxa"/>
      </w:tblCellMar>
    </w:tblPr>
  </w:style>
  <w:style w:type="table" w:styleId="1171" w:customStyle="1">
    <w:name w:val="List Table 1 Light - Accent 1"/>
    <w:uiPriority w:val="99"/>
    <w:qFormat/>
    <w:tblPr>
      <w:tblCellMar>
        <w:left w:w="0" w:type="dxa"/>
        <w:top w:w="0" w:type="dxa"/>
        <w:right w:w="0" w:type="dxa"/>
        <w:bottom w:w="0" w:type="dxa"/>
      </w:tblCellMar>
    </w:tblPr>
  </w:style>
  <w:style w:type="table" w:styleId="1172" w:customStyle="1">
    <w:name w:val="List Table 4 - Accent 5"/>
    <w:uiPriority w:val="99"/>
    <w:qFormat/>
    <w:tblPr>
      <w:tblCellMar>
        <w:left w:w="0" w:type="dxa"/>
        <w:top w:w="0" w:type="dxa"/>
        <w:right w:w="0" w:type="dxa"/>
        <w:bottom w:w="0" w:type="dxa"/>
      </w:tblCellMar>
    </w:tblPr>
  </w:style>
  <w:style w:type="table" w:styleId="1173" w:customStyle="1">
    <w:name w:val="Grid Table 2 - Accent 5"/>
    <w:uiPriority w:val="99"/>
    <w:qFormat/>
    <w:tblPr>
      <w:tblCellMar>
        <w:left w:w="0" w:type="dxa"/>
        <w:top w:w="0" w:type="dxa"/>
        <w:right w:w="0" w:type="dxa"/>
        <w:bottom w:w="0" w:type="dxa"/>
      </w:tblCellMar>
    </w:tblPr>
  </w:style>
  <w:style w:type="table" w:styleId="1174" w:customStyle="1">
    <w:name w:val="List Table 3 - Accent 1"/>
    <w:uiPriority w:val="99"/>
    <w:qFormat/>
    <w:tblPr>
      <w:tblCellMar>
        <w:left w:w="0" w:type="dxa"/>
        <w:top w:w="0" w:type="dxa"/>
        <w:right w:w="0" w:type="dxa"/>
        <w:bottom w:w="0" w:type="dxa"/>
      </w:tblCellMar>
    </w:tblPr>
  </w:style>
  <w:style w:type="table" w:styleId="1175" w:customStyle="1">
    <w:name w:val="Grid Table 7 Colorful - Accent 2"/>
    <w:uiPriority w:val="99"/>
    <w:qFormat/>
    <w:tblPr>
      <w:tblCellMar>
        <w:left w:w="0" w:type="dxa"/>
        <w:top w:w="0" w:type="dxa"/>
        <w:right w:w="0" w:type="dxa"/>
        <w:bottom w:w="0" w:type="dxa"/>
      </w:tblCellMar>
    </w:tblPr>
  </w:style>
  <w:style w:type="table" w:styleId="1176" w:customStyle="1">
    <w:name w:val="Grid Table 6 Colorful - Accent 1"/>
    <w:uiPriority w:val="99"/>
    <w:qFormat/>
    <w:tblPr>
      <w:tblCellMar>
        <w:left w:w="0" w:type="dxa"/>
        <w:top w:w="0" w:type="dxa"/>
        <w:right w:w="0" w:type="dxa"/>
        <w:bottom w:w="0" w:type="dxa"/>
      </w:tblCellMar>
    </w:tblPr>
  </w:style>
  <w:style w:type="table" w:styleId="1177" w:customStyle="1">
    <w:name w:val="List Table 4 - Accent 2"/>
    <w:uiPriority w:val="99"/>
    <w:qFormat/>
    <w:tblPr>
      <w:tblCellMar>
        <w:left w:w="0" w:type="dxa"/>
        <w:top w:w="0" w:type="dxa"/>
        <w:right w:w="0" w:type="dxa"/>
        <w:bottom w:w="0" w:type="dxa"/>
      </w:tblCellMar>
    </w:tblPr>
  </w:style>
  <w:style w:type="table" w:styleId="1178" w:customStyle="1">
    <w:name w:val="Lined - Accent 3"/>
    <w:uiPriority w:val="99"/>
    <w:qFormat/>
    <w:rPr>
      <w:color w:val="404040"/>
    </w:rPr>
    <w:tblPr>
      <w:tblCellMar>
        <w:left w:w="0" w:type="dxa"/>
        <w:top w:w="0" w:type="dxa"/>
        <w:right w:w="0" w:type="dxa"/>
        <w:bottom w:w="0" w:type="dxa"/>
      </w:tblCellMar>
    </w:tblPr>
  </w:style>
  <w:style w:type="table" w:styleId="1179" w:customStyle="1">
    <w:name w:val="Bordered &amp; Lined - Accent 1"/>
    <w:uiPriority w:val="99"/>
    <w:qFormat/>
    <w:rPr>
      <w:color w:val="404040"/>
    </w:rPr>
    <w:tblPr>
      <w:tblCellMar>
        <w:left w:w="0" w:type="dxa"/>
        <w:top w:w="0" w:type="dxa"/>
        <w:right w:w="0" w:type="dxa"/>
        <w:bottom w:w="0" w:type="dxa"/>
      </w:tblCellMar>
    </w:tblPr>
  </w:style>
  <w:style w:type="table" w:styleId="1180" w:customStyle="1">
    <w:name w:val="List Table 7 Colorful - Accent 4"/>
    <w:uiPriority w:val="99"/>
    <w:qFormat/>
    <w:tblPr>
      <w:tblCellMar>
        <w:left w:w="0" w:type="dxa"/>
        <w:top w:w="0" w:type="dxa"/>
        <w:right w:w="0" w:type="dxa"/>
        <w:bottom w:w="0" w:type="dxa"/>
      </w:tblCellMar>
    </w:tblPr>
  </w:style>
  <w:style w:type="table" w:styleId="1181" w:customStyle="1">
    <w:name w:val="List Table 3 - Accent 4"/>
    <w:uiPriority w:val="99"/>
    <w:qFormat/>
    <w:tblPr>
      <w:tblCellMar>
        <w:left w:w="0" w:type="dxa"/>
        <w:top w:w="0" w:type="dxa"/>
        <w:right w:w="0" w:type="dxa"/>
        <w:bottom w:w="0" w:type="dxa"/>
      </w:tblCellMar>
    </w:tblPr>
  </w:style>
  <w:style w:type="table" w:styleId="1182" w:customStyle="1">
    <w:name w:val="Lined - Accent 5"/>
    <w:uiPriority w:val="99"/>
    <w:qFormat/>
    <w:rPr>
      <w:color w:val="404040"/>
    </w:rPr>
    <w:tblPr>
      <w:tblCellMar>
        <w:left w:w="0" w:type="dxa"/>
        <w:top w:w="0" w:type="dxa"/>
        <w:right w:w="0" w:type="dxa"/>
        <w:bottom w:w="0" w:type="dxa"/>
      </w:tblCellMar>
    </w:tblPr>
  </w:style>
  <w:style w:type="table" w:styleId="1183" w:customStyle="1">
    <w:name w:val="List Table 4 - Accent 6"/>
    <w:uiPriority w:val="99"/>
    <w:qFormat/>
    <w:tblPr>
      <w:tblCellMar>
        <w:left w:w="0" w:type="dxa"/>
        <w:top w:w="0" w:type="dxa"/>
        <w:right w:w="0" w:type="dxa"/>
        <w:bottom w:w="0" w:type="dxa"/>
      </w:tblCellMar>
    </w:tblPr>
  </w:style>
  <w:style w:type="table" w:styleId="1184" w:customStyle="1">
    <w:name w:val="Grid Table 1 Light - Accent 5"/>
    <w:uiPriority w:val="99"/>
    <w:qFormat/>
    <w:tblPr>
      <w:tblCellMar>
        <w:left w:w="0" w:type="dxa"/>
        <w:top w:w="0" w:type="dxa"/>
        <w:right w:w="0" w:type="dxa"/>
        <w:bottom w:w="0" w:type="dxa"/>
      </w:tblCellMar>
    </w:tblPr>
  </w:style>
  <w:style w:type="table" w:styleId="1185" w:customStyle="1">
    <w:name w:val="List Table 5 Dark - Accent 1"/>
    <w:uiPriority w:val="99"/>
    <w:qFormat/>
    <w:tblPr>
      <w:tblCellMar>
        <w:left w:w="0" w:type="dxa"/>
        <w:top w:w="0" w:type="dxa"/>
        <w:right w:w="0" w:type="dxa"/>
        <w:bottom w:w="0" w:type="dxa"/>
      </w:tblCellMar>
    </w:tblPr>
  </w:style>
  <w:style w:type="table" w:styleId="1186" w:customStyle="1">
    <w:name w:val="List Table 6 Colorful - Accent 6"/>
    <w:uiPriority w:val="99"/>
    <w:qFormat/>
    <w:tblPr>
      <w:tblCellMar>
        <w:left w:w="0" w:type="dxa"/>
        <w:top w:w="0" w:type="dxa"/>
        <w:right w:w="0" w:type="dxa"/>
        <w:bottom w:w="0" w:type="dxa"/>
      </w:tblCellMar>
    </w:tblPr>
  </w:style>
  <w:style w:type="table" w:styleId="1187" w:customStyle="1">
    <w:name w:val="Grid Table 5 Dark - Accent 2"/>
    <w:uiPriority w:val="99"/>
    <w:qFormat/>
    <w:tblPr>
      <w:tblCellMar>
        <w:left w:w="0" w:type="dxa"/>
        <w:top w:w="0" w:type="dxa"/>
        <w:right w:w="0" w:type="dxa"/>
        <w:bottom w:w="0" w:type="dxa"/>
      </w:tblCellMar>
    </w:tblPr>
  </w:style>
  <w:style w:type="table" w:styleId="1188" w:customStyle="1">
    <w:name w:val="Bordered - Accent 3"/>
    <w:uiPriority w:val="99"/>
    <w:qFormat/>
    <w:tblPr>
      <w:tblCellMar>
        <w:left w:w="0" w:type="dxa"/>
        <w:top w:w="0" w:type="dxa"/>
        <w:right w:w="0" w:type="dxa"/>
        <w:bottom w:w="0" w:type="dxa"/>
      </w:tblCellMar>
    </w:tblPr>
  </w:style>
  <w:style w:type="table" w:styleId="1189" w:customStyle="1">
    <w:name w:val="Grid Table 3 - Accent 4"/>
    <w:uiPriority w:val="99"/>
    <w:qFormat/>
    <w:tblPr>
      <w:tblCellMar>
        <w:left w:w="0" w:type="dxa"/>
        <w:top w:w="0" w:type="dxa"/>
        <w:right w:w="0" w:type="dxa"/>
        <w:bottom w:w="0" w:type="dxa"/>
      </w:tblCellMar>
    </w:tblPr>
  </w:style>
  <w:style w:type="table" w:styleId="1190" w:customStyle="1">
    <w:name w:val="Grid Table 5 Dark- Accent 4"/>
    <w:uiPriority w:val="99"/>
    <w:qFormat/>
    <w:tblPr>
      <w:tblCellMar>
        <w:left w:w="0" w:type="dxa"/>
        <w:top w:w="0" w:type="dxa"/>
        <w:right w:w="0" w:type="dxa"/>
        <w:bottom w:w="0" w:type="dxa"/>
      </w:tblCellMar>
    </w:tblPr>
  </w:style>
  <w:style w:type="table" w:styleId="1191" w:customStyle="1">
    <w:name w:val="Grid Table 3 - Accent 3"/>
    <w:uiPriority w:val="99"/>
    <w:qFormat/>
    <w:tblPr>
      <w:tblCellMar>
        <w:left w:w="0" w:type="dxa"/>
        <w:top w:w="0" w:type="dxa"/>
        <w:right w:w="0" w:type="dxa"/>
        <w:bottom w:w="0" w:type="dxa"/>
      </w:tblCellMar>
    </w:tblPr>
  </w:style>
  <w:style w:type="table" w:styleId="1192" w:customStyle="1">
    <w:name w:val="Grid Table 6 Colorful - Accent 3"/>
    <w:uiPriority w:val="99"/>
    <w:qFormat/>
    <w:tblPr>
      <w:tblCellMar>
        <w:left w:w="0" w:type="dxa"/>
        <w:top w:w="0" w:type="dxa"/>
        <w:right w:w="0" w:type="dxa"/>
        <w:bottom w:w="0" w:type="dxa"/>
      </w:tblCellMar>
    </w:tblPr>
  </w:style>
  <w:style w:type="table" w:styleId="1193" w:customStyle="1">
    <w:name w:val="List Table 6 Colorful - Accent 3"/>
    <w:uiPriority w:val="99"/>
    <w:qFormat/>
    <w:tblPr>
      <w:tblCellMar>
        <w:left w:w="0" w:type="dxa"/>
        <w:top w:w="0" w:type="dxa"/>
        <w:right w:w="0" w:type="dxa"/>
        <w:bottom w:w="0" w:type="dxa"/>
      </w:tblCellMar>
    </w:tblPr>
  </w:style>
  <w:style w:type="table" w:styleId="1194" w:customStyle="1">
    <w:name w:val="List Table 3 - Accent 3"/>
    <w:uiPriority w:val="99"/>
    <w:qFormat/>
    <w:tblPr>
      <w:tblCellMar>
        <w:left w:w="0" w:type="dxa"/>
        <w:top w:w="0" w:type="dxa"/>
        <w:right w:w="0" w:type="dxa"/>
        <w:bottom w:w="0" w:type="dxa"/>
      </w:tblCellMar>
    </w:tblPr>
  </w:style>
  <w:style w:type="table" w:styleId="1195" w:customStyle="1">
    <w:name w:val="Bordered &amp; Lined - Accent 5"/>
    <w:uiPriority w:val="99"/>
    <w:qFormat/>
    <w:rPr>
      <w:color w:val="404040"/>
    </w:rPr>
    <w:tblPr>
      <w:tblCellMar>
        <w:left w:w="0" w:type="dxa"/>
        <w:top w:w="0" w:type="dxa"/>
        <w:right w:w="0" w:type="dxa"/>
        <w:bottom w:w="0" w:type="dxa"/>
      </w:tblCellMar>
    </w:tblPr>
  </w:style>
  <w:style w:type="table" w:styleId="1196" w:customStyle="1">
    <w:name w:val="Grid Table 1 Light - Accent 1"/>
    <w:uiPriority w:val="99"/>
    <w:qFormat/>
    <w:tblPr>
      <w:tblCellMar>
        <w:left w:w="0" w:type="dxa"/>
        <w:top w:w="0" w:type="dxa"/>
        <w:right w:w="0" w:type="dxa"/>
        <w:bottom w:w="0" w:type="dxa"/>
      </w:tblCellMar>
    </w:tblPr>
  </w:style>
  <w:style w:type="table" w:styleId="1197" w:customStyle="1">
    <w:name w:val="Grid Table 6 Colorful - Accent 4"/>
    <w:uiPriority w:val="99"/>
    <w:qFormat/>
    <w:tblPr>
      <w:tblCellMar>
        <w:left w:w="0" w:type="dxa"/>
        <w:top w:w="0" w:type="dxa"/>
        <w:right w:w="0" w:type="dxa"/>
        <w:bottom w:w="0" w:type="dxa"/>
      </w:tblCellMar>
    </w:tblPr>
  </w:style>
  <w:style w:type="table" w:styleId="1198" w:customStyle="1">
    <w:name w:val="Grid Table 5 Dark - Accent 6"/>
    <w:uiPriority w:val="99"/>
    <w:qFormat/>
    <w:tblPr>
      <w:tblCellMar>
        <w:left w:w="0" w:type="dxa"/>
        <w:top w:w="0" w:type="dxa"/>
        <w:right w:w="0" w:type="dxa"/>
        <w:bottom w:w="0" w:type="dxa"/>
      </w:tblCellMar>
    </w:tblPr>
  </w:style>
  <w:style w:type="table" w:styleId="1199" w:customStyle="1">
    <w:name w:val="Grid Table 2 - Accent 2"/>
    <w:uiPriority w:val="99"/>
    <w:qFormat/>
    <w:tblPr>
      <w:tblCellMar>
        <w:left w:w="0" w:type="dxa"/>
        <w:top w:w="0" w:type="dxa"/>
        <w:right w:w="0" w:type="dxa"/>
        <w:bottom w:w="0" w:type="dxa"/>
      </w:tblCellMar>
    </w:tblPr>
  </w:style>
  <w:style w:type="table" w:styleId="1200" w:customStyle="1">
    <w:name w:val="List Table 1 Light - Accent 4"/>
    <w:uiPriority w:val="99"/>
    <w:qFormat/>
    <w:tblPr>
      <w:tblCellMar>
        <w:left w:w="0" w:type="dxa"/>
        <w:top w:w="0" w:type="dxa"/>
        <w:right w:w="0" w:type="dxa"/>
        <w:bottom w:w="0" w:type="dxa"/>
      </w:tblCellMar>
    </w:tblPr>
  </w:style>
  <w:style w:type="table" w:styleId="1201" w:customStyle="1">
    <w:name w:val="Grid Table 7 Colorful - Accent 5"/>
    <w:uiPriority w:val="99"/>
    <w:qFormat/>
    <w:tblPr>
      <w:tblCellMar>
        <w:left w:w="0" w:type="dxa"/>
        <w:top w:w="0" w:type="dxa"/>
        <w:right w:w="0" w:type="dxa"/>
        <w:bottom w:w="0" w:type="dxa"/>
      </w:tblCellMar>
    </w:tblPr>
  </w:style>
  <w:style w:type="table" w:styleId="1202" w:customStyle="1">
    <w:name w:val="List Table 1 Light - Accent 5"/>
    <w:uiPriority w:val="99"/>
    <w:qFormat/>
    <w:tblPr>
      <w:tblCellMar>
        <w:left w:w="0" w:type="dxa"/>
        <w:top w:w="0" w:type="dxa"/>
        <w:right w:w="0" w:type="dxa"/>
        <w:bottom w:w="0" w:type="dxa"/>
      </w:tblCellMar>
    </w:tblPr>
  </w:style>
  <w:style w:type="table" w:styleId="1203" w:customStyle="1">
    <w:name w:val="List Table 5 Dark - Accent 3"/>
    <w:uiPriority w:val="99"/>
    <w:qFormat/>
    <w:tblPr>
      <w:tblCellMar>
        <w:left w:w="0" w:type="dxa"/>
        <w:top w:w="0" w:type="dxa"/>
        <w:right w:w="0" w:type="dxa"/>
        <w:bottom w:w="0" w:type="dxa"/>
      </w:tblCellMar>
    </w:tblPr>
  </w:style>
  <w:style w:type="table" w:styleId="1204" w:customStyle="1">
    <w:name w:val="Bordered - Accent 6"/>
    <w:uiPriority w:val="99"/>
    <w:qFormat/>
    <w:tblPr>
      <w:tblCellMar>
        <w:left w:w="0" w:type="dxa"/>
        <w:top w:w="0" w:type="dxa"/>
        <w:right w:w="0" w:type="dxa"/>
        <w:bottom w:w="0" w:type="dxa"/>
      </w:tblCellMar>
    </w:tblPr>
  </w:style>
  <w:style w:type="table" w:styleId="1205" w:customStyle="1">
    <w:name w:val="List Table 7 Colorful - Accent 2"/>
    <w:uiPriority w:val="99"/>
    <w:qFormat/>
    <w:tblPr>
      <w:tblCellMar>
        <w:left w:w="0" w:type="dxa"/>
        <w:top w:w="0" w:type="dxa"/>
        <w:right w:w="0" w:type="dxa"/>
        <w:bottom w:w="0" w:type="dxa"/>
      </w:tblCellMar>
    </w:tblPr>
  </w:style>
  <w:style w:type="table" w:styleId="1206" w:customStyle="1">
    <w:name w:val="Grid Table 4 - Accent 5"/>
    <w:uiPriority w:val="59"/>
    <w:qFormat/>
    <w:tblPr>
      <w:tblCellMar>
        <w:left w:w="0" w:type="dxa"/>
        <w:top w:w="0" w:type="dxa"/>
        <w:right w:w="0" w:type="dxa"/>
        <w:bottom w:w="0" w:type="dxa"/>
      </w:tblCellMar>
    </w:tblPr>
  </w:style>
  <w:style w:type="table" w:styleId="1207" w:customStyle="1">
    <w:name w:val="Grid Table 5 Dark - Accent 3"/>
    <w:uiPriority w:val="99"/>
    <w:qFormat/>
    <w:tblPr>
      <w:tblCellMar>
        <w:left w:w="0" w:type="dxa"/>
        <w:top w:w="0" w:type="dxa"/>
        <w:right w:w="0" w:type="dxa"/>
        <w:bottom w:w="0" w:type="dxa"/>
      </w:tblCellMar>
    </w:tblPr>
  </w:style>
  <w:style w:type="table" w:styleId="1208" w:customStyle="1">
    <w:name w:val="Bordered &amp; Lined - Accent 3"/>
    <w:uiPriority w:val="99"/>
    <w:qFormat/>
    <w:rPr>
      <w:color w:val="404040"/>
    </w:rPr>
    <w:tblPr>
      <w:tblCellMar>
        <w:left w:w="0" w:type="dxa"/>
        <w:top w:w="0" w:type="dxa"/>
        <w:right w:w="0" w:type="dxa"/>
        <w:bottom w:w="0" w:type="dxa"/>
      </w:tblCellMar>
    </w:tblPr>
  </w:style>
  <w:style w:type="table" w:styleId="1209" w:customStyle="1">
    <w:name w:val="Bordered &amp; Lined - Accent 2"/>
    <w:uiPriority w:val="99"/>
    <w:qFormat/>
    <w:rPr>
      <w:color w:val="404040"/>
    </w:rPr>
    <w:tblPr>
      <w:tblCellMar>
        <w:left w:w="0" w:type="dxa"/>
        <w:top w:w="0" w:type="dxa"/>
        <w:right w:w="0" w:type="dxa"/>
        <w:bottom w:w="0" w:type="dxa"/>
      </w:tblCellMar>
    </w:tblPr>
  </w:style>
  <w:style w:type="table" w:styleId="1210" w:customStyle="1">
    <w:name w:val="Lined - Accent 2"/>
    <w:uiPriority w:val="99"/>
    <w:qFormat/>
    <w:rPr>
      <w:color w:val="404040"/>
    </w:rPr>
    <w:tblPr>
      <w:tblCellMar>
        <w:left w:w="0" w:type="dxa"/>
        <w:top w:w="0" w:type="dxa"/>
        <w:right w:w="0" w:type="dxa"/>
        <w:bottom w:w="0" w:type="dxa"/>
      </w:tblCellMar>
    </w:tblPr>
  </w:style>
  <w:style w:type="table" w:styleId="1211" w:customStyle="1">
    <w:name w:val="Bordered &amp; Lined - Accent 4"/>
    <w:uiPriority w:val="99"/>
    <w:qFormat/>
    <w:rPr>
      <w:color w:val="404040"/>
    </w:rPr>
    <w:tblPr>
      <w:tblCellMar>
        <w:left w:w="0" w:type="dxa"/>
        <w:top w:w="0" w:type="dxa"/>
        <w:right w:w="0" w:type="dxa"/>
        <w:bottom w:w="0" w:type="dxa"/>
      </w:tblCellMar>
    </w:tblPr>
  </w:style>
  <w:style w:type="table" w:styleId="1212" w:customStyle="1">
    <w:name w:val="List Table 3 - Accent 5"/>
    <w:uiPriority w:val="99"/>
    <w:qFormat/>
    <w:tblPr>
      <w:tblCellMar>
        <w:left w:w="0" w:type="dxa"/>
        <w:top w:w="0" w:type="dxa"/>
        <w:right w:w="0" w:type="dxa"/>
        <w:bottom w:w="0" w:type="dxa"/>
      </w:tblCellMar>
    </w:tblPr>
  </w:style>
  <w:style w:type="table" w:styleId="1213" w:customStyle="1">
    <w:name w:val="Grid Table 6 Colorful - Accent 6"/>
    <w:uiPriority w:val="99"/>
    <w:qFormat/>
    <w:tblPr>
      <w:tblCellMar>
        <w:left w:w="0" w:type="dxa"/>
        <w:top w:w="0" w:type="dxa"/>
        <w:right w:w="0" w:type="dxa"/>
        <w:bottom w:w="0" w:type="dxa"/>
      </w:tblCellMar>
    </w:tblPr>
  </w:style>
  <w:style w:type="table" w:styleId="1214" w:customStyle="1">
    <w:name w:val="List Table 3 - Accent 6"/>
    <w:uiPriority w:val="99"/>
    <w:qFormat/>
    <w:tblPr>
      <w:tblCellMar>
        <w:left w:w="0" w:type="dxa"/>
        <w:top w:w="0" w:type="dxa"/>
        <w:right w:w="0" w:type="dxa"/>
        <w:bottom w:w="0" w:type="dxa"/>
      </w:tblCellMar>
    </w:tblPr>
  </w:style>
  <w:style w:type="table" w:styleId="1215" w:customStyle="1">
    <w:name w:val="Grid Table 7 Colorful - Accent 3"/>
    <w:uiPriority w:val="99"/>
    <w:qFormat/>
    <w:tblPr>
      <w:tblCellMar>
        <w:left w:w="0" w:type="dxa"/>
        <w:top w:w="0" w:type="dxa"/>
        <w:right w:w="0" w:type="dxa"/>
        <w:bottom w:w="0" w:type="dxa"/>
      </w:tblCellMar>
    </w:tblPr>
  </w:style>
  <w:style w:type="table" w:styleId="1216" w:customStyle="1">
    <w:name w:val="Bordered"/>
    <w:uiPriority w:val="99"/>
    <w:qFormat/>
    <w:tblPr>
      <w:tblCellMar>
        <w:left w:w="0" w:type="dxa"/>
        <w:top w:w="0" w:type="dxa"/>
        <w:right w:w="0" w:type="dxa"/>
        <w:bottom w:w="0" w:type="dxa"/>
      </w:tblCellMar>
    </w:tblPr>
  </w:style>
  <w:style w:type="table" w:styleId="1217" w:customStyle="1">
    <w:name w:val="Bordered - Accent 2"/>
    <w:uiPriority w:val="99"/>
    <w:qFormat/>
    <w:tblPr>
      <w:tblCellMar>
        <w:left w:w="0" w:type="dxa"/>
        <w:top w:w="0" w:type="dxa"/>
        <w:right w:w="0" w:type="dxa"/>
        <w:bottom w:w="0" w:type="dxa"/>
      </w:tblCellMar>
    </w:tblPr>
  </w:style>
  <w:style w:type="table" w:styleId="1218" w:customStyle="1">
    <w:name w:val="Grid Table 1 Light - Accent 2"/>
    <w:uiPriority w:val="99"/>
    <w:qFormat/>
    <w:tblPr>
      <w:tblCellMar>
        <w:left w:w="0" w:type="dxa"/>
        <w:top w:w="0" w:type="dxa"/>
        <w:right w:w="0" w:type="dxa"/>
        <w:bottom w:w="0" w:type="dxa"/>
      </w:tblCellMar>
    </w:tblPr>
  </w:style>
  <w:style w:type="table" w:styleId="1219" w:customStyle="1">
    <w:name w:val="Grid Table 5 Dark- Accent 1"/>
    <w:uiPriority w:val="99"/>
    <w:qFormat/>
    <w:tblPr>
      <w:tblCellMar>
        <w:left w:w="0" w:type="dxa"/>
        <w:top w:w="0" w:type="dxa"/>
        <w:right w:w="0" w:type="dxa"/>
        <w:bottom w:w="0" w:type="dxa"/>
      </w:tblCellMar>
    </w:tblPr>
  </w:style>
  <w:style w:type="table" w:styleId="1220" w:customStyle="1">
    <w:name w:val="Grid Table 1 Light - Accent 4"/>
    <w:uiPriority w:val="99"/>
    <w:qFormat/>
    <w:tblPr>
      <w:tblCellMar>
        <w:left w:w="0" w:type="dxa"/>
        <w:top w:w="0" w:type="dxa"/>
        <w:right w:w="0" w:type="dxa"/>
        <w:bottom w:w="0" w:type="dxa"/>
      </w:tblCellMar>
    </w:tblPr>
  </w:style>
  <w:style w:type="table" w:styleId="1221" w:customStyle="1">
    <w:name w:val="List Table 4 - Accent 4"/>
    <w:uiPriority w:val="99"/>
    <w:qFormat/>
    <w:tblPr>
      <w:tblCellMar>
        <w:left w:w="0" w:type="dxa"/>
        <w:top w:w="0" w:type="dxa"/>
        <w:right w:w="0" w:type="dxa"/>
        <w:bottom w:w="0" w:type="dxa"/>
      </w:tblCellMar>
    </w:tblPr>
  </w:style>
  <w:style w:type="table" w:styleId="1222" w:customStyle="1">
    <w:name w:val="Bordered - Accent 5"/>
    <w:uiPriority w:val="99"/>
    <w:qFormat/>
    <w:tblPr>
      <w:tblCellMar>
        <w:left w:w="0" w:type="dxa"/>
        <w:top w:w="0" w:type="dxa"/>
        <w:right w:w="0" w:type="dxa"/>
        <w:bottom w:w="0" w:type="dxa"/>
      </w:tblCellMar>
    </w:tblPr>
  </w:style>
  <w:style w:type="table" w:styleId="1223" w:customStyle="1">
    <w:name w:val="List Table 6 Colorful - Accent 5"/>
    <w:uiPriority w:val="99"/>
    <w:qFormat/>
    <w:tblPr>
      <w:tblCellMar>
        <w:left w:w="0" w:type="dxa"/>
        <w:top w:w="0" w:type="dxa"/>
        <w:right w:w="0" w:type="dxa"/>
        <w:bottom w:w="0" w:type="dxa"/>
      </w:tblCellMar>
    </w:tblPr>
  </w:style>
  <w:style w:type="table" w:styleId="1224" w:customStyle="1">
    <w:name w:val="Bordered &amp; Lined - Accent"/>
    <w:uiPriority w:val="99"/>
    <w:qFormat/>
    <w:rPr>
      <w:color w:val="404040"/>
    </w:rPr>
    <w:tblPr>
      <w:tblCellMar>
        <w:left w:w="0" w:type="dxa"/>
        <w:top w:w="0" w:type="dxa"/>
        <w:right w:w="0" w:type="dxa"/>
        <w:bottom w:w="0" w:type="dxa"/>
      </w:tblCellMar>
    </w:tblPr>
  </w:style>
  <w:style w:type="table" w:styleId="1225" w:customStyle="1">
    <w:name w:val="List Table 6 Colorful - Accent 1"/>
    <w:uiPriority w:val="99"/>
    <w:qFormat/>
    <w:tblPr>
      <w:tblCellMar>
        <w:left w:w="0" w:type="dxa"/>
        <w:top w:w="0" w:type="dxa"/>
        <w:right w:w="0" w:type="dxa"/>
        <w:bottom w:w="0" w:type="dxa"/>
      </w:tblCellMar>
    </w:tblPr>
  </w:style>
  <w:style w:type="table" w:styleId="1226" w:customStyle="1">
    <w:name w:val="List Table 4 - Accent 3"/>
    <w:uiPriority w:val="99"/>
    <w:qFormat/>
    <w:tblPr>
      <w:tblCellMar>
        <w:left w:w="0" w:type="dxa"/>
        <w:top w:w="0" w:type="dxa"/>
        <w:right w:w="0" w:type="dxa"/>
        <w:bottom w:w="0" w:type="dxa"/>
      </w:tblCellMar>
    </w:tblPr>
  </w:style>
  <w:style w:type="table" w:styleId="1227" w:customStyle="1">
    <w:name w:val="List Table 7 Colorful - Accent 3"/>
    <w:uiPriority w:val="99"/>
    <w:qFormat/>
    <w:tblPr>
      <w:tblCellMar>
        <w:left w:w="0" w:type="dxa"/>
        <w:top w:w="0" w:type="dxa"/>
        <w:right w:w="0" w:type="dxa"/>
        <w:bottom w:w="0" w:type="dxa"/>
      </w:tblCellMar>
    </w:tblPr>
  </w:style>
  <w:style w:type="table" w:styleId="1228" w:customStyle="1">
    <w:name w:val="Grid Table 4 - Accent 2"/>
    <w:uiPriority w:val="59"/>
    <w:qFormat/>
    <w:tblPr>
      <w:tblCellMar>
        <w:left w:w="0" w:type="dxa"/>
        <w:top w:w="0" w:type="dxa"/>
        <w:right w:w="0" w:type="dxa"/>
        <w:bottom w:w="0" w:type="dxa"/>
      </w:tblCellMar>
    </w:tblPr>
  </w:style>
  <w:style w:type="table" w:styleId="1229" w:customStyle="1">
    <w:name w:val="Grid Table 2 - Accent 4"/>
    <w:uiPriority w:val="99"/>
    <w:qFormat/>
    <w:tblPr>
      <w:tblCellMar>
        <w:left w:w="0" w:type="dxa"/>
        <w:top w:w="0" w:type="dxa"/>
        <w:right w:w="0" w:type="dxa"/>
        <w:bottom w:w="0" w:type="dxa"/>
      </w:tblCellMar>
    </w:tblPr>
  </w:style>
  <w:style w:type="table" w:styleId="1230" w:customStyle="1">
    <w:name w:val="Grid Table 7 Colorful - Accent 1"/>
    <w:uiPriority w:val="99"/>
    <w:qFormat/>
    <w:tblPr>
      <w:tblCellMar>
        <w:left w:w="0" w:type="dxa"/>
        <w:top w:w="0" w:type="dxa"/>
        <w:right w:w="0" w:type="dxa"/>
        <w:bottom w:w="0" w:type="dxa"/>
      </w:tblCellMar>
    </w:tblPr>
  </w:style>
  <w:style w:type="table" w:styleId="1231" w:customStyle="1">
    <w:name w:val="List Table 5 Dark - Accent 4"/>
    <w:uiPriority w:val="99"/>
    <w:qFormat/>
    <w:tblPr>
      <w:tblCellMar>
        <w:left w:w="0" w:type="dxa"/>
        <w:top w:w="0" w:type="dxa"/>
        <w:right w:w="0" w:type="dxa"/>
        <w:bottom w:w="0" w:type="dxa"/>
      </w:tblCellMar>
    </w:tblPr>
  </w:style>
  <w:style w:type="table" w:styleId="1232" w:customStyle="1">
    <w:name w:val="List Table 2 - Accent 4"/>
    <w:uiPriority w:val="99"/>
    <w:qFormat/>
    <w:tblPr>
      <w:tblCellMar>
        <w:left w:w="0" w:type="dxa"/>
        <w:top w:w="0" w:type="dxa"/>
        <w:right w:w="0" w:type="dxa"/>
        <w:bottom w:w="0" w:type="dxa"/>
      </w:tblCellMar>
    </w:tblPr>
  </w:style>
  <w:style w:type="table" w:styleId="1233" w:customStyle="1">
    <w:name w:val="List Table 7 Colorful - Accent 5"/>
    <w:uiPriority w:val="99"/>
    <w:qFormat/>
    <w:tblPr>
      <w:tblCellMar>
        <w:left w:w="0" w:type="dxa"/>
        <w:top w:w="0" w:type="dxa"/>
        <w:right w:w="0" w:type="dxa"/>
        <w:bottom w:w="0" w:type="dxa"/>
      </w:tblCellMar>
    </w:tblPr>
  </w:style>
  <w:style w:type="table" w:styleId="1234" w:customStyle="1">
    <w:name w:val="Grid Table 4 - Accent 3"/>
    <w:uiPriority w:val="59"/>
    <w:qFormat/>
    <w:tblPr>
      <w:tblCellMar>
        <w:left w:w="0" w:type="dxa"/>
        <w:top w:w="0" w:type="dxa"/>
        <w:right w:w="0" w:type="dxa"/>
        <w:bottom w:w="0" w:type="dxa"/>
      </w:tblCellMar>
    </w:tblPr>
  </w:style>
  <w:style w:type="table" w:styleId="1235" w:customStyle="1">
    <w:name w:val="Bordered &amp; Lined - Accent 6"/>
    <w:uiPriority w:val="99"/>
    <w:qFormat/>
    <w:rPr>
      <w:color w:val="404040"/>
    </w:rPr>
    <w:tblPr>
      <w:tblCellMar>
        <w:left w:w="0" w:type="dxa"/>
        <w:top w:w="0" w:type="dxa"/>
        <w:right w:w="0" w:type="dxa"/>
        <w:bottom w:w="0" w:type="dxa"/>
      </w:tblCellMar>
    </w:tblPr>
  </w:style>
  <w:style w:type="table" w:styleId="1236" w:customStyle="1">
    <w:name w:val="Grid Table 7 Colorful - Accent 6"/>
    <w:uiPriority w:val="99"/>
    <w:qFormat/>
    <w:tblPr>
      <w:tblCellMar>
        <w:left w:w="0" w:type="dxa"/>
        <w:top w:w="0" w:type="dxa"/>
        <w:right w:w="0" w:type="dxa"/>
        <w:bottom w:w="0" w:type="dxa"/>
      </w:tblCellMar>
    </w:tblPr>
  </w:style>
  <w:style w:type="character" w:styleId="1237" w:customStyle="1">
    <w:name w:val="NormalCharacter"/>
    <w:uiPriority w:val="0"/>
    <w:semiHidden/>
    <w:qFormat/>
  </w:style>
  <w:style w:type="paragraph" w:styleId="1238"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239" w:customStyle="1">
    <w:name w:val="Table Normal"/>
    <w:uiPriority w:val="0"/>
    <w:semiHidden/>
    <w:unhideWhenUsed/>
    <w:qFormat/>
    <w:tblPr>
      <w:tblCellMar>
        <w:left w:w="0" w:type="dxa"/>
        <w:top w:w="0" w:type="dxa"/>
        <w:right w:w="0" w:type="dxa"/>
        <w:bottom w:w="0" w:type="dxa"/>
      </w:tblCellMar>
    </w:tblPr>
  </w:style>
  <w:style w:type="paragraph" w:styleId="1240" w:customStyle="1">
    <w:name w:val="正文13"/>
    <w:next w:val="1241"/>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索引 41"/>
    <w:next w:val="1240"/>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124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24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孙逊</cp:lastModifiedBy>
  <cp:revision>18</cp:revision>
  <dcterms:created xsi:type="dcterms:W3CDTF">2018-06-10T05:29:00Z</dcterms:created>
  <dcterms:modified xsi:type="dcterms:W3CDTF">2026-06-12T01:48:13Z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5567B3C84E334C839A617EAA1B6FF098_13</vt:lpwstr>
  </property>
  <property fmtid="{D5CDD505-2E9C-101B-9397-08002B2CF9AE}" pid="4" name="KSOTemplateDocerSaveRecord">
    <vt:lpwstr>eyJoZGlkIjoiOThkY2YxMTQ2MGExNzQyNzM1NDMwOGRhODRmMTU2ZTUiLCJ1c2VySWQiOiIzMDM4NTU2ODgifQ==</vt:lpwstr>
  </property>
</Properties>
</file>