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pacing w:val="76"/>
          <w:sz w:val="24"/>
        </w:rPr>
      </w:pPr>
      <w:r>
        <w:rPr>
          <w:rFonts w:hint="eastAsia" w:ascii="宋体" w:hAnsi="宋体" w:eastAsia="宋体" w:cs="宋体"/>
          <w:b/>
          <w:spacing w:val="76"/>
          <w:sz w:val="24"/>
        </w:rPr>
      </w:r>
      <w:r/>
    </w:p>
    <w:p>
      <w:pPr>
        <w:rPr>
          <w:rFonts w:hint="eastAsia" w:ascii="宋体" w:hAnsi="宋体" w:eastAsia="宋体" w:cs="宋体"/>
          <w:b/>
          <w:spacing w:val="76"/>
          <w:sz w:val="24"/>
        </w:rPr>
      </w:pPr>
      <w:r>
        <w:rPr>
          <w:rFonts w:hint="eastAsia" w:ascii="宋体" w:hAnsi="宋体" w:eastAsia="宋体" w:cs="宋体"/>
          <w:b/>
          <w:spacing w:val="76"/>
          <w:sz w:val="24"/>
        </w:rPr>
      </w:r>
      <w:r/>
    </w:p>
    <w:p>
      <w:pPr>
        <w:rPr>
          <w:rFonts w:hint="eastAsia" w:ascii="宋体" w:hAnsi="宋体" w:eastAsia="宋体" w:cs="宋体"/>
          <w:b/>
          <w:spacing w:val="76"/>
          <w:sz w:val="24"/>
        </w:rPr>
      </w:pPr>
      <w:r>
        <w:rPr>
          <w:rFonts w:hint="eastAsia" w:ascii="宋体" w:hAnsi="宋体" w:eastAsia="宋体" w:cs="宋体"/>
          <w:b/>
          <w:spacing w:val="76"/>
          <w:sz w:val="24"/>
        </w:rPr>
      </w:r>
      <w:r/>
    </w:p>
    <w:p>
      <w:pPr>
        <w:pStyle w:val="969"/>
        <w:ind w:firstLine="0"/>
        <w:rPr>
          <w:rFonts w:hint="eastAsia" w:ascii="宋体" w:hAnsi="宋体" w:eastAsia="宋体" w:cs="宋体"/>
          <w:b/>
          <w:spacing w:val="76"/>
          <w:sz w:val="24"/>
        </w:rPr>
      </w:pPr>
      <w:r>
        <w:rPr>
          <w:rFonts w:hint="eastAsia" w:ascii="宋体" w:hAnsi="宋体" w:eastAsia="宋体" w:cs="宋体"/>
          <w:b/>
          <w:spacing w:val="76"/>
          <w:sz w:val="24"/>
        </w:rPr>
      </w:r>
      <w:r/>
    </w:p>
    <w:p>
      <w:pPr>
        <w:pStyle w:val="969"/>
        <w:rPr>
          <w:rFonts w:hint="eastAsia" w:ascii="宋体" w:hAnsi="宋体" w:eastAsia="宋体" w:cs="宋体"/>
          <w:b/>
          <w:spacing w:val="76"/>
          <w:sz w:val="24"/>
        </w:rPr>
      </w:pPr>
      <w:r>
        <w:rPr>
          <w:rFonts w:hint="eastAsia" w:ascii="宋体" w:hAnsi="宋体" w:eastAsia="宋体" w:cs="宋体"/>
          <w:b/>
          <w:spacing w:val="76"/>
          <w:sz w:val="24"/>
        </w:rPr>
      </w:r>
      <w:r/>
    </w:p>
    <w:p>
      <w:pPr>
        <w:jc w:val="center"/>
        <w:rPr>
          <w:rFonts w:hint="eastAsia" w:ascii="宋体" w:hAnsi="宋体" w:eastAsia="宋体" w:cs="宋体"/>
          <w:b/>
          <w:spacing w:val="76"/>
          <w:sz w:val="156"/>
        </w:rPr>
      </w:pPr>
      <w:r>
        <w:rPr>
          <w:rFonts w:hint="eastAsia" w:ascii="宋体" w:hAnsi="宋体" w:eastAsia="宋体" w:cs="宋体"/>
          <w:b/>
          <w:spacing w:val="76"/>
          <w:sz w:val="156"/>
        </w:rPr>
        <w:t xml:space="preserve">招标文件</w:t>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pStyle w:val="969"/>
        <w:ind w:left="0" w:firstLine="0"/>
        <w:rPr>
          <w:rFonts w:hint="eastAsia" w:ascii="宋体" w:hAnsi="宋体" w:eastAsia="宋体" w:cs="宋体"/>
          <w:sz w:val="32"/>
        </w:rPr>
      </w:pPr>
      <w:r>
        <w:rPr>
          <w:rFonts w:hint="eastAsia" w:ascii="宋体" w:hAnsi="宋体" w:eastAsia="宋体" w:cs="宋体"/>
          <w:sz w:val="32"/>
        </w:rPr>
      </w:r>
      <w:r/>
    </w:p>
    <w:p>
      <w:pPr>
        <w:pStyle w:val="969"/>
        <w:ind w:left="0" w:firstLine="0"/>
        <w:rPr>
          <w:rFonts w:hint="eastAsia" w:ascii="宋体" w:hAnsi="宋体" w:eastAsia="宋体" w:cs="宋体"/>
          <w:sz w:val="32"/>
        </w:rPr>
      </w:pPr>
      <w:r>
        <w:rPr>
          <w:rFonts w:hint="eastAsia" w:ascii="宋体" w:hAnsi="宋体" w:eastAsia="宋体" w:cs="宋体"/>
          <w:sz w:val="32"/>
        </w:rPr>
      </w:r>
      <w:r/>
    </w:p>
    <w:p>
      <w:pPr>
        <w:ind w:firstLine="320"/>
        <w:spacing w:line="600" w:lineRule="exact"/>
        <w:rPr>
          <w:rFonts w:hint="eastAsia" w:ascii="宋体" w:hAnsi="宋体" w:eastAsia="宋体" w:cs="宋体"/>
          <w:color w:val="auto"/>
          <w:sz w:val="32"/>
          <w:szCs w:val="32"/>
          <w:lang w:eastAsia="zh-CN"/>
        </w:rPr>
      </w:pPr>
      <w:r>
        <w:rPr>
          <w:rFonts w:hint="eastAsia" w:ascii="宋体" w:hAnsi="宋体" w:eastAsia="宋体" w:cs="宋体"/>
          <w:color w:val="auto"/>
          <w:sz w:val="32"/>
          <w:szCs w:val="32"/>
        </w:rPr>
        <w:t xml:space="preserve">项目编号：</w:t>
      </w:r>
      <w:r>
        <w:rPr>
          <w:rFonts w:hint="eastAsia" w:ascii="宋体" w:hAnsi="宋体" w:cs="宋体"/>
          <w:color w:val="auto"/>
          <w:sz w:val="32"/>
          <w:szCs w:val="32"/>
          <w:lang w:eastAsia="zh-CN"/>
        </w:rPr>
        <w:t xml:space="preserve">JSZC-320300-HWZX-G2026-0324</w:t>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ind w:firstLine="320"/>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项目名称：</w:t>
      </w:r>
      <w:r>
        <w:rPr>
          <w:rFonts w:hint="eastAsia" w:ascii="宋体" w:hAnsi="宋体" w:cs="宋体"/>
          <w:sz w:val="32"/>
          <w:szCs w:val="32"/>
          <w:lang w:eastAsia="zh-CN"/>
        </w:rPr>
        <w:t xml:space="preserve">2026年徐州市城市社区健身设施配建项目</w:t>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ind w:firstLine="320"/>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采 购 人：</w:t>
      </w:r>
      <w:r>
        <w:rPr>
          <w:rFonts w:hint="eastAsia" w:ascii="宋体" w:hAnsi="宋体" w:eastAsia="宋体" w:cs="宋体"/>
          <w:sz w:val="32"/>
          <w:szCs w:val="32"/>
          <w:lang w:eastAsia="zh-CN"/>
        </w:rPr>
        <w:t xml:space="preserve">徐州市体育局</w:t>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pStyle w:val="973"/>
        <w:ind w:firstLine="0"/>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32"/>
          <w:szCs w:val="32"/>
        </w:rPr>
      </w:pPr>
      <w:r>
        <w:rPr>
          <w:rFonts w:hint="eastAsia" w:ascii="宋体" w:hAnsi="宋体" w:eastAsia="宋体" w:cs="宋体"/>
          <w:sz w:val="32"/>
          <w:szCs w:val="32"/>
        </w:rPr>
      </w:r>
      <w:r/>
    </w:p>
    <w:p>
      <w:pPr>
        <w:pStyle w:val="985"/>
        <w:ind w:left="0" w:firstLine="0"/>
        <w:rPr>
          <w:rFonts w:hint="eastAsia" w:ascii="宋体" w:hAnsi="宋体" w:eastAsia="宋体" w:cs="宋体"/>
          <w:sz w:val="32"/>
          <w:szCs w:val="32"/>
        </w:rPr>
      </w:pPr>
      <w:r>
        <w:rPr>
          <w:rFonts w:hint="eastAsia" w:ascii="宋体" w:hAnsi="宋体" w:eastAsia="宋体" w:cs="宋体"/>
          <w:sz w:val="32"/>
          <w:szCs w:val="32"/>
        </w:rPr>
      </w:r>
      <w:r/>
    </w:p>
    <w:p>
      <w:pPr>
        <w:pStyle w:val="985"/>
        <w:ind w:left="0" w:firstLine="0"/>
        <w:rPr>
          <w:rFonts w:hint="eastAsia" w:ascii="宋体" w:hAnsi="宋体" w:eastAsia="宋体" w:cs="宋体"/>
          <w:sz w:val="32"/>
          <w:szCs w:val="32"/>
        </w:rPr>
      </w:pPr>
      <w:r>
        <w:rPr>
          <w:rFonts w:hint="eastAsia" w:ascii="宋体" w:hAnsi="宋体" w:eastAsia="宋体" w:cs="宋体"/>
          <w:sz w:val="32"/>
          <w:szCs w:val="32"/>
        </w:rPr>
      </w:r>
      <w:r/>
    </w:p>
    <w:p>
      <w:pPr>
        <w:ind w:right="-159" w:firstLine="1440"/>
        <w:spacing w:line="300" w:lineRule="auto"/>
        <w:rPr>
          <w:rFonts w:hint="eastAsia" w:ascii="宋体" w:hAnsi="宋体" w:eastAsia="宋体" w:cs="宋体"/>
          <w:sz w:val="32"/>
          <w:szCs w:val="32"/>
        </w:rPr>
      </w:pPr>
      <w:r>
        <w:rPr>
          <w:rFonts w:hint="eastAsia" w:ascii="宋体" w:hAnsi="宋体" w:eastAsia="宋体" w:cs="宋体"/>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2052320</wp:posOffset>
                </wp:positionH>
                <wp:positionV relativeFrom="paragraph">
                  <wp:posOffset>17145</wp:posOffset>
                </wp:positionV>
                <wp:extent cx="1207770" cy="479425"/>
                <wp:effectExtent l="0" t="0" r="11430" b="15875"/>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4"/>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61.6pt;mso-position-horizontal:absolute;mso-position-vertical-relative:text;margin-top:1.3pt;mso-position-vertical:absolute;width:95.1pt;height:37.8pt;mso-wrap-distance-left:9.0pt;mso-wrap-distance-top:0.0pt;mso-wrap-distance-right:9.0pt;mso-wrap-distance-bottom:0.0pt;" stroked="f">
                <v:path textboxrect="0,0,0,0"/>
                <w10:wrap type="square"/>
                <v:imagedata r:id="rId14" o:title=""/>
              </v:shape>
            </w:pict>
          </mc:Fallback>
        </mc:AlternateContent>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t xml:space="preserve">采购代理机构：江苏海外集团国际工程咨询有限公司</w:t>
      </w:r>
      <w:r/>
    </w:p>
    <w:p>
      <w:pPr>
        <w:jc w:val="center"/>
        <w:spacing w:line="360" w:lineRule="auto"/>
        <w:rPr>
          <w:rFonts w:hint="eastAsia" w:ascii="宋体" w:hAnsi="宋体" w:eastAsia="宋体" w:cs="宋体"/>
          <w:sz w:val="32"/>
          <w:szCs w:val="32"/>
        </w:rPr>
      </w:pPr>
      <w:r>
        <w:rPr>
          <w:rFonts w:hint="eastAsia" w:ascii="宋体" w:hAnsi="宋体" w:eastAsia="宋体" w:cs="宋体"/>
          <w:bCs/>
          <w:sz w:val="32"/>
          <w:szCs w:val="32"/>
        </w:rPr>
        <w:t xml:space="preserve">二〇二</w:t>
      </w:r>
      <w:r>
        <w:rPr>
          <w:rFonts w:hint="eastAsia" w:ascii="宋体" w:hAnsi="宋体" w:eastAsia="宋体" w:cs="宋体"/>
          <w:bCs/>
          <w:sz w:val="32"/>
          <w:szCs w:val="32"/>
          <w:lang w:val="en-US" w:eastAsia="zh-CN"/>
        </w:rPr>
        <w:t xml:space="preserve">六</w:t>
      </w:r>
      <w:r>
        <w:rPr>
          <w:rFonts w:hint="eastAsia" w:ascii="宋体" w:hAnsi="宋体" w:eastAsia="宋体" w:cs="宋体"/>
          <w:bCs/>
          <w:sz w:val="32"/>
          <w:szCs w:val="32"/>
        </w:rPr>
        <w:t xml:space="preserve">年</w:t>
      </w:r>
      <w:r>
        <w:rPr>
          <w:rFonts w:hint="eastAsia" w:ascii="宋体" w:hAnsi="宋体" w:cs="宋体"/>
          <w:bCs/>
          <w:sz w:val="32"/>
          <w:szCs w:val="32"/>
          <w:lang w:val="en-US" w:eastAsia="zh-CN"/>
        </w:rPr>
        <w:t xml:space="preserve">六</w:t>
      </w:r>
      <w:r>
        <w:rPr>
          <w:rFonts w:hint="eastAsia" w:ascii="宋体" w:hAnsi="宋体" w:eastAsia="宋体" w:cs="宋体"/>
          <w:bCs/>
          <w:sz w:val="32"/>
          <w:szCs w:val="32"/>
        </w:rPr>
        <w:t xml:space="preserve">月</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目 录</w:t>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sz w:val="30"/>
          <w:szCs w:val="30"/>
        </w:rPr>
        <w:fldChar w:fldCharType="separate"/>
      </w:r>
      <w:r>
        <w:rPr>
          <w:rStyle w:val="991"/>
          <w:rFonts w:hint="eastAsia" w:ascii="宋体" w:hAnsi="宋体" w:eastAsia="宋体" w:cs="宋体"/>
          <w:color w:val="auto"/>
          <w:sz w:val="30"/>
          <w:szCs w:val="30"/>
        </w:rPr>
        <w:t xml:space="preserve">第一章</w:t>
      </w:r>
      <w:r>
        <w:rPr>
          <w:rStyle w:val="991"/>
          <w:rFonts w:hint="eastAsia" w:ascii="宋体" w:hAnsi="宋体" w:eastAsia="宋体" w:cs="宋体"/>
          <w:color w:val="auto"/>
          <w:sz w:val="30"/>
          <w:szCs w:val="30"/>
          <w:lang w:val="en-US" w:eastAsia="zh-CN"/>
        </w:rPr>
        <w:t xml:space="preserve"> </w:t>
      </w:r>
      <w:r>
        <w:rPr>
          <w:rStyle w:val="991"/>
          <w:rFonts w:hint="eastAsia" w:ascii="宋体" w:hAnsi="宋体" w:eastAsia="宋体" w:cs="宋体"/>
          <w:color w:val="auto"/>
          <w:sz w:val="30"/>
          <w:szCs w:val="30"/>
        </w:rPr>
        <w:t xml:space="preserve">投标邀请</w:t>
      </w:r>
      <w:r>
        <w:rPr>
          <w:rStyle w:val="991"/>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sz w:val="30"/>
          <w:szCs w:val="30"/>
        </w:rPr>
        <w:fldChar w:fldCharType="separate"/>
      </w:r>
      <w:r>
        <w:rPr>
          <w:rStyle w:val="991"/>
          <w:rFonts w:hint="eastAsia" w:ascii="宋体" w:hAnsi="宋体" w:eastAsia="宋体" w:cs="宋体"/>
          <w:color w:val="auto"/>
          <w:sz w:val="30"/>
          <w:szCs w:val="30"/>
        </w:rPr>
        <w:t xml:space="preserve">第二章</w:t>
      </w:r>
      <w:r>
        <w:rPr>
          <w:rStyle w:val="991"/>
          <w:rFonts w:hint="eastAsia" w:ascii="宋体" w:hAnsi="宋体" w:eastAsia="宋体" w:cs="宋体"/>
          <w:color w:val="auto"/>
          <w:sz w:val="30"/>
          <w:szCs w:val="30"/>
          <w:lang w:val="en-US" w:eastAsia="zh-CN"/>
        </w:rPr>
        <w:t xml:space="preserve"> </w:t>
      </w:r>
      <w:r>
        <w:rPr>
          <w:rStyle w:val="991"/>
          <w:rFonts w:hint="eastAsia" w:ascii="宋体" w:hAnsi="宋体" w:eastAsia="宋体" w:cs="宋体"/>
          <w:color w:val="auto"/>
          <w:sz w:val="30"/>
          <w:szCs w:val="30"/>
        </w:rPr>
        <w:t xml:space="preserve">投标人须知</w:t>
      </w:r>
      <w:r>
        <w:rPr>
          <w:rStyle w:val="991"/>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sz w:val="30"/>
          <w:szCs w:val="30"/>
        </w:rPr>
        <w:fldChar w:fldCharType="separate"/>
      </w:r>
      <w:r>
        <w:rPr>
          <w:rStyle w:val="991"/>
          <w:rFonts w:hint="eastAsia" w:ascii="宋体" w:hAnsi="宋体" w:eastAsia="宋体" w:cs="宋体"/>
          <w:color w:val="auto"/>
          <w:sz w:val="30"/>
          <w:szCs w:val="30"/>
        </w:rPr>
        <w:t xml:space="preserve">第三章</w:t>
      </w:r>
      <w:r>
        <w:rPr>
          <w:rStyle w:val="991"/>
          <w:rFonts w:hint="eastAsia" w:ascii="宋体" w:hAnsi="宋体" w:eastAsia="宋体" w:cs="宋体"/>
          <w:color w:val="auto"/>
          <w:sz w:val="30"/>
          <w:szCs w:val="30"/>
          <w:lang w:val="en-US" w:eastAsia="zh-CN"/>
        </w:rPr>
        <w:t xml:space="preserve"> </w:t>
      </w:r>
      <w:r>
        <w:rPr>
          <w:rStyle w:val="991"/>
          <w:rFonts w:hint="eastAsia" w:ascii="宋体" w:hAnsi="宋体" w:eastAsia="宋体" w:cs="宋体"/>
          <w:color w:val="auto"/>
          <w:sz w:val="30"/>
          <w:szCs w:val="30"/>
        </w:rPr>
        <w:t xml:space="preserve">投标资料表</w:t>
      </w:r>
      <w:r>
        <w:rPr>
          <w:rStyle w:val="991"/>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sz w:val="30"/>
          <w:szCs w:val="30"/>
        </w:rPr>
        <w:fldChar w:fldCharType="separate"/>
      </w:r>
      <w:r>
        <w:rPr>
          <w:rStyle w:val="991"/>
          <w:rFonts w:hint="eastAsia" w:ascii="宋体" w:hAnsi="宋体" w:eastAsia="宋体" w:cs="宋体"/>
          <w:color w:val="auto"/>
          <w:sz w:val="30"/>
          <w:szCs w:val="30"/>
        </w:rPr>
        <w:t xml:space="preserve">第四章</w:t>
      </w:r>
      <w:r>
        <w:rPr>
          <w:rStyle w:val="991"/>
          <w:rFonts w:hint="eastAsia" w:ascii="宋体" w:hAnsi="宋体" w:eastAsia="宋体" w:cs="宋体"/>
          <w:color w:val="auto"/>
          <w:sz w:val="30"/>
          <w:szCs w:val="30"/>
          <w:lang w:val="en-US" w:eastAsia="zh-CN"/>
        </w:rPr>
        <w:t xml:space="preserve"> </w:t>
      </w:r>
      <w:r>
        <w:rPr>
          <w:rStyle w:val="991"/>
          <w:rFonts w:hint="eastAsia" w:ascii="宋体" w:hAnsi="宋体" w:eastAsia="宋体" w:cs="宋体"/>
          <w:color w:val="auto"/>
          <w:sz w:val="30"/>
          <w:szCs w:val="30"/>
        </w:rPr>
        <w:t xml:space="preserve">评标标准</w:t>
      </w:r>
      <w:r>
        <w:rPr>
          <w:rStyle w:val="991"/>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sz w:val="30"/>
          <w:szCs w:val="30"/>
        </w:rPr>
        <w:fldChar w:fldCharType="separate"/>
      </w:r>
      <w:r>
        <w:rPr>
          <w:rStyle w:val="991"/>
          <w:rFonts w:hint="eastAsia" w:ascii="宋体" w:hAnsi="宋体" w:eastAsia="宋体" w:cs="宋体"/>
          <w:color w:val="auto"/>
          <w:sz w:val="30"/>
          <w:szCs w:val="30"/>
        </w:rPr>
        <w:t xml:space="preserve">第五章</w:t>
      </w:r>
      <w:r>
        <w:rPr>
          <w:rStyle w:val="991"/>
          <w:rFonts w:hint="eastAsia" w:ascii="宋体" w:hAnsi="宋体" w:eastAsia="宋体" w:cs="宋体"/>
          <w:color w:val="auto"/>
          <w:sz w:val="30"/>
          <w:szCs w:val="30"/>
          <w:lang w:val="en-US" w:eastAsia="zh-CN"/>
        </w:rPr>
        <w:t xml:space="preserve"> </w:t>
      </w:r>
      <w:r>
        <w:rPr>
          <w:rStyle w:val="991"/>
          <w:rFonts w:hint="eastAsia" w:ascii="宋体" w:hAnsi="宋体" w:eastAsia="宋体" w:cs="宋体"/>
          <w:color w:val="auto"/>
          <w:sz w:val="30"/>
          <w:szCs w:val="30"/>
        </w:rPr>
        <w:t xml:space="preserve">拟签订的合同文本</w:t>
      </w:r>
      <w:r>
        <w:rPr>
          <w:rStyle w:val="991"/>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sz w:val="30"/>
          <w:szCs w:val="30"/>
        </w:rPr>
        <w:fldChar w:fldCharType="separate"/>
      </w:r>
      <w:r>
        <w:rPr>
          <w:rStyle w:val="991"/>
          <w:rFonts w:hint="eastAsia" w:ascii="宋体" w:hAnsi="宋体" w:eastAsia="宋体" w:cs="宋体"/>
          <w:color w:val="auto"/>
          <w:sz w:val="30"/>
          <w:szCs w:val="30"/>
        </w:rPr>
        <w:t xml:space="preserve">第六章</w:t>
      </w:r>
      <w:r>
        <w:rPr>
          <w:rStyle w:val="991"/>
          <w:rFonts w:hint="eastAsia" w:ascii="宋体" w:hAnsi="宋体" w:eastAsia="宋体" w:cs="宋体"/>
          <w:color w:val="auto"/>
          <w:sz w:val="30"/>
          <w:szCs w:val="30"/>
          <w:lang w:val="en-US" w:eastAsia="zh-CN"/>
        </w:rPr>
        <w:t xml:space="preserve"> </w:t>
      </w:r>
      <w:r>
        <w:rPr>
          <w:rStyle w:val="991"/>
          <w:rFonts w:hint="eastAsia" w:ascii="宋体" w:hAnsi="宋体" w:eastAsia="宋体" w:cs="宋体"/>
          <w:color w:val="auto"/>
          <w:sz w:val="30"/>
          <w:szCs w:val="30"/>
        </w:rPr>
        <w:t xml:space="preserve">采购需求</w:t>
      </w:r>
      <w:r>
        <w:rPr>
          <w:rStyle w:val="991"/>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sz w:val="30"/>
          <w:szCs w:val="30"/>
        </w:rPr>
        <w:fldChar w:fldCharType="separate"/>
      </w:r>
      <w:r>
        <w:rPr>
          <w:rStyle w:val="991"/>
          <w:rFonts w:hint="eastAsia" w:ascii="宋体" w:hAnsi="宋体" w:eastAsia="宋体" w:cs="宋体"/>
          <w:color w:val="auto"/>
          <w:sz w:val="30"/>
          <w:szCs w:val="30"/>
        </w:rPr>
        <w:t xml:space="preserve">第七章</w:t>
      </w:r>
      <w:r>
        <w:rPr>
          <w:rStyle w:val="991"/>
          <w:rFonts w:hint="eastAsia" w:ascii="宋体" w:hAnsi="宋体" w:eastAsia="宋体" w:cs="宋体"/>
          <w:color w:val="auto"/>
          <w:sz w:val="30"/>
          <w:szCs w:val="30"/>
          <w:lang w:val="en-US" w:eastAsia="zh-CN"/>
        </w:rPr>
        <w:t xml:space="preserve"> </w:t>
      </w:r>
      <w:r>
        <w:rPr>
          <w:rStyle w:val="991"/>
          <w:rFonts w:hint="eastAsia" w:ascii="宋体" w:hAnsi="宋体" w:eastAsia="宋体" w:cs="宋体"/>
          <w:color w:val="auto"/>
          <w:sz w:val="30"/>
          <w:szCs w:val="30"/>
        </w:rPr>
        <w:t xml:space="preserve">投标文件相关格式</w:t>
      </w:r>
      <w:r>
        <w:rPr>
          <w:rStyle w:val="991"/>
          <w:rFonts w:hint="eastAsia" w:ascii="宋体" w:hAnsi="宋体" w:eastAsia="宋体" w:cs="宋体"/>
          <w:color w:val="auto"/>
          <w:sz w:val="30"/>
          <w:szCs w:val="30"/>
        </w:rPr>
        <w:fldChar w:fldCharType="end"/>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headerReference w:type="default" r:id="rId8"/>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sz w:val="44"/>
        </w:rPr>
      </w:r>
      <w:r/>
    </w:p>
    <w:p>
      <w:pPr>
        <w:jc w:val="center"/>
        <w:spacing w:line="240" w:lineRule="auto"/>
        <w:rPr>
          <w:rFonts w:hint="eastAsia" w:ascii="宋体" w:hAnsi="宋体" w:eastAsia="宋体" w:cs="宋体"/>
          <w:b/>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lang w:eastAsia="zh-CN"/>
        </w:rPr>
        <w:t xml:space="preserve">徐州市体育局</w:t>
      </w:r>
      <w:r/>
    </w:p>
    <w:p>
      <w:pPr>
        <w:jc w:val="center"/>
        <w:spacing w:line="240" w:lineRule="auto"/>
        <w:rPr>
          <w:rFonts w:hint="eastAsia" w:ascii="宋体" w:hAnsi="宋体" w:eastAsia="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rPr>
        <w:t xml:space="preserve">《</w:t>
      </w:r>
      <w:r>
        <w:rPr>
          <w:rFonts w:hint="eastAsia" w:ascii="宋体" w:hAnsi="宋体" w:cs="宋体"/>
          <w:b/>
          <w:sz w:val="36"/>
          <w:szCs w:val="36"/>
          <w:lang w:eastAsia="zh-CN"/>
        </w:rPr>
        <w:t xml:space="preserve">2026年徐州市城市社区健身设施配建项目</w:t>
      </w:r>
      <w:r>
        <w:rPr>
          <w:rFonts w:hint="eastAsia" w:ascii="宋体" w:hAnsi="宋体" w:eastAsia="宋体" w:cs="宋体"/>
          <w:b/>
          <w:sz w:val="36"/>
          <w:szCs w:val="36"/>
        </w:rPr>
        <w:t xml:space="preserve">》</w:t>
      </w:r>
      <w:r/>
    </w:p>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rPr>
        <w:t xml:space="preserve">招标文件</w:t>
      </w:r>
      <w:r/>
    </w:p>
    <w:p>
      <w:pPr>
        <w:ind w:firstLine="600"/>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600"/>
        <w:keepLines w:val="0"/>
        <w:keepNext w:val="0"/>
        <w:pageBreakBefore w:val="0"/>
        <w:spacing w:line="360" w:lineRule="auto"/>
        <w:widowControl w:val="off"/>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第二章，投标人须知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第三章，投标资料表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第四章，评标标准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第五章，拟签订的合同文本</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第六章，采购需求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szCs w:val="24"/>
        </w:rPr>
      </w:r>
      <w:r/>
    </w:p>
    <w:p>
      <w:pPr>
        <w:jc w:val="center"/>
        <w:keepLines w:val="0"/>
        <w:keepNext w:val="0"/>
        <w:pageBreakBefore w:val="0"/>
        <w:spacing w:line="360" w:lineRule="auto"/>
        <w:widowControl w:val="off"/>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第一章</w:t>
      </w:r>
      <w:r>
        <w:rPr>
          <w:rFonts w:hint="eastAsia" w:ascii="宋体" w:hAnsi="宋体" w:eastAsia="宋体" w:cs="宋体"/>
          <w:b/>
          <w:sz w:val="30"/>
          <w:szCs w:val="30"/>
          <w:lang w:val="en-US" w:eastAsia="zh-CN"/>
        </w:rPr>
        <w:t xml:space="preserve"> </w:t>
      </w:r>
      <w:r>
        <w:rPr>
          <w:rFonts w:hint="eastAsia" w:ascii="宋体" w:hAnsi="宋体" w:eastAsia="宋体" w:cs="宋体"/>
          <w:b/>
          <w:sz w:val="30"/>
          <w:szCs w:val="30"/>
        </w:rPr>
        <w:t xml:space="preserve">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rPr>
        <w:t xml:space="preserve">江苏海外集团国际工程咨询有限公司</w:t>
      </w:r>
      <w:r>
        <w:rPr>
          <w:rFonts w:hint="eastAsia" w:ascii="宋体" w:hAnsi="宋体" w:eastAsia="宋体" w:cs="宋体"/>
          <w:color w:val="auto"/>
          <w:sz w:val="24"/>
          <w:szCs w:val="24"/>
        </w:rPr>
        <w:t xml:space="preserve">对</w:t>
      </w:r>
      <w:r>
        <w:rPr>
          <w:rFonts w:hint="eastAsia" w:ascii="宋体" w:hAnsi="宋体" w:cs="宋体"/>
          <w:color w:val="auto"/>
          <w:sz w:val="24"/>
          <w:szCs w:val="24"/>
          <w:u w:val="single"/>
          <w:lang w:eastAsia="zh-CN"/>
        </w:rPr>
        <w:t xml:space="preserve">2026年徐州市城市社区健身设施配建项目</w:t>
      </w:r>
      <w:r>
        <w:rPr>
          <w:rFonts w:hint="eastAsia" w:ascii="宋体" w:hAnsi="宋体" w:eastAsia="宋体" w:cs="宋体"/>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项目</w:t>
      </w: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2026年徐州市城市社区健身设施配建项目</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JSZC-320300-HWZX-G2026-0324。</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二、对投标人的资格要求</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三、获取招标文件</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szCs w:val="24"/>
          <w:lang w:val="en-US" w:eastAsia="zh-CN"/>
        </w:rPr>
        <w:t xml:space="preserve">办事指南</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资料下载</w:t>
      </w:r>
      <w:r>
        <w:rPr>
          <w:rFonts w:hint="eastAsia" w:ascii="宋体" w:hAnsi="宋体" w:cs="宋体"/>
          <w:color w:val="000000"/>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color w:val="auto"/>
          <w:sz w:val="24"/>
          <w:szCs w:val="24"/>
          <w:highlight w:val="none"/>
          <w:lang w:eastAsia="zh-CN"/>
        </w:rPr>
        <w:t xml:space="preserve">2026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u w:val="single"/>
          <w:lang w:val="en-US" w:eastAsia="zh-CN"/>
        </w:rPr>
        <w:t xml:space="preserve">7</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u w:val="single"/>
          <w:lang w:val="en-US" w:eastAsia="zh-CN"/>
        </w:rPr>
        <w:t xml:space="preserve">15</w:t>
      </w:r>
      <w:r>
        <w:rPr>
          <w:rFonts w:hint="eastAsia" w:ascii="宋体" w:hAnsi="宋体" w:eastAsia="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eastAsia="宋体" w:cs="宋体"/>
          <w:b/>
          <w:color w:val="auto"/>
          <w:sz w:val="24"/>
          <w:szCs w:val="24"/>
          <w:highlight w:val="none"/>
          <w:lang w:eastAsia="zh-CN"/>
        </w:rPr>
        <w:t xml:space="preserve">2026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u w:val="single"/>
          <w:lang w:val="en-US" w:eastAsia="zh-CN"/>
        </w:rPr>
        <w:t xml:space="preserve">7</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u w:val="single"/>
          <w:lang w:val="en-US" w:eastAsia="zh-CN"/>
        </w:rPr>
        <w:t xml:space="preserve">15</w:t>
      </w:r>
      <w:r>
        <w:rPr>
          <w:rFonts w:hint="eastAsia" w:ascii="宋体" w:hAnsi="宋体" w:eastAsia="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五、采购人</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eastAsia="宋体" w:cs="宋体"/>
          <w:color w:val="auto"/>
          <w:sz w:val="24"/>
          <w:szCs w:val="24"/>
          <w:highlight w:val="none"/>
          <w:lang w:eastAsia="zh-CN"/>
        </w:rPr>
        <w:t xml:space="preserve">徐州市体育局</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（二）地址：徐州市泉山区湖北路</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eastAsia="宋体" w:cs="宋体"/>
          <w:color w:val="auto"/>
          <w:sz w:val="24"/>
          <w:szCs w:val="24"/>
          <w:highlight w:val="none"/>
          <w:lang w:val="en-US" w:eastAsia="zh-CN"/>
        </w:rPr>
        <w:t xml:space="preserve">武凯</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w:t>
      </w:r>
      <w:r>
        <w:rPr>
          <w:rFonts w:hint="eastAsia" w:ascii="宋体" w:hAnsi="宋体" w:eastAsia="宋体" w:cs="宋体"/>
          <w:color w:val="auto"/>
          <w:sz w:val="24"/>
          <w:szCs w:val="24"/>
          <w:highlight w:val="none"/>
          <w:lang w:val="en-US" w:eastAsia="zh-CN"/>
        </w:rPr>
        <w:t xml:space="preserve">0516-85825542</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六、采购代理机构</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（一）名称：江苏海外集团国际工程咨询有限公司</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eastAsia="宋体" w:cs="宋体"/>
          <w:color w:val="auto"/>
          <w:sz w:val="24"/>
          <w:szCs w:val="24"/>
          <w:highlight w:val="none"/>
          <w:lang w:val="en-US" w:eastAsia="zh-CN"/>
        </w:rPr>
        <w:t xml:space="preserve">孙逊、</w:t>
      </w:r>
      <w:r>
        <w:rPr>
          <w:rFonts w:hint="eastAsia" w:ascii="宋体" w:hAnsi="宋体" w:cs="宋体"/>
          <w:color w:val="auto"/>
          <w:sz w:val="24"/>
          <w:szCs w:val="24"/>
          <w:highlight w:val="none"/>
          <w:lang w:val="en-US" w:eastAsia="zh-CN"/>
        </w:rPr>
        <w:t xml:space="preserve">赵丽梅</w:t>
      </w:r>
      <w:r/>
    </w:p>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（四）联系电话：0516-83999</w:t>
      </w:r>
      <w:r>
        <w:rPr>
          <w:rFonts w:hint="eastAsia" w:ascii="宋体" w:hAnsi="宋体" w:cs="宋体"/>
          <w:color w:val="auto"/>
          <w:sz w:val="24"/>
          <w:szCs w:val="24"/>
          <w:highlight w:val="none"/>
          <w:lang w:val="en-US" w:eastAsia="zh-CN"/>
        </w:rPr>
        <w:t xml:space="preserve">206</w:t>
      </w:r>
      <w:r/>
    </w:p>
    <w:p>
      <w:pPr>
        <w:ind w:firstLine="300"/>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720"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ascii="宋体" w:hAnsi="宋体" w:eastAsia="宋体" w:cs="宋体"/>
          <w:b/>
          <w:sz w:val="30"/>
        </w:rPr>
      </w:r>
      <w:r/>
    </w:p>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第二章</w:t>
      </w:r>
      <w:r>
        <w:rPr>
          <w:rFonts w:hint="eastAsia" w:ascii="宋体" w:hAnsi="宋体" w:eastAsia="宋体" w:cs="宋体"/>
          <w:b/>
          <w:sz w:val="30"/>
          <w:szCs w:val="30"/>
          <w:lang w:val="en-US" w:eastAsia="zh-CN"/>
        </w:rPr>
        <w:t xml:space="preserve"> </w:t>
      </w:r>
      <w:r>
        <w:rPr>
          <w:rFonts w:hint="eastAsia" w:ascii="宋体" w:hAnsi="宋体" w:eastAsia="宋体" w:cs="宋体"/>
          <w:b/>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7.投标文件未按规定期限投标的；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8.投标文件未按招标文件要求签署和盖章的；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13.投标文件含有采购人不能接受的条件的；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991"/>
          <w:rFonts w:hint="eastAsia" w:ascii="宋体" w:hAnsi="宋体" w:eastAsia="宋体" w:cs="宋体"/>
          <w:color w:val="auto"/>
          <w:sz w:val="24"/>
          <w:szCs w:val="24"/>
          <w:u w:val="none"/>
        </w:rPr>
        <w:t xml:space="preserve">政府采购</w:t>
      </w:r>
      <w:r>
        <w:rPr>
          <w:rStyle w:val="991"/>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991"/>
          <w:rFonts w:hint="eastAsia" w:ascii="宋体" w:hAnsi="宋体" w:eastAsia="宋体" w:cs="宋体"/>
          <w:color w:val="auto"/>
          <w:sz w:val="24"/>
          <w:szCs w:val="24"/>
          <w:u w:val="none"/>
        </w:rPr>
        <w:t xml:space="preserve">最低评标价法</w:t>
      </w:r>
      <w:r>
        <w:rPr>
          <w:rStyle w:val="991"/>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991"/>
          <w:rFonts w:hint="eastAsia" w:ascii="宋体" w:hAnsi="宋体" w:eastAsia="宋体" w:cs="宋体"/>
          <w:color w:val="auto"/>
          <w:sz w:val="24"/>
          <w:szCs w:val="24"/>
          <w:u w:val="none"/>
        </w:rPr>
        <w:t xml:space="preserve">综合评分法</w:t>
      </w:r>
      <w:r>
        <w:rPr>
          <w:rStyle w:val="991"/>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宋体" w:hAnsi="宋体" w:eastAsia="宋体" w:cs="宋体"/>
        </w:rPr>
        <w:br w:type="page" w:clear="all"/>
      </w:r>
      <w:r/>
    </w:p>
    <w:p>
      <w:pPr>
        <w:jc w:val="center"/>
        <w:spacing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第三章 投标资料表</w:t>
      </w:r>
      <w:r/>
    </w:p>
    <w:p>
      <w:pPr>
        <w:ind w:firstLine="60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990"/>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7"/>
        <w:gridCol w:w="7482"/>
      </w:tblGrid>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本项目采购人：</w:t>
            </w:r>
            <w:r>
              <w:rPr>
                <w:rFonts w:hint="eastAsia" w:ascii="宋体" w:hAnsi="宋体" w:eastAsia="宋体" w:cs="宋体"/>
                <w:color w:val="auto"/>
                <w:sz w:val="24"/>
                <w:szCs w:val="24"/>
                <w:lang w:eastAsia="zh-CN"/>
              </w:rPr>
              <w:t xml:space="preserve">徐州市体育局</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采购人确定的采购项目属性：</w:t>
            </w:r>
            <w:r>
              <w:rPr>
                <w:rFonts w:hint="eastAsia" w:ascii="宋体" w:hAnsi="宋体" w:eastAsia="宋体" w:cs="宋体"/>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投标人的资格条件：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一、符合《中华人民共和国政府采购法》第二十二条的规定；</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二、</w:t>
            </w:r>
            <w:r>
              <w:rPr>
                <w:rFonts w:hint="eastAsia" w:ascii="宋体" w:hAnsi="宋体" w:eastAsia="宋体" w:cs="宋体"/>
                <w:b/>
                <w:color w:val="auto"/>
                <w:sz w:val="24"/>
                <w:szCs w:val="24"/>
              </w:rPr>
              <w:t xml:space="preserve">此项目属于专门面向中小微企业采购的项目，供应商所提供的货物全部由符合政策要求的中小企业制造，供应商提供的货物的制造商应全部为中小微企业、监狱企业、残疾人福利性单位。</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同时明确相关事项如下</w:t>
            </w:r>
            <w:r>
              <w:rPr>
                <w:rFonts w:hint="eastAsia" w:ascii="宋体" w:hAnsi="宋体" w:eastAsia="宋体" w:cs="宋体"/>
                <w:b/>
                <w:bCs/>
                <w:color w:val="auto"/>
                <w:sz w:val="24"/>
                <w:szCs w:val="24"/>
              </w:rPr>
              <w:t xml:space="preserve">：</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1、本项目不接受联合体参与采购活动。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3、为本采购项目提供整体设计、规范编制或者项目管理、监理、检测等服务的供应商，不得再参加本采购项目的采购活动。</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、查询及使用供应商信用记录：</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由采购人查询信用信息。</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查询渠道包括：</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1、“信用中国”网（www.creditchina.gov.cn）；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截止时点（查询环节）：开标后资格审查结束前。</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信用信息查询记录和证据留存的具体方式：网页截屏打印，与其他采购文件一并保存。</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信用信息的使用规则：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招标代理服务费由中标人支付，按照本章附件：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招标代理服务收费标准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收取</w:t>
            </w:r>
            <w:r>
              <w:rPr>
                <w:rFonts w:hint="eastAsia" w:ascii="宋体" w:hAnsi="宋体" w:eastAsia="宋体" w:cs="宋体"/>
                <w:color w:val="auto"/>
                <w:sz w:val="24"/>
                <w:szCs w:val="24"/>
                <w:highlight w:val="none"/>
              </w:rPr>
              <w:t xml:space="preserve">。</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宋体" w:hAnsi="宋体" w:eastAsia="宋体" w:cs="宋体"/>
                <w:sz w:val="24"/>
                <w:szCs w:val="24"/>
              </w:rPr>
            </w:pPr>
            <w:r>
              <w:rPr>
                <w:rFonts w:hint="eastAsia" w:ascii="宋体" w:hAnsi="宋体" w:eastAsia="宋体" w:cs="宋体"/>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(十二)1</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线上投标文件编制要求：</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请按照以下要求（包括但不限于以下要求）制作：</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一、基本目录</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1、《开标一览表》（加盖电子签章，政府采购客户端工具输入报价自动生成）；</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2、所投产品的环境标志产品认证证书原件的扫描件（如有）。</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（2）环境标志产品认证证书是否符合要求，采购人评标时查询中国政府采购网（www.ccgp.gov.cn）相关内容后确定。</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3、所投产品的节能产品认证证书原件的扫描件（如有）。</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（2）节能产品认证证书是否符合要求，采购人评标时查询中国政府采购网（www.ccgp.gov.cn）相关内容后确定。</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4、其它（包含但不限于本国产品的声明函等，如有）。</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二、资格条件（必须提供，否则投标将被拒绝）</w:t>
            </w:r>
            <w:r/>
          </w:p>
          <w:p>
            <w:pP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财务状况报告（即提供投标人的本项目开标时间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提供投标人或</w:t>
            </w:r>
            <w:r>
              <w:rPr>
                <w:rFonts w:hint="eastAsia" w:ascii="宋体" w:hAnsi="宋体" w:eastAsia="宋体" w:cs="宋体"/>
                <w:b/>
                <w:bCs/>
                <w:color w:val="auto"/>
                <w:sz w:val="24"/>
                <w:szCs w:val="24"/>
                <w:lang w:val="en-US" w:eastAsia="zh-CN"/>
              </w:rPr>
              <w:t xml:space="preserve">2025年度</w:t>
            </w:r>
            <w:r>
              <w:rPr>
                <w:rFonts w:hint="eastAsia" w:ascii="宋体" w:hAnsi="宋体" w:eastAsia="宋体" w:cs="宋体"/>
                <w:b/>
                <w:bCs/>
                <w:color w:val="auto"/>
                <w:sz w:val="24"/>
                <w:szCs w:val="24"/>
              </w:rPr>
              <w:t xml:space="preserve">经审计</w:t>
            </w:r>
            <w:r>
              <w:rPr>
                <w:rFonts w:hint="eastAsia" w:ascii="宋体" w:hAnsi="宋体" w:eastAsia="宋体" w:cs="宋体"/>
                <w:color w:val="auto"/>
                <w:sz w:val="24"/>
                <w:szCs w:val="24"/>
              </w:rPr>
              <w:t xml:space="preserve">的财务报告扫描件一份；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财政部门认可的政府采购专业担保机构出具的有效的投标担保函扫描件一份；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具备履行合同所必需的设备和专业技术能力的证明材料。</w:t>
            </w:r>
            <w:r>
              <w:rPr>
                <w:rFonts w:hint="eastAsia" w:ascii="宋体" w:hAnsi="宋体" w:eastAsia="宋体" w:cs="宋体"/>
                <w:b/>
                <w:bCs/>
                <w:color w:val="auto"/>
                <w:sz w:val="24"/>
                <w:szCs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
                <w:bCs/>
                <w:color w:val="auto"/>
                <w:sz w:val="24"/>
                <w:szCs w:val="24"/>
                <w:lang w:val="en-US" w:eastAsia="zh-CN"/>
              </w:rPr>
              <w:t xml:space="preserve">；</w:t>
            </w:r>
            <w:r/>
          </w:p>
          <w:p>
            <w:pPr>
              <w:ind w:right="28"/>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rPr>
                <w:rFonts w:hint="eastAsia" w:ascii="宋体" w:hAnsi="宋体" w:cs="宋体"/>
                <w:color w:val="auto"/>
                <w:sz w:val="24"/>
                <w:szCs w:val="24"/>
                <w:lang w:eastAsia="zh-CN"/>
              </w:rPr>
              <w:t xml:space="preserve">；</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六</w:t>
            </w:r>
            <w:r>
              <w:rPr>
                <w:rFonts w:hint="eastAsia" w:ascii="宋体" w:hAnsi="宋体" w:eastAsia="宋体" w:cs="宋体"/>
                <w:b w:val="0"/>
                <w:bCs w:val="0"/>
                <w:color w:val="auto"/>
                <w:sz w:val="24"/>
                <w:szCs w:val="24"/>
                <w:lang w:eastAsia="zh-CN"/>
              </w:rPr>
              <w:t xml:space="preserve">）投标人提供的货物全部由符合政策要求的中小企业制造的，提供《中小企业声明函》（填写完整，加盖电子签章，格式见招标文件第七章《投标文件相关格式》，</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注：</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注：具体以《财政部 司法部关于政府采购支持监狱企业发展有关问题的通知》（财库〔2014〕68号）的规定为准。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①安置的残疾人占本单位在职职工人数的比例不低于25%（含25%），并且安置的残疾人人数不少于10人（含10人）；</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②依法与安置的每位残疾人签订了一年以上（含一年）的劳动合同或服务协议；</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报价符合性审查</w:t>
            </w:r>
            <w:r>
              <w:rPr>
                <w:rFonts w:hint="eastAsia" w:ascii="宋体" w:hAnsi="宋体" w:cs="宋体"/>
                <w:b/>
                <w:bCs/>
                <w:color w:val="auto"/>
                <w:sz w:val="24"/>
                <w:lang w:eastAsia="zh-CN"/>
              </w:rPr>
              <w:t xml:space="preserve">》。</w:t>
            </w:r>
            <w:r>
              <w:rPr>
                <w:rFonts w:hint="eastAsia" w:ascii="宋体" w:hAnsi="宋体" w:cs="宋体"/>
                <w:b w:val="0"/>
                <w:bCs w:val="0"/>
                <w:color w:val="auto"/>
                <w:sz w:val="24"/>
                <w:lang w:eastAsia="zh-CN"/>
              </w:rPr>
              <w:t xml:space="preserve">属于投标（响应）报价低于采购项目最高限价45%的，即投标（响应）报价&lt;采购项目最高限价×45%，供应商可随投标（响应）文件一并提交相关书面说明及必要的证明材料。</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rPr>
              <w:t xml:space="preserve">2、</w:t>
            </w:r>
            <w:r>
              <w:rPr>
                <w:rFonts w:hint="eastAsia" w:ascii="宋体" w:hAnsi="宋体" w:cs="宋体"/>
                <w:b/>
                <w:bCs/>
                <w:color w:val="auto"/>
                <w:sz w:val="24"/>
              </w:rPr>
              <w:t xml:space="preserve">《开标一览表》。</w:t>
            </w:r>
            <w:r>
              <w:rPr>
                <w:rFonts w:hint="eastAsia" w:ascii="宋体" w:hAnsi="宋体" w:cs="宋体"/>
                <w:color w:val="auto"/>
                <w:sz w:val="24"/>
              </w:rPr>
              <w:t xml:space="preserve">政府采购客户端工具输入报价自动生成。</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lang w:val="en-US" w:eastAsia="zh-CN"/>
              </w:rPr>
              <w:t xml:space="preserve">3</w:t>
            </w:r>
            <w:r>
              <w:rPr>
                <w:rFonts w:hint="eastAsia" w:ascii="宋体" w:hAnsi="宋体" w:cs="宋体"/>
                <w:b/>
                <w:color w:val="auto"/>
                <w:sz w:val="24"/>
              </w:rPr>
              <w:t xml:space="preserve">、《分项价格表》。</w:t>
            </w:r>
            <w:r>
              <w:rPr>
                <w:rFonts w:hint="eastAsia" w:ascii="宋体" w:hAnsi="宋体" w:cs="宋体"/>
                <w:bCs/>
                <w:color w:val="auto"/>
                <w:sz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法律、法规和招标文件规定的其他投标无效情形</w:t>
            </w:r>
            <w:r>
              <w:rPr>
                <w:rFonts w:hint="eastAsia" w:ascii="宋体" w:hAnsi="宋体" w:cs="宋体"/>
                <w:b/>
                <w:bCs/>
                <w:color w:val="auto"/>
                <w:sz w:val="24"/>
                <w:szCs w:val="24"/>
                <w:lang w:val="en-US" w:eastAsia="zh-CN"/>
              </w:rPr>
              <w:t xml:space="preserve">（无内容及格式要求，投标人可自行拟定）</w:t>
            </w:r>
            <w:r>
              <w:rPr>
                <w:rFonts w:hint="eastAsia" w:ascii="宋体" w:hAnsi="宋体" w:eastAsia="宋体" w:cs="宋体"/>
                <w:b/>
                <w:bCs/>
                <w:color w:val="auto"/>
                <w:sz w:val="24"/>
                <w:szCs w:val="24"/>
                <w:lang w:val="en-US" w:eastAsia="zh-CN"/>
              </w:rPr>
              <w:t xml:space="preserve">。</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（一）技术部分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技术参数响应</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项目实施方案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、质量管控方案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售后服务方案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5、技术培训方案</w:t>
            </w:r>
            <w:r>
              <w:rPr>
                <w:rFonts w:hint="eastAsia" w:ascii="宋体" w:hAnsi="宋体" w:eastAsia="宋体" w:cs="宋体"/>
                <w:color w:val="auto"/>
                <w:sz w:val="24"/>
                <w:szCs w:val="24"/>
                <w:highlight w:val="none"/>
              </w:rPr>
              <w:t xml:space="preserve">（要求见招标文件第六章《采购需求》及第四章《评标标准》中《评分细则》）</w:t>
            </w:r>
            <w:r>
              <w:rPr>
                <w:rFonts w:hint="eastAsia" w:ascii="宋体" w:hAnsi="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评分细则中评分得分需提供的相关证明文件扫描件。</w:t>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1、投标人业绩</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、投标人或所投产品认证证书</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default" w:ascii="宋体" w:hAnsi="宋体" w:eastAsia="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企业报价折扣证明：</w:t>
            </w:r>
            <w:r>
              <w:rPr>
                <w:rFonts w:hint="eastAsia" w:ascii="宋体" w:hAnsi="宋体" w:cs="宋体"/>
                <w:b/>
                <w:bCs w:val="0"/>
                <w:color w:val="auto"/>
                <w:sz w:val="24"/>
                <w:szCs w:val="24"/>
                <w:highlight w:val="none"/>
                <w:lang w:val="en-US" w:eastAsia="zh-CN"/>
              </w:rPr>
              <w:t xml:space="preserve">  </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5"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商务条件见：</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一、本文件第四章《评标标准》中《评分细则》。</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交货和提供服务的时间：见本文件第五章 《拟签订的合同文本》及或本文件第六章《采购需求》。</w:t>
            </w:r>
            <w:r/>
          </w:p>
        </w:tc>
      </w:tr>
      <w:tr>
        <w:trPr>
          <w:jc w:val="center"/>
          <w:trHeight w:val="1244"/>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本项目不接受超过人民币</w:t>
            </w:r>
            <w:r>
              <w:rPr>
                <w:rFonts w:hint="eastAsia" w:ascii="宋体" w:hAnsi="宋体" w:cs="宋体"/>
                <w:b/>
                <w:bCs/>
                <w:color w:val="auto"/>
                <w:sz w:val="24"/>
                <w:szCs w:val="24"/>
                <w:highlight w:val="none"/>
                <w:lang w:val="en-US" w:eastAsia="zh-CN"/>
              </w:rPr>
              <w:t xml:space="preserve">150</w:t>
            </w:r>
            <w:r>
              <w:rPr>
                <w:rFonts w:hint="eastAsia" w:ascii="宋体" w:hAnsi="宋体" w:eastAsia="宋体" w:cs="宋体"/>
                <w:b/>
                <w:bCs/>
                <w:color w:val="auto"/>
                <w:sz w:val="24"/>
                <w:szCs w:val="24"/>
                <w:highlight w:val="none"/>
              </w:rPr>
              <w:t xml:space="preserve">.00万元（项目</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预算）的投标报价。</w:t>
            </w:r>
            <w:r/>
          </w:p>
          <w:p>
            <w:pPr>
              <w:ind w:firstLine="480"/>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sz w:val="24"/>
                <w:szCs w:val="24"/>
              </w:rPr>
              <w:fldChar w:fldCharType="separate"/>
            </w:r>
            <w:r>
              <w:rPr>
                <w:rStyle w:val="991"/>
                <w:rFonts w:hint="eastAsia" w:ascii="宋体" w:hAnsi="宋体" w:eastAsia="宋体" w:cs="宋体"/>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91"/>
                <w:rFonts w:hint="eastAsia" w:ascii="宋体" w:hAnsi="宋体" w:eastAsia="宋体" w:cs="宋体"/>
                <w:color w:val="auto"/>
                <w:sz w:val="24"/>
                <w:szCs w:val="24"/>
              </w:rPr>
              <w:fldChar w:fldCharType="end"/>
            </w:r>
            <w:r/>
          </w:p>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特别说明：政府采购客户端工具需要导出加密的投标文件（后缀名为</w:t>
            </w:r>
            <w:r>
              <w:rPr>
                <w:rFonts w:hint="eastAsia" w:ascii="宋体" w:hAnsi="宋体" w:eastAsia="宋体" w:cs="宋体"/>
                <w:b/>
                <w:bCs/>
                <w:sz w:val="24"/>
                <w:szCs w:val="24"/>
              </w:rPr>
              <w:t xml:space="preserve">zip</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投标文件不得超过150M！</w:t>
            </w:r>
            <w:r>
              <w:rPr>
                <w:rFonts w:hint="eastAsia" w:ascii="宋体" w:hAnsi="宋体" w:eastAsia="宋体" w:cs="宋体"/>
                <w:sz w:val="24"/>
                <w:szCs w:val="24"/>
              </w:rPr>
              <w:t xml:space="preserve">名为</w:t>
            </w:r>
            <w:r>
              <w:rPr>
                <w:rFonts w:hint="eastAsia" w:ascii="宋体" w:hAnsi="宋体" w:eastAsia="宋体" w:cs="宋体"/>
                <w:b/>
                <w:bCs/>
                <w:sz w:val="24"/>
                <w:szCs w:val="24"/>
              </w:rPr>
              <w:t xml:space="preserve">“.kedt”</w:t>
            </w:r>
            <w:r>
              <w:rPr>
                <w:rFonts w:hint="eastAsia" w:ascii="宋体" w:hAnsi="宋体" w:eastAsia="宋体" w:cs="宋体"/>
                <w:sz w:val="24"/>
                <w:szCs w:val="24"/>
              </w:rPr>
              <w:t xml:space="preserve">）后，离线编制投标文件。采购文件（后缀名为</w:t>
            </w:r>
            <w:r>
              <w:rPr>
                <w:rFonts w:hint="eastAsia" w:ascii="宋体" w:hAnsi="宋体" w:eastAsia="宋体" w:cs="宋体"/>
                <w:b/>
                <w:bCs/>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(十八)</w:t>
            </w:r>
            <w:r>
              <w:rPr>
                <w:rFonts w:hint="eastAsia" w:ascii="宋体" w:hAnsi="宋体" w:eastAsia="宋体" w:cs="宋体"/>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投标文件的提交与接收：</w:t>
            </w:r>
            <w:r>
              <w:rPr>
                <w:rFonts w:hint="eastAsia" w:ascii="宋体" w:hAnsi="宋体" w:eastAsia="宋体" w:cs="宋体"/>
                <w:sz w:val="24"/>
                <w:szCs w:val="24"/>
              </w:rPr>
              <w:t xml:space="preserve"> </w:t>
            </w:r>
            <w:r/>
          </w:p>
          <w:p>
            <w:pPr>
              <w:ind w:firstLine="482"/>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1、投标文件提交与接收时间：</w:t>
            </w:r>
            <w:r>
              <w:rPr>
                <w:rFonts w:hint="eastAsia" w:ascii="宋体" w:hAnsi="宋体" w:eastAsia="宋体" w:cs="宋体"/>
                <w:b/>
                <w:bCs/>
                <w:sz w:val="24"/>
                <w:szCs w:val="24"/>
                <w:highlight w:val="none"/>
              </w:rPr>
              <w:t xml:space="preserve">202</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年</w:t>
            </w:r>
            <w:r>
              <w:rPr>
                <w:rFonts w:hint="eastAsia" w:ascii="宋体" w:hAnsi="宋体" w:cs="宋体"/>
                <w:b/>
                <w:bCs/>
                <w:sz w:val="24"/>
                <w:szCs w:val="24"/>
                <w:highlight w:val="none"/>
                <w:u w:val="single"/>
                <w:lang w:val="en-US" w:eastAsia="zh-CN"/>
              </w:rPr>
              <w:t xml:space="preserve">7</w:t>
            </w:r>
            <w:r>
              <w:rPr>
                <w:rFonts w:hint="eastAsia" w:ascii="宋体" w:hAnsi="宋体" w:eastAsia="宋体" w:cs="宋体"/>
                <w:b/>
                <w:bCs/>
                <w:sz w:val="24"/>
                <w:szCs w:val="24"/>
                <w:highlight w:val="none"/>
              </w:rPr>
              <w:t xml:space="preserve">月</w:t>
            </w:r>
            <w:r>
              <w:rPr>
                <w:rFonts w:hint="eastAsia" w:ascii="宋体" w:hAnsi="宋体" w:cs="宋体"/>
                <w:b/>
                <w:bCs/>
                <w:sz w:val="24"/>
                <w:szCs w:val="24"/>
                <w:highlight w:val="none"/>
                <w:u w:val="single"/>
                <w:lang w:val="en-US" w:eastAsia="zh-CN"/>
              </w:rPr>
              <w:t xml:space="preserve">15</w:t>
            </w:r>
            <w:r>
              <w:rPr>
                <w:rFonts w:hint="eastAsia" w:ascii="宋体" w:hAnsi="宋体" w:eastAsia="宋体" w:cs="宋体"/>
                <w:b/>
                <w:bCs/>
                <w:sz w:val="24"/>
                <w:szCs w:val="24"/>
                <w:highlight w:val="none"/>
              </w:rPr>
              <w:t xml:space="preserve">日9：</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0前。</w:t>
            </w:r>
            <w:r/>
          </w:p>
          <w:p>
            <w:pPr>
              <w:ind w:firstLine="482"/>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2、投标文件提交与接收地点：</w:t>
            </w:r>
            <w:r>
              <w:rPr>
                <w:rFonts w:hint="eastAsia" w:ascii="宋体" w:hAnsi="宋体" w:eastAsia="宋体" w:cs="宋体"/>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电子投标文件应由其法定代表人或法定代表人授权代表在规定的网上投标时间内，</w:t>
            </w:r>
            <w:r>
              <w:rPr>
                <w:rFonts w:hint="eastAsia" w:ascii="宋体" w:hAnsi="宋体" w:eastAsia="宋体" w:cs="宋体"/>
                <w:b/>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auto"/>
                <w:sz w:val="24"/>
              </w:rPr>
              <w:t xml:space="preserve">开标时间后</w:t>
            </w:r>
            <w:r>
              <w:rPr>
                <w:rFonts w:hint="eastAsia" w:ascii="宋体" w:hAnsi="宋体" w:eastAsia="宋体" w:cs="宋体"/>
                <w:color w:val="auto"/>
                <w:sz w:val="24"/>
              </w:rPr>
              <w:t xml:space="preserve">，通过“苏采云”系统（使用“CA数字证书”）解密。解密时限：进入解密环节后，</w:t>
            </w:r>
            <w:r>
              <w:rPr>
                <w:rFonts w:hint="eastAsia" w:ascii="宋体" w:hAnsi="宋体" w:eastAsia="宋体" w:cs="宋体"/>
                <w:b/>
                <w:bCs/>
                <w:color w:val="auto"/>
                <w:sz w:val="24"/>
              </w:rPr>
              <w:t xml:space="preserve">30分钟内。</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“苏采云”系统生成开标记录并</w:t>
            </w:r>
            <w:r>
              <w:rPr>
                <w:rFonts w:hint="eastAsia" w:ascii="宋体" w:hAnsi="宋体" w:eastAsia="宋体" w:cs="宋体"/>
                <w:b/>
                <w:bCs/>
                <w:color w:val="auto"/>
                <w:sz w:val="24"/>
              </w:rPr>
              <w:t xml:space="preserve">向社会公众公布后5分钟内</w:t>
            </w:r>
            <w:r>
              <w:rPr>
                <w:rFonts w:hint="eastAsia" w:ascii="宋体" w:hAnsi="宋体" w:eastAsia="宋体" w:cs="宋体"/>
                <w:color w:val="auto"/>
                <w:sz w:val="24"/>
              </w:rPr>
              <w:t xml:space="preserve">，投标人通过“苏采云”系统（使用“CA数字证书”）</w:t>
            </w:r>
            <w:r>
              <w:rPr>
                <w:rFonts w:hint="eastAsia" w:ascii="宋体" w:hAnsi="宋体" w:eastAsia="宋体" w:cs="宋体"/>
                <w:b/>
                <w:bCs/>
                <w:color w:val="auto"/>
                <w:sz w:val="24"/>
              </w:rPr>
              <w:t xml:space="preserve">确认开标过程</w:t>
            </w:r>
            <w:r>
              <w:rPr>
                <w:rFonts w:hint="eastAsia" w:ascii="宋体" w:hAnsi="宋体" w:eastAsia="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因投标人原因造成投标文件未解密的，视为撤销其投标文件</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989"/>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ascii="宋体" w:hAnsi="宋体" w:eastAsia="宋体" w:cs="宋体"/>
                <w:color w:val="auto"/>
              </w:rPr>
              <w:t xml:space="preserve">投标文件解密失败的补救方案</w:t>
            </w:r>
            <w:r>
              <w:rPr>
                <w:rFonts w:hint="eastAsia" w:ascii="宋体" w:hAnsi="宋体" w:eastAsia="宋体" w:cs="宋体"/>
                <w:color w:val="auto"/>
                <w:lang w:eastAsia="zh-CN"/>
              </w:rPr>
              <w:t xml:space="preserve">：</w:t>
            </w:r>
            <w:r>
              <w:rPr>
                <w:rFonts w:hint="eastAsia" w:ascii="宋体" w:hAnsi="宋体" w:eastAsia="宋体" w:cs="宋体"/>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ind w:firstLine="482"/>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eastAsia="宋体" w:cs="宋体"/>
                <w:b/>
                <w:color w:val="auto"/>
                <w:sz w:val="24"/>
                <w:szCs w:val="24"/>
                <w:highlight w:val="none"/>
              </w:rPr>
              <w:t xml:space="preserve">202</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u w:val="single"/>
                <w:lang w:val="en-US" w:eastAsia="zh-CN"/>
              </w:rPr>
              <w:t xml:space="preserve">7</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u w:val="single"/>
                <w:lang w:val="en-US" w:eastAsia="zh-CN"/>
              </w:rPr>
              <w:t xml:space="preserve">15</w:t>
            </w:r>
            <w:r>
              <w:rPr>
                <w:rFonts w:hint="eastAsia" w:ascii="宋体" w:hAnsi="宋体" w:eastAsia="宋体" w:cs="宋体"/>
                <w:b/>
                <w:color w:val="auto"/>
                <w:sz w:val="24"/>
                <w:szCs w:val="24"/>
                <w:highlight w:val="none"/>
              </w:rPr>
              <w:t xml:space="preserve">日09：</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0（标准时间）</w:t>
            </w:r>
            <w:r>
              <w:rPr>
                <w:rFonts w:hint="eastAsia" w:ascii="宋体" w:hAnsi="宋体" w:cs="宋体"/>
                <w:b/>
                <w:color w:val="auto"/>
                <w:sz w:val="24"/>
                <w:szCs w:val="24"/>
                <w:highlight w:val="none"/>
                <w:lang w:eastAsia="zh-CN"/>
              </w:rPr>
              <w:t xml:space="preserve">。</w:t>
            </w:r>
            <w:r/>
          </w:p>
          <w:p>
            <w:pPr>
              <w:ind w:firstLine="482"/>
              <w:jc w:val="left"/>
              <w:keepLines w:val="0"/>
              <w:keepNext w:val="0"/>
              <w:pageBreakBefore w:val="0"/>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Height w:val="472"/>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采用综合评分法。</w:t>
            </w:r>
            <w:r/>
          </w:p>
        </w:tc>
      </w:tr>
      <w:tr>
        <w:trPr>
          <w:jc w:val="center"/>
          <w:trHeight w:val="226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二、中标候选人并列的，招标文件规定的确定中标人方式：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（一）确定人：采购人。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（二）确定中标人方式：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按照以下顺序确定中标人：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1、投标文件中提供所投产品的节能产品认证证书（不包括强制采购要求（如有），下同）的；或所投产品的环境标志产品认证证书的，被确定为中标人。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2、都符合第1种情况的，投标文件中提供所投产品的节能产品认证证书和所投产品的环境标志产品认证证书的，被确定为中标人。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3、都符合第2种情况的，投标文件中提供所投产品的节能产品认证证书和所投产品的环境标志产品认证证书份数最多的，被确定为中标人。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4、第3种情况无法确定的，由采购人确定。</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说明：所投产品的环境标志产品认证证书、所投产品的节能产品认证证书要求：见招标文件第三章《投标资料表》。</w:t>
            </w:r>
            <w:r/>
          </w:p>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三、采购人应当自收到评标报告之日起5个工作日内，在评标报告确定的中标候选人名单中按得分最高顺序确定一名中标人。</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二十九</w:t>
            </w:r>
            <w:r>
              <w:rPr>
                <w:rFonts w:hint="eastAsia" w:ascii="宋体" w:hAnsi="宋体" w:eastAsia="宋体" w:cs="宋体"/>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三十</w:t>
            </w:r>
            <w:r>
              <w:rPr>
                <w:rFonts w:hint="eastAsia" w:ascii="宋体" w:hAnsi="宋体" w:eastAsia="宋体" w:cs="宋体"/>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rPr>
            </w:pPr>
            <w:r/>
            <w:bookmarkStart w:id="0" w:name="OLE_LINK7"/>
            <w:r/>
            <w:bookmarkStart w:id="1" w:name="OLE_LINK4"/>
            <w:r>
              <w:rPr>
                <w:rFonts w:hint="eastAsia" w:ascii="宋体" w:hAnsi="宋体" w:eastAsia="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rPr>
              <w:t xml:space="preserve">项目具体成本测算等与报价合理性相关的书面说明及相关证明材料</w:t>
            </w:r>
            <w:r>
              <w:rPr>
                <w:rFonts w:hint="eastAsia" w:ascii="宋体" w:hAnsi="宋体" w:eastAsia="宋体" w:cs="宋体"/>
                <w:color w:val="auto"/>
                <w:sz w:val="24"/>
              </w:rPr>
              <w:t xml:space="preserve">，对投标（响应）价格作出解释，由评审委员会</w:t>
            </w:r>
            <w:r>
              <w:rPr>
                <w:rFonts w:hint="eastAsia" w:ascii="宋体" w:hAnsi="宋体" w:eastAsia="宋体" w:cs="宋体"/>
                <w:b/>
                <w:color w:val="auto"/>
                <w:sz w:val="24"/>
              </w:rPr>
              <w:t xml:space="preserve">结合同类产品在主要电商平台的价格、该行业当地薪资水平等情况</w:t>
            </w:r>
            <w:r>
              <w:rPr>
                <w:rFonts w:hint="eastAsia" w:ascii="宋体" w:hAnsi="宋体" w:eastAsia="宋体" w:cs="宋体"/>
                <w:color w:val="auto"/>
                <w:sz w:val="24"/>
              </w:rPr>
              <w:t xml:space="preserve">，依据专业经验对供应商报价合理性进行判断。投标（响应）供应商</w:t>
            </w:r>
            <w:r>
              <w:rPr>
                <w:rFonts w:hint="eastAsia" w:ascii="宋体" w:hAnsi="宋体" w:eastAsia="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政府采购合同</w:t>
            </w:r>
            <w:r/>
          </w:p>
        </w:tc>
      </w:tr>
      <w:tr>
        <w:trPr>
          <w:jc w:val="center"/>
          <w:trHeight w:val="741"/>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采购人与中标、中标人应当在中标、成交通知书发出之日起30日内，按照采购文件确定的事项签订政府采购合同。</w:t>
            </w:r>
            <w:r/>
          </w:p>
        </w:tc>
      </w:tr>
      <w:tr>
        <w:trPr>
          <w:jc w:val="center"/>
          <w:trHeight w:val="655"/>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（三十</w:t>
            </w: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2"/>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bookmarkStart w:id="4" w:name="_GoBack"/>
            <w:r>
              <w:rPr>
                <w:rFonts w:hint="eastAsia" w:ascii="宋体" w:hAnsi="宋体" w:eastAsia="宋体" w:cs="宋体"/>
                <w:b/>
                <w:bCs/>
                <w:color w:val="auto"/>
                <w:sz w:val="24"/>
                <w:szCs w:val="24"/>
              </w:rPr>
              <w:t xml:space="preserve">履约保证金：10%，以支票、汇票、本票、电汇或者金融机构、担保机构出具的保函等非现金形式缴纳。</w:t>
            </w:r>
            <w:bookmarkEnd w:id="4"/>
            <w:r/>
            <w:r/>
          </w:p>
        </w:tc>
      </w:tr>
      <w:tr>
        <w:trPr>
          <w:jc w:val="center"/>
          <w:trHeight w:val="338"/>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四十</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质疑接收人：</w:t>
            </w:r>
            <w:r>
              <w:rPr>
                <w:rFonts w:hint="eastAsia" w:ascii="宋体" w:hAnsi="宋体" w:eastAsia="宋体" w:cs="宋体"/>
                <w:sz w:val="24"/>
                <w:szCs w:val="24"/>
                <w:lang w:val="en-US" w:eastAsia="zh-CN"/>
              </w:rPr>
              <w:t xml:space="preserve">孙逊</w:t>
            </w:r>
            <w:r>
              <w:rPr>
                <w:rFonts w:hint="eastAsia" w:ascii="宋体" w:hAnsi="宋体" w:eastAsia="宋体" w:cs="宋体"/>
                <w:sz w:val="24"/>
                <w:szCs w:val="24"/>
              </w:rPr>
              <w:t xml:space="preserve">      联系电话：0516-8</w:t>
            </w:r>
            <w:r>
              <w:rPr>
                <w:rFonts w:hint="eastAsia" w:ascii="宋体" w:hAnsi="宋体" w:eastAsia="宋体" w:cs="宋体"/>
                <w:sz w:val="24"/>
                <w:szCs w:val="24"/>
                <w:lang w:val="en-US" w:eastAsia="zh-CN"/>
              </w:rPr>
              <w:t xml:space="preserve">3999055</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w:t>
            </w:r>
            <w:r>
              <w:rPr>
                <w:rFonts w:hint="eastAsia" w:ascii="宋体" w:hAnsi="宋体" w:cs="宋体"/>
                <w:sz w:val="24"/>
                <w:szCs w:val="24"/>
                <w:lang w:val="en-US" w:eastAsia="zh-CN"/>
              </w:rPr>
              <w:t xml:space="preserve">江苏省</w:t>
            </w:r>
            <w:r>
              <w:rPr>
                <w:rFonts w:hint="eastAsia" w:ascii="宋体" w:hAnsi="宋体" w:eastAsia="宋体" w:cs="宋体"/>
                <w:sz w:val="24"/>
                <w:szCs w:val="24"/>
              </w:rPr>
              <w:t xml:space="preserve">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Height w:val="4969"/>
        </w:trPr>
        <w:tc>
          <w:tcPr>
            <w:tcMar>
              <w:left w:w="108" w:type="dxa"/>
              <w:top w:w="0" w:type="dxa"/>
              <w:right w:w="108" w:type="dxa"/>
              <w:bottom w:w="0" w:type="dxa"/>
            </w:tcMar>
            <w:tcW w:w="724" w:type="pct"/>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rPr>
                <w:rFonts w:hint="eastAsia" w:ascii="宋体" w:hAnsi="宋体" w:cs="宋体"/>
                <w:color w:val="auto"/>
                <w:sz w:val="24"/>
                <w:szCs w:val="24"/>
                <w:lang w:val="en-US" w:eastAsia="zh-CN"/>
              </w:rPr>
              <w:t xml:space="preserve">  </w:t>
            </w:r>
            <w:r/>
          </w:p>
          <w:p>
            <w:pPr>
              <w:ind w:left="0" w:right="0" w:firstLine="480"/>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2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 w:val="24"/>
          <w:szCs w:val="24"/>
        </w:rPr>
      </w:r>
      <w:r/>
    </w:p>
    <w:p>
      <w:pPr>
        <w:ind w:firstLine="60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本章附件：招标代理服务收费标准</w:t>
      </w:r>
      <w:r/>
    </w:p>
    <w:tbl>
      <w:tblPr>
        <w:tblStyle w:val="9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7"/>
        <w:gridCol w:w="3285"/>
      </w:tblGrid>
      <w:tr>
        <w:trPr>
          <w:trHeight w:val="482"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3、代理服务费基准金额（按差额定率累进法计算的）=中标金额（按差额定率累进法计算的）*费率（%）</w:t>
      </w:r>
      <w:r>
        <w:rPr>
          <w:rFonts w:hint="eastAsia" w:ascii="宋体" w:hAnsi="宋体" w:eastAsia="宋体" w:cs="宋体"/>
          <w:color w:val="auto"/>
          <w:sz w:val="24"/>
          <w:szCs w:val="24"/>
          <w:lang w:eastAsia="zh-CN"/>
        </w:rPr>
        <w:t xml:space="preserve">。</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6、有分包（分标段）项目按</w:t>
      </w:r>
      <w:r>
        <w:rPr>
          <w:rFonts w:hint="eastAsia" w:ascii="宋体" w:hAnsi="宋体" w:eastAsia="宋体" w:cs="宋体"/>
          <w:color w:val="auto"/>
          <w:sz w:val="24"/>
          <w:szCs w:val="24"/>
          <w:lang w:val="en-US" w:eastAsia="zh-CN"/>
        </w:rPr>
        <w:t xml:space="preserve">采购包</w:t>
      </w:r>
      <w:r>
        <w:rPr>
          <w:rFonts w:hint="eastAsia" w:ascii="宋体" w:hAnsi="宋体" w:eastAsia="宋体" w:cs="宋体"/>
          <w:color w:val="auto"/>
          <w:sz w:val="24"/>
          <w:szCs w:val="24"/>
        </w:rPr>
        <w:t xml:space="preserve">收费。</w:t>
      </w:r>
      <w:r/>
    </w:p>
    <w:p>
      <w:pPr>
        <w:keepLines w:val="0"/>
        <w:keepNext w:val="0"/>
        <w:pageBreakBefore w:val="0"/>
        <w:spacing w:line="440" w:lineRule="exact"/>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7、根据苏财规[2026]1号文件有关规定，本项目代理服务费由中标人支付，各投标人在投标报价时应充分考虑在内。</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、上该表为自行约定的代理服务费标准。</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9</w:t>
      </w:r>
      <w:r>
        <w:rPr>
          <w:rFonts w:hint="eastAsia" w:ascii="宋体" w:hAnsi="宋体" w:eastAsia="宋体" w:cs="宋体"/>
          <w:b w:val="0"/>
          <w:bCs/>
          <w:color w:val="auto"/>
          <w:sz w:val="24"/>
          <w:szCs w:val="24"/>
        </w:rPr>
        <w:t xml:space="preserve">、账户信息：</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账号：11110154740005866</w:t>
      </w:r>
      <w:r/>
    </w:p>
    <w:p>
      <w:pPr>
        <w:spacing w:line="400" w:lineRule="exact"/>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8"/>
          <w:szCs w:val="28"/>
        </w:rPr>
      </w:r>
      <w:r/>
    </w:p>
    <w:p>
      <w:pPr>
        <w:numPr>
          <w:ilvl w:val="0"/>
          <w:numId w:val="0"/>
        </w:numPr>
        <w:jc w:val="center"/>
        <w:keepLines w:val="0"/>
        <w:keepNext w:val="0"/>
        <w:pageBreakBefore w:val="0"/>
        <w:spacing w:line="360" w:lineRule="auto"/>
        <w:widowControl w:val="off"/>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lang w:val="en-US" w:eastAsia="zh-CN"/>
        </w:rPr>
        <w:t xml:space="preserve">第四章 </w:t>
      </w:r>
      <w:r>
        <w:rPr>
          <w:rFonts w:hint="eastAsia" w:ascii="宋体" w:hAnsi="宋体" w:eastAsia="宋体" w:cs="宋体"/>
          <w:b/>
          <w:color w:val="auto"/>
          <w:sz w:val="32"/>
          <w:szCs w:val="32"/>
        </w:rPr>
        <w:t xml:space="preserve">评标标准</w:t>
      </w:r>
      <w:r/>
    </w:p>
    <w:tbl>
      <w:tblPr>
        <w:tblStyle w:val="968"/>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7135"/>
      </w:tblGrid>
      <w:tr>
        <w:trPr>
          <w:jc w:val="center"/>
          <w:trHeight w:val="446"/>
        </w:trPr>
        <w:tc>
          <w:tcPr>
            <w:tcW w:w="81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w:t>
            </w:r>
            <w:r/>
          </w:p>
        </w:tc>
        <w:tc>
          <w:tcPr>
            <w:tcW w:w="4187"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评分标准</w:t>
            </w:r>
            <w:r/>
          </w:p>
        </w:tc>
      </w:tr>
      <w:tr>
        <w:trPr>
          <w:jc w:val="center"/>
          <w:trHeight w:val="4718"/>
        </w:trPr>
        <w:tc>
          <w:tcPr>
            <w:tcW w:w="81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tcW w:w="4187"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注：促进本国产品优惠政策：政府采购活动中既有本国产品又有非本国产品参与竞争的，依法对本国产品给予价格评审优惠，对本国产品的报价给予20%的价格扣除，用扣除后的价格参与评审。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享受价格评审优惠不改变最终中标价格，政府采购合同仍按照中标供应商的报价签订。</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得分四舍五入保留小数点后2位。</w:t>
            </w:r>
            <w:r/>
          </w:p>
        </w:tc>
      </w:tr>
      <w:tr>
        <w:trPr>
          <w:jc w:val="center"/>
          <w:trHeight w:val="1593"/>
        </w:trPr>
        <w:tc>
          <w:tcPr>
            <w:tcW w:w="81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投标人业绩（</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tcW w:w="4187"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投标文件中提供投标人为乙方，合同签订日期在202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年1月1日之后，</w:t>
            </w:r>
            <w:r>
              <w:rPr>
                <w:rFonts w:hint="eastAsia" w:ascii="宋体" w:hAnsi="宋体" w:eastAsia="宋体" w:cs="宋体"/>
                <w:sz w:val="24"/>
                <w:szCs w:val="24"/>
                <w:lang w:val="en-US" w:eastAsia="zh-CN"/>
              </w:rPr>
              <w:t xml:space="preserve">与本项目相同或类似的项目</w:t>
            </w:r>
            <w:r>
              <w:rPr>
                <w:rFonts w:hint="eastAsia" w:ascii="宋体" w:hAnsi="宋体" w:eastAsia="宋体" w:cs="宋体"/>
                <w:sz w:val="24"/>
                <w:szCs w:val="24"/>
              </w:rPr>
              <w:t xml:space="preserve">，每份得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本项</w:t>
            </w:r>
            <w:r>
              <w:rPr>
                <w:rFonts w:hint="eastAsia" w:ascii="宋体" w:hAnsi="宋体" w:eastAsia="宋体" w:cs="宋体"/>
                <w:sz w:val="24"/>
                <w:szCs w:val="24"/>
              </w:rPr>
              <w:t xml:space="preserve">最高得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pStyle w:val="970"/>
              <w:ind w:left="0" w:right="0"/>
              <w:keepLines w:val="0"/>
              <w:keepNext w:val="0"/>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注：投标文件中提供合同原件扫描件方为有效（合同必须明确签订日期等关键信息，合同关键信息不完整的不得分），否则此项不得分。</w:t>
            </w:r>
            <w:r/>
          </w:p>
        </w:tc>
      </w:tr>
      <w:tr>
        <w:trPr>
          <w:jc w:val="center"/>
          <w:trHeight w:val="2292"/>
        </w:trPr>
        <w:tc>
          <w:tcPr>
            <w:shd w:val="clear" w:color="auto" w:fill="auto"/>
            <w:tcW w:w="812" w:type="pct"/>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或所投产品</w:t>
            </w:r>
            <w:r>
              <w:rPr>
                <w:rFonts w:hint="eastAsia" w:ascii="宋体" w:hAnsi="宋体" w:cs="宋体"/>
                <w:color w:val="auto"/>
                <w:sz w:val="24"/>
                <w:szCs w:val="24"/>
                <w:highlight w:val="none"/>
                <w:lang w:val="en-US" w:eastAsia="zh-CN"/>
              </w:rPr>
              <w:t xml:space="preserve">认证证书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4187" w:type="pct"/>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生产厂家具有有效的质量管理体系认证证书、环境管理体系认证证书及职业健康管理体系认证证书</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每个证书得1分，本项最高得3分。</w:t>
            </w:r>
            <w:r/>
          </w:p>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注：投标文件中同时提供上述证书扫描件以</w:t>
            </w:r>
            <w:r>
              <w:rPr>
                <w:rFonts w:hint="eastAsia" w:ascii="宋体" w:hAnsi="宋体" w:eastAsia="宋体" w:cs="宋体"/>
                <w:color w:val="auto"/>
                <w:sz w:val="24"/>
                <w:szCs w:val="24"/>
                <w:highlight w:val="none"/>
              </w:rPr>
              <w:t xml:space="preserve">及国家市场监督管理总局全国认证认可信息公共服务平台(网址：http://cx.cnca.cn/CertECloud/result/skipResultList)查询证书状态为有效的截图证明材料</w:t>
            </w:r>
            <w:r>
              <w:rPr>
                <w:rFonts w:hint="eastAsia" w:ascii="宋体" w:hAnsi="宋体" w:eastAsia="宋体" w:cs="宋体"/>
                <w:color w:val="auto"/>
                <w:sz w:val="24"/>
                <w:szCs w:val="24"/>
                <w:highlight w:val="none"/>
                <w:lang w:val="en-US" w:eastAsia="zh-CN"/>
              </w:rPr>
              <w:t xml:space="preserve">方为有效</w:t>
            </w:r>
            <w:r>
              <w:rPr>
                <w:rFonts w:hint="eastAsia" w:ascii="宋体" w:hAnsi="宋体" w:eastAsia="宋体" w:cs="宋体"/>
                <w:color w:val="auto"/>
                <w:sz w:val="24"/>
                <w:szCs w:val="24"/>
                <w:highlight w:val="none"/>
                <w:lang w:eastAsia="zh-CN"/>
              </w:rPr>
              <w:t xml:space="preserve">，未提供或提供不全的</w:t>
            </w:r>
            <w:r>
              <w:rPr>
                <w:rFonts w:hint="eastAsia" w:ascii="宋体" w:hAnsi="宋体" w:eastAsia="宋体" w:cs="宋体"/>
                <w:color w:val="auto"/>
                <w:sz w:val="24"/>
                <w:szCs w:val="24"/>
                <w:highlight w:val="none"/>
                <w:lang w:val="en-US" w:eastAsia="zh-CN"/>
              </w:rPr>
              <w:t xml:space="preserve">均不得</w:t>
            </w:r>
            <w:r>
              <w:rPr>
                <w:rFonts w:hint="eastAsia" w:ascii="宋体" w:hAnsi="宋体" w:eastAsia="宋体" w:cs="宋体"/>
                <w:color w:val="auto"/>
                <w:sz w:val="24"/>
                <w:szCs w:val="24"/>
                <w:highlight w:val="none"/>
                <w:lang w:eastAsia="zh-CN"/>
              </w:rPr>
              <w:t xml:space="preserve">分。</w:t>
            </w:r>
            <w:r/>
          </w:p>
        </w:tc>
      </w:tr>
      <w:tr>
        <w:trPr>
          <w:jc w:val="center"/>
          <w:trHeight w:val="2075"/>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技术参数</w:t>
            </w:r>
            <w:r/>
          </w:p>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响应（</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分）</w:t>
            </w:r>
            <w:r/>
          </w:p>
        </w:tc>
        <w:tc>
          <w:tcPr>
            <w:shd w:val="clear" w:color="auto" w:fill="auto"/>
            <w:tcW w:w="4187" w:type="pct"/>
            <w:vAlign w:val="center"/>
            <w:textDirection w:val="lrTb"/>
            <w:noWrap w:val="false"/>
          </w:tcPr>
          <w:p>
            <w:pPr>
              <w:pStyle w:val="986"/>
              <w:jc w:val="both"/>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完全符合招标文件第六章《采购需求》中“三、技术参数要求”的，得基本分</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本项目共26种品类，每种品类完全满足的得1分；加“★”的指标为实质性响应指标，实质性响应指标任意1项指标不满足或负偏离按无效投标处理，其他为一般响应指标，每品类一般响应指标任意1项指标不满足或负偏离的，此品类不得分。</w:t>
            </w:r>
            <w:r/>
          </w:p>
          <w:p>
            <w:pPr>
              <w:pStyle w:val="986"/>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lang w:val="en-US" w:eastAsia="zh-CN"/>
              </w:rPr>
              <w:t xml:space="preserve">分，最低得0分。</w:t>
            </w:r>
            <w:r/>
          </w:p>
          <w:p>
            <w:pPr>
              <w:pStyle w:val="986"/>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未按照招标文件提供证明材料的视为不满足。投标人须如实填写所投产品参数，</w:t>
            </w:r>
            <w:r>
              <w:rPr>
                <w:rFonts w:hint="eastAsia" w:ascii="宋体" w:hAnsi="宋体" w:eastAsia="宋体" w:cs="宋体"/>
                <w:color w:val="auto"/>
                <w:sz w:val="24"/>
                <w:szCs w:val="24"/>
                <w:highlight w:val="none"/>
                <w:lang w:val="en-US" w:eastAsia="zh-CN"/>
              </w:rPr>
              <w:t xml:space="preserve">验收时发现交付产品与本次招标及中标参数不符做违约处理并弥补采购人损失。</w:t>
            </w:r>
            <w:r/>
          </w:p>
        </w:tc>
      </w:tr>
      <w:tr>
        <w:trPr>
          <w:jc w:val="center"/>
          <w:trHeight w:val="2075"/>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项目实施方案（12分）</w:t>
            </w:r>
            <w:r/>
          </w:p>
        </w:tc>
        <w:tc>
          <w:tcPr>
            <w:shd w:val="clear" w:color="auto" w:fill="auto"/>
            <w:tcW w:w="4187" w:type="pct"/>
            <w:vAlign w:val="center"/>
            <w:textDirection w:val="lrTb"/>
            <w:noWrap w:val="false"/>
          </w:tcPr>
          <w:p>
            <w:pPr>
              <w:pStyle w:val="986"/>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根据投标人投标文件中提供的项目实施方案，内容包含但不限于时间进度安排、具体实施安装方案、缓冲层铺设方案等，对内容的全面性、针对性、可行性进行评价。</w:t>
            </w:r>
            <w:r/>
          </w:p>
          <w:p>
            <w:pPr>
              <w:pStyle w:val="986"/>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全面性（4分）：全面具体详实得4分；较全面详实得3分；全面性一般得2分；不全面得1分。</w:t>
            </w:r>
            <w:r/>
          </w:p>
          <w:p>
            <w:pPr>
              <w:pStyle w:val="986"/>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针对性（4分）：针对性强得4分；针对性一般得2分；针对性不强得1分。</w:t>
            </w:r>
            <w:r/>
          </w:p>
          <w:p>
            <w:pPr>
              <w:pStyle w:val="986"/>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可行性（4分）：符合实际切实可行得4分；可行性一般得2分；可行性欠缺得1分。</w:t>
            </w:r>
            <w:r/>
          </w:p>
          <w:p>
            <w:pPr>
              <w:pStyle w:val="986"/>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未提供得0分，本项最高得12分，最低得0分。</w:t>
            </w:r>
            <w:r/>
          </w:p>
        </w:tc>
      </w:tr>
      <w:tr>
        <w:trPr>
          <w:jc w:val="center"/>
          <w:trHeight w:val="1845"/>
        </w:trPr>
        <w:tc>
          <w:tcPr>
            <w:shd w:val="clear" w:color="auto" w:fill="auto"/>
            <w:tcW w:w="812"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质量管控方案（</w:t>
            </w:r>
            <w:r>
              <w:rPr>
                <w:rFonts w:hint="eastAsia" w:ascii="宋体" w:hAnsi="宋体" w:cs="宋体"/>
                <w:color w:val="auto"/>
                <w:sz w:val="24"/>
                <w:szCs w:val="24"/>
                <w:highlight w:val="none"/>
                <w:lang w:val="en-US" w:eastAsia="zh-CN" w:bidi="ar-SA"/>
              </w:rPr>
              <w:t xml:space="preserve">6分</w:t>
            </w:r>
            <w:r>
              <w:rPr>
                <w:rFonts w:hint="eastAsia" w:ascii="宋体" w:hAnsi="宋体" w:eastAsia="宋体" w:cs="宋体"/>
                <w:color w:val="auto"/>
                <w:sz w:val="24"/>
                <w:szCs w:val="24"/>
                <w:highlight w:val="none"/>
                <w:lang w:val="en-US" w:eastAsia="zh-CN" w:bidi="ar-SA"/>
              </w:rPr>
              <w:t xml:space="preserve">）</w:t>
            </w:r>
            <w:r/>
          </w:p>
        </w:tc>
        <w:tc>
          <w:tcPr>
            <w:shd w:val="clear" w:color="auto" w:fill="auto"/>
            <w:tcW w:w="4187" w:type="pct"/>
            <w:vAlign w:val="center"/>
            <w:textDirection w:val="lrTb"/>
            <w:noWrap w:val="false"/>
          </w:tcPr>
          <w:p>
            <w:pPr>
              <w:pStyle w:val="986"/>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根据投标人投标文件中提供的质量管控方案，内容包含但不限于质量管理体系及措施、安全保障措施等，对内容的针对性、可行性进行评价。</w:t>
            </w:r>
            <w:r/>
          </w:p>
          <w:p>
            <w:pPr>
              <w:pStyle w:val="986"/>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针对性（3分）：针对性强得3分；针对性一般得2分；针对性不强得1分。</w:t>
            </w:r>
            <w:r/>
          </w:p>
          <w:p>
            <w:pPr>
              <w:pStyle w:val="986"/>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可行性（3分）：符合实际切实可行得3分；可行性一般得2分；可行性欠缺得1分。</w:t>
            </w:r>
            <w:r/>
          </w:p>
          <w:p>
            <w:pPr>
              <w:pStyle w:val="986"/>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未提供得0分，本项最高得6分，最低得0分。</w:t>
            </w:r>
            <w:r/>
          </w:p>
        </w:tc>
      </w:tr>
      <w:tr>
        <w:trPr>
          <w:jc w:val="center"/>
          <w:trHeight w:val="3848"/>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售后服务方案（15分）</w:t>
            </w:r>
            <w:r/>
          </w:p>
        </w:tc>
        <w:tc>
          <w:tcPr>
            <w:shd w:val="clear" w:color="auto" w:fill="auto"/>
            <w:tcW w:w="4187" w:type="pct"/>
            <w:vAlign w:val="center"/>
            <w:textDirection w:val="lrTb"/>
            <w:noWrap w:val="false"/>
          </w:tcPr>
          <w:p>
            <w:pPr>
              <w:pStyle w:val="975"/>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售后服务方案，内容包含但不限于：①质保期；②质保期满内的服务方式及响应时间；③质保期满内的人员配置、故障处理及维修服务；④质保期满后的服务方式、响应时间故障处理及维修服务；⑤零配件方案。对内容的</w:t>
            </w:r>
            <w:r>
              <w:rPr>
                <w:rFonts w:hint="eastAsia" w:ascii="宋体" w:hAnsi="宋体" w:eastAsia="宋体" w:cs="宋体"/>
                <w:color w:val="auto"/>
                <w:sz w:val="24"/>
                <w:szCs w:val="24"/>
                <w:highlight w:val="none"/>
                <w:lang w:val="en-US" w:eastAsia="zh-CN" w:bidi="ar-SA"/>
              </w:rPr>
              <w:t xml:space="preserve">全面性、针对性、可行性进行评价。</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全面性（5分）：全面具体详实得5分；较全面详实得3分；全面性一般得2分；不全面得1分。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针对性（5分）：针对性强得5分；针对性一般得3分；针对性不强得1分。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可行性（5分）：符合实际切实可行得5分；可行性一般得3分；可行性欠缺得1分。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未提供得0分，本项最高得15分，最低得0分。</w:t>
            </w:r>
            <w:r/>
          </w:p>
        </w:tc>
      </w:tr>
      <w:tr>
        <w:trPr>
          <w:jc w:val="center"/>
          <w:trHeight w:val="2075"/>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技术培训方案（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shd w:val="clear" w:color="auto" w:fill="auto"/>
            <w:tcW w:w="4187" w:type="pct"/>
            <w:vAlign w:val="center"/>
            <w:textDirection w:val="lrTb"/>
            <w:noWrap w:val="false"/>
          </w:tcPr>
          <w:p>
            <w:pPr>
              <w:pStyle w:val="975"/>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根据投标人投标文件中提供的技术培训方案，内容包含但不限于①培训人员设置、②培训时间及培训内容等，对内容的</w:t>
            </w:r>
            <w:r>
              <w:rPr>
                <w:rFonts w:hint="eastAsia" w:ascii="宋体" w:hAnsi="宋体" w:eastAsia="宋体" w:cs="宋体"/>
                <w:color w:val="auto"/>
                <w:sz w:val="24"/>
                <w:szCs w:val="24"/>
                <w:highlight w:val="none"/>
                <w:lang w:val="en-US" w:eastAsia="zh-CN" w:bidi="ar-SA"/>
              </w:rPr>
              <w:t xml:space="preserve">全面性、可行性进行评价。</w:t>
            </w:r>
            <w:r/>
          </w:p>
          <w:p>
            <w:pPr>
              <w:pStyle w:val="986"/>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全面性（3分）：全面具体详实得3分；较全面详实得2分；全面性一般得1分；不全面得0.5分。</w:t>
            </w:r>
            <w:r/>
          </w:p>
          <w:p>
            <w:pPr>
              <w:pStyle w:val="986"/>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可行性（3分）：符合实际切实可行得3分；可行性一般得2分；可行性欠缺得1分。</w:t>
            </w:r>
            <w:r/>
          </w:p>
          <w:p>
            <w:pPr>
              <w:pStyle w:val="986"/>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未提供得0分，本项最高得6分，最低得0分。</w:t>
            </w:r>
            <w:r/>
          </w:p>
        </w:tc>
      </w:tr>
    </w:tbl>
    <w:p>
      <w:pPr>
        <w:spacing w:line="360" w:lineRule="auto"/>
        <w:rPr>
          <w:rFonts w:hint="eastAsia" w:ascii="宋体" w:hAnsi="宋体" w:eastAsia="宋体" w:cs="宋体"/>
          <w:sz w:val="24"/>
          <w:szCs w:val="24"/>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rPr>
        <w:t xml:space="preserve">本章说明：本项目采用综合评分法，结果保留2位小数</w:t>
      </w:r>
      <w:r>
        <w:rPr>
          <w:rFonts w:hint="eastAsia" w:ascii="宋体" w:hAnsi="宋体" w:cs="宋体"/>
          <w:sz w:val="24"/>
          <w:szCs w:val="24"/>
          <w:lang w:eastAsia="zh-CN"/>
        </w:rPr>
        <w:t xml:space="preserve">。</w:t>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第五章 拟签订的合同文本</w:t>
      </w:r>
      <w:r/>
    </w:p>
    <w:p>
      <w:pPr>
        <w:rPr>
          <w:rFonts w:hint="eastAsia" w:ascii="宋体" w:hAnsi="宋体" w:eastAsia="宋体" w:cs="宋体"/>
          <w:b/>
          <w:sz w:val="52"/>
          <w:szCs w:val="36"/>
        </w:rPr>
      </w:pPr>
      <w:r>
        <w:rPr>
          <w:rFonts w:hint="eastAsia" w:ascii="宋体" w:hAnsi="宋体" w:eastAsia="宋体" w:cs="宋体"/>
          <w:b/>
          <w:sz w:val="52"/>
          <w:szCs w:val="36"/>
        </w:rPr>
      </w:r>
      <w:r/>
    </w:p>
    <w:p>
      <w:pPr>
        <w:jc w:val="center"/>
        <w:rPr>
          <w:rFonts w:hint="eastAsia" w:ascii="宋体" w:hAnsi="宋体" w:eastAsia="宋体" w:cs="宋体"/>
          <w:b/>
          <w:sz w:val="72"/>
          <w:szCs w:val="72"/>
        </w:rPr>
      </w:pPr>
      <w:r>
        <w:rPr>
          <w:rFonts w:hint="eastAsia" w:ascii="宋体" w:hAnsi="宋体" w:eastAsia="宋体" w:cs="宋体"/>
          <w:b/>
          <w:sz w:val="72"/>
          <w:szCs w:val="72"/>
        </w:rPr>
        <w:t xml:space="preserve">政 府 采 购 合 同</w:t>
      </w:r>
      <w:r/>
    </w:p>
    <w:p>
      <w:pPr>
        <w:jc w:val="left"/>
        <w:rPr>
          <w:rFonts w:hint="eastAsia" w:ascii="宋体" w:hAnsi="宋体" w:eastAsia="宋体" w:cs="宋体"/>
          <w:b/>
          <w:sz w:val="36"/>
          <w:szCs w:val="36"/>
        </w:rPr>
      </w:pPr>
      <w:r>
        <w:rPr>
          <w:rFonts w:hint="eastAsia" w:ascii="宋体" w:hAnsi="宋体" w:eastAsia="宋体" w:cs="宋体"/>
          <w:b/>
          <w:sz w:val="36"/>
          <w:szCs w:val="36"/>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0"/>
          <w:szCs w:val="30"/>
          <w:lang w:eastAsia="zh-CN"/>
        </w:rPr>
      </w:pPr>
      <w:r>
        <w:rPr>
          <w:rFonts w:hint="eastAsia" w:ascii="宋体" w:hAnsi="宋体" w:eastAsia="宋体" w:cs="宋体"/>
          <w:b/>
          <w:sz w:val="30"/>
          <w:szCs w:val="30"/>
        </w:rPr>
        <w:t xml:space="preserve">项目编号：</w:t>
      </w:r>
      <w:r>
        <w:rPr>
          <w:rFonts w:hint="eastAsia" w:ascii="宋体" w:hAnsi="宋体" w:cs="宋体"/>
          <w:b/>
          <w:sz w:val="30"/>
          <w:szCs w:val="30"/>
          <w:lang w:eastAsia="zh-CN"/>
        </w:rPr>
        <w:t xml:space="preserve">JSZC-320300-HWZX-G2026-0324</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lang w:eastAsia="zh-CN"/>
        </w:rPr>
      </w:pPr>
      <w:r>
        <w:rPr>
          <w:rFonts w:hint="eastAsia" w:ascii="宋体" w:hAnsi="宋体" w:eastAsia="宋体" w:cs="宋体"/>
          <w:b/>
          <w:sz w:val="30"/>
          <w:szCs w:val="30"/>
        </w:rPr>
        <w:t xml:space="preserve">项目名称：</w:t>
      </w:r>
      <w:r>
        <w:rPr>
          <w:rFonts w:hint="eastAsia" w:ascii="宋体" w:hAnsi="宋体" w:cs="宋体"/>
          <w:b/>
          <w:sz w:val="30"/>
          <w:szCs w:val="30"/>
          <w:lang w:eastAsia="zh-CN"/>
        </w:rPr>
        <w:t xml:space="preserve">2026年徐州市城市社区健身设施配建项目</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lang w:eastAsia="zh-CN"/>
        </w:rPr>
      </w:pPr>
      <w:r>
        <w:rPr>
          <w:rFonts w:hint="eastAsia" w:ascii="宋体" w:hAnsi="宋体" w:eastAsia="宋体" w:cs="宋体"/>
          <w:b/>
          <w:sz w:val="30"/>
          <w:szCs w:val="30"/>
        </w:rPr>
        <w:t xml:space="preserve">采购单位：</w:t>
      </w:r>
      <w:r>
        <w:rPr>
          <w:rFonts w:hint="eastAsia" w:ascii="宋体" w:hAnsi="宋体" w:eastAsia="宋体" w:cs="宋体"/>
          <w:b/>
          <w:sz w:val="30"/>
          <w:szCs w:val="30"/>
          <w:lang w:eastAsia="zh-CN"/>
        </w:rPr>
        <w:t xml:space="preserve">徐州市体育局</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中标供应商（乙方）：</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签订日期：    年  月  日</w:t>
      </w:r>
      <w:r/>
    </w:p>
    <w:p>
      <w:pPr>
        <w:spacing w:line="360" w:lineRule="auto"/>
        <w:rPr>
          <w:rFonts w:hint="eastAsia" w:ascii="宋体" w:hAnsi="宋体" w:eastAsia="宋体" w:cs="宋体"/>
          <w:b/>
          <w:bCs/>
          <w:sz w:val="24"/>
        </w:rPr>
      </w:pPr>
      <w:r>
        <w:rPr>
          <w:rFonts w:hint="eastAsia" w:ascii="宋体" w:hAnsi="宋体" w:eastAsia="宋体" w:cs="宋体"/>
          <w:b/>
          <w:bCs/>
          <w:sz w:val="24"/>
        </w:rPr>
      </w:r>
      <w:r/>
    </w:p>
    <w:p>
      <w:pPr>
        <w:pStyle w:val="985"/>
        <w:ind w:left="0" w:right="0"/>
        <w:spacing w:after="0" w:line="360" w:lineRule="auto"/>
        <w:rPr>
          <w:rFonts w:hint="eastAsia" w:ascii="宋体" w:hAnsi="宋体" w:eastAsia="宋体" w:cs="宋体"/>
          <w:b/>
          <w:sz w:val="24"/>
        </w:rPr>
      </w:pPr>
      <w:r>
        <w:rPr>
          <w:rFonts w:hint="eastAsia" w:ascii="宋体" w:hAnsi="宋体" w:eastAsia="宋体" w:cs="宋体"/>
          <w:b/>
          <w:sz w:val="24"/>
        </w:rPr>
      </w:r>
      <w:r/>
    </w:p>
    <w:p>
      <w:pPr>
        <w:pStyle w:val="985"/>
        <w:ind w:left="0" w:right="0"/>
        <w:spacing w:after="0"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友情提醒：采购人与中标供应商应当在中标通知书发出之日起三十日内，按照采购文件确定的事项签订政府采购合同。</w:t>
      </w:r>
      <w:r/>
    </w:p>
    <w:p>
      <w:pPr>
        <w:pStyle w:val="985"/>
        <w:ind w:left="0" w:right="0"/>
        <w:spacing w:after="0" w:line="360" w:lineRule="auto"/>
        <w:rPr>
          <w:rFonts w:hint="eastAsia" w:ascii="宋体" w:hAnsi="宋体" w:eastAsia="宋体" w:cs="宋体"/>
          <w:b/>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center"/>
        <w:spacing w:line="520" w:lineRule="exact"/>
        <w:rPr>
          <w:rFonts w:hint="eastAsia" w:ascii="宋体" w:hAnsi="宋体" w:eastAsia="宋体" w:cs="宋体"/>
          <w:b/>
          <w:bCs/>
          <w:sz w:val="32"/>
          <w:szCs w:val="32"/>
          <w:highlight w:val="white"/>
        </w:rPr>
      </w:pPr>
      <w:r>
        <w:rPr>
          <w:rFonts w:hint="eastAsia" w:ascii="宋体" w:hAnsi="宋体" w:eastAsia="宋体" w:cs="宋体"/>
          <w:b/>
          <w:bCs/>
          <w:sz w:val="32"/>
          <w:szCs w:val="32"/>
          <w:highlight w:val="white"/>
        </w:rPr>
        <w:t xml:space="preserve">合同通用条款</w:t>
      </w:r>
      <w:r/>
    </w:p>
    <w:p>
      <w:pPr>
        <w:ind w:firstLine="480"/>
        <w:jc w:val="center"/>
        <w:spacing w:line="520" w:lineRule="exact"/>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r>
      <w:r/>
    </w:p>
    <w:p>
      <w:pPr>
        <w:ind w:firstLine="480"/>
        <w:jc w:val="center"/>
        <w:spacing w:line="520" w:lineRule="exact"/>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t xml:space="preserve">目 录</w:t>
      </w:r>
      <w:r/>
    </w:p>
    <w:p>
      <w:pPr>
        <w:ind w:firstLine="560"/>
        <w:spacing w:line="520" w:lineRule="exact"/>
        <w:rPr>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第一条    定义</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第二条    合同范围</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第三条    价格</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第四条    支付</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第五条    交货</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第六条    包装和标记</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第七条    技术资料</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第八条    安装</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第九条    验收</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第十条    售后服务和技术培训</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第十一条  索赔</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第十二条  不可抗力</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第十三条  合同的终止</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第十四条  争议的解决</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第十五条  适用法律</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第十六条  权利保证</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第十七条  保密</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第十八条  合同生效及其他</w:t>
      </w:r>
      <w:r/>
    </w:p>
    <w:p>
      <w:pPr>
        <w:ind w:firstLine="540"/>
        <w:spacing w:line="312" w:lineRule="auto"/>
        <w:rPr>
          <w:rStyle w:val="992"/>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pStyle w:val="993"/>
        <w:ind w:firstLine="562"/>
        <w:rPr>
          <w:rStyle w:val="992"/>
          <w:rFonts w:hint="eastAsia" w:ascii="宋体" w:hAnsi="宋体" w:eastAsia="宋体" w:cs="宋体"/>
          <w:b/>
          <w:sz w:val="28"/>
          <w:szCs w:val="28"/>
          <w:highlight w:val="white"/>
        </w:rPr>
      </w:pPr>
      <w:r>
        <w:rPr>
          <w:rFonts w:hint="eastAsia" w:ascii="宋体" w:hAnsi="宋体" w:eastAsia="宋体" w:cs="宋体"/>
          <w:b/>
          <w:sz w:val="28"/>
          <w:szCs w:val="28"/>
          <w:highlight w:val="white"/>
        </w:rPr>
      </w:r>
      <w:r/>
    </w:p>
    <w:p>
      <w:pPr>
        <w:pStyle w:val="993"/>
        <w:ind w:firstLine="562"/>
        <w:rPr>
          <w:rStyle w:val="992"/>
          <w:rFonts w:hint="eastAsia" w:ascii="宋体" w:hAnsi="宋体" w:eastAsia="宋体" w:cs="宋体"/>
          <w:b/>
          <w:sz w:val="28"/>
          <w:szCs w:val="28"/>
          <w:highlight w:val="white"/>
        </w:rPr>
      </w:pPr>
      <w:r>
        <w:rPr>
          <w:rFonts w:hint="eastAsia" w:ascii="宋体" w:hAnsi="宋体" w:eastAsia="宋体" w:cs="宋体"/>
          <w:b/>
          <w:sz w:val="28"/>
          <w:szCs w:val="28"/>
          <w:highlight w:val="white"/>
        </w:rPr>
      </w:r>
      <w:r/>
    </w:p>
    <w:p>
      <w:pPr>
        <w:pStyle w:val="993"/>
        <w:ind w:left="0" w:firstLine="560"/>
        <w:rPr>
          <w:rStyle w:val="992"/>
          <w:rFonts w:hint="eastAsia" w:ascii="宋体" w:hAnsi="宋体" w:eastAsia="宋体" w:cs="宋体"/>
          <w:bCs/>
          <w:sz w:val="28"/>
          <w:szCs w:val="28"/>
          <w:highlight w:val="white"/>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sz w:val="28"/>
          <w:szCs w:val="28"/>
          <w:highlight w:val="white"/>
        </w:rPr>
      </w:r>
      <w:r/>
    </w:p>
    <w:p>
      <w:pPr>
        <w:ind w:firstLine="480"/>
        <w:jc w:val="center"/>
        <w:spacing w:line="520" w:lineRule="exact"/>
        <w:rPr>
          <w:rFonts w:hint="eastAsia" w:ascii="宋体" w:hAnsi="宋体" w:eastAsia="宋体" w:cs="宋体"/>
          <w:sz w:val="32"/>
          <w:szCs w:val="32"/>
          <w:highlight w:val="white"/>
        </w:rPr>
      </w:pPr>
      <w:r>
        <w:rPr>
          <w:rFonts w:hint="eastAsia" w:ascii="宋体" w:hAnsi="宋体" w:eastAsia="宋体" w:cs="宋体"/>
          <w:sz w:val="32"/>
          <w:szCs w:val="32"/>
          <w:highlight w:val="white"/>
        </w:rPr>
        <w:t xml:space="preserve">合同通用条款</w:t>
      </w:r>
      <w:r/>
    </w:p>
    <w:p>
      <w:pPr>
        <w:ind w:firstLine="42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第一条  定义</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除本合同上下文中另有规定外，下列各词语定义如下：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1.1“买方”见《合同专用条款》。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1.2“卖方”见《合同专用条款》。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1.3“工作现场”见《合同专用条款》。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1.4“合同标的”见合同附件4。</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1.5“技术资料”是指与合同标的的安装、试运行、验收、操作以及维修有关的技术指标、规格、图纸和文件。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1.6“技术培训”是指在合同标的的安装、试运行、验收、操作、维修以及其他方面卖方给予买方的培训。</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1.7“安装”是指有关合同标的、备件和材料的安装工作。</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1.8“试运行”是指为验明合同标的的技术性能，在安装完毕后对合同标的进行的测试。</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1.10“合同货币”见《合同专用条款》。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1.11“合同价格”见合同附件4。</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1.12“合同生效日”见《合同协议书》（合同附件1）第5 条。</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1.13“日”是指日历天数。</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1.14“月”是指日历月数。</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1.15“采购需求” 见合同附件6。</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第二条 合同范围</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2.1买方同意从卖方购买、卖方同意向买方出售和提供的合同标的以及相关售后服务、技术培训和技术资料。</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2.2数量：见招标文件第六章《采购需求》。</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第三条 价格</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3.1 合同总价见《合同专用条款》。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3.2 合同总价是固定价格。</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第四条 支付（采购资金的支付方式、时间、条件）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4.1买方应按照《合同专用条款》的规定进行支付。如果卖方未能按照《合同专用条款》的要求提交支付文件，由此产生的所有责任和发生的所有费用，均由卖方承担。</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4.2卖方有义务根据合同的规定向买方支付违约金和/或赔偿金时，买方有权从任何一笔应付款或卖方的履约保证金中予以扣除。</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第五条 交货（货物、服务提供的时间、地点、方式）</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5.1交货期限、批次和交货条件见《合同专用条款》。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5.2交货地点见《合同专用条款》。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5.3在《合同专用条款》规定的期限内，卖方应将合同号、合同标的的名称、数量、金额、包装件数以及交货的时间以书面方式通知买方。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5.4卖方应按下列规定交付合同标的：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5.4.1卖方负责将合同标的送至《合同专用条款》规定的交货地点。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5.4.2买方出具的收据日期是合同标的的实际交货日期。</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5.5如果卖方未能按照合同规定的交货期限交货，卖方应按《合同专用条款》的规定支付违约金或提供其他救济。</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第六条 包装与标记</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6.1除非合同中另有规定，合同标的应保持产品制造企业原包装完好。</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6.2在合同标的的每件包装中都应附有下列单据：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 装箱明细单；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 质量合格证；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C. 技术资料。</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第七条 技术资料</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7.1 技术资料交付的期限和方式见《合同专用条款》。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第八条 安装</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8.1 合同标的的安装期限见《合同专用条款》。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8.2 项目实施方案见合同附件7。</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第九条 验收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9.1合同标的的试运行、验收见《合同专用条款》。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9.2如果合同附件2 所规定的所有技术性能在验收中都已经达到，双方应在验收合格后5 日内签署验收书。</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9.3验收标准（验收要求、验收标准和程序）：见合同附件5。</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第十条 售后服务和技术培训</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10.1售后服务和技术培训见合同附件3。</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第十一条 索赔</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 卖方替换不符合合同规定的合同标的。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 按质量低劣的程度、买方受损害的程度及损失的数额对合同标的进行降价。</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C. 拒收合同标的。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D. 赔偿由卖方违约引起的其他损失。</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第十二条 不可抗力</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第十三条 合同的终止</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 卖方在合同规定的交货期限后未能按《合同专用条款》中规定的最终期限交付合同标的和/或技术资料；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 合同标的未能达到合同附件2 规定的技术性能；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C. 卖方未能履行合同项下任何其它义务，并且在收到买方违约通知后未能按《合同专用条款》中规定的期限对其违约行为作出补救。</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13.3如果买方认定卖方在投标或执行合同中有腐败或欺诈行为，买方有权在任何时候发出书面通知终止合同。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A.“腐败行为”系指在招标、采购和合同执行等过程中，为谋求利益、影响相关人员而提供、给予、接受或索取任何有价物的行为。</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B.“欺诈行为”系指为了影响招标、采购和合同执行等过程而隐瞒事实，从而给买方造成损害的行为，其中包括投标人之间的串通行为。</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13.4 在买方全部或部分终止合同的情况下，卖方应按《合同专用条款》的规定对买方给予补偿。</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第十四条 争议的解决</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14.1 因执行本合同所发生的或者与本合同有关的一切争议由合同双方通过友好协商解决，如果不能协商一致，按《合同专用条款》规定的方式解决。</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第十五条 适用法律</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15.1 本合同的执行和争议的解决适用中华人民共和国的法律并按中华人民共和国的法律进行解释。</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第十六条  权利保证</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16.1卖方应保证买方在使用合同标的时不受第三方提出侵犯其专利权、版权、商标权或其他权利的起诉。一旦出现侵权，卖方承担全部责任。</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第十七条  保密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17.2上述秘密，卖方只能用于本合同，而且只能由卖方相应的人员使用；没有必要接触的卖方人员，不得接触。</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17.3卖方应当采取适当有效的方式保护所获取的上述秘密。</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第十八条 合同生效及其他</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18.1 本合同在合同协议书（合同附件1）规定的条件全部满足后生效。</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18.3 合同双方各自承担与本合同有关的应负税费。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18.4合同双方除非《合同专用条款》另有规定，所有合同文件及相关的修订和合同双方之间的书面联络，应使用中文书就并按中文解释。</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18.5对本合同的任何补充、增添或修改以书面方式进行。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18.6没有另一方的事先书面同意，合同任何一方不得将合同项下的任何权利和义务转让给第三方。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18.8合同条款中的标题和边注仅供参考使用，不应视为合同的一部分，也不影响本文的解释。</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18.9合同构成买方和卖方之间就合同主要内容方面的完整协议，并且取代合同签订前所有关于这方面的通讯、协商、协议(不论是书面的，还是口头的)。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18.11合同双方之间的一切联络往来应以书面形式按《合同专用条款》中规定的通讯地址发往合同另一方。有关重要事项的传真应及时用挂号信或快件确认。</w:t>
      </w:r>
      <w:r/>
    </w:p>
    <w:p>
      <w:pPr>
        <w:pStyle w:val="993"/>
        <w:ind w:left="0" w:right="0" w:firstLine="420"/>
        <w:spacing w:line="360" w:lineRule="auto"/>
        <w:rPr>
          <w:rStyle w:val="992"/>
          <w:rFonts w:hint="eastAsia" w:ascii="宋体" w:hAnsi="宋体" w:eastAsia="宋体" w:cs="宋体"/>
          <w:bCs/>
          <w:sz w:val="28"/>
          <w:szCs w:val="28"/>
          <w:highlight w:val="whit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sz w:val="28"/>
          <w:szCs w:val="28"/>
          <w:highlight w:val="white"/>
        </w:rPr>
      </w:r>
      <w:r/>
    </w:p>
    <w:p>
      <w:pPr>
        <w:jc w:val="center"/>
        <w:spacing w:line="360" w:lineRule="auto"/>
        <w:rPr>
          <w:rFonts w:hint="eastAsia" w:ascii="宋体" w:hAnsi="宋体" w:eastAsia="宋体" w:cs="宋体"/>
          <w:b/>
          <w:bCs/>
          <w:sz w:val="32"/>
          <w:szCs w:val="32"/>
          <w:highlight w:val="white"/>
        </w:rPr>
      </w:pPr>
      <w:r>
        <w:rPr>
          <w:rFonts w:hint="eastAsia" w:ascii="宋体" w:hAnsi="宋体" w:eastAsia="宋体" w:cs="宋体"/>
          <w:b/>
          <w:bCs/>
          <w:sz w:val="32"/>
          <w:szCs w:val="32"/>
          <w:highlight w:val="white"/>
        </w:rPr>
        <w:t xml:space="preserve">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《合同专用条款》中的条款项号是与《合同通用条款》中的条款项号对应的，其增加的内容和条款，是对《合同通用条款》的补充、修改和完善，如果有矛盾的话，以《合同专用条款》为准。</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第一条 定义</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 “买方”为 </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 “卖方”为</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 “工作现场”为</w:t>
      </w:r>
      <w:r>
        <w:rPr>
          <w:rFonts w:hint="eastAsia" w:ascii="宋体" w:hAnsi="宋体" w:eastAsia="宋体" w:cs="宋体"/>
          <w:sz w:val="24"/>
          <w:highlight w:val="white"/>
          <w:u w:val="single"/>
        </w:rPr>
        <w:t xml:space="preserve">买方指定地点</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1.10 “合同货币”即</w:t>
      </w:r>
      <w:r>
        <w:rPr>
          <w:rFonts w:hint="eastAsia" w:ascii="宋体" w:hAnsi="宋体" w:eastAsia="宋体" w:cs="宋体"/>
          <w:sz w:val="24"/>
          <w:highlight w:val="white"/>
          <w:u w:val="single"/>
        </w:rPr>
        <w:t xml:space="preserve">人民币</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第二条 合同范围</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2.1买方同意从卖方购买、卖方同意向买方出售的合同标的是</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。详见合同附件。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第三条 价格</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3.1合同总价为￥</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大写：人民币</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3.2报价包括但不限于产品价、税金、运费、安装调试、检验、验收、售后服务、投标人的利润等全部费用</w:t>
      </w:r>
      <w:r>
        <w:rPr>
          <w:rFonts w:hint="eastAsia" w:ascii="宋体" w:hAnsi="宋体" w:eastAsia="宋体" w:cs="宋体"/>
          <w:bCs/>
          <w:sz w:val="24"/>
          <w:highlight w:val="white"/>
        </w:rPr>
        <w:t xml:space="preserve">。采购人不再支付报价以外的任何费用</w:t>
      </w:r>
      <w:r>
        <w:rPr>
          <w:rFonts w:hint="eastAsia" w:ascii="宋体" w:hAnsi="宋体" w:eastAsia="宋体" w:cs="宋体"/>
          <w:sz w:val="24"/>
          <w:highlight w:val="white"/>
        </w:rPr>
        <w:t xml:space="preserve">。项目实施过程中除招标人提出的变更要求外不增加任何费用，本合同总价中包括但不限于国家法律法规对设备、材料的检验、检测费用，包含所有实验室设施设备必须配套的线缆及辅料等须满足使用功能及采购人要求。</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第四条 支付</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4.1结算金额的计算方式（采购资金的支付方式、时间、条件）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经双方协商一致，选择以下第</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种付款方式：</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auto"/>
          <w:sz w:val="24"/>
          <w:szCs w:val="24"/>
          <w:highlight w:val="none"/>
        </w:rPr>
        <w:t xml:space="preserve">付款方式（提交预付款保函的）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合同总价的百分之四十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作为预付款，在合同签订生效且卖方向甲方出具合同总价的百分之四十（40%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的预付款保函，甲方自收到</w:t>
      </w:r>
      <w:r>
        <w:rPr>
          <w:rFonts w:hint="eastAsia" w:ascii="宋体" w:hAnsi="宋体" w:cs="宋体"/>
          <w:color w:val="auto"/>
          <w:sz w:val="24"/>
          <w:szCs w:val="24"/>
          <w:highlight w:val="none"/>
          <w:lang w:val="en-US" w:eastAsia="zh-CN"/>
        </w:rPr>
        <w:t xml:space="preserve">发票</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发票</w:t>
      </w:r>
      <w:r>
        <w:rPr>
          <w:rFonts w:hint="eastAsia" w:ascii="宋体" w:hAnsi="宋体" w:eastAsia="宋体" w:cs="宋体"/>
          <w:color w:val="auto"/>
          <w:sz w:val="24"/>
          <w:szCs w:val="24"/>
          <w:highlight w:val="none"/>
        </w:rPr>
        <w:t xml:space="preserve">金额为合同总价的40%）后10个工作日内，将资金支付到合同约定的乙方账户。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合同总价的百分之六十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，经买方验收合格后，买方自收到发票（发票金额为合同总价的60%）后10个工作日内，将资金支付到合同约定的卖方账户。</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②付款方式（不提交预付款保函的）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合同总价的百分之三十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作为预付款，在合同签订生效，甲方自收到</w:t>
      </w:r>
      <w:r>
        <w:rPr>
          <w:rFonts w:hint="eastAsia" w:ascii="宋体" w:hAnsi="宋体" w:cs="宋体"/>
          <w:color w:val="auto"/>
          <w:sz w:val="24"/>
          <w:szCs w:val="24"/>
          <w:highlight w:val="none"/>
          <w:lang w:val="en-US" w:eastAsia="zh-CN"/>
        </w:rPr>
        <w:t xml:space="preserve">发票</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发票</w:t>
      </w:r>
      <w:r>
        <w:rPr>
          <w:rFonts w:hint="eastAsia" w:ascii="宋体" w:hAnsi="宋体" w:eastAsia="宋体" w:cs="宋体"/>
          <w:color w:val="auto"/>
          <w:sz w:val="24"/>
          <w:szCs w:val="24"/>
          <w:highlight w:val="none"/>
        </w:rPr>
        <w:t xml:space="preserve">金额为合同总价的30%）后10个工作日内，将资金支付到合同约定的乙方账户。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合同总价的百分之七十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，经买方验收合格后，买方自收到发票（发票金额为合同总价的 70%）后 10个工作日内，将资金支付到合同约定的卖方账户。</w:t>
      </w:r>
      <w:r/>
    </w:p>
    <w:p>
      <w:pPr>
        <w:ind w:firstLine="420"/>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买方付款前卖方需提交的支付文件包括：</w:t>
      </w:r>
      <w:r/>
    </w:p>
    <w:p>
      <w:pPr>
        <w:ind w:firstLine="420"/>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卖方出具的正式发票。</w:t>
      </w:r>
      <w:r/>
    </w:p>
    <w:p>
      <w:pPr>
        <w:ind w:firstLine="420"/>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买方签署验收合格报告。</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4.2上述费用买方支付至卖方指定账户内。除卖方另行指定外，该指定账户信息为：</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户名： </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账号：</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开户行： </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第五条 交货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5.1卖方应于合同生效后，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日历天内将合同标的全部交付并安装完毕。</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5.2 交货地点为</w:t>
      </w:r>
      <w:r>
        <w:rPr>
          <w:rFonts w:hint="eastAsia" w:ascii="宋体" w:hAnsi="宋体" w:eastAsia="宋体" w:cs="宋体"/>
          <w:color w:val="auto"/>
          <w:sz w:val="24"/>
          <w:highlight w:val="white"/>
          <w:u w:val="single"/>
        </w:rPr>
        <w:t xml:space="preserve">买方指定地点</w:t>
      </w:r>
      <w:r>
        <w:rPr>
          <w:rFonts w:hint="eastAsia" w:ascii="宋体" w:hAnsi="宋体" w:eastAsia="宋体" w:cs="宋体"/>
          <w:color w:val="auto"/>
          <w:sz w:val="24"/>
          <w:highlight w:val="white"/>
        </w:rPr>
        <w:t xml:space="preserve">。</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5.3卖方应在不迟于每批合同标的备妥待运前</w:t>
      </w:r>
      <w:r>
        <w:rPr>
          <w:rFonts w:hint="eastAsia" w:ascii="宋体" w:hAnsi="宋体" w:eastAsia="宋体" w:cs="宋体"/>
          <w:color w:val="auto"/>
          <w:sz w:val="24"/>
          <w:highlight w:val="white"/>
          <w:u w:val="single"/>
        </w:rPr>
        <w:t xml:space="preserve"> </w:t>
      </w:r>
      <w:r>
        <w:rPr>
          <w:rFonts w:hint="eastAsia" w:ascii="宋体" w:hAnsi="宋体" w:cs="宋体"/>
          <w:color w:val="auto"/>
          <w:sz w:val="24"/>
          <w:highlight w:val="white"/>
          <w:u w:val="single"/>
          <w:lang w:val="en-US" w:eastAsia="zh-CN"/>
        </w:rPr>
        <w:t xml:space="preserve"> </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日通知买方。</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highlight w:val="white"/>
        </w:rPr>
        <w:t xml:space="preserve">5.5如果卖方未能按照合同规定的交货期限交货，卖方应按每天迟交合同标的金额的</w:t>
      </w:r>
      <w:r>
        <w:rPr>
          <w:rFonts w:hint="eastAsia" w:ascii="宋体" w:hAnsi="宋体" w:cs="宋体"/>
          <w:color w:val="auto"/>
          <w:sz w:val="24"/>
          <w:highlight w:val="white"/>
          <w:lang w:val="en-US" w:eastAsia="zh-CN"/>
        </w:rPr>
        <w:t xml:space="preserve">百</w:t>
      </w:r>
      <w:r>
        <w:rPr>
          <w:rFonts w:hint="eastAsia" w:ascii="宋体" w:hAnsi="宋体" w:eastAsia="宋体" w:cs="宋体"/>
          <w:color w:val="auto"/>
          <w:sz w:val="24"/>
          <w:highlight w:val="white"/>
        </w:rPr>
        <w:t xml:space="preserve">分之</w:t>
      </w:r>
      <w:r>
        <w:rPr>
          <w:rFonts w:hint="eastAsia" w:ascii="宋体" w:hAnsi="宋体" w:cs="宋体"/>
          <w:color w:val="auto"/>
          <w:sz w:val="24"/>
          <w:highlight w:val="white"/>
          <w:u w:val="single"/>
          <w:lang w:val="en-US" w:eastAsia="zh-CN"/>
        </w:rPr>
        <w:t xml:space="preserve">二</w:t>
      </w:r>
      <w:r>
        <w:rPr>
          <w:rFonts w:hint="eastAsia" w:ascii="宋体" w:hAnsi="宋体" w:eastAsia="宋体" w:cs="宋体"/>
          <w:color w:val="auto"/>
          <w:sz w:val="24"/>
          <w:highlight w:val="white"/>
        </w:rPr>
        <w:t xml:space="preserve"> (</w:t>
      </w:r>
      <w:r>
        <w:rPr>
          <w:rFonts w:hint="eastAsia" w:ascii="宋体" w:hAnsi="宋体" w:cs="宋体"/>
          <w:color w:val="auto"/>
          <w:sz w:val="24"/>
          <w:highlight w:val="white"/>
          <w:u w:val="single"/>
          <w:lang w:val="en-US" w:eastAsia="zh-CN"/>
        </w:rPr>
        <w:t xml:space="preserve">2</w:t>
      </w:r>
      <w:r>
        <w:rPr>
          <w:rFonts w:hint="eastAsia" w:ascii="宋体" w:hAnsi="宋体" w:eastAsia="宋体" w:cs="宋体"/>
          <w:color w:val="auto"/>
          <w:sz w:val="24"/>
          <w:highlight w:val="white"/>
        </w:rPr>
        <w:t xml:space="preserve">%)的比率支付违约金。违约金的支付不能免除卖方继续交付相关合同标的的义务</w:t>
      </w:r>
      <w:r>
        <w:rPr>
          <w:rFonts w:hint="eastAsia" w:ascii="宋体" w:hAnsi="宋体" w:cs="宋体"/>
          <w:color w:val="auto"/>
          <w:sz w:val="24"/>
          <w:szCs w:val="24"/>
          <w:highlight w:val="none"/>
          <w:lang w:val="en-US" w:eastAsia="zh-CN"/>
        </w:rPr>
        <w:t xml:space="preserve">，因此给买方造成的损失超过违约金的，卖方另行赔偿。</w:t>
      </w:r>
      <w:r/>
    </w:p>
    <w:p>
      <w:pPr>
        <w:pStyle w:val="974"/>
        <w:ind w:firstLine="600"/>
        <w:spacing w:line="360" w:lineRule="auto"/>
        <w:rPr>
          <w:rFonts w:hint="eastAsia" w:ascii="宋体" w:hAnsi="宋体" w:eastAsia="宋体" w:cs="宋体"/>
          <w:sz w:val="24"/>
          <w:highlight w:val="white"/>
        </w:rPr>
      </w:pPr>
      <w:r>
        <w:rPr>
          <w:rFonts w:hint="eastAsia" w:ascii="宋体" w:hAnsi="宋体" w:eastAsia="宋体" w:cs="宋体"/>
          <w:color w:val="auto"/>
          <w:sz w:val="24"/>
          <w:highlight w:val="white"/>
        </w:rPr>
        <w:t xml:space="preserve">如果卖方在合同规定的交货期限后</w:t>
      </w:r>
      <w:r>
        <w:rPr>
          <w:rFonts w:hint="eastAsia" w:ascii="宋体" w:hAnsi="宋体" w:eastAsia="宋体" w:cs="宋体"/>
          <w:color w:val="auto"/>
          <w:sz w:val="24"/>
          <w:highlight w:val="white"/>
          <w:u w:val="single"/>
        </w:rPr>
        <w:t xml:space="preserve">十</w:t>
      </w:r>
      <w:r>
        <w:rPr>
          <w:rFonts w:hint="eastAsia" w:ascii="宋体" w:hAnsi="宋体" w:eastAsia="宋体" w:cs="宋体"/>
          <w:color w:val="auto"/>
          <w:sz w:val="24"/>
          <w:highlight w:val="white"/>
        </w:rPr>
        <w:t xml:space="preserve">日内</w:t>
      </w:r>
      <w:r>
        <w:rPr>
          <w:rFonts w:hint="eastAsia" w:ascii="宋体" w:hAnsi="宋体" w:cs="宋体"/>
          <w:color w:val="auto"/>
          <w:sz w:val="24"/>
          <w:szCs w:val="24"/>
          <w:highlight w:val="none"/>
          <w:lang w:val="en-US" w:eastAsia="zh-CN"/>
        </w:rPr>
        <w:t xml:space="preserve">（情况紧急的，于1日内）</w:t>
      </w:r>
      <w:r>
        <w:rPr>
          <w:rFonts w:hint="eastAsia" w:ascii="宋体" w:hAnsi="宋体" w:eastAsia="宋体" w:cs="宋体"/>
          <w:sz w:val="24"/>
          <w:highlight w:val="white"/>
        </w:rPr>
        <w:t xml:space="preserve">仍未能交付全部或部分标的，在不妨碍买方采取其他救济手段的情况下，买方可以向卖方发出书面违约通知从而全部或部分地终止合同</w:t>
      </w:r>
      <w:r>
        <w:rPr>
          <w:rFonts w:hint="eastAsia" w:ascii="宋体" w:hAnsi="宋体" w:cs="宋体"/>
          <w:color w:val="auto"/>
          <w:sz w:val="24"/>
          <w:szCs w:val="24"/>
          <w:highlight w:val="none"/>
          <w:lang w:val="en-US" w:eastAsia="zh-CN"/>
        </w:rPr>
        <w:t xml:space="preserve">，因此给买方造成的损失（与本合同</w:t>
      </w:r>
      <w:r>
        <w:rPr>
          <w:rFonts w:ascii="宋体" w:hAnsi="宋体" w:cs="宋体"/>
          <w:color w:val="auto"/>
          <w:sz w:val="24"/>
          <w:szCs w:val="24"/>
          <w:highlight w:val="none"/>
          <w:lang w:eastAsia="zh-CN"/>
        </w:rPr>
        <w:t xml:space="preserve">约定</w:t>
      </w:r>
      <w:r>
        <w:rPr>
          <w:rFonts w:hint="eastAsia" w:ascii="宋体" w:hAnsi="宋体" w:cs="宋体"/>
          <w:color w:val="auto"/>
          <w:sz w:val="24"/>
          <w:szCs w:val="24"/>
          <w:highlight w:val="none"/>
          <w:lang w:val="en-US" w:eastAsia="zh-CN"/>
        </w:rPr>
        <w:t xml:space="preserve">相比多支出的费用、因未及时交付造成事故损失等一切费用），卖方需另行赔偿。</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条 技术资料</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技术资料随合同标的同时交付给买方。</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七</w:t>
      </w:r>
      <w:r>
        <w:rPr>
          <w:rFonts w:hint="eastAsia" w:ascii="宋体" w:hAnsi="宋体" w:eastAsia="宋体" w:cs="宋体"/>
          <w:color w:val="auto"/>
          <w:sz w:val="24"/>
          <w:szCs w:val="24"/>
          <w:highlight w:val="none"/>
        </w:rPr>
        <w:t xml:space="preserve">条 安装</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.1卖方应于合同生效后，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日历天内将合同标的全部交付并安装完毕</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八</w:t>
      </w:r>
      <w:r>
        <w:rPr>
          <w:rFonts w:hint="eastAsia" w:ascii="宋体" w:hAnsi="宋体" w:eastAsia="宋体" w:cs="宋体"/>
          <w:color w:val="auto"/>
          <w:sz w:val="24"/>
          <w:szCs w:val="24"/>
          <w:highlight w:val="none"/>
        </w:rPr>
        <w:t xml:space="preserve">条 验收</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.1合同标的的试运行、验收应在卖方的协助下进行。合同标的全部交付后，卖方可向买方书面提出试运行、验收要求，买方在接到书面要求后</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日进行试运行、验收。如果试运行和/或验收因卖方原因发生迟延和/ 或</w:t>
      </w:r>
      <w:r>
        <w:rPr>
          <w:rFonts w:hint="eastAsia" w:ascii="宋体" w:hAnsi="宋体" w:cs="宋体"/>
          <w:color w:val="auto"/>
          <w:sz w:val="24"/>
          <w:szCs w:val="24"/>
          <w:highlight w:val="none"/>
          <w:lang w:eastAsia="zh-CN"/>
        </w:rPr>
        <w:t xml:space="preserve">在其他情况下</w:t>
      </w:r>
      <w:r>
        <w:rPr>
          <w:rFonts w:hint="eastAsia" w:ascii="宋体" w:hAnsi="宋体" w:eastAsia="宋体" w:cs="宋体"/>
          <w:color w:val="auto"/>
          <w:sz w:val="24"/>
          <w:szCs w:val="24"/>
          <w:highlight w:val="none"/>
        </w:rPr>
        <w:t xml:space="preserve">发生额外费用，买方有权就因迟延发生的损害和损失和/或任何额外费用请求赔偿。</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条 索赔</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.1买方有权选择本条款规定的任意或全部救济方式。</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.2卖方应在收到买方索赔要求后7日内作出书面回复，否则该索赔要求将被视为已被卖方接受。卖方应在买方发出索赔要求后7日内，按照买方选择的救济方法解决索赔事宜。</w:t>
      </w:r>
      <w:r/>
    </w:p>
    <w:p>
      <w:pPr>
        <w:pStyle w:val="974"/>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9.3如</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货物的品质与国家标准、合同约定的要求不符，或未达到当地行政职能部门质量监督的检验结果，或证实是有缺陷的，包括潜在缺陷等时，</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有权向</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提出索赔。由于产品质量问题导致环境损害或其他损害的，卖方应承担全部损害赔偿责任。</w:t>
      </w:r>
      <w:r/>
    </w:p>
    <w:p>
      <w:pPr>
        <w:pStyle w:val="974"/>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索赔方式除上述规定之外，</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还有权选择以下方式进行索赔：</w:t>
      </w:r>
      <w:r/>
    </w:p>
    <w:p>
      <w:pPr>
        <w:pStyle w:val="974"/>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（1）解除合同（退货）。</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选择退货方式要求</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承担违约责任的，</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须赔偿</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20000元，承担由此发生的一切损失和费用，包括</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直接损失、利息、银行手续费、运费、保险费、仓储费、装卸费以及为保护退回货物所需</w:t>
      </w:r>
      <w:r>
        <w:rPr>
          <w:rFonts w:hint="eastAsia" w:ascii="宋体" w:hAnsi="宋体" w:cs="宋体"/>
          <w:color w:val="auto"/>
          <w:sz w:val="24"/>
          <w:szCs w:val="24"/>
          <w:highlight w:val="none"/>
          <w:lang w:val="en-US" w:eastAsia="zh-CN"/>
        </w:rPr>
        <w:t xml:space="preserve">的其他</w:t>
      </w:r>
      <w:r>
        <w:rPr>
          <w:rFonts w:hint="eastAsia" w:ascii="宋体" w:hAnsi="宋体" w:eastAsia="宋体" w:cs="宋体"/>
          <w:color w:val="auto"/>
          <w:sz w:val="24"/>
          <w:szCs w:val="24"/>
          <w:highlight w:val="none"/>
          <w:lang w:val="en-US" w:eastAsia="zh-CN"/>
        </w:rPr>
        <w:t xml:space="preserve">必要费用。</w:t>
      </w:r>
      <w:r/>
    </w:p>
    <w:p>
      <w:pPr>
        <w:pStyle w:val="974"/>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（2）更换。</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选择更换方式要求</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承担违约责任的，</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须用符合规格、质量和性能要求的货物更换有缺陷的部分，并赔偿</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10000元，且承担一切费用和风险并负担</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所发生的一切直接费用。</w:t>
      </w:r>
      <w:r/>
    </w:p>
    <w:p>
      <w:pPr>
        <w:pStyle w:val="974"/>
        <w:ind w:firstLine="600"/>
        <w:spacing w:line="360" w:lineRule="auto"/>
        <w:rPr>
          <w:rFonts w:eastAsia="宋体"/>
          <w:color w:val="auto"/>
          <w:highlight w:val="none"/>
          <w:lang w:val="en-US" w:eastAsia="zh-CN"/>
        </w:rPr>
      </w:pPr>
      <w:r>
        <w:rPr>
          <w:rFonts w:hint="eastAsia" w:ascii="宋体" w:hAnsi="宋体" w:eastAsia="宋体" w:cs="宋体"/>
          <w:color w:val="auto"/>
          <w:sz w:val="24"/>
          <w:szCs w:val="24"/>
          <w:highlight w:val="none"/>
          <w:lang w:val="en-US" w:eastAsia="zh-CN"/>
        </w:rPr>
        <w:t xml:space="preserve">（3）弥补损失。因</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违约，</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有权从尚未支付的合同价款或履约保证金中扣除</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应承担的违约金、赔偿金以及</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因急需更换或紧急维修而支付的各种费用以及因索赔而发生的合理费用，包括律师费用。如果这些金额不足以补偿索赔金额，</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有权向</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提出对不足部分的赔偿。</w:t>
      </w:r>
      <w:r>
        <w:rPr>
          <w:rFonts w:hint="eastAsia" w:ascii="宋体"/>
          <w:b/>
          <w:color w:val="auto"/>
          <w:szCs w:val="21"/>
          <w:highlight w:val="none"/>
        </w:rPr>
        <w:t xml:space="preserve"> </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合同履行过程中，卖方不得以任何理由提高货物单价，如卖方擅自提高单价或要求卖方提高单价，卖方有权拒绝卖方的提价要求，并要求卖方按约定继续履行合同；针对此情况，买方也有权解除合同，并要求卖方支付违约金100000元。</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不可抗力</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如果不可抗力事件的影响持续超过20日，合同任何一方均有权发出书面通知终止合同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附佐证材料经甲乙双方签字确认后生效</w:t>
      </w:r>
      <w:r>
        <w:rPr>
          <w:rFonts w:hint="eastAsia" w:ascii="宋体" w:hAnsi="宋体" w:eastAsia="宋体" w:cs="宋体"/>
          <w:color w:val="auto"/>
          <w:sz w:val="24"/>
          <w:szCs w:val="24"/>
          <w:highlight w:val="none"/>
        </w:rPr>
        <w:t xml:space="preserve">。</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条 合同的终止</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.1如果卖方有下述违约行为，买方可以全部或部分地终止合同：</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卖方在合同规定的交货期限后</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日内仍未能交付合同标的和/ 或技术资料；或者卖方未能履行合同项下</w:t>
      </w:r>
      <w:r>
        <w:rPr>
          <w:rFonts w:hint="eastAsia" w:ascii="宋体" w:hAnsi="宋体" w:cs="宋体"/>
          <w:color w:val="auto"/>
          <w:sz w:val="24"/>
          <w:szCs w:val="24"/>
          <w:highlight w:val="none"/>
          <w:lang w:eastAsia="zh-CN"/>
        </w:rPr>
        <w:t xml:space="preserve">任何其他</w:t>
      </w:r>
      <w:r>
        <w:rPr>
          <w:rFonts w:hint="eastAsia" w:ascii="宋体" w:hAnsi="宋体" w:eastAsia="宋体" w:cs="宋体"/>
          <w:color w:val="auto"/>
          <w:sz w:val="24"/>
          <w:szCs w:val="24"/>
          <w:highlight w:val="none"/>
        </w:rPr>
        <w:t xml:space="preserve">义务，并且在收到买方违约通知后</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rPr>
        <w:t xml:space="preserve">日内仍未能对其违约行为作出补救。</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条 争议的解决</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.1本合同生效起，如任何一方违约，如果不能协商一致，合同任何一方有权向买方所在地人民法院提起诉讼。守约方为维护权益向违约方的律师费、公证费、鉴定费、保全费和诉讼费等一切费用由违约方承担。</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条 合同生效及其他</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按照《财政部关于做好政府采购信息公开工作的通知》（财库〔2015〕135号），买方依据《保守国家秘密法》等法律制度规定确定本合同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部分涉及商业秘密，该涉及商业秘密部分不公告。</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合同双方的通讯地址：</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买方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卖方</w:t>
      </w:r>
      <w:r>
        <w:rPr>
          <w:rFonts w:hint="eastAsia" w:ascii="宋体" w:hAnsi="宋体" w:cs="宋体"/>
          <w:color w:val="auto"/>
          <w:sz w:val="24"/>
          <w:szCs w:val="24"/>
          <w:highlight w:val="none"/>
          <w:lang w:eastAsia="zh-CN"/>
        </w:rPr>
        <w:t xml:space="preserve">：</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邮编</w:t>
      </w:r>
      <w:r>
        <w:rPr>
          <w:rFonts w:hint="eastAsia" w:ascii="宋体" w:hAnsi="宋体" w:cs="宋体"/>
          <w:color w:val="auto"/>
          <w:sz w:val="24"/>
          <w:szCs w:val="24"/>
          <w:highlight w:val="none"/>
          <w:lang w:eastAsia="zh-CN"/>
        </w:rPr>
        <w:t xml:space="preserve">：</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eastAsia="zh-CN"/>
        </w:rPr>
        <w:t xml:space="preserve">：</w:t>
      </w:r>
      <w:r/>
    </w:p>
    <w:p>
      <w:pPr>
        <w:pStyle w:val="974"/>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974"/>
        <w:jc w:val="center"/>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合同附件</w:t>
      </w:r>
      <w:r/>
    </w:p>
    <w:p>
      <w:pPr>
        <w:pStyle w:val="974"/>
        <w:ind w:firstLine="60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4"/>
        <w:ind w:firstLine="60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录</w:t>
      </w:r>
      <w:r/>
    </w:p>
    <w:p>
      <w:pPr>
        <w:pStyle w:val="974"/>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合同附件1：合同协议书</w:t>
      </w:r>
      <w:r/>
    </w:p>
    <w:p>
      <w:pPr>
        <w:pStyle w:val="974"/>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合同附件2：技术规格和技术性能</w:t>
      </w:r>
      <w:r/>
    </w:p>
    <w:p>
      <w:pPr>
        <w:pStyle w:val="974"/>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要求见招标文件第六章《采购需求》；合同见卖方投标文件。</w:t>
      </w:r>
      <w:r>
        <w:rPr>
          <w:rFonts w:hint="eastAsia" w:ascii="宋体" w:hAnsi="宋体" w:cs="宋体"/>
          <w:color w:val="auto"/>
          <w:sz w:val="24"/>
          <w:szCs w:val="24"/>
          <w:highlight w:val="none"/>
          <w:lang w:eastAsia="zh-CN"/>
        </w:rPr>
        <w:t xml:space="preserve">）</w:t>
      </w:r>
      <w:r/>
    </w:p>
    <w:p>
      <w:pPr>
        <w:pStyle w:val="974"/>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合同附件3：售后服务和技术培训</w:t>
      </w:r>
      <w:r/>
    </w:p>
    <w:p>
      <w:pPr>
        <w:pStyle w:val="974"/>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要求见招标文件第六章《采购需求》；合同见卖方投标文件。</w:t>
      </w:r>
      <w:r>
        <w:rPr>
          <w:rFonts w:hint="eastAsia" w:ascii="宋体" w:hAnsi="宋体" w:cs="宋体"/>
          <w:color w:val="auto"/>
          <w:sz w:val="24"/>
          <w:szCs w:val="24"/>
          <w:highlight w:val="none"/>
          <w:lang w:eastAsia="zh-CN"/>
        </w:rPr>
        <w:t xml:space="preserve">）</w:t>
      </w:r>
      <w:r/>
    </w:p>
    <w:p>
      <w:pPr>
        <w:pStyle w:val="974"/>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合同附件4：供货范围和价格清单</w:t>
      </w:r>
      <w:r/>
    </w:p>
    <w:p>
      <w:pPr>
        <w:pStyle w:val="974"/>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要求见招标文件第七章《投标文件相关格式》中《开标一览表》和《分项价格表》；合同见卖方投标文件。</w:t>
      </w:r>
      <w:r>
        <w:rPr>
          <w:rFonts w:hint="eastAsia" w:ascii="宋体" w:hAnsi="宋体" w:cs="宋体"/>
          <w:color w:val="auto"/>
          <w:sz w:val="24"/>
          <w:szCs w:val="24"/>
          <w:highlight w:val="none"/>
          <w:lang w:eastAsia="zh-CN"/>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center"/>
        <w:spacing w:line="360" w:lineRule="auto"/>
        <w:rPr>
          <w:rStyle w:val="994"/>
          <w:rFonts w:hint="eastAsia" w:ascii="宋体" w:hAnsi="宋体" w:eastAsia="宋体" w:cs="宋体"/>
          <w:b/>
          <w:bCs/>
          <w:sz w:val="32"/>
          <w:szCs w:val="32"/>
        </w:rPr>
      </w:pPr>
      <w:r>
        <w:rPr>
          <w:rFonts w:hint="eastAsia" w:ascii="宋体" w:hAnsi="宋体" w:eastAsia="宋体" w:cs="宋体"/>
          <w:b/>
          <w:sz w:val="32"/>
          <w:szCs w:val="32"/>
        </w:rPr>
        <w:t xml:space="preserve">第六章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采购需求</w:t>
      </w:r>
      <w:bookmarkStart w:id="2" w:name="_Toc324452802"/>
      <w:r/>
      <w:bookmarkEnd w:id="2"/>
      <w:r/>
      <w:bookmarkStart w:id="3" w:name="_Toc322457054"/>
      <w:r/>
      <w:bookmarkEnd w:id="3"/>
      <w:r/>
      <w:r/>
    </w:p>
    <w:p>
      <w:pPr>
        <w:keepLines w:val="0"/>
        <w:keepNext w:val="0"/>
        <w:pageBreakBefore w:val="0"/>
        <w:spacing w:line="360" w:lineRule="auto"/>
        <w:widowControl w:val="off"/>
        <w:tabs>
          <w:tab w:val="left" w:pos="0" w:leader="none"/>
        </w:tabs>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一、项目说明</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 xml:space="preserve">（一）采购人：徐州市体育局。</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 xml:space="preserve">（二）采购项目名称：</w:t>
      </w:r>
      <w:r>
        <w:rPr>
          <w:rFonts w:hint="eastAsia" w:ascii="宋体" w:hAnsi="宋体" w:cs="宋体"/>
          <w:b w:val="0"/>
          <w:bCs w:val="0"/>
          <w:color w:val="000000"/>
          <w:sz w:val="24"/>
          <w:lang w:val="en-US" w:eastAsia="zh-CN"/>
        </w:rPr>
        <w:t xml:space="preserve">2026年徐州市城市社区健身设施配建项目</w:t>
      </w:r>
      <w:r>
        <w:rPr>
          <w:rFonts w:hint="eastAsia" w:ascii="宋体" w:hAnsi="宋体" w:eastAsia="宋体" w:cs="宋体"/>
          <w:b w:val="0"/>
          <w:bCs w:val="0"/>
          <w:color w:val="000000"/>
          <w:sz w:val="24"/>
          <w:lang w:val="en-US" w:eastAsia="zh-CN"/>
        </w:rPr>
        <w:t xml:space="preserve">。</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 xml:space="preserve">（三）采购标的：</w:t>
      </w:r>
      <w:r>
        <w:rPr>
          <w:rFonts w:hint="eastAsia" w:ascii="宋体" w:hAnsi="宋体" w:cs="宋体"/>
          <w:b w:val="0"/>
          <w:bCs w:val="0"/>
          <w:color w:val="000000"/>
          <w:sz w:val="24"/>
          <w:lang w:val="en-US" w:eastAsia="zh-CN"/>
        </w:rPr>
        <w:t xml:space="preserve">2026年徐州市城市社区健身设施配建项目</w:t>
      </w:r>
      <w:r>
        <w:rPr>
          <w:rFonts w:hint="eastAsia" w:ascii="宋体" w:hAnsi="宋体" w:eastAsia="宋体" w:cs="宋体"/>
          <w:b w:val="0"/>
          <w:bCs w:val="0"/>
          <w:color w:val="000000"/>
          <w:sz w:val="24"/>
          <w:lang w:val="en-US" w:eastAsia="zh-CN"/>
        </w:rPr>
        <w:t xml:space="preserve">，具体详见本招标文件第六章《采购需求》中“二、采购清单”。</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000000"/>
          <w:sz w:val="24"/>
          <w:lang w:val="en-US" w:eastAsia="zh-CN"/>
        </w:rPr>
      </w:pPr>
      <w:r>
        <w:rPr>
          <w:rFonts w:hint="eastAsia" w:ascii="宋体" w:hAnsi="宋体" w:cs="宋体"/>
          <w:b w:val="0"/>
          <w:bCs w:val="0"/>
          <w:color w:val="000000"/>
          <w:sz w:val="24"/>
          <w:lang w:val="en-US" w:eastAsia="zh-CN"/>
        </w:rPr>
        <w:t xml:space="preserve">2026年徐州市城市社区健身设施配建项目</w:t>
      </w:r>
      <w:r>
        <w:rPr>
          <w:rFonts w:hint="eastAsia" w:ascii="宋体" w:hAnsi="宋体" w:eastAsia="宋体" w:cs="宋体"/>
          <w:b w:val="0"/>
          <w:bCs w:val="0"/>
          <w:color w:val="000000"/>
          <w:sz w:val="24"/>
          <w:lang w:val="en-US" w:eastAsia="zh-CN"/>
        </w:rPr>
        <w:t xml:space="preserve">对应的中小企业划分标准所属行业为工业。</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 xml:space="preserve">注：中小企业划分标准所属行业以《工业和信息化部、国家统计局、国家发展和改革委员会、财政部关于印发中小企业划型标准规定的通知》（工信部联企业[2011]300号）的规定为准：（二）工业。</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line="360" w:lineRule="auto"/>
        <w:widowControl w:val="off"/>
        <w:tabs>
          <w:tab w:val="left" w:pos="0" w:leader="none"/>
        </w:tabs>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（四）本项目不接受超过人民币</w:t>
      </w:r>
      <w:r>
        <w:rPr>
          <w:rFonts w:hint="eastAsia" w:ascii="宋体" w:hAnsi="宋体" w:cs="宋体"/>
          <w:b/>
          <w:bCs/>
          <w:color w:val="auto"/>
          <w:sz w:val="24"/>
          <w:lang w:val="en-US" w:eastAsia="zh-CN"/>
        </w:rPr>
        <w:t xml:space="preserve">150</w:t>
      </w:r>
      <w:r>
        <w:rPr>
          <w:rFonts w:hint="eastAsia" w:ascii="宋体" w:hAnsi="宋体" w:eastAsia="宋体" w:cs="宋体"/>
          <w:b/>
          <w:bCs/>
          <w:color w:val="auto"/>
          <w:sz w:val="24"/>
          <w:lang w:val="en-US" w:eastAsia="zh-CN"/>
        </w:rPr>
        <w:t xml:space="preserve">.00万元（采购项目预算金额）的投标报价。</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本项目包括但不限于招标文件及其基本技术要求范围内的方案深化、供货、检验（自检）、包装、技术资料、货运办理、装卸至现场指定地点、新器材的存放、安装（包括必要时旧器材的拆除及安装现场场地的处理及布置）及技术指导培训、售后服务、质保期内维保等过程产生的一切费用和招标文件所要求的其他相关服务等全部内容。报价包含项目完成所需全部费用，采购人不再支付报价以外的任何费用。</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（五）本项目属于专门面向中小微企业采购的项目，供应商所提供的货物全部由符合政策要求的中小企业制造，供应商提供的货物的制造商应全部为中小微企业、监狱企业、残疾人福利性单位。</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 xml:space="preserve">（六）本项目采购的为非进口产品。</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color w:val="000000"/>
          <w:sz w:val="24"/>
          <w:lang w:val="en-US" w:eastAsia="zh-CN"/>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000000"/>
          <w:sz w:val="24"/>
          <w:lang w:val="en-US" w:eastAsia="zh-CN"/>
        </w:rPr>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二、</w:t>
      </w:r>
      <w:r>
        <w:rPr>
          <w:rFonts w:hint="eastAsia" w:ascii="宋体" w:hAnsi="宋体" w:cs="宋体"/>
          <w:b/>
          <w:bCs/>
          <w:color w:val="000000"/>
          <w:sz w:val="24"/>
          <w:lang w:val="en-US" w:eastAsia="zh-CN"/>
        </w:rPr>
        <w:t xml:space="preserve">采购清单</w:t>
      </w:r>
      <w:r>
        <w:rPr>
          <w:rFonts w:hint="eastAsia" w:ascii="宋体" w:hAnsi="宋体" w:eastAsia="宋体" w:cs="宋体"/>
          <w:b/>
          <w:bCs/>
          <w:color w:val="000000"/>
          <w:sz w:val="24"/>
          <w:lang w:val="en-US" w:eastAsia="zh-CN"/>
        </w:rPr>
        <w:t xml:space="preserve">：</w:t>
      </w:r>
      <w:r/>
    </w:p>
    <w:tbl>
      <w:tblPr>
        <w:tblStyle w:val="990"/>
        <w:tblW w:w="511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3"/>
        <w:gridCol w:w="4253"/>
        <w:gridCol w:w="1200"/>
        <w:gridCol w:w="924"/>
        <w:gridCol w:w="1205"/>
      </w:tblGrid>
      <w:tr>
        <w:trPr>
          <w:trHeight w:val="454" w:hRule="exact"/>
        </w:trPr>
        <w:tc>
          <w:tcPr>
            <w:tcW w:w="650" w:type="pct"/>
            <w:vAlign w:val="center"/>
            <w:textDirection w:val="lrTb"/>
            <w:noWrap w:val="false"/>
          </w:tcPr>
          <w:p>
            <w:pPr>
              <w:jc w:val="center"/>
              <w:widowControl w:val="off"/>
              <w:rPr>
                <w:rFonts w:hint="eastAsia" w:ascii="宋体" w:hAnsi="宋体" w:eastAsia="宋体" w:cs="宋体"/>
                <w:b/>
                <w:bCs/>
                <w:color w:val="auto"/>
                <w:sz w:val="22"/>
                <w:szCs w:val="22"/>
                <w:lang w:eastAsia="zh-CN"/>
              </w:rPr>
            </w:pPr>
            <w:r>
              <w:rPr>
                <w:rFonts w:hint="eastAsia" w:ascii="宋体" w:hAnsi="宋体" w:eastAsia="宋体" w:cs="宋体"/>
                <w:b/>
                <w:bCs/>
                <w:color w:val="auto"/>
                <w:sz w:val="22"/>
                <w:szCs w:val="22"/>
                <w:lang w:eastAsia="zh-CN"/>
              </w:rPr>
              <w:t xml:space="preserve">序号</w:t>
            </w:r>
            <w:r/>
          </w:p>
        </w:tc>
        <w:tc>
          <w:tcPr>
            <w:tcW w:w="2439" w:type="pct"/>
            <w:vAlign w:val="center"/>
            <w:textDirection w:val="lrTb"/>
            <w:noWrap w:val="false"/>
          </w:tcPr>
          <w:p>
            <w:pPr>
              <w:jc w:val="center"/>
              <w:widowControl w:val="off"/>
              <w:rPr>
                <w:rFonts w:hint="eastAsia" w:ascii="宋体" w:hAnsi="宋体" w:eastAsia="宋体" w:cs="宋体"/>
                <w:b/>
                <w:bCs/>
                <w:color w:val="auto"/>
                <w:sz w:val="22"/>
                <w:szCs w:val="22"/>
                <w:lang w:eastAsia="zh-CN"/>
              </w:rPr>
            </w:pPr>
            <w:r>
              <w:rPr>
                <w:rFonts w:hint="eastAsia" w:ascii="宋体" w:hAnsi="宋体" w:eastAsia="宋体" w:cs="宋体"/>
                <w:b/>
                <w:bCs/>
                <w:color w:val="auto"/>
                <w:sz w:val="22"/>
                <w:szCs w:val="22"/>
                <w:lang w:eastAsia="zh-CN"/>
              </w:rPr>
              <w:t xml:space="preserve">品名</w:t>
            </w:r>
            <w:r/>
          </w:p>
        </w:tc>
        <w:tc>
          <w:tcPr>
            <w:tcW w:w="688" w:type="pct"/>
            <w:vAlign w:val="center"/>
            <w:textDirection w:val="lrTb"/>
            <w:noWrap w:val="false"/>
          </w:tcPr>
          <w:p>
            <w:pPr>
              <w:jc w:val="center"/>
              <w:widowControl w:val="off"/>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 xml:space="preserve">数量</w:t>
            </w:r>
            <w:r/>
          </w:p>
        </w:tc>
        <w:tc>
          <w:tcPr>
            <w:tcW w:w="530" w:type="pct"/>
            <w:vAlign w:val="center"/>
            <w:textDirection w:val="lrTb"/>
            <w:noWrap w:val="false"/>
          </w:tcPr>
          <w:p>
            <w:pPr>
              <w:jc w:val="center"/>
              <w:widowControl w:val="off"/>
              <w:rPr>
                <w:rFonts w:hint="default" w:ascii="宋体" w:hAnsi="宋体" w:eastAsia="宋体" w:cs="宋体"/>
                <w:b/>
                <w:bCs/>
                <w:color w:val="auto"/>
                <w:sz w:val="22"/>
                <w:szCs w:val="22"/>
                <w:lang w:val="en-US" w:eastAsia="zh-CN"/>
              </w:rPr>
            </w:pPr>
            <w:r>
              <w:rPr>
                <w:rFonts w:hint="eastAsia" w:ascii="宋体" w:hAnsi="宋体" w:cs="宋体"/>
                <w:b/>
                <w:bCs/>
                <w:color w:val="auto"/>
                <w:sz w:val="22"/>
                <w:szCs w:val="22"/>
                <w:lang w:val="en-US" w:eastAsia="zh-CN"/>
              </w:rPr>
              <w:t xml:space="preserve">单位</w:t>
            </w:r>
            <w:r/>
          </w:p>
        </w:tc>
        <w:tc>
          <w:tcPr>
            <w:tcW w:w="691" w:type="pct"/>
            <w:vAlign w:val="center"/>
            <w:textDirection w:val="lrTb"/>
            <w:noWrap w:val="false"/>
          </w:tcPr>
          <w:p>
            <w:pPr>
              <w:jc w:val="center"/>
              <w:widowControl w:val="off"/>
              <w:rPr>
                <w:rFonts w:hint="eastAsia" w:ascii="宋体" w:hAnsi="宋体" w:cs="宋体"/>
                <w:b/>
                <w:bCs/>
                <w:color w:val="auto"/>
                <w:sz w:val="22"/>
                <w:szCs w:val="22"/>
                <w:lang w:val="en-US" w:eastAsia="zh-CN"/>
              </w:rPr>
            </w:pPr>
            <w:r>
              <w:rPr>
                <w:rFonts w:hint="eastAsia" w:ascii="宋体" w:hAnsi="宋体" w:cs="宋体"/>
                <w:b/>
                <w:bCs/>
                <w:color w:val="auto"/>
                <w:sz w:val="22"/>
                <w:szCs w:val="22"/>
                <w:lang w:val="en-US" w:eastAsia="zh-CN"/>
              </w:rPr>
              <w:t xml:space="preserve">备注</w:t>
            </w:r>
            <w:r/>
          </w:p>
        </w:tc>
      </w:tr>
      <w:tr>
        <w:trPr>
          <w:trHeight w:val="454" w:hRule="exact"/>
        </w:trPr>
        <w:tc>
          <w:tcPr>
            <w:tcW w:w="65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w:t>
            </w:r>
            <w:r/>
          </w:p>
        </w:tc>
        <w:tc>
          <w:tcPr>
            <w:shd w:val="clear" w:color="auto" w:fill="auto"/>
            <w:tcW w:w="2439" w:type="pct"/>
            <w:vAlign w:val="center"/>
            <w:textDirection w:val="lrTb"/>
            <w:noWrap w:val="false"/>
          </w:tcPr>
          <w:p>
            <w:pPr>
              <w:jc w:val="center"/>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rPr>
              <w:t xml:space="preserve">告示牌</w:t>
            </w:r>
            <w:r/>
          </w:p>
        </w:tc>
        <w:tc>
          <w:tcPr>
            <w:shd w:val="clear" w:color="auto" w:fill="auto"/>
            <w:tcW w:w="688" w:type="pct"/>
            <w:vAlign w:val="center"/>
            <w:textDirection w:val="lrTb"/>
            <w:noWrap w:val="false"/>
          </w:tcPr>
          <w:p>
            <w:pPr>
              <w:jc w:val="center"/>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rPr>
              <w:t xml:space="preserve">86</w:t>
            </w:r>
            <w:r/>
          </w:p>
        </w:tc>
        <w:tc>
          <w:tcPr>
            <w:tcW w:w="530"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个</w:t>
            </w:r>
            <w:r/>
          </w:p>
        </w:tc>
        <w:tc>
          <w:tcPr>
            <w:tcW w:w="691"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454" w:hRule="exact"/>
        </w:trPr>
        <w:tc>
          <w:tcPr>
            <w:tcW w:w="65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2</w:t>
            </w:r>
            <w:r/>
          </w:p>
        </w:tc>
        <w:tc>
          <w:tcPr>
            <w:shd w:val="clear" w:color="auto" w:fill="auto"/>
            <w:tcW w:w="2439" w:type="pct"/>
            <w:vAlign w:val="center"/>
            <w:textDirection w:val="lrTb"/>
            <w:noWrap w:val="false"/>
          </w:tcPr>
          <w:p>
            <w:pPr>
              <w:jc w:val="center"/>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rPr>
              <w:t xml:space="preserve">肋木架</w:t>
            </w:r>
            <w:r/>
          </w:p>
        </w:tc>
        <w:tc>
          <w:tcPr>
            <w:shd w:val="clear" w:color="auto" w:fill="auto"/>
            <w:tcW w:w="688" w:type="pct"/>
            <w:vAlign w:val="center"/>
            <w:textDirection w:val="lrTb"/>
            <w:noWrap w:val="false"/>
          </w:tcPr>
          <w:p>
            <w:pPr>
              <w:jc w:val="center"/>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rPr>
              <w:t xml:space="preserve">86</w:t>
            </w:r>
            <w:r/>
          </w:p>
        </w:tc>
        <w:tc>
          <w:tcPr>
            <w:tcW w:w="53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个</w:t>
            </w:r>
            <w:r/>
          </w:p>
        </w:tc>
        <w:tc>
          <w:tcPr>
            <w:tcW w:w="691"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454" w:hRule="exact"/>
        </w:trPr>
        <w:tc>
          <w:tcPr>
            <w:tcW w:w="65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3</w:t>
            </w:r>
            <w:r/>
          </w:p>
        </w:tc>
        <w:tc>
          <w:tcPr>
            <w:shd w:val="clear" w:color="auto" w:fill="auto"/>
            <w:tcW w:w="2439" w:type="pct"/>
            <w:vAlign w:val="center"/>
            <w:textDirection w:val="lrTb"/>
            <w:noWrap w:val="false"/>
          </w:tcPr>
          <w:p>
            <w:pPr>
              <w:jc w:val="center"/>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rPr>
              <w:t xml:space="preserve">双位蹬力器</w:t>
            </w:r>
            <w:r/>
          </w:p>
        </w:tc>
        <w:tc>
          <w:tcPr>
            <w:shd w:val="clear" w:color="auto" w:fill="auto"/>
            <w:tcW w:w="688" w:type="pct"/>
            <w:vAlign w:val="center"/>
            <w:textDirection w:val="lrTb"/>
            <w:noWrap w:val="false"/>
          </w:tcPr>
          <w:p>
            <w:pPr>
              <w:jc w:val="center"/>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rPr>
              <w:t xml:space="preserve">88</w:t>
            </w:r>
            <w:r/>
          </w:p>
        </w:tc>
        <w:tc>
          <w:tcPr>
            <w:tcW w:w="53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个</w:t>
            </w:r>
            <w:r/>
          </w:p>
        </w:tc>
        <w:tc>
          <w:tcPr>
            <w:tcW w:w="691"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454" w:hRule="exact"/>
        </w:trPr>
        <w:tc>
          <w:tcPr>
            <w:tcW w:w="65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4</w:t>
            </w:r>
            <w:r/>
          </w:p>
        </w:tc>
        <w:tc>
          <w:tcPr>
            <w:shd w:val="clear" w:color="auto" w:fill="auto"/>
            <w:tcW w:w="2439" w:type="pct"/>
            <w:vAlign w:val="center"/>
            <w:textDirection w:val="lrTb"/>
            <w:noWrap w:val="false"/>
          </w:tcPr>
          <w:p>
            <w:pPr>
              <w:jc w:val="center"/>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rPr>
              <w:t xml:space="preserve">三位扭腰器</w:t>
            </w:r>
            <w:r/>
          </w:p>
        </w:tc>
        <w:tc>
          <w:tcPr>
            <w:shd w:val="clear" w:color="auto" w:fill="auto"/>
            <w:tcW w:w="688" w:type="pct"/>
            <w:vAlign w:val="center"/>
            <w:textDirection w:val="lrTb"/>
            <w:noWrap w:val="false"/>
          </w:tcPr>
          <w:p>
            <w:pPr>
              <w:jc w:val="center"/>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rPr>
              <w:t xml:space="preserve">86</w:t>
            </w:r>
            <w:r/>
          </w:p>
        </w:tc>
        <w:tc>
          <w:tcPr>
            <w:tcW w:w="53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个</w:t>
            </w:r>
            <w:r/>
          </w:p>
        </w:tc>
        <w:tc>
          <w:tcPr>
            <w:tcW w:w="691"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454" w:hRule="exact"/>
        </w:trPr>
        <w:tc>
          <w:tcPr>
            <w:tcW w:w="65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5</w:t>
            </w:r>
            <w:r/>
          </w:p>
        </w:tc>
        <w:tc>
          <w:tcPr>
            <w:shd w:val="clear" w:color="auto" w:fill="auto"/>
            <w:tcW w:w="2439" w:type="pct"/>
            <w:vAlign w:val="center"/>
            <w:textDirection w:val="lrTb"/>
            <w:noWrap w:val="false"/>
          </w:tcPr>
          <w:p>
            <w:pPr>
              <w:jc w:val="center"/>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rPr>
              <w:t xml:space="preserve">双杠</w:t>
            </w:r>
            <w:r/>
          </w:p>
        </w:tc>
        <w:tc>
          <w:tcPr>
            <w:shd w:val="clear" w:color="auto" w:fill="auto"/>
            <w:tcW w:w="688" w:type="pct"/>
            <w:vAlign w:val="center"/>
            <w:textDirection w:val="lrTb"/>
            <w:noWrap w:val="false"/>
          </w:tcPr>
          <w:p>
            <w:pPr>
              <w:jc w:val="center"/>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rPr>
              <w:t xml:space="preserve">86</w:t>
            </w:r>
            <w:r/>
          </w:p>
        </w:tc>
        <w:tc>
          <w:tcPr>
            <w:tcW w:w="53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个</w:t>
            </w:r>
            <w:r/>
          </w:p>
        </w:tc>
        <w:tc>
          <w:tcPr>
            <w:tcW w:w="691"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454" w:hRule="exact"/>
        </w:trPr>
        <w:tc>
          <w:tcPr>
            <w:tcW w:w="65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6</w:t>
            </w:r>
            <w:r/>
          </w:p>
        </w:tc>
        <w:tc>
          <w:tcPr>
            <w:shd w:val="clear" w:color="auto" w:fill="auto"/>
            <w:tcW w:w="2439" w:type="pct"/>
            <w:vAlign w:val="center"/>
            <w:textDirection w:val="lrTb"/>
            <w:noWrap w:val="false"/>
          </w:tcPr>
          <w:p>
            <w:pPr>
              <w:jc w:val="center"/>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rPr>
              <w:t xml:space="preserve">平行梯</w:t>
            </w:r>
            <w:r/>
          </w:p>
        </w:tc>
        <w:tc>
          <w:tcPr>
            <w:shd w:val="clear" w:color="auto" w:fill="auto"/>
            <w:tcW w:w="688" w:type="pct"/>
            <w:vAlign w:val="center"/>
            <w:textDirection w:val="lrTb"/>
            <w:noWrap w:val="false"/>
          </w:tcPr>
          <w:p>
            <w:pPr>
              <w:jc w:val="center"/>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rPr>
              <w:t xml:space="preserve">87</w:t>
            </w:r>
            <w:r/>
          </w:p>
        </w:tc>
        <w:tc>
          <w:tcPr>
            <w:tcW w:w="53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个</w:t>
            </w:r>
            <w:r/>
          </w:p>
        </w:tc>
        <w:tc>
          <w:tcPr>
            <w:tcW w:w="691"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454" w:hRule="exact"/>
        </w:trPr>
        <w:tc>
          <w:tcPr>
            <w:tcW w:w="65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7</w:t>
            </w:r>
            <w:r/>
          </w:p>
        </w:tc>
        <w:tc>
          <w:tcPr>
            <w:shd w:val="clear" w:color="auto" w:fill="auto"/>
            <w:tcW w:w="2439" w:type="pct"/>
            <w:vAlign w:val="center"/>
            <w:textDirection w:val="lrTb"/>
            <w:noWrap w:val="false"/>
          </w:tcPr>
          <w:p>
            <w:pPr>
              <w:jc w:val="center"/>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rPr>
              <w:t xml:space="preserve">坐立式腰背按摩器</w:t>
            </w:r>
            <w:r/>
          </w:p>
        </w:tc>
        <w:tc>
          <w:tcPr>
            <w:shd w:val="clear" w:color="auto" w:fill="auto"/>
            <w:tcW w:w="688" w:type="pct"/>
            <w:vAlign w:val="center"/>
            <w:textDirection w:val="lrTb"/>
            <w:noWrap w:val="false"/>
          </w:tcPr>
          <w:p>
            <w:pPr>
              <w:jc w:val="center"/>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rPr>
              <w:t xml:space="preserve">86</w:t>
            </w:r>
            <w:r/>
          </w:p>
        </w:tc>
        <w:tc>
          <w:tcPr>
            <w:tcW w:w="53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个</w:t>
            </w:r>
            <w:r/>
          </w:p>
        </w:tc>
        <w:tc>
          <w:tcPr>
            <w:tcW w:w="691"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454" w:hRule="exact"/>
        </w:trPr>
        <w:tc>
          <w:tcPr>
            <w:tcW w:w="65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8</w:t>
            </w:r>
            <w:r/>
          </w:p>
        </w:tc>
        <w:tc>
          <w:tcPr>
            <w:shd w:val="clear" w:color="auto" w:fill="auto"/>
            <w:tcW w:w="2439" w:type="pct"/>
            <w:vAlign w:val="center"/>
            <w:textDirection w:val="lrTb"/>
            <w:noWrap w:val="false"/>
          </w:tcPr>
          <w:p>
            <w:pPr>
              <w:jc w:val="center"/>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rPr>
              <w:t xml:space="preserve">上肢牵引器</w:t>
            </w:r>
            <w:r/>
          </w:p>
        </w:tc>
        <w:tc>
          <w:tcPr>
            <w:shd w:val="clear" w:color="auto" w:fill="auto"/>
            <w:tcW w:w="688" w:type="pct"/>
            <w:vAlign w:val="center"/>
            <w:textDirection w:val="lrTb"/>
            <w:noWrap w:val="false"/>
          </w:tcPr>
          <w:p>
            <w:pPr>
              <w:jc w:val="center"/>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rPr>
              <w:t xml:space="preserve">86</w:t>
            </w:r>
            <w:r/>
          </w:p>
        </w:tc>
        <w:tc>
          <w:tcPr>
            <w:tcW w:w="53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个</w:t>
            </w:r>
            <w:r/>
          </w:p>
        </w:tc>
        <w:tc>
          <w:tcPr>
            <w:tcW w:w="691"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454" w:hRule="exact"/>
        </w:trPr>
        <w:tc>
          <w:tcPr>
            <w:tcW w:w="65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9</w:t>
            </w:r>
            <w:r/>
          </w:p>
        </w:tc>
        <w:tc>
          <w:tcPr>
            <w:shd w:val="clear" w:color="auto" w:fill="auto"/>
            <w:tcW w:w="2439" w:type="pct"/>
            <w:vAlign w:val="center"/>
            <w:textDirection w:val="lrTb"/>
            <w:noWrap w:val="false"/>
          </w:tcPr>
          <w:p>
            <w:pPr>
              <w:jc w:val="center"/>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rPr>
              <w:t xml:space="preserve">二位太空漫步机</w:t>
            </w:r>
            <w:r/>
          </w:p>
        </w:tc>
        <w:tc>
          <w:tcPr>
            <w:shd w:val="clear" w:color="auto" w:fill="auto"/>
            <w:tcW w:w="688" w:type="pct"/>
            <w:vAlign w:val="center"/>
            <w:textDirection w:val="lrTb"/>
            <w:noWrap w:val="false"/>
          </w:tcPr>
          <w:p>
            <w:pPr>
              <w:jc w:val="center"/>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rPr>
              <w:t xml:space="preserve">86</w:t>
            </w:r>
            <w:r/>
          </w:p>
        </w:tc>
        <w:tc>
          <w:tcPr>
            <w:tcW w:w="53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个</w:t>
            </w:r>
            <w:r/>
          </w:p>
        </w:tc>
        <w:tc>
          <w:tcPr>
            <w:tcW w:w="691"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b/>
                <w:bCs/>
                <w:color w:val="auto"/>
                <w:sz w:val="22"/>
                <w:szCs w:val="22"/>
                <w:lang w:val="en-US" w:eastAsia="zh-CN"/>
              </w:rPr>
              <w:t xml:space="preserve">核心产品</w:t>
            </w:r>
            <w:r/>
          </w:p>
        </w:tc>
      </w:tr>
      <w:tr>
        <w:trPr>
          <w:trHeight w:val="454" w:hRule="exact"/>
        </w:trPr>
        <w:tc>
          <w:tcPr>
            <w:tcW w:w="65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w:t>
            </w:r>
            <w:r/>
          </w:p>
        </w:tc>
        <w:tc>
          <w:tcPr>
            <w:shd w:val="clear" w:color="auto" w:fill="auto"/>
            <w:tcW w:w="2439" w:type="pct"/>
            <w:vAlign w:val="center"/>
            <w:textDirection w:val="lrTb"/>
            <w:noWrap w:val="false"/>
          </w:tcPr>
          <w:p>
            <w:pPr>
              <w:jc w:val="center"/>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rPr>
              <w:t xml:space="preserve">太极揉推器</w:t>
            </w:r>
            <w:r/>
          </w:p>
        </w:tc>
        <w:tc>
          <w:tcPr>
            <w:shd w:val="clear" w:color="auto" w:fill="auto"/>
            <w:tcW w:w="688" w:type="pct"/>
            <w:vAlign w:val="center"/>
            <w:textDirection w:val="lrTb"/>
            <w:noWrap w:val="false"/>
          </w:tcPr>
          <w:p>
            <w:pPr>
              <w:jc w:val="center"/>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rPr>
              <w:t xml:space="preserve">86</w:t>
            </w:r>
            <w:r/>
          </w:p>
        </w:tc>
        <w:tc>
          <w:tcPr>
            <w:tcW w:w="53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个</w:t>
            </w:r>
            <w:r/>
          </w:p>
        </w:tc>
        <w:tc>
          <w:tcPr>
            <w:tcW w:w="691"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454" w:hRule="exact"/>
        </w:trPr>
        <w:tc>
          <w:tcPr>
            <w:tcW w:w="65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11</w:t>
            </w:r>
            <w:r/>
          </w:p>
        </w:tc>
        <w:tc>
          <w:tcPr>
            <w:shd w:val="clear" w:color="auto" w:fill="auto"/>
            <w:tcW w:w="2439" w:type="pct"/>
            <w:vAlign w:val="center"/>
            <w:textDirection w:val="lrTb"/>
            <w:noWrap w:val="false"/>
          </w:tcPr>
          <w:p>
            <w:pPr>
              <w:jc w:val="center"/>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弹震压腿训练器</w:t>
            </w:r>
            <w:r/>
          </w:p>
        </w:tc>
        <w:tc>
          <w:tcPr>
            <w:shd w:val="clear" w:color="auto" w:fill="auto"/>
            <w:tcW w:w="688" w:type="pct"/>
            <w:vAlign w:val="center"/>
            <w:textDirection w:val="lrTb"/>
            <w:noWrap w:val="false"/>
          </w:tcPr>
          <w:p>
            <w:pPr>
              <w:jc w:val="center"/>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w:t>
            </w:r>
            <w:r/>
          </w:p>
        </w:tc>
        <w:tc>
          <w:tcPr>
            <w:tcW w:w="53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个</w:t>
            </w:r>
            <w:r/>
          </w:p>
        </w:tc>
        <w:tc>
          <w:tcPr>
            <w:tcW w:w="691"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454" w:hRule="exact"/>
        </w:trPr>
        <w:tc>
          <w:tcPr>
            <w:tcW w:w="65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12</w:t>
            </w:r>
            <w:r/>
          </w:p>
        </w:tc>
        <w:tc>
          <w:tcPr>
            <w:shd w:val="clear" w:color="auto" w:fill="auto"/>
            <w:tcW w:w="2439" w:type="pct"/>
            <w:vAlign w:val="center"/>
            <w:textDirection w:val="lrTb"/>
            <w:noWrap w:val="false"/>
          </w:tcPr>
          <w:p>
            <w:pPr>
              <w:jc w:val="center"/>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椭圆漫步机</w:t>
            </w:r>
            <w:r/>
          </w:p>
        </w:tc>
        <w:tc>
          <w:tcPr>
            <w:shd w:val="clear" w:color="auto" w:fill="auto"/>
            <w:tcW w:w="688" w:type="pct"/>
            <w:vAlign w:val="center"/>
            <w:textDirection w:val="lrTb"/>
            <w:noWrap w:val="false"/>
          </w:tcPr>
          <w:p>
            <w:pPr>
              <w:jc w:val="center"/>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w:t>
            </w:r>
            <w:r/>
          </w:p>
        </w:tc>
        <w:tc>
          <w:tcPr>
            <w:tcW w:w="53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台</w:t>
            </w:r>
            <w:r/>
          </w:p>
        </w:tc>
        <w:tc>
          <w:tcPr>
            <w:tcW w:w="691"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454" w:hRule="exact"/>
        </w:trPr>
        <w:tc>
          <w:tcPr>
            <w:tcW w:w="65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13</w:t>
            </w:r>
            <w:r/>
          </w:p>
        </w:tc>
        <w:tc>
          <w:tcPr>
            <w:shd w:val="clear" w:color="auto" w:fill="auto"/>
            <w:tcW w:w="2439"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自重划器</w:t>
            </w:r>
            <w:r/>
          </w:p>
        </w:tc>
        <w:tc>
          <w:tcPr>
            <w:shd w:val="clear" w:color="auto" w:fill="auto"/>
            <w:tcW w:w="688" w:type="pct"/>
            <w:vAlign w:val="center"/>
            <w:textDirection w:val="lrTb"/>
            <w:noWrap w:val="false"/>
          </w:tcPr>
          <w:p>
            <w:pPr>
              <w:jc w:val="center"/>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w:t>
            </w:r>
            <w:r/>
          </w:p>
        </w:tc>
        <w:tc>
          <w:tcPr>
            <w:tcW w:w="530"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个</w:t>
            </w:r>
            <w:r/>
          </w:p>
        </w:tc>
        <w:tc>
          <w:tcPr>
            <w:tcW w:w="691"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r>
      <w:tr>
        <w:trPr>
          <w:trHeight w:val="454" w:hRule="exact"/>
        </w:trPr>
        <w:tc>
          <w:tcPr>
            <w:tcW w:w="650" w:type="pct"/>
            <w:vAlign w:val="center"/>
            <w:textDirection w:val="lrTb"/>
            <w:noWrap w:val="false"/>
          </w:tcPr>
          <w:p>
            <w:pPr>
              <w:jc w:val="center"/>
              <w:widowControl w:val="off"/>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14</w:t>
            </w:r>
            <w:r/>
          </w:p>
        </w:tc>
        <w:tc>
          <w:tcPr>
            <w:shd w:val="clear" w:color="auto" w:fill="auto"/>
            <w:tcW w:w="2439"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仰卧板</w:t>
            </w:r>
            <w:r/>
          </w:p>
        </w:tc>
        <w:tc>
          <w:tcPr>
            <w:shd w:val="clear" w:color="auto" w:fill="auto"/>
            <w:tcW w:w="688" w:type="pct"/>
            <w:vAlign w:val="center"/>
            <w:textDirection w:val="lrTb"/>
            <w:noWrap w:val="false"/>
          </w:tcPr>
          <w:p>
            <w:pPr>
              <w:jc w:val="center"/>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w:t>
            </w:r>
            <w:r/>
          </w:p>
        </w:tc>
        <w:tc>
          <w:tcPr>
            <w:tcW w:w="530" w:type="pct"/>
            <w:vAlign w:val="center"/>
            <w:textDirection w:val="lrTb"/>
            <w:noWrap w:val="false"/>
          </w:tcPr>
          <w:p>
            <w:pPr>
              <w:jc w:val="center"/>
              <w:widowControl/>
              <w:rPr>
                <w:rFonts w:hint="eastAsia" w:ascii="宋体" w:hAnsi="宋体" w:eastAsia="宋体" w:cs="宋体"/>
                <w:color w:val="auto"/>
                <w:sz w:val="22"/>
                <w:szCs w:val="22"/>
              </w:rPr>
            </w:pPr>
            <w:r>
              <w:rPr>
                <w:rFonts w:hint="eastAsia" w:ascii="宋体" w:hAnsi="宋体" w:cs="宋体"/>
                <w:color w:val="auto"/>
                <w:sz w:val="22"/>
                <w:szCs w:val="22"/>
                <w:lang w:val="en-US" w:eastAsia="zh-CN"/>
              </w:rPr>
              <w:t xml:space="preserve">个</w:t>
            </w:r>
            <w:r/>
          </w:p>
        </w:tc>
        <w:tc>
          <w:tcPr>
            <w:tcW w:w="691" w:type="pct"/>
            <w:vAlign w:val="center"/>
            <w:textDirection w:val="lrTb"/>
            <w:noWrap w:val="false"/>
          </w:tcPr>
          <w:p>
            <w:pPr>
              <w:jc w:val="center"/>
              <w:widowControl/>
              <w:rPr>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454" w:hRule="exact"/>
        </w:trPr>
        <w:tc>
          <w:tcPr>
            <w:tcW w:w="650"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15</w:t>
            </w:r>
            <w:r/>
          </w:p>
        </w:tc>
        <w:tc>
          <w:tcPr>
            <w:shd w:val="clear" w:color="auto" w:fill="auto"/>
            <w:tcW w:w="2439" w:type="pct"/>
            <w:vAlign w:val="center"/>
            <w:textDirection w:val="lrTb"/>
            <w:noWrap w:val="false"/>
          </w:tcPr>
          <w:p>
            <w:pPr>
              <w:jc w:val="center"/>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骑马机</w:t>
            </w:r>
            <w:r/>
          </w:p>
        </w:tc>
        <w:tc>
          <w:tcPr>
            <w:shd w:val="clear" w:color="auto" w:fill="auto"/>
            <w:tcW w:w="688" w:type="pct"/>
            <w:vAlign w:val="center"/>
            <w:textDirection w:val="lrTb"/>
            <w:noWrap w:val="false"/>
          </w:tcPr>
          <w:p>
            <w:pPr>
              <w:jc w:val="center"/>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w:t>
            </w:r>
            <w:r/>
          </w:p>
        </w:tc>
        <w:tc>
          <w:tcPr>
            <w:tcW w:w="530" w:type="pct"/>
            <w:vAlign w:val="center"/>
            <w:textDirection w:val="lrTb"/>
            <w:noWrap w:val="false"/>
          </w:tcPr>
          <w:p>
            <w:pPr>
              <w:jc w:val="center"/>
              <w:widowControl/>
              <w:rPr>
                <w:rFonts w:hint="eastAsia" w:ascii="宋体" w:hAnsi="宋体" w:eastAsia="宋体" w:cs="宋体"/>
                <w:color w:val="auto"/>
                <w:sz w:val="22"/>
                <w:szCs w:val="22"/>
              </w:rPr>
            </w:pPr>
            <w:r>
              <w:rPr>
                <w:rFonts w:hint="eastAsia" w:ascii="宋体" w:hAnsi="宋体" w:cs="宋体"/>
                <w:color w:val="auto"/>
                <w:sz w:val="22"/>
                <w:szCs w:val="22"/>
                <w:lang w:val="en-US" w:eastAsia="zh-CN"/>
              </w:rPr>
              <w:t xml:space="preserve">台</w:t>
            </w:r>
            <w:r/>
          </w:p>
        </w:tc>
        <w:tc>
          <w:tcPr>
            <w:tcW w:w="691" w:type="pct"/>
            <w:vAlign w:val="center"/>
            <w:textDirection w:val="lrTb"/>
            <w:noWrap w:val="false"/>
          </w:tcPr>
          <w:p>
            <w:pPr>
              <w:jc w:val="center"/>
              <w:widowControl/>
              <w:rPr>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454" w:hRule="exact"/>
        </w:trPr>
        <w:tc>
          <w:tcPr>
            <w:tcW w:w="650"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16</w:t>
            </w:r>
            <w:r/>
          </w:p>
        </w:tc>
        <w:tc>
          <w:tcPr>
            <w:shd w:val="clear" w:color="auto" w:fill="auto"/>
            <w:tcW w:w="2439" w:type="pct"/>
            <w:vAlign w:val="center"/>
            <w:textDirection w:val="lrTb"/>
            <w:noWrap w:val="false"/>
          </w:tcPr>
          <w:p>
            <w:pPr>
              <w:jc w:val="center"/>
              <w:widowControl/>
              <w:rPr>
                <w:rFonts w:hint="eastAsia" w:ascii="宋体" w:hAnsi="宋体" w:eastAsia="宋体" w:cs="宋体"/>
                <w:color w:val="auto"/>
                <w:sz w:val="21"/>
                <w:szCs w:val="24"/>
                <w:lang w:val="en-US" w:eastAsia="zh-CN" w:bidi="ar-SA"/>
              </w:rPr>
            </w:pPr>
            <w:r>
              <w:rPr>
                <w:rFonts w:hint="eastAsia" w:ascii="宋体" w:hAnsi="宋体" w:eastAsia="宋体" w:cs="宋体"/>
                <w:color w:val="auto"/>
                <w:sz w:val="22"/>
                <w:szCs w:val="22"/>
              </w:rPr>
              <w:t xml:space="preserve">跑步机</w:t>
            </w:r>
            <w:r/>
          </w:p>
        </w:tc>
        <w:tc>
          <w:tcPr>
            <w:shd w:val="clear" w:color="auto" w:fill="auto"/>
            <w:tcW w:w="688" w:type="pct"/>
            <w:vAlign w:val="center"/>
            <w:textDirection w:val="lrTb"/>
            <w:noWrap w:val="false"/>
          </w:tcPr>
          <w:p>
            <w:pPr>
              <w:jc w:val="center"/>
              <w:widowControl/>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10</w:t>
            </w:r>
            <w:r/>
          </w:p>
        </w:tc>
        <w:tc>
          <w:tcPr>
            <w:tcW w:w="530" w:type="pct"/>
            <w:vAlign w:val="center"/>
            <w:textDirection w:val="lrTb"/>
            <w:noWrap w:val="false"/>
          </w:tcPr>
          <w:p>
            <w:pPr>
              <w:jc w:val="center"/>
              <w:widowControl/>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台</w:t>
            </w:r>
            <w:r/>
          </w:p>
        </w:tc>
        <w:tc>
          <w:tcPr>
            <w:tcW w:w="691" w:type="pct"/>
            <w:vAlign w:val="center"/>
            <w:textDirection w:val="lrTb"/>
            <w:noWrap w:val="false"/>
          </w:tcPr>
          <w:p>
            <w:pPr>
              <w:jc w:val="center"/>
              <w:widowControl/>
              <w:rPr>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454" w:hRule="exact"/>
        </w:trPr>
        <w:tc>
          <w:tcPr>
            <w:tcW w:w="650"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17</w:t>
            </w:r>
            <w:r/>
          </w:p>
        </w:tc>
        <w:tc>
          <w:tcPr>
            <w:shd w:val="clear" w:color="auto" w:fill="auto"/>
            <w:tcW w:w="2439" w:type="pct"/>
            <w:vAlign w:val="center"/>
            <w:textDirection w:val="lrTb"/>
            <w:noWrap w:val="false"/>
          </w:tcPr>
          <w:p>
            <w:pPr>
              <w:jc w:val="center"/>
              <w:widowControl/>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健身车</w:t>
            </w:r>
            <w:r/>
          </w:p>
        </w:tc>
        <w:tc>
          <w:tcPr>
            <w:shd w:val="clear" w:color="auto" w:fill="auto"/>
            <w:tcW w:w="688" w:type="pct"/>
            <w:vAlign w:val="center"/>
            <w:textDirection w:val="lrTb"/>
            <w:noWrap w:val="false"/>
          </w:tcPr>
          <w:p>
            <w:pPr>
              <w:jc w:val="center"/>
              <w:widowControl/>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10</w:t>
            </w:r>
            <w:r/>
          </w:p>
        </w:tc>
        <w:tc>
          <w:tcPr>
            <w:tcW w:w="530" w:type="pct"/>
            <w:vAlign w:val="center"/>
            <w:textDirection w:val="lrTb"/>
            <w:noWrap w:val="false"/>
          </w:tcPr>
          <w:p>
            <w:pPr>
              <w:jc w:val="center"/>
              <w:widowControl/>
              <w:rPr>
                <w:rFonts w:hint="eastAsia" w:ascii="宋体" w:hAnsi="宋体" w:eastAsia="宋体" w:cs="宋体"/>
                <w:color w:val="auto"/>
                <w:sz w:val="22"/>
                <w:szCs w:val="22"/>
              </w:rPr>
            </w:pPr>
            <w:r>
              <w:rPr>
                <w:rFonts w:hint="eastAsia" w:ascii="宋体" w:hAnsi="宋体" w:cs="宋体"/>
                <w:color w:val="auto"/>
                <w:sz w:val="22"/>
                <w:szCs w:val="22"/>
                <w:lang w:val="en-US" w:eastAsia="zh-CN"/>
              </w:rPr>
              <w:t xml:space="preserve">台</w:t>
            </w:r>
            <w:r/>
          </w:p>
        </w:tc>
        <w:tc>
          <w:tcPr>
            <w:tcW w:w="691" w:type="pct"/>
            <w:vAlign w:val="center"/>
            <w:textDirection w:val="lrTb"/>
            <w:noWrap w:val="false"/>
          </w:tcPr>
          <w:p>
            <w:pPr>
              <w:jc w:val="center"/>
              <w:widowControl/>
              <w:rPr>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454" w:hRule="exact"/>
        </w:trPr>
        <w:tc>
          <w:tcPr>
            <w:tcW w:w="650"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18</w:t>
            </w:r>
            <w:r/>
          </w:p>
        </w:tc>
        <w:tc>
          <w:tcPr>
            <w:shd w:val="clear" w:color="auto" w:fill="auto"/>
            <w:tcW w:w="2439" w:type="pct"/>
            <w:vAlign w:val="center"/>
            <w:textDirection w:val="lrTb"/>
            <w:noWrap w:val="false"/>
          </w:tcPr>
          <w:p>
            <w:pPr>
              <w:jc w:val="center"/>
              <w:widowControl/>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划船器</w:t>
            </w:r>
            <w:r/>
          </w:p>
        </w:tc>
        <w:tc>
          <w:tcPr>
            <w:shd w:val="clear" w:color="auto" w:fill="auto"/>
            <w:tcW w:w="688" w:type="pct"/>
            <w:vAlign w:val="center"/>
            <w:textDirection w:val="lrTb"/>
            <w:noWrap w:val="false"/>
          </w:tcPr>
          <w:p>
            <w:pPr>
              <w:jc w:val="center"/>
              <w:widowControl/>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10</w:t>
            </w:r>
            <w:r/>
          </w:p>
        </w:tc>
        <w:tc>
          <w:tcPr>
            <w:tcW w:w="530" w:type="pct"/>
            <w:vAlign w:val="center"/>
            <w:textDirection w:val="lrTb"/>
            <w:noWrap w:val="false"/>
          </w:tcPr>
          <w:p>
            <w:pPr>
              <w:jc w:val="center"/>
              <w:widowControl/>
              <w:rPr>
                <w:rFonts w:hint="eastAsia" w:ascii="宋体" w:hAnsi="宋体" w:eastAsia="宋体" w:cs="宋体"/>
                <w:color w:val="auto"/>
                <w:sz w:val="22"/>
                <w:szCs w:val="22"/>
              </w:rPr>
            </w:pPr>
            <w:r>
              <w:rPr>
                <w:rFonts w:hint="eastAsia" w:ascii="宋体" w:hAnsi="宋体" w:cs="宋体"/>
                <w:color w:val="auto"/>
                <w:sz w:val="22"/>
                <w:szCs w:val="22"/>
                <w:lang w:val="en-US" w:eastAsia="zh-CN"/>
              </w:rPr>
              <w:t xml:space="preserve">个</w:t>
            </w:r>
            <w:r/>
          </w:p>
        </w:tc>
        <w:tc>
          <w:tcPr>
            <w:tcW w:w="691" w:type="pct"/>
            <w:vAlign w:val="center"/>
            <w:textDirection w:val="lrTb"/>
            <w:noWrap w:val="false"/>
          </w:tcPr>
          <w:p>
            <w:pPr>
              <w:jc w:val="center"/>
              <w:widowControl/>
              <w:rPr>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454" w:hRule="exact"/>
        </w:trPr>
        <w:tc>
          <w:tcPr>
            <w:tcW w:w="650"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19</w:t>
            </w:r>
            <w:r/>
          </w:p>
        </w:tc>
        <w:tc>
          <w:tcPr>
            <w:shd w:val="clear" w:color="auto" w:fill="auto"/>
            <w:tcW w:w="2439" w:type="pct"/>
            <w:vAlign w:val="center"/>
            <w:textDirection w:val="lrTb"/>
            <w:noWrap w:val="false"/>
          </w:tcPr>
          <w:p>
            <w:pPr>
              <w:jc w:val="center"/>
              <w:widowControl/>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椭圆机</w:t>
            </w:r>
            <w:r/>
          </w:p>
        </w:tc>
        <w:tc>
          <w:tcPr>
            <w:shd w:val="clear" w:color="auto" w:fill="auto"/>
            <w:tcW w:w="688" w:type="pct"/>
            <w:vAlign w:val="center"/>
            <w:textDirection w:val="lrTb"/>
            <w:noWrap w:val="false"/>
          </w:tcPr>
          <w:p>
            <w:pPr>
              <w:jc w:val="center"/>
              <w:widowControl/>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10</w:t>
            </w:r>
            <w:r/>
          </w:p>
        </w:tc>
        <w:tc>
          <w:tcPr>
            <w:tcW w:w="530" w:type="pct"/>
            <w:vAlign w:val="center"/>
            <w:textDirection w:val="lrTb"/>
            <w:noWrap w:val="false"/>
          </w:tcPr>
          <w:p>
            <w:pPr>
              <w:jc w:val="center"/>
              <w:widowControl/>
              <w:rPr>
                <w:rFonts w:hint="eastAsia" w:ascii="宋体" w:hAnsi="宋体" w:eastAsia="宋体" w:cs="宋体"/>
                <w:color w:val="auto"/>
                <w:sz w:val="22"/>
                <w:szCs w:val="22"/>
              </w:rPr>
            </w:pPr>
            <w:r>
              <w:rPr>
                <w:rFonts w:hint="eastAsia" w:ascii="宋体" w:hAnsi="宋体" w:cs="宋体"/>
                <w:color w:val="auto"/>
                <w:sz w:val="22"/>
                <w:szCs w:val="22"/>
                <w:lang w:val="en-US" w:eastAsia="zh-CN"/>
              </w:rPr>
              <w:t xml:space="preserve">台</w:t>
            </w:r>
            <w:r/>
          </w:p>
        </w:tc>
        <w:tc>
          <w:tcPr>
            <w:tcW w:w="691" w:type="pct"/>
            <w:vAlign w:val="center"/>
            <w:textDirection w:val="lrTb"/>
            <w:noWrap w:val="false"/>
          </w:tcPr>
          <w:p>
            <w:pPr>
              <w:jc w:val="center"/>
              <w:widowControl/>
              <w:rPr>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454" w:hRule="exact"/>
        </w:trPr>
        <w:tc>
          <w:tcPr>
            <w:tcW w:w="650"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20</w:t>
            </w:r>
            <w:r/>
          </w:p>
        </w:tc>
        <w:tc>
          <w:tcPr>
            <w:shd w:val="clear" w:color="auto" w:fill="auto"/>
            <w:tcW w:w="2439" w:type="pct"/>
            <w:vAlign w:val="center"/>
            <w:textDirection w:val="lrTb"/>
            <w:noWrap w:val="false"/>
          </w:tcPr>
          <w:p>
            <w:pPr>
              <w:jc w:val="center"/>
              <w:widowControl/>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哑铃架</w:t>
            </w:r>
            <w:r/>
          </w:p>
        </w:tc>
        <w:tc>
          <w:tcPr>
            <w:shd w:val="clear" w:color="auto" w:fill="auto"/>
            <w:tcW w:w="688" w:type="pct"/>
            <w:vAlign w:val="center"/>
            <w:textDirection w:val="lrTb"/>
            <w:noWrap w:val="false"/>
          </w:tcPr>
          <w:p>
            <w:pPr>
              <w:jc w:val="center"/>
              <w:widowControl/>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rPr>
              <w:t xml:space="preserve">1</w:t>
            </w:r>
            <w:r/>
          </w:p>
        </w:tc>
        <w:tc>
          <w:tcPr>
            <w:tcW w:w="530" w:type="pct"/>
            <w:vAlign w:val="center"/>
            <w:textDirection w:val="lrTb"/>
            <w:noWrap w:val="false"/>
          </w:tcPr>
          <w:p>
            <w:pPr>
              <w:jc w:val="center"/>
              <w:widowControl/>
              <w:rPr>
                <w:rFonts w:hint="eastAsia" w:ascii="宋体" w:hAnsi="宋体" w:eastAsia="宋体" w:cs="宋体"/>
                <w:color w:val="auto"/>
                <w:sz w:val="22"/>
                <w:szCs w:val="22"/>
              </w:rPr>
            </w:pPr>
            <w:r>
              <w:rPr>
                <w:rFonts w:hint="eastAsia" w:ascii="宋体" w:hAnsi="宋体" w:cs="宋体"/>
                <w:color w:val="auto"/>
                <w:sz w:val="22"/>
                <w:szCs w:val="22"/>
                <w:lang w:val="en-US" w:eastAsia="zh-CN"/>
              </w:rPr>
              <w:t xml:space="preserve">个</w:t>
            </w:r>
            <w:r/>
          </w:p>
        </w:tc>
        <w:tc>
          <w:tcPr>
            <w:tcW w:w="691" w:type="pct"/>
            <w:vAlign w:val="center"/>
            <w:textDirection w:val="lrTb"/>
            <w:noWrap w:val="false"/>
          </w:tcPr>
          <w:p>
            <w:pPr>
              <w:jc w:val="center"/>
              <w:widowControl/>
              <w:rPr>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454" w:hRule="exact"/>
        </w:trPr>
        <w:tc>
          <w:tcPr>
            <w:tcW w:w="650" w:type="pct"/>
            <w:vAlign w:val="center"/>
            <w:textDirection w:val="lrTb"/>
            <w:noWrap w:val="false"/>
          </w:tcPr>
          <w:p>
            <w:pPr>
              <w:jc w:val="center"/>
              <w:rPr>
                <w:rFonts w:hint="default" w:ascii="宋体" w:hAnsi="宋体" w:eastAsia="宋体" w:cs="宋体"/>
                <w:color w:val="auto"/>
                <w:sz w:val="22"/>
                <w:szCs w:val="22"/>
                <w:lang w:val="en-US" w:eastAsia="zh-CN"/>
              </w:rPr>
            </w:pPr>
            <w:r>
              <w:rPr>
                <w:rFonts w:hint="eastAsia" w:ascii="宋体" w:hAnsi="宋体" w:cs="宋体"/>
                <w:color w:val="auto"/>
                <w:sz w:val="22"/>
                <w:szCs w:val="22"/>
              </w:rPr>
              <w:t xml:space="preserve">21</w:t>
            </w:r>
            <w:r/>
          </w:p>
        </w:tc>
        <w:tc>
          <w:tcPr>
            <w:shd w:val="clear" w:color="auto" w:fill="auto"/>
            <w:tcW w:w="2439" w:type="pct"/>
            <w:vAlign w:val="center"/>
            <w:textDirection w:val="lrTb"/>
            <w:noWrap w:val="false"/>
          </w:tcPr>
          <w:p>
            <w:pPr>
              <w:jc w:val="center"/>
              <w:widowControl/>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 xml:space="preserve">不锈钢把包胶哑铃</w:t>
            </w:r>
            <w:r/>
          </w:p>
        </w:tc>
        <w:tc>
          <w:tcPr>
            <w:shd w:val="clear" w:color="auto" w:fill="auto"/>
            <w:tcW w:w="688" w:type="pct"/>
            <w:vAlign w:val="center"/>
            <w:textDirection w:val="lrTb"/>
            <w:noWrap w:val="false"/>
          </w:tcPr>
          <w:p>
            <w:pPr>
              <w:jc w:val="center"/>
              <w:widowControl/>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 xml:space="preserve">550</w:t>
            </w:r>
            <w:r/>
          </w:p>
        </w:tc>
        <w:tc>
          <w:tcPr>
            <w:tcW w:w="530" w:type="pct"/>
            <w:vAlign w:val="center"/>
            <w:textDirection w:val="lrTb"/>
            <w:noWrap w:val="false"/>
          </w:tcPr>
          <w:p>
            <w:pPr>
              <w:jc w:val="center"/>
              <w:widowControl/>
              <w:rPr>
                <w:rFonts w:hint="default" w:ascii="宋体" w:hAnsi="宋体" w:eastAsia="宋体" w:cs="宋体"/>
                <w:color w:val="auto"/>
                <w:sz w:val="22"/>
                <w:szCs w:val="22"/>
                <w:lang w:val="en-US"/>
              </w:rPr>
            </w:pPr>
            <w:r>
              <w:rPr>
                <w:rFonts w:hint="eastAsia" w:ascii="宋体" w:hAnsi="宋体" w:cs="宋体"/>
                <w:color w:val="auto"/>
                <w:sz w:val="22"/>
                <w:szCs w:val="22"/>
              </w:rPr>
              <w:t xml:space="preserve">KG</w:t>
            </w:r>
            <w:r/>
          </w:p>
        </w:tc>
        <w:tc>
          <w:tcPr>
            <w:tcW w:w="691" w:type="pct"/>
            <w:vAlign w:val="center"/>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454" w:hRule="exact"/>
        </w:trPr>
        <w:tc>
          <w:tcPr>
            <w:tcW w:w="650" w:type="pct"/>
            <w:vAlign w:val="center"/>
            <w:textDirection w:val="lrTb"/>
            <w:noWrap w:val="false"/>
          </w:tcPr>
          <w:p>
            <w:pPr>
              <w:jc w:val="center"/>
              <w:rPr>
                <w:rFonts w:hint="default" w:ascii="宋体" w:hAnsi="宋体" w:eastAsia="宋体" w:cs="宋体"/>
                <w:color w:val="auto"/>
                <w:sz w:val="22"/>
                <w:szCs w:val="22"/>
                <w:lang w:val="en-US" w:eastAsia="zh-CN"/>
              </w:rPr>
            </w:pPr>
            <w:r>
              <w:rPr>
                <w:rFonts w:hint="eastAsia" w:ascii="宋体" w:hAnsi="宋体" w:cs="宋体"/>
                <w:color w:val="auto"/>
                <w:sz w:val="22"/>
                <w:szCs w:val="22"/>
              </w:rPr>
              <w:t xml:space="preserve">22</w:t>
            </w:r>
            <w:r/>
          </w:p>
        </w:tc>
        <w:tc>
          <w:tcPr>
            <w:shd w:val="clear" w:color="auto" w:fill="auto"/>
            <w:tcW w:w="2439" w:type="pct"/>
            <w:vAlign w:val="center"/>
            <w:textDirection w:val="lrTb"/>
            <w:noWrap w:val="false"/>
          </w:tcPr>
          <w:p>
            <w:pPr>
              <w:jc w:val="center"/>
              <w:widowControl/>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 xml:space="preserve">奥林匹克杆</w:t>
            </w:r>
            <w:r/>
          </w:p>
        </w:tc>
        <w:tc>
          <w:tcPr>
            <w:shd w:val="clear" w:color="auto" w:fill="auto"/>
            <w:tcW w:w="688" w:type="pct"/>
            <w:vAlign w:val="center"/>
            <w:textDirection w:val="lrTb"/>
            <w:noWrap w:val="false"/>
          </w:tcPr>
          <w:p>
            <w:pPr>
              <w:jc w:val="center"/>
              <w:widowControl/>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 xml:space="preserve">3</w:t>
            </w:r>
            <w:r/>
          </w:p>
        </w:tc>
        <w:tc>
          <w:tcPr>
            <w:tcW w:w="530" w:type="pct"/>
            <w:vAlign w:val="center"/>
            <w:textDirection w:val="lrTb"/>
            <w:noWrap w:val="false"/>
          </w:tcPr>
          <w:p>
            <w:pPr>
              <w:jc w:val="center"/>
              <w:widowControl/>
              <w:rPr>
                <w:rFonts w:hint="eastAsia" w:ascii="宋体" w:hAnsi="宋体" w:eastAsia="宋体" w:cs="宋体"/>
                <w:color w:val="auto"/>
                <w:sz w:val="22"/>
                <w:szCs w:val="22"/>
              </w:rPr>
            </w:pPr>
            <w:r>
              <w:rPr>
                <w:rFonts w:hint="eastAsia" w:ascii="宋体" w:hAnsi="宋体" w:cs="宋体"/>
                <w:color w:val="auto"/>
                <w:sz w:val="22"/>
                <w:szCs w:val="22"/>
              </w:rPr>
              <w:t xml:space="preserve">根</w:t>
            </w:r>
            <w:r/>
          </w:p>
        </w:tc>
        <w:tc>
          <w:tcPr>
            <w:tcW w:w="691" w:type="pct"/>
            <w:vAlign w:val="center"/>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454" w:hRule="exact"/>
        </w:trPr>
        <w:tc>
          <w:tcPr>
            <w:tcW w:w="650" w:type="pct"/>
            <w:vAlign w:val="center"/>
            <w:textDirection w:val="lrTb"/>
            <w:noWrap w:val="false"/>
          </w:tcPr>
          <w:p>
            <w:pPr>
              <w:jc w:val="center"/>
              <w:rPr>
                <w:rFonts w:hint="default" w:ascii="宋体" w:hAnsi="宋体" w:eastAsia="宋体" w:cs="宋体"/>
                <w:color w:val="auto"/>
                <w:sz w:val="22"/>
                <w:szCs w:val="22"/>
                <w:lang w:val="en-US" w:eastAsia="zh-CN"/>
              </w:rPr>
            </w:pPr>
            <w:r>
              <w:rPr>
                <w:rFonts w:hint="eastAsia" w:ascii="宋体" w:hAnsi="宋体" w:cs="宋体"/>
                <w:color w:val="auto"/>
                <w:sz w:val="22"/>
                <w:szCs w:val="22"/>
              </w:rPr>
              <w:t xml:space="preserve">23</w:t>
            </w:r>
            <w:r/>
          </w:p>
        </w:tc>
        <w:tc>
          <w:tcPr>
            <w:shd w:val="clear" w:color="auto" w:fill="auto"/>
            <w:tcW w:w="2439" w:type="pct"/>
            <w:vAlign w:val="center"/>
            <w:textDirection w:val="lrTb"/>
            <w:noWrap w:val="false"/>
          </w:tcPr>
          <w:p>
            <w:pPr>
              <w:jc w:val="center"/>
              <w:widowControl/>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 xml:space="preserve">包胶铃片</w:t>
            </w:r>
            <w:r/>
          </w:p>
        </w:tc>
        <w:tc>
          <w:tcPr>
            <w:shd w:val="clear" w:color="auto" w:fill="auto"/>
            <w:tcW w:w="688" w:type="pct"/>
            <w:vAlign w:val="center"/>
            <w:textDirection w:val="lrTb"/>
            <w:noWrap w:val="false"/>
          </w:tcPr>
          <w:p>
            <w:pPr>
              <w:jc w:val="center"/>
              <w:widowControl/>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 xml:space="preserve">300</w:t>
            </w:r>
            <w:r/>
          </w:p>
        </w:tc>
        <w:tc>
          <w:tcPr>
            <w:tcW w:w="530" w:type="pct"/>
            <w:vAlign w:val="center"/>
            <w:textDirection w:val="lrTb"/>
            <w:noWrap w:val="false"/>
          </w:tcPr>
          <w:p>
            <w:pPr>
              <w:jc w:val="center"/>
              <w:widowControl/>
              <w:rPr>
                <w:rFonts w:hint="default" w:ascii="宋体" w:hAnsi="宋体" w:eastAsia="宋体" w:cs="宋体"/>
                <w:color w:val="auto"/>
                <w:sz w:val="22"/>
                <w:szCs w:val="22"/>
                <w:lang w:val="en-US"/>
              </w:rPr>
            </w:pPr>
            <w:r>
              <w:rPr>
                <w:rFonts w:hint="eastAsia" w:ascii="宋体" w:hAnsi="宋体" w:cs="宋体"/>
                <w:color w:val="auto"/>
                <w:sz w:val="22"/>
                <w:szCs w:val="22"/>
              </w:rPr>
              <w:t xml:space="preserve">KG</w:t>
            </w:r>
            <w:r/>
          </w:p>
        </w:tc>
        <w:tc>
          <w:tcPr>
            <w:tcW w:w="691" w:type="pct"/>
            <w:vAlign w:val="center"/>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454" w:hRule="exact"/>
        </w:trPr>
        <w:tc>
          <w:tcPr>
            <w:tcW w:w="650" w:type="pct"/>
            <w:vAlign w:val="center"/>
            <w:textDirection w:val="lrTb"/>
            <w:noWrap w:val="false"/>
          </w:tcPr>
          <w:p>
            <w:pPr>
              <w:jc w:val="center"/>
              <w:rPr>
                <w:rFonts w:hint="default" w:ascii="宋体" w:hAnsi="宋体" w:eastAsia="宋体" w:cs="宋体"/>
                <w:color w:val="auto"/>
                <w:sz w:val="22"/>
                <w:szCs w:val="22"/>
                <w:lang w:val="en-US" w:eastAsia="zh-CN"/>
              </w:rPr>
            </w:pPr>
            <w:r>
              <w:rPr>
                <w:rFonts w:hint="eastAsia" w:ascii="宋体" w:hAnsi="宋体" w:cs="宋体"/>
                <w:color w:val="auto"/>
                <w:sz w:val="22"/>
                <w:szCs w:val="22"/>
              </w:rPr>
              <w:t xml:space="preserve">24</w:t>
            </w:r>
            <w:r/>
          </w:p>
        </w:tc>
        <w:tc>
          <w:tcPr>
            <w:shd w:val="clear" w:color="auto" w:fill="auto"/>
            <w:tcW w:w="2439" w:type="pct"/>
            <w:vAlign w:val="center"/>
            <w:textDirection w:val="lrTb"/>
            <w:noWrap w:val="false"/>
          </w:tcPr>
          <w:p>
            <w:pPr>
              <w:jc w:val="center"/>
              <w:widowControl/>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 xml:space="preserve">室内乒乓球台</w:t>
            </w:r>
            <w:r/>
          </w:p>
        </w:tc>
        <w:tc>
          <w:tcPr>
            <w:shd w:val="clear" w:color="auto" w:fill="auto"/>
            <w:tcW w:w="688" w:type="pct"/>
            <w:vAlign w:val="center"/>
            <w:textDirection w:val="lrTb"/>
            <w:noWrap w:val="false"/>
          </w:tcPr>
          <w:p>
            <w:pPr>
              <w:jc w:val="center"/>
              <w:widowControl/>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 xml:space="preserve">7</w:t>
            </w:r>
            <w:r/>
          </w:p>
        </w:tc>
        <w:tc>
          <w:tcPr>
            <w:tcW w:w="530" w:type="pct"/>
            <w:vAlign w:val="center"/>
            <w:textDirection w:val="lrTb"/>
            <w:noWrap w:val="false"/>
          </w:tcPr>
          <w:p>
            <w:pPr>
              <w:jc w:val="center"/>
              <w:widowControl/>
              <w:rPr>
                <w:rFonts w:hint="eastAsia" w:ascii="宋体" w:hAnsi="宋体" w:eastAsia="宋体" w:cs="宋体"/>
                <w:color w:val="auto"/>
                <w:sz w:val="22"/>
                <w:szCs w:val="22"/>
              </w:rPr>
            </w:pPr>
            <w:r>
              <w:rPr>
                <w:rFonts w:hint="eastAsia" w:ascii="宋体" w:hAnsi="宋体" w:cs="宋体"/>
                <w:color w:val="auto"/>
                <w:sz w:val="22"/>
                <w:szCs w:val="22"/>
              </w:rPr>
              <w:t xml:space="preserve">张</w:t>
            </w:r>
            <w:r/>
          </w:p>
        </w:tc>
        <w:tc>
          <w:tcPr>
            <w:tcW w:w="691" w:type="pct"/>
            <w:vAlign w:val="center"/>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454" w:hRule="exact"/>
        </w:trPr>
        <w:tc>
          <w:tcPr>
            <w:tcW w:w="650" w:type="pct"/>
            <w:vAlign w:val="center"/>
            <w:textDirection w:val="lrTb"/>
            <w:noWrap w:val="false"/>
          </w:tcPr>
          <w:p>
            <w:pPr>
              <w:jc w:val="center"/>
              <w:rPr>
                <w:rFonts w:hint="default" w:ascii="宋体" w:hAnsi="宋体" w:eastAsia="宋体" w:cs="宋体"/>
                <w:color w:val="auto"/>
                <w:sz w:val="22"/>
                <w:szCs w:val="22"/>
                <w:lang w:val="en-US" w:eastAsia="zh-CN"/>
              </w:rPr>
            </w:pPr>
            <w:r>
              <w:rPr>
                <w:rFonts w:hint="eastAsia" w:ascii="宋体" w:hAnsi="宋体" w:cs="宋体"/>
                <w:color w:val="auto"/>
                <w:sz w:val="22"/>
                <w:szCs w:val="22"/>
              </w:rPr>
              <w:t xml:space="preserve">25</w:t>
            </w:r>
            <w:r/>
          </w:p>
        </w:tc>
        <w:tc>
          <w:tcPr>
            <w:shd w:val="clear" w:color="auto" w:fill="auto"/>
            <w:tcW w:w="2439" w:type="pct"/>
            <w:vAlign w:val="center"/>
            <w:textDirection w:val="lrTb"/>
            <w:noWrap w:val="false"/>
          </w:tcPr>
          <w:p>
            <w:pPr>
              <w:jc w:val="center"/>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 xml:space="preserve">乒乓球拍</w:t>
            </w:r>
            <w:r/>
          </w:p>
        </w:tc>
        <w:tc>
          <w:tcPr>
            <w:shd w:val="clear" w:color="auto" w:fill="auto"/>
            <w:tcW w:w="688" w:type="pct"/>
            <w:vAlign w:val="center"/>
            <w:textDirection w:val="lrTb"/>
            <w:noWrap w:val="false"/>
          </w:tcPr>
          <w:p>
            <w:pPr>
              <w:jc w:val="center"/>
              <w:widowControl/>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 xml:space="preserve">28</w:t>
            </w:r>
            <w:r/>
          </w:p>
        </w:tc>
        <w:tc>
          <w:tcPr>
            <w:tcW w:w="530" w:type="pct"/>
            <w:vAlign w:val="center"/>
            <w:textDirection w:val="lrTb"/>
            <w:noWrap w:val="false"/>
          </w:tcPr>
          <w:p>
            <w:pPr>
              <w:jc w:val="center"/>
              <w:widowControl/>
              <w:rPr>
                <w:rFonts w:hint="default" w:ascii="宋体" w:hAnsi="宋体" w:cs="宋体"/>
                <w:color w:val="auto"/>
                <w:sz w:val="22"/>
                <w:szCs w:val="22"/>
                <w:lang w:val="en-US" w:eastAsia="zh-CN"/>
              </w:rPr>
            </w:pPr>
            <w:r>
              <w:rPr>
                <w:rFonts w:hint="eastAsia" w:ascii="宋体" w:hAnsi="宋体" w:cs="宋体"/>
                <w:color w:val="auto"/>
                <w:sz w:val="22"/>
                <w:szCs w:val="22"/>
              </w:rPr>
              <w:t xml:space="preserve">副</w:t>
            </w:r>
            <w:r/>
          </w:p>
        </w:tc>
        <w:tc>
          <w:tcPr>
            <w:tcW w:w="691" w:type="pct"/>
            <w:vAlign w:val="center"/>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r>
            <w:r/>
          </w:p>
        </w:tc>
      </w:tr>
      <w:tr>
        <w:trPr>
          <w:trHeight w:val="454" w:hRule="exact"/>
        </w:trPr>
        <w:tc>
          <w:tcPr>
            <w:tcW w:w="650" w:type="pct"/>
            <w:vAlign w:val="center"/>
            <w:textDirection w:val="lrTb"/>
            <w:noWrap w:val="false"/>
          </w:tcPr>
          <w:p>
            <w:pPr>
              <w:jc w:val="center"/>
              <w:rPr>
                <w:rFonts w:hint="default" w:ascii="宋体" w:hAnsi="宋体" w:eastAsia="宋体" w:cs="宋体"/>
                <w:color w:val="auto"/>
                <w:sz w:val="22"/>
                <w:szCs w:val="22"/>
                <w:lang w:val="en-US" w:eastAsia="zh-CN"/>
              </w:rPr>
            </w:pPr>
            <w:r>
              <w:rPr>
                <w:rFonts w:hint="eastAsia" w:ascii="宋体" w:hAnsi="宋体" w:cs="宋体"/>
                <w:color w:val="auto"/>
                <w:sz w:val="22"/>
                <w:szCs w:val="22"/>
              </w:rPr>
              <w:t xml:space="preserve">26</w:t>
            </w:r>
            <w:r/>
          </w:p>
        </w:tc>
        <w:tc>
          <w:tcPr>
            <w:shd w:val="clear" w:color="auto" w:fill="auto"/>
            <w:tcW w:w="2439" w:type="pct"/>
            <w:vAlign w:val="center"/>
            <w:textDirection w:val="lrTb"/>
            <w:noWrap w:val="false"/>
          </w:tcPr>
          <w:p>
            <w:pPr>
              <w:jc w:val="center"/>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 xml:space="preserve">10磅包胶壶铃</w:t>
            </w:r>
            <w:r/>
          </w:p>
        </w:tc>
        <w:tc>
          <w:tcPr>
            <w:shd w:val="clear" w:color="auto" w:fill="auto"/>
            <w:tcW w:w="688" w:type="pct"/>
            <w:vAlign w:val="center"/>
            <w:textDirection w:val="lrTb"/>
            <w:noWrap w:val="false"/>
          </w:tcPr>
          <w:p>
            <w:pPr>
              <w:jc w:val="center"/>
              <w:widowControl/>
              <w:rPr>
                <w:rFonts w:hint="eastAsia" w:ascii="宋体" w:hAnsi="宋体" w:eastAsia="宋体" w:cs="宋体"/>
                <w:color w:val="auto"/>
                <w:sz w:val="22"/>
                <w:szCs w:val="22"/>
                <w:lang w:val="en-US" w:eastAsia="zh-CN" w:bidi="ar-SA"/>
              </w:rPr>
            </w:pPr>
            <w:r>
              <w:rPr>
                <w:rFonts w:hint="eastAsia" w:ascii="宋体" w:hAnsi="宋体" w:cs="宋体"/>
                <w:color w:val="auto"/>
                <w:sz w:val="22"/>
                <w:szCs w:val="22"/>
              </w:rPr>
              <w:t xml:space="preserve">10</w:t>
            </w:r>
            <w:r/>
          </w:p>
        </w:tc>
        <w:tc>
          <w:tcPr>
            <w:tcW w:w="530" w:type="pct"/>
            <w:vAlign w:val="center"/>
            <w:textDirection w:val="lrTb"/>
            <w:noWrap w:val="false"/>
          </w:tcPr>
          <w:p>
            <w:pPr>
              <w:jc w:val="center"/>
              <w:widowControl/>
              <w:rPr>
                <w:rFonts w:hint="default" w:ascii="宋体" w:hAnsi="宋体" w:cs="宋体"/>
                <w:color w:val="auto"/>
                <w:sz w:val="22"/>
                <w:szCs w:val="22"/>
                <w:lang w:val="en-US" w:eastAsia="zh-CN"/>
              </w:rPr>
            </w:pPr>
            <w:r>
              <w:rPr>
                <w:rFonts w:hint="eastAsia" w:ascii="宋体" w:hAnsi="宋体" w:cs="宋体"/>
                <w:color w:val="auto"/>
                <w:sz w:val="22"/>
                <w:szCs w:val="22"/>
              </w:rPr>
              <w:t xml:space="preserve">个</w:t>
            </w:r>
            <w:r/>
          </w:p>
        </w:tc>
        <w:tc>
          <w:tcPr>
            <w:tcW w:w="691" w:type="pct"/>
            <w:vAlign w:val="center"/>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r>
            <w:r/>
          </w:p>
        </w:tc>
      </w:tr>
    </w:tbl>
    <w:p>
      <w:pPr>
        <w:pStyle w:val="975"/>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注：本条“采购清单”中数量要求是不允许偏离的实质性要求和条件，如有偏离，在符合性审查时按照投标无效处理。</w:t>
      </w:r>
      <w:r/>
    </w:p>
    <w:p>
      <w:pPr>
        <w:pStyle w:val="975"/>
        <w:numPr>
          <w:ilvl w:val="0"/>
          <w:numId w:val="0"/>
        </w:numPr>
        <w:jc w:val="both"/>
        <w:spacing w:line="360" w:lineRule="auto"/>
        <w:rPr>
          <w:rFonts w:hint="eastAsia" w:ascii="宋体" w:hAnsi="宋体" w:cs="宋体"/>
          <w:b/>
          <w:bCs w:val="0"/>
          <w:color w:val="auto"/>
          <w:sz w:val="24"/>
          <w:szCs w:val="24"/>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技术参数要求</w:t>
      </w:r>
      <w:r>
        <w:rPr>
          <w:rFonts w:hint="eastAsia" w:ascii="宋体" w:hAnsi="宋体" w:cs="宋体"/>
          <w:b/>
          <w:bCs/>
          <w:color w:val="auto"/>
          <w:sz w:val="24"/>
          <w:szCs w:val="24"/>
          <w:highlight w:val="none"/>
          <w:lang w:eastAsia="zh-CN"/>
        </w:rPr>
        <w:t xml:space="preserve">（</w:t>
      </w:r>
      <w:r>
        <w:rPr>
          <w:rFonts w:hint="eastAsia" w:ascii="宋体" w:hAnsi="宋体" w:cs="宋体"/>
          <w:b/>
          <w:bCs w:val="0"/>
          <w:color w:val="auto"/>
          <w:sz w:val="24"/>
          <w:szCs w:val="24"/>
        </w:rPr>
        <w:t xml:space="preserve">加“★”的指标为实质性响应指标，实质性响应指标任意1项指标不满足或负偏离按无效投标处理，其他为一般响应指标</w:t>
      </w:r>
      <w:r>
        <w:rPr>
          <w:rFonts w:hint="eastAsia" w:ascii="宋体" w:hAnsi="宋体" w:cs="宋体"/>
          <w:b/>
          <w:bCs w:val="0"/>
          <w:color w:val="auto"/>
          <w:sz w:val="24"/>
          <w:szCs w:val="24"/>
          <w:lang w:eastAsia="zh-CN"/>
        </w:rPr>
        <w:t xml:space="preserve">，</w:t>
      </w:r>
      <w:r>
        <w:rPr>
          <w:rFonts w:hint="eastAsia" w:ascii="宋体" w:hAnsi="宋体" w:cs="宋体"/>
          <w:b/>
          <w:bCs w:val="0"/>
          <w:color w:val="auto"/>
          <w:sz w:val="24"/>
          <w:szCs w:val="24"/>
          <w:lang w:val="en-US" w:eastAsia="zh-CN"/>
        </w:rPr>
        <w:t xml:space="preserve">未按照招标文件要求提供证明材料的视为不满足</w:t>
      </w:r>
      <w:r>
        <w:rPr>
          <w:rFonts w:hint="eastAsia" w:ascii="宋体" w:hAnsi="宋体" w:cs="宋体"/>
          <w:b/>
          <w:bCs w:val="0"/>
          <w:color w:val="auto"/>
          <w:sz w:val="24"/>
          <w:szCs w:val="24"/>
        </w:rPr>
        <w:t xml:space="preserve">）：</w:t>
      </w:r>
      <w:r/>
    </w:p>
    <w:tbl>
      <w:tblPr>
        <w:tblStyle w:val="990"/>
        <w:tblW w:w="5449" w:type="pct"/>
        <w:tblInd w:w="-5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293"/>
        <w:gridCol w:w="7244"/>
      </w:tblGrid>
      <w:tr>
        <w:trPr>
          <w:trHeight w:val="90"/>
        </w:trPr>
        <w:tc>
          <w:tcPr>
            <w:tcW w:w="404" w:type="pct"/>
            <w:vAlign w:val="center"/>
            <w:textDirection w:val="lrTb"/>
            <w:noWrap w:val="false"/>
          </w:tcPr>
          <w:p>
            <w:pPr>
              <w:jc w:val="center"/>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序号</w:t>
            </w:r>
            <w:r/>
          </w:p>
        </w:tc>
        <w:tc>
          <w:tcPr>
            <w:tcW w:w="696" w:type="pct"/>
            <w:vAlign w:val="center"/>
            <w:textDirection w:val="lrTb"/>
            <w:noWrap w:val="false"/>
          </w:tcPr>
          <w:p>
            <w:pPr>
              <w:jc w:val="center"/>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品名</w:t>
            </w:r>
            <w:r/>
          </w:p>
        </w:tc>
        <w:tc>
          <w:tcPr>
            <w:tcW w:w="3899" w:type="pct"/>
            <w:vAlign w:val="center"/>
            <w:textDirection w:val="lrTb"/>
            <w:noWrap w:val="false"/>
          </w:tcPr>
          <w:p>
            <w:pPr>
              <w:jc w:val="center"/>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规格及参数要求</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告示牌</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4、人体易接触区域，不应存在剪切、挤压、卡夹、缠绕结构,强制运动不应存在钩挂结构；器材不应存在向上的小于60 °的V形开口；器材的开口结构，不应对头、颈造成卡夹；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5、告示牌面板采用不锈钢材质，耐蚀性能相当于 0Cr18Ni9（SUS304），厚度不小于1mm，面板边缘及尖角不得翘起，图样及字样蚀刻处理；</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★6、符合GB19272-2024《室外健身器材的安全通用要求》，并</w:t>
            </w:r>
            <w:r>
              <w:rPr>
                <w:rFonts w:hint="eastAsia" w:ascii="宋体" w:hAnsi="宋体" w:eastAsia="宋体" w:cs="宋体"/>
                <w:sz w:val="24"/>
                <w:szCs w:val="24"/>
                <w:lang w:val="en-US" w:eastAsia="zh-CN"/>
              </w:rPr>
              <w:t xml:space="preserve">在投标文件中</w:t>
            </w:r>
            <w:r>
              <w:rPr>
                <w:rFonts w:hint="eastAsia" w:ascii="宋体" w:hAnsi="宋体" w:eastAsia="宋体" w:cs="宋体"/>
                <w:sz w:val="24"/>
                <w:szCs w:val="24"/>
              </w:rPr>
              <w:t xml:space="preserve">提供有效期内带有CMA或CNAS标识的检测报告</w:t>
            </w:r>
            <w:r>
              <w:rPr>
                <w:rFonts w:hint="eastAsia" w:ascii="宋体" w:hAnsi="宋体" w:eastAsia="宋体" w:cs="宋体"/>
                <w:sz w:val="24"/>
                <w:szCs w:val="24"/>
                <w:lang w:val="en-US" w:eastAsia="zh-CN"/>
              </w:rPr>
              <w:t xml:space="preserve">扫描件；</w:t>
            </w:r>
            <w:r/>
          </w:p>
          <w:p>
            <w:pPr>
              <w:jc w:val="lef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★7、通过经国家批准的体育器材质量认证机构的产品质量认证，</w:t>
            </w:r>
            <w:r>
              <w:rPr>
                <w:rFonts w:hint="eastAsia" w:ascii="宋体" w:hAnsi="宋体" w:eastAsia="宋体" w:cs="宋体"/>
                <w:sz w:val="24"/>
                <w:szCs w:val="24"/>
                <w:lang w:val="en-US" w:eastAsia="zh-CN"/>
              </w:rPr>
              <w:t xml:space="preserve">并在投标文件中</w:t>
            </w:r>
            <w:r>
              <w:rPr>
                <w:rFonts w:hint="eastAsia" w:ascii="宋体" w:hAnsi="宋体" w:eastAsia="宋体" w:cs="宋体"/>
                <w:sz w:val="24"/>
                <w:szCs w:val="24"/>
              </w:rPr>
              <w:t xml:space="preserve">提供有效期内的认证证书及确认函</w:t>
            </w:r>
            <w:r>
              <w:rPr>
                <w:rFonts w:hint="eastAsia" w:ascii="宋体" w:hAnsi="宋体" w:eastAsia="宋体" w:cs="宋体"/>
                <w:sz w:val="24"/>
                <w:szCs w:val="24"/>
                <w:lang w:val="en-US" w:eastAsia="zh-CN"/>
              </w:rPr>
              <w:t xml:space="preserve">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肋木架</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主要承载横梁尺寸不小于φ32×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4、人体易接触区域不应存在剪切、挤压、卡夹、缠绕结构,强制运动不应存在钩挂结构；</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5、器材不应存在向上的小于60 °的V形开口；器材的开口结构，不应对头、颈造成卡夹；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6、用于握持的部件截面形心任一方向的尺寸在 16mm~45mm 之间；</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★6、符合GB19272-2024《室外健身器材的安全通用要求》，并</w:t>
            </w:r>
            <w:r>
              <w:rPr>
                <w:rFonts w:hint="eastAsia" w:ascii="宋体" w:hAnsi="宋体" w:eastAsia="宋体" w:cs="宋体"/>
                <w:sz w:val="24"/>
                <w:szCs w:val="24"/>
                <w:lang w:val="en-US" w:eastAsia="zh-CN"/>
              </w:rPr>
              <w:t xml:space="preserve">在投标文件中</w:t>
            </w:r>
            <w:r>
              <w:rPr>
                <w:rFonts w:hint="eastAsia" w:ascii="宋体" w:hAnsi="宋体" w:eastAsia="宋体" w:cs="宋体"/>
                <w:sz w:val="24"/>
                <w:szCs w:val="24"/>
              </w:rPr>
              <w:t xml:space="preserve">提供有效期内带有CMA或CNAS标识的检测报告</w:t>
            </w:r>
            <w:r>
              <w:rPr>
                <w:rFonts w:hint="eastAsia" w:ascii="宋体" w:hAnsi="宋体" w:eastAsia="宋体" w:cs="宋体"/>
                <w:sz w:val="24"/>
                <w:szCs w:val="24"/>
                <w:lang w:val="en-US" w:eastAsia="zh-CN"/>
              </w:rPr>
              <w:t xml:space="preserve">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★7、通过经国家批准的体育器材质量认证机构的产品质量认证，</w:t>
            </w:r>
            <w:r>
              <w:rPr>
                <w:rFonts w:hint="eastAsia" w:ascii="宋体" w:hAnsi="宋体" w:eastAsia="宋体" w:cs="宋体"/>
                <w:sz w:val="24"/>
                <w:szCs w:val="24"/>
                <w:lang w:val="en-US" w:eastAsia="zh-CN"/>
              </w:rPr>
              <w:t xml:space="preserve">并在投标文件中</w:t>
            </w:r>
            <w:r>
              <w:rPr>
                <w:rFonts w:hint="eastAsia" w:ascii="宋体" w:hAnsi="宋体" w:eastAsia="宋体" w:cs="宋体"/>
                <w:sz w:val="24"/>
                <w:szCs w:val="24"/>
              </w:rPr>
              <w:t xml:space="preserve">提供有效期内的认证证书及确认函</w:t>
            </w:r>
            <w:r>
              <w:rPr>
                <w:rFonts w:hint="eastAsia" w:ascii="宋体" w:hAnsi="宋体" w:eastAsia="宋体" w:cs="宋体"/>
                <w:sz w:val="24"/>
                <w:szCs w:val="24"/>
                <w:lang w:val="en-US" w:eastAsia="zh-CN"/>
              </w:rPr>
              <w:t xml:space="preserve">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双位蹬力器</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89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4、嵌入式紧固件(含突出物)，应被永久覆盖；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5、人体易接触区域，不应存在剪切、挤压、卡夹、缠绕结构,强制运动不应存在钩挂结构；器材不应存在向上的小于60° 的 V形开口；</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6、器材可能危及身体的剪切、挤压风险,活动部件与活动部件或固定部件含地面)的距离≥400mm；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7、脚踏面应具有防滑功能，脚踏面不应积水；</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、符合GB19272-2024《室外健身器材的安全通用要求》，并</w:t>
            </w:r>
            <w:r>
              <w:rPr>
                <w:rFonts w:hint="eastAsia" w:ascii="宋体" w:hAnsi="宋体" w:eastAsia="宋体" w:cs="宋体"/>
                <w:sz w:val="24"/>
                <w:szCs w:val="24"/>
                <w:lang w:val="en-US" w:eastAsia="zh-CN"/>
              </w:rPr>
              <w:t xml:space="preserve">在投标文件中</w:t>
            </w:r>
            <w:r>
              <w:rPr>
                <w:rFonts w:hint="eastAsia" w:ascii="宋体" w:hAnsi="宋体" w:eastAsia="宋体" w:cs="宋体"/>
                <w:sz w:val="24"/>
                <w:szCs w:val="24"/>
              </w:rPr>
              <w:t xml:space="preserve">提供有效期内带有CMA或CNAS标识的检测报告</w:t>
            </w:r>
            <w:r>
              <w:rPr>
                <w:rFonts w:hint="eastAsia" w:ascii="宋体" w:hAnsi="宋体" w:eastAsia="宋体" w:cs="宋体"/>
                <w:sz w:val="24"/>
                <w:szCs w:val="24"/>
                <w:lang w:val="en-US" w:eastAsia="zh-CN"/>
              </w:rPr>
              <w:t xml:space="preserve">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、通过经国家批准的体育器材质量认证机构的产品质量认证，</w:t>
            </w:r>
            <w:r>
              <w:rPr>
                <w:rFonts w:hint="eastAsia" w:ascii="宋体" w:hAnsi="宋体" w:eastAsia="宋体" w:cs="宋体"/>
                <w:sz w:val="24"/>
                <w:szCs w:val="24"/>
                <w:lang w:val="en-US" w:eastAsia="zh-CN"/>
              </w:rPr>
              <w:t xml:space="preserve">并在投标文件中</w:t>
            </w:r>
            <w:r>
              <w:rPr>
                <w:rFonts w:hint="eastAsia" w:ascii="宋体" w:hAnsi="宋体" w:eastAsia="宋体" w:cs="宋体"/>
                <w:sz w:val="24"/>
                <w:szCs w:val="24"/>
              </w:rPr>
              <w:t xml:space="preserve">提供有效期内的认证证书及确认函</w:t>
            </w:r>
            <w:r>
              <w:rPr>
                <w:rFonts w:hint="eastAsia" w:ascii="宋体" w:hAnsi="宋体" w:eastAsia="宋体" w:cs="宋体"/>
                <w:sz w:val="24"/>
                <w:szCs w:val="24"/>
                <w:lang w:val="en-US" w:eastAsia="zh-CN"/>
              </w:rPr>
              <w:t xml:space="preserve">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三位扭腰器</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2、主要承载横梁钢管不小于φ32×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4、球形面紧固件突出高度＜6；覆盖件高于安装面部分应为类球形，覆盖件的直径与高度比值应＞3，且覆盖面直径≥50mm</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5、人体易接触区域，不应存在剪切、挤压、卡夹、缠绕结构,强制运动不应存在钩挂结构；器材不应存在向上的小于60 ° 的 V 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6、器材易接触区域的脚和腿卡夹结构-活动部件与活动部件或固定部件(含地面)的距离≥80mm；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7、脚踏面应具有防滑功能，表面摩擦系数≥0.5；脚踏面的单脚面积≥30000mm</w:t>
            </w:r>
            <w:r>
              <w:rPr>
                <w:rFonts w:hint="eastAsia" w:ascii="宋体" w:hAnsi="宋体" w:eastAsia="宋体" w:cs="宋体"/>
                <w:sz w:val="24"/>
                <w:szCs w:val="24"/>
                <w:lang w:val="en-US" w:eastAsia="zh-CN"/>
              </w:rPr>
              <w:t xml:space="preserve">²</w:t>
            </w:r>
            <w:r>
              <w:rPr>
                <w:rFonts w:hint="eastAsia" w:ascii="宋体" w:hAnsi="宋体" w:eastAsia="宋体" w:cs="宋体"/>
                <w:sz w:val="24"/>
                <w:szCs w:val="24"/>
              </w:rPr>
              <w:t xml:space="preserve">；脚踏面不应积水；</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8、由于转动惯性可能对使用者或第三者造成伤害的器材应采取限位装置减少伤害；</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9、扭腰盘单侧最大偏转角度≤180 °, 并标示初始位置；</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10、用于握持的部件截面形心任一方向的尺寸在 16mm~45mm之间；</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、符合GB19272-2024《室外健身器材的安全通用要求》，并</w:t>
            </w:r>
            <w:r>
              <w:rPr>
                <w:rFonts w:hint="eastAsia" w:ascii="宋体" w:hAnsi="宋体" w:eastAsia="宋体" w:cs="宋体"/>
                <w:sz w:val="24"/>
                <w:szCs w:val="24"/>
                <w:lang w:val="en-US" w:eastAsia="zh-CN"/>
              </w:rPr>
              <w:t xml:space="preserve">在投标文件中</w:t>
            </w:r>
            <w:r>
              <w:rPr>
                <w:rFonts w:hint="eastAsia" w:ascii="宋体" w:hAnsi="宋体" w:eastAsia="宋体" w:cs="宋体"/>
                <w:sz w:val="24"/>
                <w:szCs w:val="24"/>
              </w:rPr>
              <w:t xml:space="preserve">提供有效期内带有CMA或CNAS标识的检测报告</w:t>
            </w:r>
            <w:r>
              <w:rPr>
                <w:rFonts w:hint="eastAsia" w:ascii="宋体" w:hAnsi="宋体" w:eastAsia="宋体" w:cs="宋体"/>
                <w:sz w:val="24"/>
                <w:szCs w:val="24"/>
                <w:lang w:val="en-US" w:eastAsia="zh-CN"/>
              </w:rPr>
              <w:t xml:space="preserve">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、通过经国家批准的体育器材质量认证机构的产品质量认证，</w:t>
            </w:r>
            <w:r>
              <w:rPr>
                <w:rFonts w:hint="eastAsia" w:ascii="宋体" w:hAnsi="宋体" w:eastAsia="宋体" w:cs="宋体"/>
                <w:sz w:val="24"/>
                <w:szCs w:val="24"/>
                <w:lang w:val="en-US" w:eastAsia="zh-CN"/>
              </w:rPr>
              <w:t xml:space="preserve">并在投标文件中</w:t>
            </w:r>
            <w:r>
              <w:rPr>
                <w:rFonts w:hint="eastAsia" w:ascii="宋体" w:hAnsi="宋体" w:eastAsia="宋体" w:cs="宋体"/>
                <w:sz w:val="24"/>
                <w:szCs w:val="24"/>
              </w:rPr>
              <w:t xml:space="preserve">提供有效期内的认证证书及确认函</w:t>
            </w:r>
            <w:r>
              <w:rPr>
                <w:rFonts w:hint="eastAsia" w:ascii="宋体" w:hAnsi="宋体" w:eastAsia="宋体" w:cs="宋体"/>
                <w:sz w:val="24"/>
                <w:szCs w:val="24"/>
                <w:lang w:val="en-US" w:eastAsia="zh-CN"/>
              </w:rPr>
              <w:t xml:space="preserve">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双杠</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平行梯</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2、主要承载横梁尺寸不小于Φ32×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4、球形面紧固件突出高度&lt;6mm；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5、人体易接触区域，不应存在剪切、挤压、卡夹、缠绕结构,强制运动不应存在钩挂结构；器材不应存在向上的小于60 ° 的 V 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6、用于握持的部件截面形心任一方向的尺寸在 16mm~45mm 之间；</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★6、符合GB19272-2024《室外健身器材的安全通用要求》，并</w:t>
            </w:r>
            <w:r>
              <w:rPr>
                <w:rFonts w:hint="eastAsia" w:ascii="宋体" w:hAnsi="宋体" w:eastAsia="宋体" w:cs="宋体"/>
                <w:sz w:val="24"/>
                <w:szCs w:val="24"/>
                <w:lang w:val="en-US" w:eastAsia="zh-CN"/>
              </w:rPr>
              <w:t xml:space="preserve">在投标文件中</w:t>
            </w:r>
            <w:r>
              <w:rPr>
                <w:rFonts w:hint="eastAsia" w:ascii="宋体" w:hAnsi="宋体" w:eastAsia="宋体" w:cs="宋体"/>
                <w:sz w:val="24"/>
                <w:szCs w:val="24"/>
              </w:rPr>
              <w:t xml:space="preserve">提供有效期内带有CMA或CNAS标识的检测报告</w:t>
            </w:r>
            <w:r>
              <w:rPr>
                <w:rFonts w:hint="eastAsia" w:ascii="宋体" w:hAnsi="宋体" w:eastAsia="宋体" w:cs="宋体"/>
                <w:sz w:val="24"/>
                <w:szCs w:val="24"/>
                <w:lang w:val="en-US" w:eastAsia="zh-CN"/>
              </w:rPr>
              <w:t xml:space="preserve">扫描件；</w:t>
            </w:r>
            <w:r/>
          </w:p>
          <w:p>
            <w:pPr>
              <w:jc w:val="lef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★7、通过经国家批准的体育器材质量认证机构的产品质量认证，</w:t>
            </w:r>
            <w:r>
              <w:rPr>
                <w:rFonts w:hint="eastAsia" w:ascii="宋体" w:hAnsi="宋体" w:eastAsia="宋体" w:cs="宋体"/>
                <w:sz w:val="24"/>
                <w:szCs w:val="24"/>
                <w:lang w:val="en-US" w:eastAsia="zh-CN"/>
              </w:rPr>
              <w:t xml:space="preserve">并在投标文件中</w:t>
            </w:r>
            <w:r>
              <w:rPr>
                <w:rFonts w:hint="eastAsia" w:ascii="宋体" w:hAnsi="宋体" w:eastAsia="宋体" w:cs="宋体"/>
                <w:sz w:val="24"/>
                <w:szCs w:val="24"/>
              </w:rPr>
              <w:t xml:space="preserve">提供有效期内的认证证书及确认函</w:t>
            </w:r>
            <w:r>
              <w:rPr>
                <w:rFonts w:hint="eastAsia" w:ascii="宋体" w:hAnsi="宋体" w:eastAsia="宋体" w:cs="宋体"/>
                <w:sz w:val="24"/>
                <w:szCs w:val="24"/>
                <w:lang w:val="en-US" w:eastAsia="zh-CN"/>
              </w:rPr>
              <w:t xml:space="preserve">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坐立式腰背按摩器</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4、把手端部直径≥50mm 且棱边半径不小于5mm；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5、覆盖件高于安装面部分应为类球形，覆盖件的直径与高度比值应＞3，且覆盖面直径≥50mm。嵌入式紧固件(含突出物)，应被永久覆盖；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6、人体易接触区域，不应存在剪切、挤压、卡夹、缠绕结构,强制运动不应存在钩挂结构；器材不应存在向上的小于60 °的V形开口；器材的开口结构不应对头、颈造成卡夹；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7、手及手指卡夹，其活动部件与活动部件或固定部件之间的距离，可能只危及手指,其间隙不小于30mm；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9、用于握持的部件截面形心任一方向的尺寸在16mm~45mm之间；当握持部件具有把手功能时应进行防滑处理；外加式手把套应永久固定；</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上肢牵引器</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2、主要承载横梁钢管不小于φ48×</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4、覆盖件高于安装面部分应为类球形，覆盖件的直径与高度比值应＞3，且覆盖面直径≥50mm。嵌入式紧固件(含突出物)，应被永久覆盖；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5、人体易接触区域，不应存在剪切、挤压、卡夹、缠绕结构,强制运动不应存在钩挂结构；器材不应存在向上的小于60 ° 的 V 形开口；</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6、使用者在器材下面的，其活动部件刚性底部距地面间的距离≥1850mm；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7、用于握持的部件截面形心任一方向的尺寸在 16mm~45mm 之间；当握持部件具有把手功能时,应进行防滑处理，外加式手把套应永久固定；把手(不含柔性部件)质量不应大于 600g；</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二位太空漫步机</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2、主要承载横梁尺寸不小于φ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4、球形面紧固件突出高度</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6mm；嵌入式紧固件(含突出物)，应被永久覆盖；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5、人体易接触区域，不应存在剪切、挤压、卡夹、缠绕结构,强制运动不应存在钩挂结构；器材不应存在向上的小于60 °的V形开口；器材开口距地面高度大于600mm时，不应存在开口间距小于 230mm,且深度大于 45mm 的向上的U 形开口；</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7、手及手指卡夹机构，其活动部件与活动部件或固定部件之间的距离≥60mm；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8、脚和腿卡夹结构，其器材易接触区域的结构-活动部件与活动部件或固定部件(含地面)的距离≥80mm；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9、脚踏面应具有防滑功能，表面摩擦系数≥0.5；</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10、往复运动器材的站立脚踏面，脚踏面的单脚面积应不小于 30000mm</w:t>
            </w:r>
            <w:r>
              <w:rPr>
                <w:rFonts w:hint="eastAsia" w:ascii="宋体" w:hAnsi="宋体" w:eastAsia="宋体" w:cs="宋体"/>
                <w:sz w:val="24"/>
                <w:szCs w:val="24"/>
                <w:lang w:val="en-US" w:eastAsia="zh-CN"/>
              </w:rPr>
              <w:t xml:space="preserve">²</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11、脚踏面主运动方向和易滑脱方向应设置高度不小于30mm、长度大于踏板周长2/3 的防滑脱的凸台或护板；</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12、脚踏面不应积水；</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13、摆动部件加速度的峰值≤50g；</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14、活动部件的单侧摆动幅度≤70 °</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15、用于握持的部件截面形心任一方向的尺寸在 16mm~45mm之间；</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太极揉推器</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4、球形面紧固件突出高度&lt;6mm；嵌入式紧固件(含突出物)，应被永久覆盖；</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5、人体易接触区域，不应存在剪切、挤压、卡夹、缠绕结构,强制运动不应存在钩挂结构；器材不应存在向上的小于60 ° 的 V 形开口；器材不应存在开口间距小于 230mm,且深度大于 45mm 的向上的 U 形开口</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11</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弹震压腿训练器</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2、主要承载横梁钢管不小于φ42×3mm；</w:t>
            </w:r>
            <w:r/>
          </w:p>
          <w:p>
            <w:pPr>
              <w:jc w:val="left"/>
              <w:widowControl w:val="off"/>
              <w:rPr>
                <w:rFonts w:hint="eastAsia" w:ascii="宋体" w:hAnsi="宋体" w:cs="宋体"/>
                <w:sz w:val="24"/>
                <w:szCs w:val="24"/>
                <w:lang w:eastAsia="zh-CN"/>
              </w:rPr>
            </w:pPr>
            <w:r>
              <w:rPr>
                <w:rFonts w:hint="eastAsia" w:ascii="宋体" w:hAnsi="宋体" w:eastAsia="宋体" w:cs="宋体"/>
                <w:sz w:val="24"/>
                <w:szCs w:val="24"/>
              </w:rPr>
              <w:t xml:space="preserve">3、安装方式：直埋式</w:t>
            </w:r>
            <w:r>
              <w:rPr>
                <w:rFonts w:hint="eastAsia" w:ascii="宋体" w:hAnsi="宋体" w:cs="宋体"/>
                <w:sz w:val="24"/>
                <w:szCs w:val="24"/>
                <w:lang w:eastAsia="zh-CN"/>
              </w:rPr>
              <w:t xml:space="preserve">；</w:t>
            </w:r>
            <w:r/>
          </w:p>
          <w:p>
            <w:pPr>
              <w:jc w:val="left"/>
              <w:widowControl w:val="off"/>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12</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椭圆漫步机</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2、主要承载横梁钢管不小于φ40×3mm；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13</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自重划器</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2、主要承载横梁钢管不小于80×120×3mm；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14</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仰卧板</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2、主要承载横梁钢管不小于φ42×3mm；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5</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骑马机</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2、主要承载横梁钢管不小于φ60×3mm；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6</w:t>
            </w:r>
            <w:r/>
          </w:p>
        </w:tc>
        <w:tc>
          <w:tcPr>
            <w:tcW w:w="696" w:type="pct"/>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跑步机</w:t>
            </w:r>
            <w:r/>
          </w:p>
        </w:tc>
        <w:tc>
          <w:tcPr>
            <w:tcW w:w="3899" w:type="pct"/>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屏幕：</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6英寸LCD显示屏</w:t>
            </w:r>
            <w:r>
              <w:rPr>
                <w:rFonts w:hint="eastAsia" w:ascii="宋体" w:hAnsi="宋体" w:eastAsia="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面板上显示的功能</w:t>
            </w:r>
            <w:r>
              <w:rPr>
                <w:rFonts w:hint="eastAsia" w:ascii="宋体" w:hAnsi="宋体" w:eastAsia="宋体" w:cs="宋体"/>
                <w:sz w:val="24"/>
                <w:szCs w:val="24"/>
                <w:lang w:val="en-US" w:eastAsia="zh-CN"/>
              </w:rPr>
              <w:t xml:space="preserve">不少于</w:t>
            </w:r>
            <w:r>
              <w:rPr>
                <w:rFonts w:hint="eastAsia" w:ascii="宋体" w:hAnsi="宋体" w:eastAsia="宋体" w:cs="宋体"/>
                <w:sz w:val="24"/>
                <w:szCs w:val="24"/>
              </w:rPr>
              <w:t xml:space="preserve">：速度/坡度/时间/心率/距离/卡路里/程序/模式/时钟</w:t>
            </w:r>
            <w:r>
              <w:rPr>
                <w:rFonts w:hint="eastAsia" w:ascii="宋体" w:hAnsi="宋体" w:eastAsia="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承重：</w:t>
            </w:r>
            <w:r>
              <w:rPr>
                <w:rFonts w:hint="eastAsia" w:ascii="宋体" w:hAnsi="宋体" w:eastAsia="宋体" w:cs="宋体"/>
                <w:sz w:val="24"/>
                <w:szCs w:val="24"/>
                <w:lang w:val="en-US" w:eastAsia="zh-CN"/>
              </w:rPr>
              <w:t xml:space="preserve">不小于</w:t>
            </w:r>
            <w:r>
              <w:rPr>
                <w:rFonts w:hint="eastAsia" w:ascii="宋体" w:hAnsi="宋体" w:eastAsia="宋体" w:cs="宋体"/>
                <w:sz w:val="24"/>
                <w:szCs w:val="24"/>
              </w:rPr>
              <w:t xml:space="preserve">120Kg</w:t>
            </w:r>
            <w:r>
              <w:rPr>
                <w:rFonts w:hint="eastAsia" w:ascii="宋体" w:hAnsi="宋体" w:eastAsia="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速度：</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1.0—16KM/h</w:t>
            </w:r>
            <w:r>
              <w:rPr>
                <w:rFonts w:hint="eastAsia" w:ascii="宋体" w:hAnsi="宋体" w:eastAsia="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心率控制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手握式脉搏传感运动心率 安全急停开关</w:t>
            </w:r>
            <w:r>
              <w:rPr>
                <w:rFonts w:hint="eastAsia" w:ascii="宋体" w:hAnsi="宋体" w:eastAsia="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坡度范围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0-15% </w:t>
            </w:r>
            <w:r>
              <w:rPr>
                <w:rFonts w:hint="eastAsia" w:ascii="宋体" w:hAnsi="宋体" w:eastAsia="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跑带面积</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1250*440mm </w:t>
            </w:r>
            <w:r>
              <w:rPr>
                <w:rFonts w:hint="eastAsia" w:ascii="宋体" w:hAnsi="宋体" w:eastAsia="宋体" w:cs="宋体"/>
                <w:sz w:val="24"/>
                <w:szCs w:val="24"/>
                <w:lang w:eastAsia="zh-CN"/>
              </w:rPr>
              <w:t xml:space="preserve">。</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7</w:t>
            </w:r>
            <w:r/>
          </w:p>
        </w:tc>
        <w:tc>
          <w:tcPr>
            <w:tcW w:w="696" w:type="pct"/>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健身车</w:t>
            </w:r>
            <w:r/>
          </w:p>
        </w:tc>
        <w:tc>
          <w:tcPr>
            <w:tcW w:w="3899" w:type="pct"/>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eastAsia="宋体" w:cs="宋体"/>
                <w:sz w:val="24"/>
                <w:szCs w:val="24"/>
              </w:rPr>
              <w:t xml:space="preserve">1.面板设计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LCD液晶显示 触碰式按钮</w:t>
            </w:r>
            <w:r>
              <w:rPr>
                <w:rFonts w:hint="eastAsia" w:ascii="宋体" w:hAnsi="宋体" w:eastAsia="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2.显示功能</w:t>
            </w:r>
            <w:r>
              <w:rPr>
                <w:rFonts w:hint="eastAsia" w:ascii="宋体" w:hAnsi="宋体" w:eastAsia="宋体" w:cs="宋体"/>
                <w:sz w:val="24"/>
                <w:szCs w:val="24"/>
                <w:lang w:val="en-US" w:eastAsia="zh-CN"/>
              </w:rPr>
              <w:t xml:space="preserve">不少于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速度/时间/距离/卡路里/模式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.阻力调节：无级调节</w:t>
            </w:r>
            <w:r>
              <w:rPr>
                <w:rFonts w:hint="eastAsia" w:ascii="宋体" w:hAnsi="宋体" w:eastAsia="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.高度调节：</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6段式调节</w:t>
            </w:r>
            <w:r>
              <w:rPr>
                <w:rFonts w:hint="eastAsia" w:ascii="宋体" w:hAnsi="宋体" w:eastAsia="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.最大载重：</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110KG</w:t>
            </w:r>
            <w:r>
              <w:rPr>
                <w:rFonts w:hint="eastAsia" w:ascii="宋体" w:hAnsi="宋体" w:eastAsia="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.飞轮重量：</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13KG</w:t>
            </w:r>
            <w:r>
              <w:rPr>
                <w:rFonts w:hint="eastAsia" w:ascii="宋体" w:hAnsi="宋体" w:eastAsia="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.占地面积：</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0*4</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00mm</w:t>
            </w:r>
            <w:r>
              <w:rPr>
                <w:rFonts w:hint="eastAsia" w:ascii="宋体" w:hAnsi="宋体" w:eastAsia="宋体" w:cs="宋体"/>
                <w:sz w:val="24"/>
                <w:szCs w:val="24"/>
                <w:lang w:eastAsia="zh-CN"/>
              </w:rPr>
              <w:t xml:space="preserve">。</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8</w:t>
            </w:r>
            <w:r/>
          </w:p>
        </w:tc>
        <w:tc>
          <w:tcPr>
            <w:tcW w:w="696" w:type="pct"/>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划船器</w:t>
            </w:r>
            <w:r/>
          </w:p>
        </w:tc>
        <w:tc>
          <w:tcPr>
            <w:tcW w:w="3899" w:type="pct"/>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功能</w:t>
            </w:r>
            <w:r>
              <w:rPr>
                <w:rFonts w:hint="eastAsia" w:ascii="宋体" w:hAnsi="宋体" w:eastAsia="宋体" w:cs="宋体"/>
                <w:color w:val="auto"/>
                <w:sz w:val="24"/>
                <w:szCs w:val="24"/>
                <w:lang w:val="en-US" w:eastAsia="zh-CN"/>
              </w:rPr>
              <w:t xml:space="preserve">不少于</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LCD显示屏，</w:t>
            </w:r>
            <w:r>
              <w:rPr>
                <w:rFonts w:hint="eastAsia" w:ascii="宋体" w:hAnsi="宋体" w:eastAsia="宋体" w:cs="宋体"/>
                <w:color w:val="auto"/>
                <w:sz w:val="24"/>
                <w:szCs w:val="24"/>
              </w:rPr>
              <w:t xml:space="preserve">时间、速度、距离、卡路里、脉搏、恢复、转速、手动，磁控车用户程序、瓦特程序</w:t>
            </w:r>
            <w:r>
              <w:rPr>
                <w:rFonts w:hint="eastAsia" w:ascii="宋体" w:hAnsi="宋体" w:eastAsia="宋体" w:cs="宋体"/>
                <w:strike w:val="0"/>
                <w:color w:val="auto"/>
                <w:sz w:val="24"/>
                <w:szCs w:val="24"/>
                <w:lang w:val="en-US" w:eastAsia="zh-CN"/>
              </w:rPr>
              <w:t xml:space="preserve">等</w:t>
            </w:r>
            <w:r>
              <w:rPr>
                <w:rFonts w:hint="eastAsia" w:ascii="宋体" w:hAnsi="宋体" w:eastAsia="宋体" w:cs="宋体"/>
                <w:color w:val="auto"/>
                <w:sz w:val="24"/>
                <w:szCs w:val="24"/>
                <w:lang w:val="en-US" w:eastAsia="zh-CN"/>
              </w:rPr>
              <w:t xml:space="preserve">功能；</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飞轮</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4KG</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最大承重</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120KG</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产品尺寸</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19</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0*5</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0*7</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0mm</w:t>
            </w:r>
            <w:r>
              <w:rPr>
                <w:rFonts w:hint="eastAsia" w:ascii="宋体" w:hAnsi="宋体" w:eastAsia="宋体" w:cs="宋体"/>
                <w:color w:val="auto"/>
                <w:sz w:val="24"/>
                <w:szCs w:val="24"/>
                <w:lang w:eastAsia="zh-CN"/>
              </w:rPr>
              <w:t xml:space="preserve">。</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9</w:t>
            </w:r>
            <w:r/>
          </w:p>
        </w:tc>
        <w:tc>
          <w:tcPr>
            <w:tcW w:w="696" w:type="pct"/>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椭圆机</w:t>
            </w:r>
            <w:r/>
          </w:p>
        </w:tc>
        <w:tc>
          <w:tcPr>
            <w:tcW w:w="3899" w:type="pct"/>
            <w:vAlign w:val="center"/>
            <w:textDirection w:val="lrTb"/>
            <w:noWrap w:val="false"/>
          </w:tcPr>
          <w:p>
            <w:pPr>
              <w:numPr>
                <w:ilvl w:val="0"/>
                <w:numId w:val="0"/>
              </w:numPr>
              <w:jc w:val="lef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功能</w:t>
            </w:r>
            <w:r>
              <w:rPr>
                <w:rFonts w:hint="eastAsia" w:ascii="宋体" w:hAnsi="宋体" w:eastAsia="宋体" w:cs="宋体"/>
                <w:sz w:val="24"/>
                <w:szCs w:val="24"/>
                <w:lang w:val="en-US" w:eastAsia="zh-CN"/>
              </w:rPr>
              <w:t xml:space="preserve">不少于</w:t>
            </w:r>
            <w:r>
              <w:rPr>
                <w:rFonts w:hint="eastAsia" w:ascii="宋体" w:hAnsi="宋体" w:eastAsia="宋体" w:cs="宋体"/>
                <w:sz w:val="24"/>
                <w:szCs w:val="24"/>
              </w:rPr>
              <w:t xml:space="preserve">：LCD液晶显示器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时间、速度、距离、卡路里、脉搏、恢复、转速、手动、12个程序、H.R.C.，磁控车用户程序、瓦特程序特殊</w:t>
            </w:r>
            <w:r>
              <w:rPr>
                <w:rFonts w:hint="eastAsia" w:ascii="宋体" w:hAnsi="宋体" w:eastAsia="宋体" w:cs="宋体"/>
                <w:color w:val="auto"/>
                <w:sz w:val="24"/>
                <w:szCs w:val="24"/>
                <w:lang w:val="en-US" w:eastAsia="zh-CN"/>
              </w:rPr>
              <w:t xml:space="preserve">功能；</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总坡度</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11度 </w:t>
            </w:r>
            <w:r>
              <w:rPr>
                <w:rFonts w:hint="eastAsia" w:ascii="宋体" w:hAnsi="宋体" w:eastAsia="宋体" w:cs="宋体"/>
                <w:sz w:val="24"/>
                <w:szCs w:val="24"/>
                <w:lang w:eastAsia="zh-CN"/>
              </w:rPr>
              <w:t xml:space="preserve">；</w:t>
            </w:r>
            <w:r/>
          </w:p>
          <w:p>
            <w:pPr>
              <w:numPr>
                <w:ilvl w:val="0"/>
                <w:numId w:val="0"/>
              </w:numPr>
              <w:jc w:val="lef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飞轮 </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9KG</w:t>
            </w:r>
            <w:r>
              <w:rPr>
                <w:rFonts w:hint="eastAsia" w:ascii="宋体" w:hAnsi="宋体" w:eastAsia="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最大承重 </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150KG</w:t>
            </w:r>
            <w:r>
              <w:rPr>
                <w:rFonts w:hint="eastAsia" w:ascii="宋体" w:hAnsi="宋体" w:eastAsia="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阻力</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 32段调整阻力模式</w:t>
            </w:r>
            <w:r>
              <w:rPr>
                <w:rFonts w:hint="eastAsia" w:ascii="宋体" w:hAnsi="宋体" w:eastAsia="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产品尺寸</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 20</w:t>
            </w:r>
            <w:r>
              <w:rPr>
                <w:rFonts w:hint="eastAsia" w:ascii="宋体" w:hAnsi="宋体" w:eastAsia="宋体" w:cs="宋体"/>
                <w:sz w:val="24"/>
                <w:szCs w:val="24"/>
                <w:lang w:val="en-US" w:eastAsia="zh-CN"/>
              </w:rPr>
              <w:t xml:space="preserve">00</w:t>
            </w: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50</w:t>
            </w:r>
            <w:r>
              <w:rPr>
                <w:rFonts w:hint="eastAsia" w:ascii="宋体" w:hAnsi="宋体" w:eastAsia="宋体" w:cs="宋体"/>
                <w:sz w:val="24"/>
                <w:szCs w:val="24"/>
              </w:rPr>
              <w:t xml:space="preserve">*17</w:t>
            </w:r>
            <w:r>
              <w:rPr>
                <w:rFonts w:hint="eastAsia" w:ascii="宋体" w:hAnsi="宋体" w:eastAsia="宋体" w:cs="宋体"/>
                <w:sz w:val="24"/>
                <w:szCs w:val="24"/>
                <w:lang w:val="en-US" w:eastAsia="zh-CN"/>
              </w:rPr>
              <w:t xml:space="preserve">50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p>
        </w:tc>
      </w:tr>
      <w:tr>
        <w:trPr>
          <w:trHeight w:val="79"/>
        </w:trPr>
        <w:tc>
          <w:tcPr>
            <w:tcW w:w="404" w:type="pct"/>
            <w:vAlign w:val="center"/>
            <w:textDirection w:val="lrTb"/>
            <w:noWrap w:val="false"/>
          </w:tcPr>
          <w:p>
            <w:pPr>
              <w:jc w:val="center"/>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20</w:t>
            </w:r>
            <w:r/>
          </w:p>
        </w:tc>
        <w:tc>
          <w:tcPr>
            <w:tcW w:w="696" w:type="pct"/>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哑铃架</w:t>
            </w:r>
            <w:r/>
          </w:p>
        </w:tc>
        <w:tc>
          <w:tcPr>
            <w:tcW w:w="3899" w:type="pct"/>
            <w:vAlign w:val="center"/>
            <w:textDirection w:val="lrTb"/>
            <w:noWrap w:val="false"/>
          </w:tcPr>
          <w:p>
            <w:pPr>
              <w:numPr>
                <w:ilvl w:val="0"/>
                <w:numId w:val="0"/>
              </w:numPr>
              <w:jc w:val="lef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外形尺寸：</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200</w:t>
            </w: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00</w:t>
            </w: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00mm；</w:t>
            </w:r>
            <w:r/>
          </w:p>
          <w:p>
            <w:pPr>
              <w:numPr>
                <w:ilvl w:val="0"/>
                <w:numId w:val="0"/>
              </w:numPr>
              <w:jc w:val="lef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主框架：</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50*120*3</w:t>
            </w:r>
            <w:r>
              <w:rPr>
                <w:rFonts w:hint="eastAsia" w:ascii="宋体" w:hAnsi="宋体" w:eastAsia="宋体" w:cs="宋体"/>
                <w:sz w:val="24"/>
                <w:szCs w:val="24"/>
                <w:lang w:val="en-US" w:eastAsia="zh-CN"/>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numPr>
                <w:ilvl w:val="0"/>
                <w:numId w:val="0"/>
              </w:numPr>
              <w:jc w:val="lef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3、可承载10付哑铃。</w:t>
            </w:r>
            <w:r/>
          </w:p>
        </w:tc>
      </w:tr>
      <w:tr>
        <w:trPr>
          <w:trHeight w:val="79"/>
        </w:trPr>
        <w:tc>
          <w:tcPr>
            <w:tcW w:w="404" w:type="pct"/>
            <w:vAlign w:val="center"/>
            <w:textDirection w:val="lrTb"/>
            <w:noWrap w:val="false"/>
          </w:tcPr>
          <w:p>
            <w:pPr>
              <w:jc w:val="center"/>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21</w:t>
            </w:r>
            <w:r/>
          </w:p>
        </w:tc>
        <w:tc>
          <w:tcPr>
            <w:tcW w:w="696" w:type="pct"/>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不锈钢把包胶哑铃</w:t>
            </w:r>
            <w:r/>
          </w:p>
        </w:tc>
        <w:tc>
          <w:tcPr>
            <w:tcW w:w="3899" w:type="pct"/>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规格：2.5KG--25KG</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重量合计：275KG (每2.5KG一个级别递增共十付20支）</w:t>
            </w:r>
            <w:r>
              <w:rPr>
                <w:rFonts w:hint="eastAsia" w:ascii="宋体" w:hAnsi="宋体" w:eastAsia="宋体" w:cs="宋体"/>
                <w:color w:val="000000"/>
                <w:sz w:val="24"/>
                <w:szCs w:val="24"/>
                <w:lang w:eastAsia="zh-CN"/>
              </w:rPr>
              <w:t xml:space="preserve">。</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2</w:t>
            </w:r>
            <w:r/>
          </w:p>
        </w:tc>
        <w:tc>
          <w:tcPr>
            <w:tcW w:w="696" w:type="pct"/>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奥林匹克杆</w:t>
            </w:r>
            <w:r/>
          </w:p>
        </w:tc>
        <w:tc>
          <w:tcPr>
            <w:tcW w:w="3899" w:type="pct"/>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规格：长度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2.2m</w:t>
            </w:r>
            <w:r>
              <w:rPr>
                <w:rFonts w:hint="eastAsia" w:ascii="宋体" w:hAnsi="宋体" w:eastAsia="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重量：</w:t>
            </w:r>
            <w:r>
              <w:rPr>
                <w:rFonts w:hint="eastAsia" w:ascii="宋体" w:hAnsi="宋体" w:eastAsia="宋体" w:cs="宋体"/>
                <w:sz w:val="24"/>
                <w:szCs w:val="24"/>
                <w:lang w:val="en-US" w:eastAsia="zh-CN"/>
              </w:rPr>
              <w:t xml:space="preserve">约</w:t>
            </w:r>
            <w:r>
              <w:rPr>
                <w:rFonts w:hint="eastAsia" w:ascii="宋体" w:hAnsi="宋体" w:eastAsia="宋体" w:cs="宋体"/>
                <w:sz w:val="24"/>
                <w:szCs w:val="24"/>
              </w:rPr>
              <w:t xml:space="preserve">20kg</w:t>
            </w:r>
            <w:r>
              <w:rPr>
                <w:rFonts w:hint="eastAsia" w:ascii="宋体" w:hAnsi="宋体" w:eastAsia="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承重：</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220kg</w:t>
            </w:r>
            <w:r>
              <w:rPr>
                <w:rFonts w:hint="eastAsia" w:ascii="宋体" w:hAnsi="宋体" w:eastAsia="宋体" w:cs="宋体"/>
                <w:sz w:val="24"/>
                <w:szCs w:val="24"/>
                <w:lang w:eastAsia="zh-CN"/>
              </w:rPr>
              <w:t xml:space="preserve">。</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3</w:t>
            </w:r>
            <w:r/>
          </w:p>
        </w:tc>
        <w:tc>
          <w:tcPr>
            <w:tcW w:w="696" w:type="pct"/>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包胶铃片</w:t>
            </w:r>
            <w:r/>
          </w:p>
        </w:tc>
        <w:tc>
          <w:tcPr>
            <w:tcW w:w="3899" w:type="pct"/>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规格：5KG</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10KG</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15KG</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20KG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重量合计：50*2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100KG</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四孔杠铃片，内嵌不锈钢钢圈，美观实用</w:t>
            </w:r>
            <w:r>
              <w:rPr>
                <w:rFonts w:hint="eastAsia" w:ascii="宋体" w:hAnsi="宋体" w:eastAsia="宋体" w:cs="宋体"/>
                <w:color w:val="000000"/>
                <w:sz w:val="24"/>
                <w:szCs w:val="24"/>
                <w:lang w:eastAsia="zh-CN"/>
              </w:rPr>
              <w:t xml:space="preserve">。</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4</w:t>
            </w:r>
            <w:r/>
          </w:p>
        </w:tc>
        <w:tc>
          <w:tcPr>
            <w:tcW w:w="696" w:type="pct"/>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室内乒乓球台</w:t>
            </w:r>
            <w:r/>
          </w:p>
        </w:tc>
        <w:tc>
          <w:tcPr>
            <w:tcW w:w="3899"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移动式50*50</w:t>
            </w:r>
            <w:r>
              <w:rPr>
                <w:rFonts w:hint="eastAsia" w:ascii="宋体" w:hAnsi="宋体" w:eastAsia="宋体" w:cs="宋体"/>
                <w:color w:val="auto"/>
                <w:sz w:val="24"/>
                <w:szCs w:val="24"/>
              </w:rPr>
              <w:t xml:space="preserve">地脚的室内乒乓球台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1、符合QB/T2700-2005标准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2、台面：采用室内专用球台板</w:t>
            </w:r>
            <w:r>
              <w:rPr>
                <w:rFonts w:hint="eastAsia" w:ascii="宋体" w:hAnsi="宋体" w:eastAsia="宋体" w:cs="宋体"/>
                <w:i w:val="0"/>
                <w:iCs w:val="0"/>
                <w:caps w:val="0"/>
                <w:color w:val="auto"/>
                <w:spacing w:val="0"/>
                <w:sz w:val="24"/>
                <w:szCs w:val="24"/>
                <w:shd w:val="clear" w:color="auto" w:fill="ffffff"/>
              </w:rPr>
              <w:t xml:space="preserve">高密度纤维板</w:t>
            </w:r>
            <w:r>
              <w:rPr>
                <w:rFonts w:hint="eastAsia" w:ascii="宋体" w:hAnsi="宋体" w:eastAsia="宋体" w:cs="宋体"/>
                <w:color w:val="auto"/>
                <w:sz w:val="24"/>
                <w:szCs w:val="24"/>
              </w:rPr>
              <w:t xml:space="preserve">，热压工艺处理，</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   台面厚度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25mm</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3、台面处理：台面采用辊涂工艺处理，颜色新蓝色，无刺激性气味，耐划痕等高性能优点</w:t>
            </w:r>
            <w:r>
              <w:rPr>
                <w:rFonts w:hint="eastAsia" w:ascii="宋体" w:hAnsi="宋体" w:eastAsia="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4、四周采用pvc封边，台面划有宽度20mm白边，中线3mm,平面度≤4mm,弹性：220-260mm,弹性均匀度≤10mm,台面光泽度≤10；台面摩擦系数≤0.4，半坡稳定性≤7mm</w:t>
            </w:r>
            <w:r>
              <w:rPr>
                <w:rFonts w:hint="eastAsia" w:ascii="宋体" w:hAnsi="宋体" w:eastAsia="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5、台面四周采用25mm*50mm*2.0mm优质钢管做裙边托架，配有塑料护角，保证台面平整度</w:t>
            </w:r>
            <w:r>
              <w:rPr>
                <w:rFonts w:hint="eastAsia" w:ascii="宋体" w:hAnsi="宋体" w:eastAsia="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6、支架：外脚采用50mm*50mm*2.0mm优质钢管，外脚带有微调，内脚装有移动脚轮，直径75mm尼龙移动轮并带有锁死装置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jc w:val="left"/>
              <w:widowControl/>
              <w:rPr>
                <w:rFonts w:hint="eastAsia" w:ascii="宋体" w:hAnsi="宋体" w:eastAsia="宋体" w:cs="宋体"/>
                <w:sz w:val="24"/>
                <w:szCs w:val="24"/>
                <w:lang w:eastAsia="zh-CN"/>
              </w:rPr>
            </w:pPr>
            <w:r>
              <w:rPr>
                <w:rFonts w:hint="eastAsia" w:ascii="宋体" w:hAnsi="宋体" w:eastAsia="宋体" w:cs="宋体"/>
                <w:sz w:val="24"/>
                <w:szCs w:val="24"/>
              </w:rPr>
              <w:t xml:space="preserve">7、整幅球台分两次折叠完成，半张球台可以折起竖放，竖放时有安全锁，保证竖放时的稳定性</w:t>
            </w:r>
            <w:r>
              <w:rPr>
                <w:rFonts w:hint="eastAsia" w:ascii="宋体" w:hAnsi="宋体" w:eastAsia="宋体" w:cs="宋体"/>
                <w:sz w:val="24"/>
                <w:szCs w:val="24"/>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8、整幅球台展开尺寸：2740*1848*912mm, 约重85kg</w:t>
            </w:r>
            <w:r>
              <w:rPr>
                <w:rFonts w:hint="eastAsia" w:ascii="宋体" w:hAnsi="宋体" w:eastAsia="宋体" w:cs="宋体"/>
                <w:sz w:val="24"/>
                <w:szCs w:val="24"/>
                <w:lang w:eastAsia="zh-CN"/>
              </w:rPr>
              <w:t xml:space="preserve">。</w:t>
            </w:r>
            <w:r/>
          </w:p>
        </w:tc>
      </w:tr>
      <w:tr>
        <w:trPr>
          <w:trHeight w:val="362"/>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5</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乒乓球拍</w:t>
            </w:r>
            <w:r/>
          </w:p>
        </w:tc>
        <w:tc>
          <w:tcPr>
            <w:tcW w:w="3899" w:type="pct"/>
            <w:vAlign w:val="center"/>
            <w:textDirection w:val="lrTb"/>
            <w:noWrap w:val="false"/>
          </w:tcPr>
          <w:p>
            <w:pPr>
              <w:jc w:val="both"/>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1、不低于五层纯木厚芯。</w:t>
            </w:r>
            <w:r/>
          </w:p>
          <w:p>
            <w:pPr>
              <w:jc w:val="both"/>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2、产品尺寸不小于150mm*240mm。</w:t>
            </w:r>
            <w:r/>
          </w:p>
        </w:tc>
      </w:tr>
      <w:tr>
        <w:trPr>
          <w:trHeight w:val="776"/>
        </w:trPr>
        <w:tc>
          <w:tcPr>
            <w:tcW w:w="404" w:type="pct"/>
            <w:vAlign w:val="center"/>
            <w:textDirection w:val="lrTb"/>
            <w:noWrap w:val="false"/>
          </w:tcPr>
          <w:p>
            <w:pPr>
              <w:jc w:val="center"/>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6</w:t>
            </w:r>
            <w:r/>
          </w:p>
        </w:tc>
        <w:tc>
          <w:tcPr>
            <w:tcW w:w="696" w:type="pct"/>
            <w:vAlign w:val="center"/>
            <w:textDirection w:val="lrTb"/>
            <w:noWrap w:val="false"/>
          </w:tcPr>
          <w:p>
            <w:pPr>
              <w:jc w:val="center"/>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10磅包胶壶铃</w:t>
            </w:r>
            <w:r/>
          </w:p>
        </w:tc>
        <w:tc>
          <w:tcPr>
            <w:tcW w:w="3899" w:type="pct"/>
            <w:vAlign w:val="center"/>
            <w:textDirection w:val="lrTb"/>
            <w:noWrap w:val="false"/>
          </w:tcPr>
          <w:p>
            <w:pPr>
              <w:jc w:val="both"/>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采用一体成型，高密度内芯。</w:t>
            </w:r>
            <w:r/>
          </w:p>
          <w:p>
            <w:pPr>
              <w:jc w:val="both"/>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采用环保材质，安全健康舒适运动。</w:t>
            </w:r>
            <w:r/>
          </w:p>
          <w:p>
            <w:pPr>
              <w:jc w:val="both"/>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规格：15LB-30LB。</w:t>
            </w:r>
            <w:r/>
          </w:p>
        </w:tc>
      </w:tr>
    </w:tbl>
    <w:p>
      <w:pPr>
        <w:pStyle w:val="975"/>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pStyle w:val="975"/>
        <w:jc w:val="both"/>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器材应配有完整的说明书，应包含三图（安装示意图、安装跌落空间图、碰撞区域图）、三表（器材安装检查表、器材定期检查表、易损件明细表）、器材安全使用寿命、器材维护保养注意事项、及寿命周期内对易损件及时更换的承诺等内容</w:t>
      </w:r>
      <w:r>
        <w:rPr>
          <w:rFonts w:hint="eastAsia" w:ascii="宋体" w:hAnsi="宋体" w:cs="宋体"/>
          <w:b w:val="0"/>
          <w:bCs w:val="0"/>
          <w:color w:val="auto"/>
          <w:sz w:val="24"/>
          <w:szCs w:val="24"/>
          <w:highlight w:val="none"/>
          <w:lang w:eastAsia="zh-CN"/>
        </w:rPr>
        <w:t xml:space="preserve">。</w:t>
      </w:r>
      <w:r/>
    </w:p>
    <w:p>
      <w:pPr>
        <w:pStyle w:val="975"/>
        <w:jc w:val="both"/>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器材安全警示应采用图示方式提示使用者可能存在风险</w:t>
      </w:r>
      <w:r>
        <w:rPr>
          <w:rFonts w:hint="eastAsia" w:ascii="宋体" w:hAnsi="宋体" w:cs="宋体"/>
          <w:b w:val="0"/>
          <w:bCs w:val="0"/>
          <w:color w:val="auto"/>
          <w:sz w:val="24"/>
          <w:szCs w:val="24"/>
          <w:highlight w:val="none"/>
          <w:lang w:eastAsia="zh-CN"/>
        </w:rPr>
        <w:t xml:space="preserve">、</w:t>
      </w:r>
      <w:r/>
    </w:p>
    <w:p>
      <w:pPr>
        <w:pStyle w:val="975"/>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各件器材铭牌需有生产日期，同时有省局二维码。</w:t>
      </w:r>
      <w:r/>
    </w:p>
    <w:p>
      <w:pPr>
        <w:pStyle w:val="975"/>
        <w:jc w:val="both"/>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、投标文件要求：</w:t>
      </w:r>
      <w:r/>
    </w:p>
    <w:p>
      <w:pPr>
        <w:pStyle w:val="975"/>
        <w:jc w:val="both"/>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投标人须在投标文件中提供《所投产品的技术规格（技术性能）》文件。</w:t>
      </w:r>
      <w:r/>
    </w:p>
    <w:p>
      <w:pPr>
        <w:pStyle w:val="975"/>
        <w:jc w:val="both"/>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《所投产品的技术规格（技术性能）》内容对照以上“</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、采购清单及具体技术参数要求” 编制，并提供所投产品的外观图片。</w:t>
      </w:r>
      <w:r/>
    </w:p>
    <w:p>
      <w:pPr>
        <w:pStyle w:val="975"/>
        <w:jc w:val="left"/>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、项目实施要求</w:t>
      </w:r>
      <w:r/>
    </w:p>
    <w:p>
      <w:pPr>
        <w:pStyle w:val="975"/>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（一）项目交货要求</w:t>
      </w:r>
      <w:r/>
    </w:p>
    <w:p>
      <w:pPr>
        <w:pStyle w:val="975"/>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1、项目交货时间要求：合同生效日后，60日历天内将合同标的全部交付并安装完毕。</w:t>
      </w:r>
      <w:r/>
    </w:p>
    <w:p>
      <w:pPr>
        <w:pStyle w:val="975"/>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2、项目交货安装地点：具体交货安装地点及每处的具体数量由采购人在签订合同后书面确定。</w:t>
      </w:r>
      <w:r/>
    </w:p>
    <w:p>
      <w:pPr>
        <w:pStyle w:val="975"/>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说明：“（一）项目交货要求”为不允许偏离的实质性要求和条件，如有偏离，在符合性审查时按照投标无效处理。</w:t>
      </w:r>
      <w:r/>
    </w:p>
    <w:p>
      <w:pPr>
        <w:pStyle w:val="975"/>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（二）项目具体实施安装要求</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1、中标人应根据地域分布、器材需求合理制定包括但不限于器材生产、质量监控、运输、中转、配送、现地勘验、安装、调试等各个环节的项目实施计划和实施方案，做到切实可行，风控严密，保证实效。</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2、中标人应在货物发运前对其进行满足运输距离、防潮、防震、防锈和防破损装卸等要求包装，以保证货物安全可靠运达采购人指定地点。</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应将健身器材送到采购人指定地点（各街道（乡镇）、社区（行政区）、公园、绿地等场地），并负责办理运输、装卸安装、调试、培训、技术服务，提供必不可少的部件、标准备件、专用工具、安装所需材料，费用均由中标人负责。</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4、中标人应加强与采购人沟通，未经采购人同意，不得擅自更改安装地点。在安装施工过程中应遵守所在区域城市管理部门的工程施工相关要求。</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5、安装健身器材时要做好场地维护，中标人免费负责对安装地点报废器材进行拆除并自行处理，保证新安装器材场地的整洁美观。</w:t>
      </w:r>
      <w:r/>
    </w:p>
    <w:p>
      <w:pPr>
        <w:pStyle w:val="975"/>
        <w:jc w:val="left"/>
        <w:spacing w:line="360"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6、双杠、</w:t>
      </w:r>
      <w:r>
        <w:rPr>
          <w:rFonts w:hint="eastAsia" w:ascii="宋体" w:hAnsi="宋体" w:cs="宋体"/>
          <w:strike w:val="0"/>
          <w:color w:val="auto"/>
          <w:sz w:val="24"/>
          <w:szCs w:val="24"/>
          <w:highlight w:val="none"/>
          <w:lang w:val="en-US" w:eastAsia="zh-CN"/>
        </w:rPr>
        <w:t xml:space="preserve">平行</w:t>
      </w:r>
      <w:r>
        <w:rPr>
          <w:rFonts w:hint="eastAsia" w:ascii="宋体" w:hAnsi="宋体" w:eastAsia="宋体" w:cs="宋体"/>
          <w:strike w:val="0"/>
          <w:color w:val="auto"/>
          <w:sz w:val="24"/>
          <w:szCs w:val="24"/>
          <w:highlight w:val="none"/>
        </w:rPr>
        <w:t xml:space="preserve">梯安装时杠面高度不得超过2300mm；其他参数应符合GB 19272-</w:t>
      </w:r>
      <w:r>
        <w:rPr>
          <w:rFonts w:hint="eastAsia" w:ascii="宋体" w:hAnsi="宋体" w:cs="宋体"/>
          <w:strike w:val="0"/>
          <w:color w:val="auto"/>
          <w:sz w:val="24"/>
          <w:szCs w:val="24"/>
          <w:highlight w:val="none"/>
          <w:lang w:val="en-US" w:eastAsia="zh-CN"/>
        </w:rPr>
        <w:t xml:space="preserve">2024</w:t>
      </w:r>
      <w:r>
        <w:rPr>
          <w:rFonts w:hint="eastAsia" w:ascii="宋体" w:hAnsi="宋体" w:eastAsia="宋体" w:cs="宋体"/>
          <w:strike w:val="0"/>
          <w:color w:val="auto"/>
          <w:sz w:val="24"/>
          <w:szCs w:val="24"/>
          <w:highlight w:val="none"/>
        </w:rPr>
        <w:t xml:space="preserve">中的有关要求（如有）。</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地埋式器材地埋深度应符合GB19272-2011《室外健身器材的安全通用要求》的要求，且在地基没有完全凝固前，应有专人监护，器材地基及其周围的硬化表面不应高于安装器材周围地面。并接受器材安装地点所属单位对安装过程的监管。</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器材应配有完整的说明书，应包含三图（安装示意图、安装跌落空间图、碰撞区域图）、三表（器材安装检查表、器材定期检查表、易损件明细表）、器材安全使用寿命、器材维护保养注意事项及寿命周期内对易损件及时更换的承诺等内容，并将上述材料交给采购人。</w:t>
      </w:r>
      <w:r/>
    </w:p>
    <w:p>
      <w:pPr>
        <w:pStyle w:val="975"/>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9、在公告牌、健身器材、篮球架、室外乒乓球桌等器材显著位置应</w:t>
      </w:r>
      <w:r>
        <w:rPr>
          <w:rFonts w:hint="eastAsia" w:ascii="宋体" w:hAnsi="宋体" w:eastAsia="宋体" w:cs="宋体"/>
          <w:bCs/>
          <w:color w:val="auto"/>
          <w:sz w:val="24"/>
          <w:szCs w:val="24"/>
          <w:highlight w:val="none"/>
        </w:rPr>
        <w:t xml:space="preserve">铆接不锈钢说明牌</w:t>
      </w:r>
      <w:r>
        <w:rPr>
          <w:rFonts w:hint="eastAsia" w:ascii="宋体" w:hAnsi="宋体" w:eastAsia="宋体" w:cs="宋体"/>
          <w:color w:val="auto"/>
          <w:sz w:val="24"/>
          <w:szCs w:val="24"/>
          <w:highlight w:val="none"/>
        </w:rPr>
        <w:t xml:space="preserve">，包括：器材名称、使用说明、注意事项、出厂日期、使用年限、售后服务电话、XX市（县、区）体育局捐赠、江苏省体育局室外健身器材管理平台报修二维码（告示牌上二维码铭牌尺寸不小于95×115×0.5mm）等内容。其中，告示牌上要公示以下内容：监管单位名称（市县区体育部门）和联系电话；责任单位名称（受赠方）、责任人名字、联系电话。</w:t>
      </w:r>
      <w:r/>
    </w:p>
    <w:p>
      <w:pPr>
        <w:pStyle w:val="975"/>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铭牌使用的标志、文字、标牌（以下简称资助标牌）的设计及安装规范应遵照国家体育总局《体育彩票公益金资助项目标牌设计及安装规范》执行。</w:t>
      </w:r>
      <w:r/>
    </w:p>
    <w:p>
      <w:pPr>
        <w:pStyle w:val="975"/>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10、在安装器材时中标人要同步进行数据采集工作，信息及时录入江苏省体育局室外健身器材管理平台。</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（三）投标文件要求：</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1、投标文件中提供《项目实施方案》文件。 </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2、《项目实施方案》包括以下内容：</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（1）时间进度安排；</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（2）具体实施安装方案；</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（3）管理措施及安全保障措施；</w:t>
      </w:r>
      <w:r/>
    </w:p>
    <w:p>
      <w:pPr>
        <w:pStyle w:val="976"/>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（4）缓冲层铺设方案。</w:t>
      </w:r>
      <w:r/>
    </w:p>
    <w:p>
      <w:pPr>
        <w:pStyle w:val="975"/>
        <w:jc w:val="left"/>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、售后服务和技术培训要求</w:t>
      </w:r>
      <w:r/>
    </w:p>
    <w:p>
      <w:pPr>
        <w:pStyle w:val="975"/>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(一)售后服务具体要求及技术培训具体要求</w:t>
      </w:r>
      <w:r/>
    </w:p>
    <w:p>
      <w:pPr>
        <w:pStyle w:val="976"/>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1、售后服务具体要求</w:t>
      </w:r>
      <w:r/>
    </w:p>
    <w:p>
      <w:pPr>
        <w:pStyle w:val="975"/>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（1）质保期要求</w:t>
      </w:r>
      <w:r/>
    </w:p>
    <w:p>
      <w:pPr>
        <w:pStyle w:val="976"/>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本项目所投全部产品质保期从验收合格之日起不少于8年（易损部件使用寿命不少于2年）。</w:t>
      </w:r>
      <w:r/>
    </w:p>
    <w:p>
      <w:pPr>
        <w:pStyle w:val="975"/>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（2）维修服务要求</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质保期内（含人为损坏）免费更换零配件和上门维修服务，质保期后提供终生维护，只收取更换零配件的成本价。</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在质保期内，中标人负责提供2次/年巡检服务，并经使用单位或当地（市）区体育部门签字盖章确认后反馈至采购人。</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中标人承诺本项目售后服务期间在徐州市有售后服务机构，且不少于5名服务人员。如在使用过程中发生质量问题或接到器材损坏报修，中标人在接到电话后24小时内响应并到达现场维修。</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质保期内，因器材质量出现故障和缺陷，在接到采购人或使用方报修30日内仍不能修复的，应免费予以更换同一型号器材并负责安装调试。</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5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⑤</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投标人须在投标文件中承诺，中标后向采购人提供投标货物的原厂保修。在器材安全使用周期内，中标人应能保证采购人更换到原厂正宗的备件材料，确保货物的正常使用。</w:t>
      </w:r>
      <w:r/>
    </w:p>
    <w:p>
      <w:pPr>
        <w:pStyle w:val="976"/>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2、零配件要求</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投标人中标后在淮海经济区中心城市或江苏省内设常用配件库（与采购人签订合同时提供具体地址备查）且能提供配件常备数量、品种目录等。</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投标人需在投标文件中提供器材零配件成本价格一览表。</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投标人需在投标文件中注明投标产品可能存在的易损零配件，并承诺中标后可提供足够数量的中标器材易损零配件并说明零配件名称及零配件数量。</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2、技术培训具体要求</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中标人须安排有资格的专业技术人员（至少2名）免费培训采购人的使用操作人员（至少1名），直到操作人员熟练操作。</w:t>
      </w:r>
      <w:r/>
    </w:p>
    <w:p>
      <w:pPr>
        <w:pStyle w:val="975"/>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（二）投标文件要求</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1、投标文件中提供《售后服务方案和技术培训方案》文件。</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2、《售后服务方案和技术培训方案》包括以下内容：</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（1）售后服务方案:</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质保期；</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维修服务方案；</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零配件方案。</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（2）技术培训方案。</w:t>
      </w:r>
      <w:r/>
    </w:p>
    <w:p>
      <w:pPr>
        <w:pStyle w:val="975"/>
        <w:jc w:val="left"/>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、验收标准（验收要求、验收标准和程序）要求</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（一）履约验收的时间、方式、程序要求：见招标文件第五章《拟签订的合同文本》。</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pStyle w:val="97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验收程序要求：合同标的全部交付并安装完毕后，卖方（中标人,下同）可向买方（采购人，下同）书面提出试运行、验收要求，买方在接到书面要求后3日进行试运行、验收。合同卖方（中标人）需向买方（采购人）提交合同标的的相关资料、文件、说明书等。</w:t>
      </w:r>
      <w:r/>
    </w:p>
    <w:p>
      <w:pPr>
        <w:pStyle w:val="975"/>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供货验收</w:t>
      </w:r>
      <w:r/>
    </w:p>
    <w:p>
      <w:pPr>
        <w:pStyle w:val="975"/>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卖方应在货物发运前对其进行满足运输距离、防潮、防震、防锈和防破损装卸等要求包装，以保证货物安全可靠运达买方指定地点。</w:t>
      </w:r>
      <w:r/>
    </w:p>
    <w:p>
      <w:pPr>
        <w:pStyle w:val="975"/>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参与本项目投标的投标人不得参与和本项目有关的所有检测及验收活动的投标采购活动，采购人</w:t>
      </w:r>
      <w:r>
        <w:rPr>
          <w:rFonts w:hint="eastAsia" w:ascii="宋体" w:hAnsi="宋体" w:eastAsia="宋体" w:cs="宋体"/>
          <w:color w:val="auto"/>
          <w:sz w:val="24"/>
          <w:szCs w:val="24"/>
          <w:highlight w:val="none"/>
        </w:rPr>
        <w:t xml:space="preserve">将委托具备相应资质的第三方质量监督检测机构等专业技术力量到生产厂家参与采购器材验收，并由</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纪检人员现场监督抽检全过程。验收时合同卖方代表必须在场，并提供产品合格证、质量保证文件等相关证明材料。经买方验收合格后卖方首批供货比例不低于30%，供货前卖方向买方书面提出验收要求，买方在接到书面要求后3日进行验收。</w:t>
      </w:r>
      <w:r/>
    </w:p>
    <w:p>
      <w:pPr>
        <w:pStyle w:val="975"/>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方法：抽查每种器材总数的2%，如有1种器材中的1台设备低于投标产品的技术要求，此批器材视为不合格，买方不予接收。卖方应于15日内提供符合技术要求的器材，如果未能提供或第二次抽检仍有不合格器材，卖方承担违约责任，买方扣除全部履约保证金(合同金额（合同总价）的5%)作为违约金。因器材验收不合格产生的返厂更换、器材存放地点房租等一切费用和损失都由中标人（卖方）承担。抽检器材全部达到或高于投标产品的技术要求，视为合格。卖方方可配送安装。</w:t>
      </w:r>
      <w:r/>
    </w:p>
    <w:p>
      <w:pPr>
        <w:pStyle w:val="975"/>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交付验收</w:t>
      </w:r>
      <w:r/>
    </w:p>
    <w:p>
      <w:pPr>
        <w:pStyle w:val="975"/>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标的全部安装完毕后，卖方应对产品做出全面检查，根据招标要求进行产品安装、调试、测试、试运行后，整理验收文件，并列出清单，作为卖方交付验收和使用的技术条件依据，检验的结果应随货物交买方。卖方向买方书面提出验收要求，买方在接到书面要求后3日进行验收。买方将委托具备相应资质的第三方质量监督检测机构等专业技术力量参与器材安装和使用情况进行验收，并由买方纪检人员现场监督抽检全过程，验收时卖方代表必须在场。具体要求如下：</w:t>
      </w:r>
      <w:r/>
    </w:p>
    <w:p>
      <w:pPr>
        <w:pStyle w:val="976"/>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所有安装完毕的每件健身器材进行验收，验收内容包括但不限于器材质量和安装场地符合要求、安装地点选择合理且无安全隐患、站点和器材信息已按要求录入省平台、器材编码、省统-的报修二维码已印制在告示牌和器材上并激活等。卖方应于30日内对验收发现的不合格器材或安装进行整改，如果整改未达到验收要求，卖方承担违约责任，买方扣除全部履约保证金(合同金额（合同总价）的5%作为违约金)。因器材验收不合格产生的返厂更换、器材存放地点房租等一切费用和损失都由卖方承担。验收器材全部达到验收要求，视为合格。</w:t>
      </w:r>
      <w:r/>
    </w:p>
    <w:p>
      <w:pPr>
        <w:pStyle w:val="995"/>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其他要求：其他要求见《</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文件》《拟签订的合同文本》。</w:t>
      </w:r>
      <w:r/>
    </w:p>
    <w:p>
      <w:pPr>
        <w:spacing w:line="360" w:lineRule="auto"/>
        <w:tabs>
          <w:tab w:val="left" w:pos="0" w:leader="none"/>
        </w:tabs>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spacing w:line="360" w:lineRule="auto"/>
        <w:tabs>
          <w:tab w:val="left" w:pos="0" w:leader="none"/>
        </w:tabs>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spacing w:line="360" w:lineRule="auto"/>
        <w:tabs>
          <w:tab w:val="left" w:pos="0" w:leader="none"/>
        </w:tabs>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spacing w:line="360" w:lineRule="auto"/>
        <w:tabs>
          <w:tab w:val="left" w:pos="0" w:leader="none"/>
        </w:tabs>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rPr>
          <w:rFonts w:hint="eastAsia" w:ascii="宋体" w:hAnsi="宋体" w:eastAsia="宋体" w:cs="宋体"/>
          <w:b/>
          <w:sz w:val="30"/>
        </w:rPr>
      </w:pPr>
      <w:r>
        <w:rPr>
          <w:rFonts w:hint="eastAsia" w:ascii="宋体" w:hAnsi="宋体" w:eastAsia="宋体" w:cs="宋体"/>
          <w:b/>
          <w:sz w:val="30"/>
        </w:rPr>
        <w:br w:type="page" w:clear="all"/>
      </w:r>
      <w:r/>
    </w:p>
    <w:p>
      <w:pPr>
        <w:jc w:val="center"/>
        <w:spacing w:line="360" w:lineRule="auto"/>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第七章</w:t>
      </w:r>
      <w:r>
        <w:rPr>
          <w:rFonts w:hint="eastAsia" w:ascii="宋体" w:hAnsi="宋体" w:eastAsia="宋体" w:cs="宋体"/>
          <w:b/>
          <w:sz w:val="30"/>
          <w:lang w:val="en-US" w:eastAsia="zh-CN"/>
        </w:rPr>
        <w:t xml:space="preserve"> </w:t>
      </w:r>
      <w:r>
        <w:rPr>
          <w:rFonts w:hint="eastAsia" w:ascii="宋体" w:hAnsi="宋体" w:eastAsia="宋体" w:cs="宋体"/>
          <w:b/>
          <w:sz w:val="30"/>
        </w:rPr>
        <w:t xml:space="preserve">投标文件相关格式</w:t>
      </w:r>
      <w:r/>
    </w:p>
    <w:p>
      <w:pPr>
        <w:ind w:firstLine="64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一、投标函格式</w:t>
      </w:r>
      <w:r/>
    </w:p>
    <w:p>
      <w:pPr>
        <w:keepLines w:val="0"/>
        <w:keepNext w:val="0"/>
        <w:pageBreakBefore w:val="0"/>
        <w:spacing w:line="46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致：</w:t>
      </w:r>
      <w:r>
        <w:rPr>
          <w:rFonts w:hint="eastAsia" w:ascii="宋体" w:hAnsi="宋体" w:eastAsia="宋体" w:cs="宋体"/>
          <w:sz w:val="24"/>
          <w:szCs w:val="24"/>
          <w:u w:val="single"/>
          <w:lang w:eastAsia="zh-CN"/>
        </w:rPr>
        <w:t xml:space="preserve">徐州市体育局</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]招标文件，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(姓名)代表我方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40"/>
        <w:jc w:val="center"/>
        <w:spacing w:line="360" w:lineRule="auto"/>
        <w:rPr>
          <w:rFonts w:hint="eastAsia" w:ascii="宋体" w:hAnsi="宋体" w:eastAsia="宋体" w:cs="宋体"/>
          <w:b/>
          <w:bCs/>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二、开标一览表格式</w:t>
      </w:r>
      <w:r>
        <w:rPr>
          <w:rFonts w:hint="eastAsia" w:ascii="宋体" w:hAnsi="宋体" w:eastAsia="宋体" w:cs="宋体"/>
          <w:b/>
          <w:bCs/>
          <w:sz w:val="32"/>
          <w:szCs w:val="32"/>
          <w:lang w:val="en-US" w:eastAsia="zh-CN"/>
        </w:rPr>
        <w:t xml:space="preserve"> </w:t>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 w:val="32"/>
          <w:szCs w:val="32"/>
        </w:rPr>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三、分项价格表格式</w:t>
      </w:r>
      <w:r/>
    </w:p>
    <w:p>
      <w:pPr>
        <w:ind w:firstLine="6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rPr>
          <w:rFonts w:hint="eastAsia" w:ascii="宋体" w:hAnsi="宋体" w:eastAsia="宋体" w:cs="宋体"/>
          <w:sz w:val="24"/>
          <w:szCs w:val="24"/>
        </w:rPr>
      </w:pPr>
      <w:r>
        <w:rPr>
          <w:rFonts w:hint="eastAsia" w:ascii="宋体" w:hAnsi="宋体" w:eastAsia="宋体" w:cs="宋体"/>
          <w:sz w:val="24"/>
          <w:szCs w:val="24"/>
        </w:rPr>
        <w:t xml:space="preserve">项目名称：</w:t>
      </w:r>
      <w:r/>
    </w:p>
    <w:p>
      <w:pPr>
        <w:jc w:val="right"/>
        <w:rPr>
          <w:rFonts w:hint="eastAsia" w:ascii="宋体" w:hAnsi="宋体" w:eastAsia="宋体" w:cs="宋体"/>
          <w:sz w:val="24"/>
          <w:szCs w:val="24"/>
        </w:rPr>
      </w:pPr>
      <w:r>
        <w:rPr>
          <w:rFonts w:hint="eastAsia" w:ascii="宋体" w:hAnsi="宋体" w:eastAsia="宋体" w:cs="宋体"/>
          <w:sz w:val="24"/>
          <w:szCs w:val="24"/>
        </w:rPr>
        <w:t xml:space="preserve">          　 货币单位：人民币元</w:t>
      </w:r>
      <w:r/>
    </w:p>
    <w:p>
      <w:pPr>
        <w:ind w:firstLine="3120"/>
        <w:rPr>
          <w:rFonts w:hint="eastAsia" w:ascii="宋体" w:hAnsi="宋体" w:eastAsia="宋体" w:cs="宋体"/>
          <w:sz w:val="24"/>
          <w:szCs w:val="24"/>
        </w:rPr>
      </w:pPr>
      <w:r>
        <w:rPr>
          <w:rFonts w:hint="eastAsia" w:ascii="宋体" w:hAnsi="宋体" w:eastAsia="宋体" w:cs="宋体"/>
          <w:sz w:val="24"/>
          <w:szCs w:val="24"/>
        </w:rPr>
      </w:r>
      <w:r/>
    </w:p>
    <w:tbl>
      <w:tblPr>
        <w:tblStyle w:val="968"/>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单价</w:t>
            </w:r>
            <w:r/>
          </w:p>
        </w:tc>
        <w:tc>
          <w:tcPr>
            <w:shd w:val="clear" w:color="auto" w:fill="auto"/>
            <w:tcW w:w="80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364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64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ind w:firstLine="560"/>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注：</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投标人对以上数据的真实性负责。</w:t>
      </w:r>
      <w:r/>
    </w:p>
    <w:p>
      <w:pPr>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四、偏离表格式</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tbl>
      <w:tblPr>
        <w:tblStyle w:val="990"/>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w:t>
      </w:r>
      <w:r>
        <w:rPr>
          <w:rFonts w:hint="eastAsia" w:ascii="宋体" w:hAnsi="宋体" w:eastAsia="宋体" w:cs="宋体"/>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sz w:val="24"/>
          <w:szCs w:val="24"/>
          <w:lang w:val="en-US" w:eastAsia="zh-CN"/>
        </w:rPr>
        <w:t xml:space="preserve">。</w:t>
      </w:r>
      <w:r/>
    </w:p>
    <w:p>
      <w:pPr>
        <w:ind w:firstLine="2850"/>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900"/>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 w:val="32"/>
          <w:szCs w:val="32"/>
        </w:rPr>
      </w:r>
      <w:r/>
    </w:p>
    <w:p>
      <w:pPr>
        <w:jc w:val="cente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五、授权委托书格式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地址：</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统一社会信用代码：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受托人：        性别：男（女）</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年龄：  岁      民族：  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身份证号：</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兹委托（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）全权代表我企业（公司）参与（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）项目（项目编号：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）的招、投标活动及签订合同。（</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）无转委托权。</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委托期限自</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日起至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日止。</w:t>
      </w:r>
      <w:r/>
    </w:p>
    <w:p>
      <w:pPr>
        <w:ind w:firstLine="63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特此授权委托。</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委托人（电子签章）：</w:t>
      </w:r>
      <w:r/>
    </w:p>
    <w:p>
      <w:pPr>
        <w:ind w:firstLine="60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法定代表人（签字或盖章）： </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受托人（签字或盖章）：</w:t>
      </w:r>
      <w:r/>
    </w:p>
    <w:p>
      <w:pPr>
        <w:pStyle w:val="985"/>
        <w:ind w:left="0" w:firstLine="602"/>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受托人联系方式：</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 xml:space="preserve">邮箱：</w:t>
      </w:r>
      <w:r/>
    </w:p>
    <w:p>
      <w:pPr>
        <w:ind w:right="600" w:firstLine="615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  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日 </w:t>
      </w:r>
      <w:r/>
    </w:p>
    <w:p>
      <w:pP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val="en-US" w:eastAsia="zh-CN"/>
        </w:rPr>
        <w:t xml:space="preserve">有效期内的</w:t>
      </w:r>
      <w:r>
        <w:rPr>
          <w:rFonts w:hint="eastAsia" w:ascii="宋体" w:hAnsi="宋体" w:eastAsia="宋体" w:cs="宋体"/>
          <w:b/>
          <w:bCs/>
          <w:color w:val="auto"/>
          <w:sz w:val="28"/>
          <w:szCs w:val="28"/>
        </w:rPr>
        <w:t xml:space="preserve">受托人身份证扫描件附后)</w:t>
      </w:r>
      <w:r/>
    </w:p>
    <w:p>
      <w:pPr>
        <w:jc w:val="center"/>
        <w:spacing w:before="100" w:after="100" w:line="479" w:lineRule="atLeas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8"/>
          <w:szCs w:val="28"/>
        </w:rPr>
      </w:r>
      <w:r/>
    </w:p>
    <w:p>
      <w:pPr>
        <w:ind w:firstLine="600"/>
        <w:jc w:val="center"/>
        <w:spacing w:before="100" w:after="10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六、中小企业声明函格式</w:t>
      </w:r>
      <w:r/>
    </w:p>
    <w:p>
      <w:pPr>
        <w:ind w:left="0"/>
        <w:keepLines w:val="0"/>
        <w:keepNext w:val="0"/>
        <w:pageBreakBefore w:val="0"/>
        <w:spacing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项目编号：</w:t>
      </w:r>
      <w:r/>
    </w:p>
    <w:p>
      <w:pPr>
        <w:ind w:left="0"/>
        <w:keepLines w:val="0"/>
        <w:keepNext w:val="0"/>
        <w:pageBreakBefore w:val="0"/>
        <w:spacing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项目名称：</w:t>
      </w:r>
      <w:r/>
    </w:p>
    <w:p>
      <w:pPr>
        <w:ind w:left="0" w:firstLine="480"/>
        <w:keepLines w:val="0"/>
        <w:keepNext w:val="0"/>
        <w:pageBreakBefore w:val="0"/>
        <w:spacing w:line="240" w:lineRule="auto"/>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本公司郑重声明，根据《政府采购促进中小企业发展管理办法》（财库[2020]46号）的规定，本公司参加（</w:t>
      </w:r>
      <w:r>
        <w:rPr>
          <w:rFonts w:hint="eastAsia" w:ascii="宋体" w:hAnsi="宋体" w:eastAsia="宋体" w:cs="宋体"/>
          <w:sz w:val="28"/>
          <w:szCs w:val="28"/>
          <w:u w:val="single"/>
          <w:lang w:eastAsia="zh-CN"/>
        </w:rPr>
        <w:t xml:space="preserve">徐州市体育局</w:t>
      </w:r>
      <w:r>
        <w:rPr>
          <w:rFonts w:hint="eastAsia" w:ascii="宋体" w:hAnsi="宋体" w:eastAsia="宋体" w:cs="宋体"/>
          <w:sz w:val="28"/>
          <w:szCs w:val="28"/>
        </w:rPr>
        <w:t xml:space="preserve">）的（</w:t>
      </w:r>
      <w:r>
        <w:rPr>
          <w:rFonts w:hint="eastAsia" w:ascii="宋体" w:hAnsi="宋体" w:cs="宋体"/>
          <w:sz w:val="28"/>
          <w:szCs w:val="28"/>
          <w:u w:val="single"/>
          <w:lang w:eastAsia="zh-CN"/>
        </w:rPr>
        <w:t xml:space="preserve">2026年徐州市城市社区健身设施配建项目</w:t>
      </w:r>
      <w:r>
        <w:rPr>
          <w:rFonts w:hint="eastAsia" w:ascii="宋体" w:hAnsi="宋体" w:eastAsia="宋体" w:cs="宋体"/>
          <w:sz w:val="28"/>
          <w:szCs w:val="28"/>
        </w:rPr>
        <w:t xml:space="preserve">）采购活动，提供的货物全部由符合政策要求的中小企业制造。相关企业的具体情况如下：</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u w:val="single"/>
          <w:lang w:val="en-US" w:eastAsia="zh-CN"/>
        </w:rPr>
        <w:t xml:space="preserve">告示牌</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肋木架</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双位蹬力器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rPr>
        <w:t xml:space="preserve">三位扭腰器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双杠</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平行梯</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坐立式腰背按摩器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上肢牵引器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二位太空漫步机</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10</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太极揉推器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11</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弹震压腿训练器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12</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椭圆漫步机</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13</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自重划器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仰卧板</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骑马机</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跑步机</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cs="宋体"/>
          <w:sz w:val="28"/>
          <w:szCs w:val="28"/>
          <w:highlight w:val="none"/>
          <w:lang w:val="en-US" w:eastAsia="zh-CN"/>
        </w:rPr>
        <w:t xml:space="preserve">7</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健身车</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划船器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cs="宋体"/>
          <w:sz w:val="28"/>
          <w:szCs w:val="28"/>
          <w:highlight w:val="none"/>
          <w:lang w:val="en-US" w:eastAsia="zh-CN"/>
        </w:rPr>
        <w:t xml:space="preserve">9</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椭圆机</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20</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哑铃架</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21</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不锈钢把包胶哑铃</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奥林匹克杆</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包胶铃片</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室内乒乓球台</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乒乓球拍</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10磅</w:t>
      </w:r>
      <w:r>
        <w:rPr>
          <w:rFonts w:hint="eastAsia" w:ascii="宋体" w:hAnsi="宋体" w:eastAsia="宋体" w:cs="宋体"/>
          <w:sz w:val="28"/>
          <w:szCs w:val="28"/>
          <w:highlight w:val="none"/>
          <w:u w:val="single"/>
          <w:lang w:val="en-US" w:eastAsia="zh-CN"/>
        </w:rPr>
        <w:t xml:space="preserve">包胶壶铃</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984"/>
        <w:ind w:left="0" w:firstLine="561"/>
        <w:keepLines w:val="0"/>
        <w:keepNext w:val="0"/>
        <w:pageBreakBefore w:val="0"/>
        <w:spacing w:after="0" w:line="240" w:lineRule="auto"/>
        <w:widowControl w:val="off"/>
        <w:rPr>
          <w:rFonts w:hint="eastAsia" w:ascii="宋体" w:hAnsi="宋体" w:eastAsia="宋体" w:cs="宋体"/>
          <w:color w:val="ff0000"/>
          <w:sz w:val="28"/>
          <w:szCs w:val="28"/>
          <w:lang w:val="en-US" w:eastAsia="zh-CN"/>
        </w:rPr>
      </w:pPr>
      <w:r>
        <w:rPr>
          <w:rFonts w:hint="eastAsia" w:ascii="宋体" w:hAnsi="宋体" w:eastAsia="宋体" w:cs="宋体"/>
          <w:color w:val="ff0000"/>
          <w:sz w:val="28"/>
          <w:szCs w:val="28"/>
          <w:lang w:val="en-US" w:eastAsia="zh-CN"/>
        </w:rPr>
      </w:r>
      <w:r/>
    </w:p>
    <w:p>
      <w:pPr>
        <w:pStyle w:val="984"/>
        <w:ind w:left="0" w:firstLine="561"/>
        <w:keepLines w:val="0"/>
        <w:keepNext w:val="0"/>
        <w:pageBreakBefore w:val="0"/>
        <w:spacing w:after="0" w:line="240" w:lineRule="auto"/>
        <w:widowControl w:val="off"/>
        <w:rPr>
          <w:rFonts w:hint="eastAsia" w:ascii="宋体" w:hAnsi="宋体" w:eastAsia="宋体" w:cs="宋体"/>
          <w:sz w:val="28"/>
          <w:szCs w:val="28"/>
        </w:rPr>
      </w:pPr>
      <w:r>
        <w:rPr>
          <w:rFonts w:hint="eastAsia" w:ascii="宋体" w:hAnsi="宋体" w:eastAsia="宋体" w:cs="宋体"/>
          <w:color w:val="ff0000"/>
          <w:sz w:val="28"/>
          <w:szCs w:val="28"/>
          <w:lang w:val="en-US" w:eastAsia="zh-CN"/>
        </w:rPr>
        <w:t xml:space="preserve">......</w:t>
      </w:r>
      <w:r/>
    </w:p>
    <w:p>
      <w:pPr>
        <w:pStyle w:val="984"/>
        <w:keepLines w:val="0"/>
        <w:keepNext w:val="0"/>
        <w:pageBreakBefore w:val="0"/>
        <w:spacing w:after="0"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84"/>
        <w:ind w:left="0" w:firstLine="560"/>
        <w:keepLines w:val="0"/>
        <w:keepNext w:val="0"/>
        <w:pageBreakBefore w:val="0"/>
        <w:spacing w:after="0"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984"/>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984"/>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企业名称（电子签章）：</w:t>
      </w:r>
      <w:r/>
    </w:p>
    <w:p>
      <w:pPr>
        <w:pStyle w:val="984"/>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日期：  年  月  日</w:t>
      </w:r>
      <w:r/>
    </w:p>
    <w:p>
      <w:pPr>
        <w:pStyle w:val="984"/>
        <w:ind w:left="0"/>
        <w:jc w:val="left"/>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984"/>
        <w:ind w:left="0"/>
        <w:jc w:val="left"/>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说明：</w:t>
      </w:r>
      <w:r/>
    </w:p>
    <w:p>
      <w:pPr>
        <w:pStyle w:val="984"/>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84"/>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2、从业人员、营业收入、资产总额填报供应商上一年度数据，无上一年度数据的新成立企业可不填报。</w:t>
      </w:r>
      <w:r/>
    </w:p>
    <w:p>
      <w:pPr>
        <w:pStyle w:val="984"/>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984"/>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4、执行江苏省财政厅关于进一步加大政府采购支持中小企业力度的通知（苏财购〔2022〕45号）的规定。</w:t>
      </w:r>
      <w:r/>
    </w:p>
    <w:p>
      <w:pPr>
        <w:pStyle w:val="984"/>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5、供应商提供的《中小企业声明函》与事实不符的，依照</w:t>
      </w:r>
      <w:r>
        <w:rPr>
          <w:rFonts w:hint="eastAsia" w:ascii="宋体" w:hAnsi="宋体" w:eastAsia="宋体" w:cs="宋体"/>
          <w:b/>
          <w:bCs/>
          <w:color w:val="auto"/>
          <w:sz w:val="24"/>
          <w:szCs w:val="24"/>
          <w:lang w:eastAsia="zh-CN"/>
        </w:rPr>
        <w:t xml:space="preserve">《中华人民共和国政府采购法》</w:t>
      </w:r>
      <w:r>
        <w:rPr>
          <w:rFonts w:hint="eastAsia" w:ascii="宋体" w:hAnsi="宋体" w:eastAsia="宋体" w:cs="宋体"/>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69"/>
        <w:jc w:val="center"/>
        <w:rPr>
          <w:rFonts w:hint="eastAsia" w:ascii="宋体" w:hAnsi="宋体" w:eastAsia="宋体" w:cs="宋体"/>
          <w:color w:val="auto"/>
          <w:sz w:val="24"/>
        </w:rP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1949450" cy="2847340"/>
                <wp:effectExtent l="0" t="0" r="12700" b="10160"/>
                <wp:docPr id="7"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1" descr="图片1"/>
                        <pic:cNvPicPr>
                          <a:picLocks noChangeAspect="1"/>
                        </pic:cNvPicPr>
                        <pic:nvPr/>
                      </pic:nvPicPr>
                      <pic:blipFill>
                        <a:blip r:embed="rId16"/>
                        <a:stretch/>
                      </pic:blipFill>
                      <pic:spPr bwMode="auto">
                        <a:xfrm>
                          <a:off x="0" y="0"/>
                          <a:ext cx="1949450" cy="2847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3.5pt;height:224.2pt;mso-wrap-distance-left:0.0pt;mso-wrap-distance-top:0.0pt;mso-wrap-distance-right:0.0pt;mso-wrap-distance-bottom:0.0pt;" stroked="f">
                <v:path textboxrect="0,0,0,0"/>
                <v:imagedata r:id="rId16" o:title=""/>
              </v:shape>
            </w:pict>
          </mc:Fallback>
        </mc:AlternateConten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七、残疾人福利性单位声明函格式</w:t>
      </w:r>
      <w:r/>
    </w:p>
    <w:p>
      <w:pPr>
        <w:spacing w:line="479" w:lineRule="atLeast"/>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项目编号：</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项目名称：</w:t>
      </w:r>
      <w:r/>
    </w:p>
    <w:p>
      <w:pPr>
        <w:ind w:firstLine="624"/>
        <w:spacing w:line="360" w:lineRule="auto"/>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sz w:val="28"/>
          <w:szCs w:val="28"/>
        </w:rPr>
        <w:t xml:space="preserve">〔2017〕 141</w:t>
      </w:r>
      <w:r>
        <w:rPr>
          <w:rFonts w:hint="eastAsia" w:ascii="宋体" w:hAnsi="宋体" w:eastAsia="宋体" w:cs="宋体"/>
          <w:spacing w:val="6"/>
          <w:sz w:val="28"/>
          <w:szCs w:val="28"/>
        </w:rPr>
        <w:t xml:space="preserve">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pacing w:val="6"/>
          <w:sz w:val="28"/>
          <w:szCs w:val="28"/>
        </w:rPr>
        <w:t xml:space="preserve">单位的</w:t>
      </w:r>
      <w:r>
        <w:rPr>
          <w:rFonts w:hint="eastAsia" w:ascii="宋体" w:hAnsi="宋体" w:eastAsia="宋体" w:cs="宋体"/>
          <w:sz w:val="28"/>
          <w:szCs w:val="28"/>
          <w:u w:val="single"/>
          <w:lang w:val="en-US" w:eastAsia="zh-CN"/>
        </w:rPr>
        <w:t xml:space="preserve">       </w:t>
      </w:r>
      <w:r>
        <w:rPr>
          <w:rFonts w:hint="eastAsia" w:ascii="宋体" w:hAnsi="宋体" w:eastAsia="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ind w:firstLine="45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我单位在参加</w:t>
      </w:r>
      <w:r>
        <w:rPr>
          <w:rFonts w:hint="eastAsia" w:ascii="宋体" w:hAnsi="宋体" w:cs="宋体"/>
          <w:sz w:val="28"/>
          <w:szCs w:val="28"/>
          <w:u w:val="single"/>
          <w:lang w:eastAsia="zh-CN"/>
        </w:rPr>
        <w:t xml:space="preserve">2026年徐州市城市社区健身设施配建项目</w:t>
      </w:r>
      <w:r>
        <w:rPr>
          <w:rFonts w:hint="eastAsia" w:ascii="宋体" w:hAnsi="宋体" w:eastAsia="宋体" w:cs="宋体"/>
          <w:sz w:val="28"/>
          <w:szCs w:val="28"/>
        </w:rPr>
        <w:t xml:space="preserve">（项目编号：</w:t>
      </w:r>
      <w:r>
        <w:rPr>
          <w:rFonts w:hint="eastAsia" w:ascii="宋体" w:hAnsi="宋体" w:cs="宋体"/>
          <w:sz w:val="28"/>
          <w:szCs w:val="28"/>
          <w:u w:val="single"/>
          <w:lang w:val="en-US" w:eastAsia="zh-CN"/>
        </w:rPr>
        <w:t xml:space="preserve">JSZC-320300-HWZX-G2026-0324</w:t>
      </w:r>
      <w:r>
        <w:rPr>
          <w:rFonts w:hint="eastAsia" w:ascii="宋体" w:hAnsi="宋体" w:eastAsia="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我单位对上述声明的真实性负责。如有虚假，将依法承担相应责任。</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600"/>
        <w:jc w:val="cente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30"/>
        </w:rPr>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九、关于符合本国产品标准的声明函</w:t>
      </w:r>
      <w:r>
        <w:rPr>
          <w:rFonts w:hint="eastAsia" w:ascii="宋体" w:hAnsi="宋体" w:eastAsia="宋体" w:cs="宋体"/>
        </w:rPr>
        <w:t xml:space="preserve"> </w:t>
      </w:r>
      <w:r/>
    </w:p>
    <w:p>
      <w:pPr>
        <w:pStyle w:val="989"/>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rPr>
      </w:r>
      <w:r/>
    </w:p>
    <w:p>
      <w:pPr>
        <w:pStyle w:val="989"/>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2"/>
          <w:szCs w:val="32"/>
          <w:lang w:val="en-US" w:eastAsia="zh-CN"/>
        </w:rPr>
        <w:t xml:space="preserve">关于符合本国产品标准的声明函</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9"/>
        <w:numPr>
          <w:ilvl w:val="0"/>
          <w:numId w:val="0"/>
        </w:numPr>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告示牌</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肋木架</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双位蹬力器</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三位扭腰器</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5</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双杠</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平行梯</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坐立式腰背按摩器</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上肢牵引器</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二位太空漫步机</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太极揉推器</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弹震压腿训练器</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椭圆漫步机</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13</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自重划器</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仰卧板</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骑马机</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16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跑步机</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17</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健身车</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18</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划船器</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19</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椭圆机</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20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哑铃架</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21</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不锈钢把包胶哑铃</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22</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奥林匹克杆</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23</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包胶铃片</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24</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室内乒乓球台</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25</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乒乓球拍</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26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10磅包胶壶铃</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w:t>
      </w:r>
      <w:r/>
    </w:p>
    <w:p>
      <w:pPr>
        <w:pStyle w:val="98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989"/>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989"/>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989"/>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989"/>
        <w:ind w:right="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lang w:val="en-US" w:eastAsia="zh-CN"/>
        </w:rPr>
      </w:r>
      <w:r/>
    </w:p>
    <w:p>
      <w:pPr>
        <w:pStyle w:val="989"/>
        <w:ind w:right="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注：</w:t>
      </w:r>
      <w:r/>
    </w:p>
    <w:p>
      <w:pPr>
        <w:pStyle w:val="98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98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98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98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98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98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0" w:bottom="1440" w:left="1800" w:header="851" w:footer="992" w:gutter="0"/>
          <w:cols w:num="1" w:sep="0" w:space="720" w:equalWidth="1"/>
          <w:docGrid w:linePitch="360"/>
        </w:sectPr>
        <w:suppressLineNumbers w:val="0"/>
      </w:pPr>
      <w:r>
        <w:rPr>
          <w:rFonts w:hint="eastAsia" w:ascii="宋体" w:hAnsi="宋体" w:eastAsia="宋体" w:cs="宋体"/>
          <w:color w:val="ff0000"/>
          <w:sz w:val="24"/>
          <w:szCs w:val="24"/>
          <w:highlight w:val="none"/>
          <w:lang w:val="en-US" w:eastAsia="zh-CN"/>
        </w:rPr>
        <w:t xml:space="preserve">6</w:t>
      </w:r>
      <w:r>
        <w:rPr>
          <w:rFonts w:hint="eastAsia" w:ascii="宋体" w:hAnsi="宋体" w:eastAsia="宋体" w:cs="宋体"/>
          <w:color w:val="ff0000"/>
          <w:sz w:val="24"/>
          <w:szCs w:val="24"/>
          <w:highlight w:val="none"/>
        </w:rPr>
        <w:t xml:space="preserve">.《声明函》中标注“</w:t>
      </w:r>
      <w:r>
        <w:rPr>
          <w:rFonts w:hint="eastAsia" w:ascii="宋体" w:hAnsi="宋体" w:eastAsia="宋体" w:cs="宋体"/>
          <w:color w:val="ff0000"/>
          <w:sz w:val="24"/>
          <w:szCs w:val="24"/>
          <w:highlight w:val="none"/>
          <w:u w:val="single"/>
        </w:rPr>
        <w:t xml:space="preserve">  / </w:t>
      </w:r>
      <w:r>
        <w:rPr>
          <w:rFonts w:hint="eastAsia" w:ascii="宋体" w:hAnsi="宋体" w:eastAsia="宋体" w:cs="宋体"/>
          <w:color w:val="ff0000"/>
          <w:sz w:val="24"/>
          <w:szCs w:val="24"/>
          <w:highlight w:val="none"/>
        </w:rPr>
        <w:t xml:space="preserve">”的地方无需填写</w:t>
      </w:r>
      <w:r>
        <w:rPr>
          <w:rFonts w:hint="eastAsia" w:ascii="宋体" w:hAnsi="宋体" w:eastAsia="宋体" w:cs="宋体"/>
          <w:color w:val="ff0000"/>
          <w:sz w:val="24"/>
          <w:szCs w:val="24"/>
          <w:highlight w:val="none"/>
          <w:lang w:eastAsia="zh-CN"/>
        </w:rPr>
        <w:t xml:space="preserve">。</w:t>
      </w:r>
      <w:r/>
    </w:p>
    <w:p>
      <w:pPr>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十</w:t>
      </w:r>
      <w:r>
        <w:rPr>
          <w:rFonts w:hint="eastAsia" w:ascii="宋体" w:hAnsi="宋体" w:eastAsia="宋体" w:cs="宋体"/>
          <w:b/>
          <w:bCs/>
          <w:color w:val="auto"/>
          <w:sz w:val="32"/>
          <w:szCs w:val="32"/>
        </w:rPr>
        <w:t xml:space="preserve">、预付款保函支付条款模板</w:t>
      </w:r>
      <w:r/>
    </w:p>
    <w:p>
      <w:pPr>
        <w:spacing w:line="360" w:lineRule="auto"/>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个工作日内，由甲方根据审批流程办理政府采购资金结算手续，经审核后支付给乙方合同价款的百分之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ind w:firstLine="48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1、付款条件一中，出具预付款保函后支付的合同款应当与保函金额一致。</w:t>
      </w:r>
      <w:r/>
    </w:p>
    <w:p>
      <w:pPr>
        <w:pStyle w:val="988"/>
        <w:ind w:firstLine="480"/>
        <w:rPr>
          <w:rFonts w:hint="eastAsia" w:ascii="宋体" w:hAnsi="宋体" w:eastAsia="宋体" w:cs="宋体"/>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jc w:val="center"/>
        <w:keepLines w:val="0"/>
        <w:keepNext w:val="0"/>
        <w:pageBreakBefore w:val="0"/>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十一、</w:t>
      </w:r>
      <w:r>
        <w:rPr>
          <w:rFonts w:hint="eastAsia" w:ascii="宋体" w:hAnsi="宋体" w:eastAsia="宋体" w:cs="宋体"/>
          <w:b/>
          <w:bCs/>
          <w:color w:val="auto"/>
          <w:sz w:val="32"/>
          <w:szCs w:val="32"/>
        </w:rPr>
        <w:t xml:space="preserve">具备履行合同所必需的设备和专业技术能力的书面声明（附证明材料扫描件）格式（</w:t>
      </w:r>
      <w:r>
        <w:rPr>
          <w:rFonts w:hint="eastAsia" w:ascii="宋体" w:hAnsi="宋体" w:cs="宋体"/>
          <w:b/>
          <w:bCs/>
          <w:color w:val="auto"/>
          <w:sz w:val="32"/>
          <w:szCs w:val="32"/>
          <w:lang w:val="en-US" w:eastAsia="zh-CN"/>
        </w:rPr>
        <w:t xml:space="preserve">格式供参考，</w:t>
      </w:r>
      <w:r>
        <w:rPr>
          <w:rFonts w:hint="eastAsia" w:ascii="宋体" w:hAnsi="宋体" w:eastAsia="宋体" w:cs="宋体"/>
          <w:b/>
          <w:bCs/>
          <w:color w:val="auto"/>
          <w:sz w:val="32"/>
          <w:szCs w:val="32"/>
        </w:rPr>
        <w:t xml:space="preserve">投标人可自行拟定）</w:t>
      </w:r>
      <w:r/>
    </w:p>
    <w:p>
      <w:pP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投标人</w:t>
      </w:r>
      <w:r>
        <w:rPr>
          <w:rFonts w:hint="eastAsia" w:ascii="宋体" w:hAnsi="宋体" w:eastAsia="宋体" w:cs="宋体"/>
          <w:color w:val="auto"/>
          <w:sz w:val="28"/>
          <w:szCs w:val="28"/>
        </w:rPr>
        <w:t xml:space="preserve">郑重声明：投标人具备履行合同（项目名称：</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所必需的设备和专业技术能力， 具体为：</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设备：</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 </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2、</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专业技术能力：</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2、</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特此声明。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投标人</w:t>
      </w:r>
      <w:r>
        <w:rPr>
          <w:rFonts w:hint="eastAsia" w:ascii="宋体" w:hAnsi="宋体" w:eastAsia="宋体" w:cs="宋体"/>
          <w:color w:val="auto"/>
          <w:sz w:val="28"/>
          <w:szCs w:val="28"/>
        </w:rPr>
        <w:t xml:space="preserve">对上述声明的真实性负责。如有虚假，将依法承担相应责任。</w:t>
      </w:r>
      <w:r/>
    </w:p>
    <w:p>
      <w:pPr>
        <w:ind w:right="29"/>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right="29"/>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投标人（电子签章）：</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bCs/>
          <w:color w:val="auto"/>
          <w:sz w:val="28"/>
          <w:szCs w:val="28"/>
        </w:rPr>
        <w:t xml:space="preserve">日期：  年  月  日</w:t>
      </w:r>
      <w:r/>
    </w:p>
    <w:p>
      <w:pPr>
        <w:rPr>
          <w:rFonts w:hint="eastAsia" w:ascii="宋体" w:hAnsi="宋体" w:eastAsia="宋体" w:cs="宋体"/>
        </w:rPr>
      </w:pPr>
      <w:r>
        <w:rPr>
          <w:rFonts w:hint="eastAsia" w:ascii="宋体" w:hAnsi="宋体" w:eastAsia="宋体" w:cs="宋体"/>
        </w:rPr>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99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99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Style w:val="992"/>
                            </w:rPr>
                          </w:pPr>
                          <w:r/>
                          <w:r/>
                        </w:p>
                        <w:p>
                          <w:pPr>
                            <w:rPr>
                              <w:rStyle w:val="992"/>
                            </w:rPr>
                          </w:pPr>
                          <w:r/>
                          <w:r/>
                        </w:p>
                        <w:p>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Style w:val="992"/>
                      </w:rPr>
                    </w:pPr>
                    <w:r/>
                    <w:r/>
                  </w:p>
                  <w:p>
                    <w:pPr>
                      <w:rPr>
                        <w:rStyle w:val="992"/>
                      </w:rPr>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6"/>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6"/>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right"/>
      <w:pBdr>
        <w:bottom w:val="single" w:color="auto" w:sz="4" w:space="0"/>
      </w:pBdr>
    </w:pPr>
    <w:r>
      <w:rPr>
        <w:rFonts w:hint="eastAsia" w:ascii="宋体" w:hAnsi="宋体" w:cs="宋体"/>
        <w:color w:val="auto"/>
        <w:sz w:val="18"/>
        <w:szCs w:val="18"/>
        <w:lang w:val="en-US" w:eastAsia="zh-CN"/>
      </w:rPr>
      <w:t xml:space="preserve">2026年徐州市城市社区健身设施配建项目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right"/>
      <w:pBdr>
        <w:bottom w:val="single" w:color="auto" w:sz="4" w:space="0"/>
      </w:pBdr>
    </w:pPr>
    <w:r>
      <w:rPr>
        <w:rFonts w:hint="eastAsia" w:ascii="宋体" w:hAnsi="宋体" w:cs="宋体"/>
        <w:color w:val="auto"/>
        <w:sz w:val="18"/>
        <w:szCs w:val="18"/>
        <w:lang w:val="en-US" w:eastAsia="zh-CN"/>
      </w:rPr>
      <w:t xml:space="preserve">2026年徐州市城市社区健身设施配建项目</w:t>
    </w:r>
    <w:r>
      <w:rPr>
        <w:rFonts w:hint="eastAsia" w:ascii="宋体" w:hAnsi="宋体" w:eastAsia="宋体" w:cs="宋体"/>
        <w:color w:val="auto"/>
        <w:sz w:val="18"/>
        <w:szCs w:val="18"/>
      </w:rPr>
      <w:t xml:space="preserve">招标文件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name w:val="Heading 1"/>
    <w:basedOn w:val="966"/>
    <w:next w:val="966"/>
    <w:link w:val="794"/>
    <w:uiPriority w:val="9"/>
    <w:qFormat/>
    <w:pPr>
      <w:keepLines/>
      <w:keepNext/>
      <w:spacing w:before="480" w:after="200"/>
      <w:outlineLvl w:val="0"/>
    </w:pPr>
    <w:rPr>
      <w:rFonts w:ascii="Arial" w:hAnsi="Arial" w:eastAsia="Arial" w:cs="Arial"/>
      <w:sz w:val="40"/>
      <w:szCs w:val="40"/>
    </w:rPr>
  </w:style>
  <w:style w:type="character" w:styleId="794">
    <w:name w:val="Heading 1 Char"/>
    <w:basedOn w:val="967"/>
    <w:link w:val="793"/>
    <w:uiPriority w:val="9"/>
    <w:rPr>
      <w:rFonts w:ascii="Arial" w:hAnsi="Arial" w:eastAsia="Arial" w:cs="Arial"/>
      <w:sz w:val="40"/>
      <w:szCs w:val="40"/>
    </w:rPr>
  </w:style>
  <w:style w:type="paragraph" w:styleId="795">
    <w:name w:val="Heading 2"/>
    <w:basedOn w:val="966"/>
    <w:next w:val="966"/>
    <w:link w:val="796"/>
    <w:uiPriority w:val="9"/>
    <w:unhideWhenUsed/>
    <w:qFormat/>
    <w:pPr>
      <w:keepLines/>
      <w:keepNext/>
      <w:spacing w:before="360" w:after="200"/>
      <w:outlineLvl w:val="1"/>
    </w:pPr>
    <w:rPr>
      <w:rFonts w:ascii="Arial" w:hAnsi="Arial" w:eastAsia="Arial" w:cs="Arial"/>
      <w:sz w:val="34"/>
    </w:rPr>
  </w:style>
  <w:style w:type="character" w:styleId="796">
    <w:name w:val="Heading 2 Char"/>
    <w:basedOn w:val="967"/>
    <w:link w:val="795"/>
    <w:uiPriority w:val="9"/>
    <w:rPr>
      <w:rFonts w:ascii="Arial" w:hAnsi="Arial" w:eastAsia="Arial" w:cs="Arial"/>
      <w:sz w:val="34"/>
    </w:rPr>
  </w:style>
  <w:style w:type="paragraph" w:styleId="797">
    <w:name w:val="Heading 3"/>
    <w:basedOn w:val="966"/>
    <w:next w:val="966"/>
    <w:link w:val="798"/>
    <w:uiPriority w:val="9"/>
    <w:unhideWhenUsed/>
    <w:qFormat/>
    <w:pPr>
      <w:keepLines/>
      <w:keepNext/>
      <w:spacing w:before="320" w:after="200"/>
      <w:outlineLvl w:val="2"/>
    </w:pPr>
    <w:rPr>
      <w:rFonts w:ascii="Arial" w:hAnsi="Arial" w:eastAsia="Arial" w:cs="Arial"/>
      <w:sz w:val="30"/>
      <w:szCs w:val="30"/>
    </w:rPr>
  </w:style>
  <w:style w:type="character" w:styleId="798">
    <w:name w:val="Heading 3 Char"/>
    <w:basedOn w:val="967"/>
    <w:link w:val="797"/>
    <w:uiPriority w:val="9"/>
    <w:rPr>
      <w:rFonts w:ascii="Arial" w:hAnsi="Arial" w:eastAsia="Arial" w:cs="Arial"/>
      <w:sz w:val="30"/>
      <w:szCs w:val="30"/>
    </w:rPr>
  </w:style>
  <w:style w:type="paragraph" w:styleId="799">
    <w:name w:val="Heading 4"/>
    <w:basedOn w:val="966"/>
    <w:next w:val="966"/>
    <w:link w:val="800"/>
    <w:uiPriority w:val="9"/>
    <w:unhideWhenUsed/>
    <w:qFormat/>
    <w:pPr>
      <w:keepLines/>
      <w:keepNext/>
      <w:spacing w:before="320" w:after="200"/>
      <w:outlineLvl w:val="3"/>
    </w:pPr>
    <w:rPr>
      <w:rFonts w:ascii="Arial" w:hAnsi="Arial" w:eastAsia="Arial" w:cs="Arial"/>
      <w:b/>
      <w:bCs/>
      <w:sz w:val="26"/>
      <w:szCs w:val="26"/>
    </w:rPr>
  </w:style>
  <w:style w:type="character" w:styleId="800">
    <w:name w:val="Heading 4 Char"/>
    <w:basedOn w:val="967"/>
    <w:link w:val="799"/>
    <w:uiPriority w:val="9"/>
    <w:rPr>
      <w:rFonts w:ascii="Arial" w:hAnsi="Arial" w:eastAsia="Arial" w:cs="Arial"/>
      <w:b/>
      <w:bCs/>
      <w:sz w:val="26"/>
      <w:szCs w:val="26"/>
    </w:rPr>
  </w:style>
  <w:style w:type="paragraph" w:styleId="801">
    <w:name w:val="Heading 5"/>
    <w:basedOn w:val="966"/>
    <w:next w:val="966"/>
    <w:link w:val="802"/>
    <w:uiPriority w:val="9"/>
    <w:unhideWhenUsed/>
    <w:qFormat/>
    <w:pPr>
      <w:keepLines/>
      <w:keepNext/>
      <w:spacing w:before="320" w:after="200"/>
      <w:outlineLvl w:val="4"/>
    </w:pPr>
    <w:rPr>
      <w:rFonts w:ascii="Arial" w:hAnsi="Arial" w:eastAsia="Arial" w:cs="Arial"/>
      <w:b/>
      <w:bCs/>
      <w:sz w:val="24"/>
      <w:szCs w:val="24"/>
    </w:rPr>
  </w:style>
  <w:style w:type="character" w:styleId="802">
    <w:name w:val="Heading 5 Char"/>
    <w:basedOn w:val="967"/>
    <w:link w:val="801"/>
    <w:uiPriority w:val="9"/>
    <w:rPr>
      <w:rFonts w:ascii="Arial" w:hAnsi="Arial" w:eastAsia="Arial" w:cs="Arial"/>
      <w:b/>
      <w:bCs/>
      <w:sz w:val="24"/>
      <w:szCs w:val="24"/>
    </w:rPr>
  </w:style>
  <w:style w:type="paragraph" w:styleId="803">
    <w:name w:val="Heading 6"/>
    <w:basedOn w:val="966"/>
    <w:next w:val="966"/>
    <w:link w:val="804"/>
    <w:uiPriority w:val="9"/>
    <w:unhideWhenUsed/>
    <w:qFormat/>
    <w:pPr>
      <w:keepLines/>
      <w:keepNext/>
      <w:spacing w:before="320" w:after="200"/>
      <w:outlineLvl w:val="5"/>
    </w:pPr>
    <w:rPr>
      <w:rFonts w:ascii="Arial" w:hAnsi="Arial" w:eastAsia="Arial" w:cs="Arial"/>
      <w:b/>
      <w:bCs/>
      <w:sz w:val="22"/>
      <w:szCs w:val="22"/>
    </w:rPr>
  </w:style>
  <w:style w:type="character" w:styleId="804">
    <w:name w:val="Heading 6 Char"/>
    <w:basedOn w:val="967"/>
    <w:link w:val="803"/>
    <w:uiPriority w:val="9"/>
    <w:rPr>
      <w:rFonts w:ascii="Arial" w:hAnsi="Arial" w:eastAsia="Arial" w:cs="Arial"/>
      <w:b/>
      <w:bCs/>
      <w:sz w:val="22"/>
      <w:szCs w:val="22"/>
    </w:rPr>
  </w:style>
  <w:style w:type="paragraph" w:styleId="805">
    <w:name w:val="Heading 7"/>
    <w:basedOn w:val="966"/>
    <w:next w:val="966"/>
    <w:link w:val="806"/>
    <w:uiPriority w:val="9"/>
    <w:unhideWhenUsed/>
    <w:qFormat/>
    <w:pPr>
      <w:keepLines/>
      <w:keepNext/>
      <w:spacing w:before="320" w:after="200"/>
      <w:outlineLvl w:val="6"/>
    </w:pPr>
    <w:rPr>
      <w:rFonts w:ascii="Arial" w:hAnsi="Arial" w:eastAsia="Arial" w:cs="Arial"/>
      <w:b/>
      <w:bCs/>
      <w:i/>
      <w:iCs/>
      <w:sz w:val="22"/>
      <w:szCs w:val="22"/>
    </w:rPr>
  </w:style>
  <w:style w:type="character" w:styleId="806">
    <w:name w:val="Heading 7 Char"/>
    <w:basedOn w:val="967"/>
    <w:link w:val="805"/>
    <w:uiPriority w:val="9"/>
    <w:rPr>
      <w:rFonts w:ascii="Arial" w:hAnsi="Arial" w:eastAsia="Arial" w:cs="Arial"/>
      <w:b/>
      <w:bCs/>
      <w:i/>
      <w:iCs/>
      <w:sz w:val="22"/>
      <w:szCs w:val="22"/>
    </w:rPr>
  </w:style>
  <w:style w:type="paragraph" w:styleId="807">
    <w:name w:val="Heading 8"/>
    <w:basedOn w:val="966"/>
    <w:next w:val="966"/>
    <w:link w:val="808"/>
    <w:uiPriority w:val="9"/>
    <w:unhideWhenUsed/>
    <w:qFormat/>
    <w:pPr>
      <w:keepLines/>
      <w:keepNext/>
      <w:spacing w:before="320" w:after="200"/>
      <w:outlineLvl w:val="7"/>
    </w:pPr>
    <w:rPr>
      <w:rFonts w:ascii="Arial" w:hAnsi="Arial" w:eastAsia="Arial" w:cs="Arial"/>
      <w:i/>
      <w:iCs/>
      <w:sz w:val="22"/>
      <w:szCs w:val="22"/>
    </w:rPr>
  </w:style>
  <w:style w:type="character" w:styleId="808">
    <w:name w:val="Heading 8 Char"/>
    <w:basedOn w:val="967"/>
    <w:link w:val="807"/>
    <w:uiPriority w:val="9"/>
    <w:rPr>
      <w:rFonts w:ascii="Arial" w:hAnsi="Arial" w:eastAsia="Arial" w:cs="Arial"/>
      <w:i/>
      <w:iCs/>
      <w:sz w:val="22"/>
      <w:szCs w:val="22"/>
    </w:rPr>
  </w:style>
  <w:style w:type="paragraph" w:styleId="809">
    <w:name w:val="Heading 9"/>
    <w:basedOn w:val="966"/>
    <w:next w:val="966"/>
    <w:link w:val="810"/>
    <w:uiPriority w:val="9"/>
    <w:unhideWhenUsed/>
    <w:qFormat/>
    <w:pPr>
      <w:keepLines/>
      <w:keepNext/>
      <w:spacing w:before="320" w:after="200"/>
      <w:outlineLvl w:val="8"/>
    </w:pPr>
    <w:rPr>
      <w:rFonts w:ascii="Arial" w:hAnsi="Arial" w:eastAsia="Arial" w:cs="Arial"/>
      <w:i/>
      <w:iCs/>
      <w:sz w:val="21"/>
      <w:szCs w:val="21"/>
    </w:rPr>
  </w:style>
  <w:style w:type="character" w:styleId="810">
    <w:name w:val="Heading 9 Char"/>
    <w:basedOn w:val="967"/>
    <w:link w:val="809"/>
    <w:uiPriority w:val="9"/>
    <w:rPr>
      <w:rFonts w:ascii="Arial" w:hAnsi="Arial" w:eastAsia="Arial" w:cs="Arial"/>
      <w:i/>
      <w:iCs/>
      <w:sz w:val="21"/>
      <w:szCs w:val="21"/>
    </w:rPr>
  </w:style>
  <w:style w:type="paragraph" w:styleId="811">
    <w:name w:val="List Paragraph"/>
    <w:basedOn w:val="966"/>
    <w:uiPriority w:val="34"/>
    <w:qFormat/>
    <w:pPr>
      <w:contextualSpacing/>
      <w:ind w:left="720"/>
    </w:pPr>
  </w:style>
  <w:style w:type="paragraph" w:styleId="812">
    <w:name w:val="No Spacing"/>
    <w:uiPriority w:val="1"/>
    <w:qFormat/>
    <w:pPr>
      <w:spacing w:before="0" w:after="0" w:line="240" w:lineRule="auto"/>
    </w:pPr>
  </w:style>
  <w:style w:type="paragraph" w:styleId="813">
    <w:name w:val="Title"/>
    <w:basedOn w:val="966"/>
    <w:next w:val="966"/>
    <w:link w:val="814"/>
    <w:uiPriority w:val="10"/>
    <w:qFormat/>
    <w:pPr>
      <w:contextualSpacing/>
      <w:spacing w:before="300" w:after="200"/>
    </w:pPr>
    <w:rPr>
      <w:sz w:val="48"/>
      <w:szCs w:val="48"/>
    </w:rPr>
  </w:style>
  <w:style w:type="character" w:styleId="814">
    <w:name w:val="Title Char"/>
    <w:basedOn w:val="967"/>
    <w:link w:val="813"/>
    <w:uiPriority w:val="10"/>
    <w:rPr>
      <w:sz w:val="48"/>
      <w:szCs w:val="48"/>
    </w:rPr>
  </w:style>
  <w:style w:type="paragraph" w:styleId="815">
    <w:name w:val="Subtitle"/>
    <w:basedOn w:val="966"/>
    <w:next w:val="966"/>
    <w:link w:val="816"/>
    <w:uiPriority w:val="11"/>
    <w:qFormat/>
    <w:pPr>
      <w:spacing w:before="200" w:after="200"/>
    </w:pPr>
    <w:rPr>
      <w:sz w:val="24"/>
      <w:szCs w:val="24"/>
    </w:rPr>
  </w:style>
  <w:style w:type="character" w:styleId="816">
    <w:name w:val="Subtitle Char"/>
    <w:basedOn w:val="967"/>
    <w:link w:val="815"/>
    <w:uiPriority w:val="11"/>
    <w:rPr>
      <w:sz w:val="24"/>
      <w:szCs w:val="24"/>
    </w:rPr>
  </w:style>
  <w:style w:type="paragraph" w:styleId="817">
    <w:name w:val="Quote"/>
    <w:basedOn w:val="966"/>
    <w:next w:val="966"/>
    <w:link w:val="818"/>
    <w:uiPriority w:val="29"/>
    <w:qFormat/>
    <w:pPr>
      <w:ind w:left="720" w:right="720"/>
    </w:pPr>
    <w:rPr>
      <w:i/>
    </w:rPr>
  </w:style>
  <w:style w:type="character" w:styleId="818">
    <w:name w:val="Quote Char"/>
    <w:link w:val="817"/>
    <w:uiPriority w:val="29"/>
    <w:rPr>
      <w:i/>
    </w:rPr>
  </w:style>
  <w:style w:type="paragraph" w:styleId="819">
    <w:name w:val="Intense Quote"/>
    <w:basedOn w:val="966"/>
    <w:next w:val="966"/>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name w:val="Intense Quote Char"/>
    <w:link w:val="819"/>
    <w:uiPriority w:val="30"/>
    <w:rPr>
      <w:i/>
    </w:rPr>
  </w:style>
  <w:style w:type="character" w:styleId="821">
    <w:name w:val="Header Char"/>
    <w:basedOn w:val="967"/>
    <w:link w:val="987"/>
    <w:uiPriority w:val="99"/>
  </w:style>
  <w:style w:type="character" w:styleId="822">
    <w:name w:val="Footer Char"/>
    <w:basedOn w:val="967"/>
    <w:link w:val="986"/>
    <w:uiPriority w:val="99"/>
  </w:style>
  <w:style w:type="paragraph" w:styleId="823">
    <w:name w:val="Caption"/>
    <w:basedOn w:val="966"/>
    <w:next w:val="966"/>
    <w:uiPriority w:val="35"/>
    <w:semiHidden/>
    <w:unhideWhenUsed/>
    <w:qFormat/>
    <w:pPr>
      <w:spacing w:line="276" w:lineRule="auto"/>
    </w:pPr>
    <w:rPr>
      <w:b/>
      <w:bCs/>
      <w:color w:val="4f81bd" w:themeColor="accent1"/>
      <w:sz w:val="18"/>
      <w:szCs w:val="18"/>
    </w:rPr>
  </w:style>
  <w:style w:type="character" w:styleId="824">
    <w:name w:val="Caption Char"/>
    <w:basedOn w:val="823"/>
    <w:link w:val="986"/>
    <w:uiPriority w:val="99"/>
  </w:style>
  <w:style w:type="table" w:styleId="825">
    <w:name w:val="Table Grid Light"/>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6">
    <w:name w:val="Plain Table 1"/>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2"/>
    <w:basedOn w:val="9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3"/>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name w:val="Plain Table 4"/>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name w:val="Plain Table 5"/>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1">
    <w:name w:val="Grid Table 1 Light"/>
    <w:basedOn w:val="9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2">
    <w:name w:val="Grid Table 1 Light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3">
    <w:name w:val="Grid Table 1 Light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4">
    <w:name w:val="Grid Table 1 Light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5">
    <w:name w:val="Grid Table 1 Light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6">
    <w:name w:val="Grid Table 1 Light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7">
    <w:name w:val="Grid Table 1 Light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8">
    <w:name w:val="Grid Table 2"/>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9">
    <w:name w:val="Grid Table 2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0">
    <w:name w:val="Grid Table 2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2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2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2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4">
    <w:name w:val="Grid Table 2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5">
    <w:name w:val="Grid Table 3"/>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4"/>
    <w:basedOn w:val="9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name w:val="Grid Table 4 - Accent 1"/>
    <w:basedOn w:val="9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4">
    <w:name w:val="Grid Table 4 - Accent 2"/>
    <w:basedOn w:val="9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5">
    <w:name w:val="Grid Table 4 - Accent 3"/>
    <w:basedOn w:val="9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6">
    <w:name w:val="Grid Table 4 - Accent 4"/>
    <w:basedOn w:val="9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7">
    <w:name w:val="Grid Table 4 - Accent 5"/>
    <w:basedOn w:val="9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8">
    <w:name w:val="Grid Table 4 - Accent 6"/>
    <w:basedOn w:val="9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9">
    <w:name w:val="Grid Table 5 Dark"/>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0">
    <w:name w:val="Grid Table 5 Dark- Accent 1"/>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61">
    <w:name w:val="Grid Table 5 Dark - Accent 2"/>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62">
    <w:name w:val="Grid Table 5 Dark - Accent 3"/>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3">
    <w:name w:val="Grid Table 5 Dark- Accent 4"/>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64">
    <w:name w:val="Grid Table 5 Dark - Accent 5"/>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65">
    <w:name w:val="Grid Table 5 Dark - Accent 6"/>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66">
    <w:name w:val="Grid Table 6 Colorful"/>
    <w:basedOn w:val="9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7">
    <w:name w:val="Grid Table 6 Colorful - Accent 1"/>
    <w:basedOn w:val="9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68">
    <w:name w:val="Grid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69">
    <w:name w:val="Grid Table 6 Colorful - Accent 3"/>
    <w:basedOn w:val="9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70">
    <w:name w:val="Grid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71">
    <w:name w:val="Grid Table 6 Colorful - Accent 5"/>
    <w:basedOn w:val="9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2">
    <w:name w:val="Grid Table 6 Colorful - Accent 6"/>
    <w:basedOn w:val="9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3">
    <w:name w:val="Grid Table 7 Colorful"/>
    <w:basedOn w:val="9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4">
    <w:name w:val="Grid Table 7 Colorful - Accent 1"/>
    <w:basedOn w:val="9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5">
    <w:name w:val="Grid Table 7 Colorful - Accent 2"/>
    <w:basedOn w:val="9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7 Colorful - Accent 3"/>
    <w:basedOn w:val="9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7 Colorful - Accent 4"/>
    <w:basedOn w:val="9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7 Colorful - Accent 5"/>
    <w:basedOn w:val="9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9">
    <w:name w:val="Grid Table 7 Colorful - Accent 6"/>
    <w:basedOn w:val="9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0">
    <w:name w:val="List Table 1 Light"/>
    <w:basedOn w:val="9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name w:val="List Table 1 Light - Accent 1"/>
    <w:basedOn w:val="96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2">
    <w:name w:val="List Table 1 Light - Accent 2"/>
    <w:basedOn w:val="96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3">
    <w:name w:val="List Table 1 Light - Accent 3"/>
    <w:basedOn w:val="96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4">
    <w:name w:val="List Table 1 Light - Accent 4"/>
    <w:basedOn w:val="96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5">
    <w:name w:val="List Table 1 Light - Accent 5"/>
    <w:basedOn w:val="96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6">
    <w:name w:val="List Table 1 Light - Accent 6"/>
    <w:basedOn w:val="96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7">
    <w:name w:val="List Table 2"/>
    <w:basedOn w:val="9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8">
    <w:name w:val="List Table 2 - Accent 1"/>
    <w:basedOn w:val="9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9">
    <w:name w:val="List Table 2 - Accent 2"/>
    <w:basedOn w:val="9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0">
    <w:name w:val="List Table 2 - Accent 3"/>
    <w:basedOn w:val="9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1">
    <w:name w:val="List Table 2 - Accent 4"/>
    <w:basedOn w:val="9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2">
    <w:name w:val="List Table 2 - Accent 5"/>
    <w:basedOn w:val="9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3">
    <w:name w:val="List Table 2 - Accent 6"/>
    <w:basedOn w:val="9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4">
    <w:name w:val="List Table 3"/>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3 - Accent 1"/>
    <w:basedOn w:val="9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6">
    <w:name w:val="List Table 3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97">
    <w:name w:val="List Table 3 - Accent 3"/>
    <w:basedOn w:val="9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98">
    <w:name w:val="List Table 3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99">
    <w:name w:val="List Table 3 - Accent 5"/>
    <w:basedOn w:val="9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00">
    <w:name w:val="List Table 3 - Accent 6"/>
    <w:basedOn w:val="9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01">
    <w:name w:val="List Table 4"/>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4 - Accent 1"/>
    <w:basedOn w:val="9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3">
    <w:name w:val="List Table 4 - Accent 2"/>
    <w:basedOn w:val="9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04">
    <w:name w:val="List Table 4 - Accent 3"/>
    <w:basedOn w:val="9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05">
    <w:name w:val="List Table 4 - Accent 4"/>
    <w:basedOn w:val="9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06">
    <w:name w:val="List Table 4 - Accent 5"/>
    <w:basedOn w:val="9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07">
    <w:name w:val="List Table 4 - Accent 6"/>
    <w:basedOn w:val="9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08">
    <w:name w:val="List Table 5 Dark"/>
    <w:basedOn w:val="9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1"/>
    <w:basedOn w:val="9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2"/>
    <w:basedOn w:val="9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3"/>
    <w:basedOn w:val="9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4"/>
    <w:basedOn w:val="9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5"/>
    <w:basedOn w:val="9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6"/>
    <w:basedOn w:val="9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6 Colorful"/>
    <w:basedOn w:val="9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6">
    <w:name w:val="List Table 6 Colorful - Accent 1"/>
    <w:basedOn w:val="9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17">
    <w:name w:val="List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18">
    <w:name w:val="List Table 6 Colorful - Accent 3"/>
    <w:basedOn w:val="9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19">
    <w:name w:val="List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20">
    <w:name w:val="List Table 6 Colorful - Accent 5"/>
    <w:basedOn w:val="9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21">
    <w:name w:val="List Table 6 Colorful - Accent 6"/>
    <w:basedOn w:val="9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22">
    <w:name w:val="List Table 7 Colorful"/>
    <w:basedOn w:val="9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3">
    <w:name w:val="List Table 7 Colorful - Accent 1"/>
    <w:basedOn w:val="9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24">
    <w:name w:val="List Table 7 Colorful - Accent 2"/>
    <w:basedOn w:val="9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25">
    <w:name w:val="List Table 7 Colorful - Accent 3"/>
    <w:basedOn w:val="9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26">
    <w:name w:val="List Table 7 Colorful - Accent 4"/>
    <w:basedOn w:val="9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27">
    <w:name w:val="List Table 7 Colorful - Accent 5"/>
    <w:basedOn w:val="9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28">
    <w:name w:val="List Table 7 Colorful - Accent 6"/>
    <w:basedOn w:val="9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29">
    <w:name w:val="Lined - Accent"/>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Lined - Accent 1"/>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1">
    <w:name w:val="Lined - Accent 2"/>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2">
    <w:name w:val="Lined - Accent 3"/>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3">
    <w:name w:val="Lined - Accent 4"/>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4">
    <w:name w:val="Lined - Accent 5"/>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5">
    <w:name w:val="Lined - Accent 6"/>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6">
    <w:name w:val="Bordered &amp; Lined - Accent"/>
    <w:basedOn w:val="9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Bordered &amp; Lined - Accent 1"/>
    <w:basedOn w:val="9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8">
    <w:name w:val="Bordered &amp; Lined - Accent 2"/>
    <w:basedOn w:val="9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9">
    <w:name w:val="Bordered &amp; Lined - Accent 3"/>
    <w:basedOn w:val="9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0">
    <w:name w:val="Bordered &amp; Lined - Accent 4"/>
    <w:basedOn w:val="9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1">
    <w:name w:val="Bordered &amp; Lined - Accent 5"/>
    <w:basedOn w:val="9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2">
    <w:name w:val="Bordered &amp; Lined - Accent 6"/>
    <w:basedOn w:val="9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3">
    <w:name w:val="Bordered"/>
    <w:basedOn w:val="9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4">
    <w:name w:val="Bordered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5">
    <w:name w:val="Bordered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6">
    <w:name w:val="Bordered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7">
    <w:name w:val="Bordered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8">
    <w:name w:val="Bordered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9">
    <w:name w:val="Bordered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0">
    <w:name w:val="footnote text"/>
    <w:basedOn w:val="966"/>
    <w:link w:val="951"/>
    <w:uiPriority w:val="99"/>
    <w:semiHidden/>
    <w:unhideWhenUsed/>
    <w:pPr>
      <w:spacing w:after="40" w:line="240" w:lineRule="auto"/>
    </w:pPr>
    <w:rPr>
      <w:sz w:val="18"/>
    </w:rPr>
  </w:style>
  <w:style w:type="character" w:styleId="951">
    <w:name w:val="Footnote Text Char"/>
    <w:link w:val="950"/>
    <w:uiPriority w:val="99"/>
    <w:rPr>
      <w:sz w:val="18"/>
    </w:rPr>
  </w:style>
  <w:style w:type="character" w:styleId="952">
    <w:name w:val="footnote reference"/>
    <w:basedOn w:val="967"/>
    <w:uiPriority w:val="99"/>
    <w:unhideWhenUsed/>
    <w:rPr>
      <w:vertAlign w:val="superscript"/>
    </w:rPr>
  </w:style>
  <w:style w:type="paragraph" w:styleId="953">
    <w:name w:val="endnote text"/>
    <w:basedOn w:val="966"/>
    <w:link w:val="954"/>
    <w:uiPriority w:val="99"/>
    <w:semiHidden/>
    <w:unhideWhenUsed/>
    <w:pPr>
      <w:spacing w:after="0" w:line="240" w:lineRule="auto"/>
    </w:pPr>
    <w:rPr>
      <w:sz w:val="20"/>
    </w:rPr>
  </w:style>
  <w:style w:type="character" w:styleId="954">
    <w:name w:val="Endnote Text Char"/>
    <w:link w:val="953"/>
    <w:uiPriority w:val="99"/>
    <w:rPr>
      <w:sz w:val="20"/>
    </w:rPr>
  </w:style>
  <w:style w:type="character" w:styleId="955">
    <w:name w:val="endnote reference"/>
    <w:basedOn w:val="967"/>
    <w:uiPriority w:val="99"/>
    <w:semiHidden/>
    <w:unhideWhenUsed/>
    <w:rPr>
      <w:vertAlign w:val="superscript"/>
    </w:rPr>
  </w:style>
  <w:style w:type="paragraph" w:styleId="956">
    <w:name w:val="toc 2"/>
    <w:basedOn w:val="966"/>
    <w:next w:val="966"/>
    <w:uiPriority w:val="39"/>
    <w:unhideWhenUsed/>
    <w:pPr>
      <w:ind w:left="283" w:right="0" w:firstLine="0"/>
      <w:spacing w:after="57"/>
    </w:pPr>
  </w:style>
  <w:style w:type="paragraph" w:styleId="957">
    <w:name w:val="toc 3"/>
    <w:basedOn w:val="966"/>
    <w:next w:val="966"/>
    <w:uiPriority w:val="39"/>
    <w:unhideWhenUsed/>
    <w:pPr>
      <w:ind w:left="567" w:right="0" w:firstLine="0"/>
      <w:spacing w:after="57"/>
    </w:pPr>
  </w:style>
  <w:style w:type="paragraph" w:styleId="958">
    <w:name w:val="toc 4"/>
    <w:basedOn w:val="966"/>
    <w:next w:val="966"/>
    <w:uiPriority w:val="39"/>
    <w:unhideWhenUsed/>
    <w:pPr>
      <w:ind w:left="850" w:right="0" w:firstLine="0"/>
      <w:spacing w:after="57"/>
    </w:pPr>
  </w:style>
  <w:style w:type="paragraph" w:styleId="959">
    <w:name w:val="toc 5"/>
    <w:basedOn w:val="966"/>
    <w:next w:val="966"/>
    <w:uiPriority w:val="39"/>
    <w:unhideWhenUsed/>
    <w:pPr>
      <w:ind w:left="1134" w:right="0" w:firstLine="0"/>
      <w:spacing w:after="57"/>
    </w:pPr>
  </w:style>
  <w:style w:type="paragraph" w:styleId="960">
    <w:name w:val="toc 6"/>
    <w:basedOn w:val="966"/>
    <w:next w:val="966"/>
    <w:uiPriority w:val="39"/>
    <w:unhideWhenUsed/>
    <w:pPr>
      <w:ind w:left="1417" w:right="0" w:firstLine="0"/>
      <w:spacing w:after="57"/>
    </w:pPr>
  </w:style>
  <w:style w:type="paragraph" w:styleId="961">
    <w:name w:val="toc 7"/>
    <w:basedOn w:val="966"/>
    <w:next w:val="966"/>
    <w:uiPriority w:val="39"/>
    <w:unhideWhenUsed/>
    <w:pPr>
      <w:ind w:left="1701" w:right="0" w:firstLine="0"/>
      <w:spacing w:after="57"/>
    </w:pPr>
  </w:style>
  <w:style w:type="paragraph" w:styleId="962">
    <w:name w:val="toc 8"/>
    <w:basedOn w:val="966"/>
    <w:next w:val="966"/>
    <w:uiPriority w:val="39"/>
    <w:unhideWhenUsed/>
    <w:pPr>
      <w:ind w:left="1984" w:right="0" w:firstLine="0"/>
      <w:spacing w:after="57"/>
    </w:pPr>
  </w:style>
  <w:style w:type="paragraph" w:styleId="963">
    <w:name w:val="toc 9"/>
    <w:basedOn w:val="966"/>
    <w:next w:val="966"/>
    <w:uiPriority w:val="39"/>
    <w:unhideWhenUsed/>
    <w:pPr>
      <w:ind w:left="2268" w:right="0" w:firstLine="0"/>
      <w:spacing w:after="57"/>
    </w:pPr>
  </w:style>
  <w:style w:type="paragraph" w:styleId="964">
    <w:name w:val="TOC Heading"/>
    <w:uiPriority w:val="39"/>
    <w:unhideWhenUsed/>
  </w:style>
  <w:style w:type="paragraph" w:styleId="965">
    <w:name w:val="table of figures"/>
    <w:basedOn w:val="966"/>
    <w:next w:val="966"/>
    <w:uiPriority w:val="99"/>
    <w:unhideWhenUsed/>
    <w:pPr>
      <w:spacing w:after="0" w:afterAutospacing="0"/>
    </w:pPr>
  </w:style>
  <w:style w:type="paragraph" w:styleId="96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67" w:default="1">
    <w:name w:val="Default Paragraph Font"/>
    <w:uiPriority w:val="0"/>
    <w:semiHidden/>
    <w:qFormat/>
  </w:style>
  <w:style w:type="table" w:styleId="968" w:default="1">
    <w:name w:val="Normal Table"/>
    <w:uiPriority w:val="0"/>
    <w:semiHidden/>
    <w:qFormat/>
    <w:tblPr>
      <w:tblCellMar>
        <w:left w:w="108" w:type="dxa"/>
        <w:top w:w="0" w:type="dxa"/>
        <w:right w:w="108" w:type="dxa"/>
        <w:bottom w:w="0" w:type="dxa"/>
      </w:tblCellMar>
    </w:tblPr>
  </w:style>
  <w:style w:type="paragraph" w:styleId="969">
    <w:name w:val="Normal Indent"/>
    <w:basedOn w:val="966"/>
    <w:uiPriority w:val="0"/>
    <w:qFormat/>
    <w:pPr>
      <w:ind w:firstLine="420"/>
    </w:pPr>
  </w:style>
  <w:style w:type="paragraph" w:styleId="970">
    <w:name w:val="Body Text"/>
    <w:basedOn w:val="966"/>
    <w:next w:val="971"/>
    <w:uiPriority w:val="99"/>
    <w:qFormat/>
    <w:pPr>
      <w:spacing w:after="120"/>
    </w:pPr>
    <w:rPr>
      <w:rFonts w:ascii="Calibri" w:hAnsi="Calibri"/>
    </w:rPr>
  </w:style>
  <w:style w:type="paragraph" w:styleId="971" w:customStyle="1">
    <w:name w:val="一级条标题"/>
    <w:basedOn w:val="972"/>
    <w:next w:val="97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2" w:customStyle="1">
    <w:name w:val="章标题"/>
    <w:next w:val="96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3" w:customStyle="1">
    <w:name w:val="段"/>
    <w:basedOn w:val="974"/>
    <w:next w:val="966"/>
    <w:uiPriority w:val="0"/>
    <w:qFormat/>
    <w:pPr>
      <w:ind w:firstLine="200"/>
      <w:widowControl/>
    </w:pPr>
    <w:rPr>
      <w:sz w:val="20"/>
    </w:rPr>
  </w:style>
  <w:style w:type="paragraph" w:styleId="974" w:customStyle="1">
    <w:name w:val="正文1"/>
    <w:basedOn w:val="975"/>
    <w:next w:val="979"/>
    <w:uiPriority w:val="0"/>
    <w:qFormat/>
    <w:pPr>
      <w:jc w:val="left"/>
      <w:spacing w:line="360" w:lineRule="atLeast"/>
    </w:pPr>
    <w:rPr>
      <w:rFonts w:ascii="宋体" w:hAnsiTheme="minorHAnsi" w:eastAsiaTheme="minorEastAsia" w:cstheme="minorBidi"/>
      <w:sz w:val="24"/>
      <w:szCs w:val="20"/>
    </w:rPr>
  </w:style>
  <w:style w:type="paragraph" w:styleId="975" w:customStyle="1">
    <w:name w:val="正文111"/>
    <w:next w:val="9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6" w:customStyle="1">
    <w:name w:val="目录 111"/>
    <w:basedOn w:val="977"/>
    <w:next w:val="975"/>
    <w:uiPriority w:val="0"/>
    <w:qFormat/>
    <w:pPr>
      <w:jc w:val="left"/>
      <w:spacing w:after="100" w:line="259" w:lineRule="auto"/>
      <w:widowControl/>
    </w:pPr>
    <w:rPr>
      <w:rFonts w:ascii="Calibri" w:hAnsi="Calibri"/>
      <w:sz w:val="22"/>
      <w:szCs w:val="22"/>
    </w:rPr>
  </w:style>
  <w:style w:type="paragraph" w:styleId="977" w:customStyle="1">
    <w:name w:val="正文12"/>
    <w:next w:val="978"/>
    <w:uiPriority w:val="0"/>
    <w:qFormat/>
    <w:pPr>
      <w:jc w:val="both"/>
      <w:widowControl w:val="off"/>
    </w:pPr>
    <w:rPr>
      <w:rFonts w:hint="default" w:ascii="Calibri" w:hAnsi="Calibri" w:eastAsia="宋体" w:cs="Times New Roman"/>
      <w:sz w:val="21"/>
      <w:szCs w:val="24"/>
      <w:lang w:val="en-US" w:eastAsia="zh-CN" w:bidi="ar-SA"/>
    </w:rPr>
  </w:style>
  <w:style w:type="paragraph" w:styleId="978" w:customStyle="1">
    <w:name w:val="正文文本111"/>
    <w:basedOn w:val="966"/>
    <w:next w:val="977"/>
    <w:uiPriority w:val="0"/>
    <w:qFormat/>
    <w:rPr>
      <w:rFonts w:ascii="楷体_GB2312" w:hAnsi="Arial" w:eastAsia="楷体_GB2312"/>
      <w:sz w:val="28"/>
      <w:szCs w:val="28"/>
      <w:lang w:eastAsia="en-US"/>
    </w:rPr>
  </w:style>
  <w:style w:type="paragraph" w:styleId="979" w:customStyle="1">
    <w:name w:val="目录 11"/>
    <w:basedOn w:val="980"/>
    <w:next w:val="977"/>
    <w:uiPriority w:val="0"/>
    <w:qFormat/>
    <w:pPr>
      <w:jc w:val="left"/>
      <w:spacing w:before="120" w:after="120"/>
      <w:widowControl/>
    </w:pPr>
    <w:rPr>
      <w:rFonts w:ascii="Calibri" w:hAnsi="Calibri" w:cs="Calibri"/>
      <w:b/>
      <w:bCs/>
      <w:caps/>
      <w:sz w:val="20"/>
      <w:szCs w:val="20"/>
    </w:rPr>
  </w:style>
  <w:style w:type="paragraph" w:styleId="980" w:customStyle="1">
    <w:name w:val="正文11"/>
    <w:next w:val="981"/>
    <w:link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1" w:customStyle="1">
    <w:name w:val="正文首行缩进 21"/>
    <w:basedOn w:val="982"/>
    <w:next w:val="966"/>
    <w:uiPriority w:val="0"/>
    <w:qFormat/>
    <w:pPr>
      <w:ind w:firstLine="420"/>
    </w:pPr>
    <w:rPr>
      <w:rFonts w:ascii="宋体" w:hAnsi="宋体"/>
      <w:sz w:val="20"/>
      <w:szCs w:val="20"/>
    </w:rPr>
  </w:style>
  <w:style w:type="paragraph" w:styleId="982" w:customStyle="1">
    <w:name w:val="正文文本缩进1"/>
    <w:basedOn w:val="966"/>
    <w:next w:val="983"/>
    <w:uiPriority w:val="99"/>
    <w:unhideWhenUsed/>
    <w:qFormat/>
    <w:pPr>
      <w:ind w:firstLine="425"/>
      <w:spacing w:line="360" w:lineRule="auto"/>
    </w:pPr>
  </w:style>
  <w:style w:type="paragraph" w:styleId="983" w:customStyle="1">
    <w:name w:val="寄信人地址1"/>
    <w:basedOn w:val="966"/>
    <w:uiPriority w:val="99"/>
    <w:unhideWhenUsed/>
    <w:qFormat/>
    <w:rPr>
      <w:rFonts w:ascii="Arial" w:hAnsi="Arial"/>
    </w:rPr>
  </w:style>
  <w:style w:type="paragraph" w:styleId="984">
    <w:name w:val="Body Text Indent"/>
    <w:basedOn w:val="966"/>
    <w:uiPriority w:val="0"/>
    <w:qFormat/>
    <w:pPr>
      <w:ind w:left="420"/>
      <w:spacing w:after="120"/>
    </w:pPr>
    <w:rPr>
      <w:rFonts w:ascii="Calibri" w:hAnsi="Calibri"/>
    </w:rPr>
  </w:style>
  <w:style w:type="paragraph" w:styleId="985">
    <w:name w:val="Block Text"/>
    <w:basedOn w:val="966"/>
    <w:uiPriority w:val="99"/>
    <w:unhideWhenUsed/>
    <w:qFormat/>
    <w:pPr>
      <w:ind w:left="1440" w:right="1440"/>
      <w:spacing w:after="120"/>
    </w:pPr>
  </w:style>
  <w:style w:type="paragraph" w:styleId="986">
    <w:name w:val="Footer"/>
    <w:basedOn w:val="966"/>
    <w:uiPriority w:val="99"/>
    <w:qFormat/>
    <w:pPr>
      <w:jc w:val="left"/>
      <w:tabs>
        <w:tab w:val="center" w:pos="4153" w:leader="none"/>
        <w:tab w:val="right" w:pos="8306" w:leader="none"/>
      </w:tabs>
    </w:pPr>
    <w:rPr>
      <w:sz w:val="18"/>
      <w:szCs w:val="18"/>
    </w:rPr>
  </w:style>
  <w:style w:type="paragraph" w:styleId="987">
    <w:name w:val="Header"/>
    <w:basedOn w:val="966"/>
    <w:uiPriority w:val="99"/>
    <w:qFormat/>
    <w:pPr>
      <w:jc w:val="center"/>
      <w:tabs>
        <w:tab w:val="center" w:pos="4153" w:leader="none"/>
        <w:tab w:val="right" w:pos="8306" w:leader="none"/>
      </w:tabs>
      <w:pBdr>
        <w:bottom w:val="single" w:color="auto" w:sz="6" w:space="1"/>
      </w:pBdr>
    </w:pPr>
    <w:rPr>
      <w:sz w:val="18"/>
      <w:szCs w:val="18"/>
    </w:rPr>
  </w:style>
  <w:style w:type="paragraph" w:styleId="988">
    <w:name w:val="toc 1"/>
    <w:basedOn w:val="966"/>
    <w:next w:val="966"/>
    <w:uiPriority w:val="39"/>
    <w:qFormat/>
  </w:style>
  <w:style w:type="paragraph" w:styleId="989">
    <w:name w:val="Normal (Web)"/>
    <w:basedOn w:val="966"/>
    <w:uiPriority w:val="0"/>
    <w:qFormat/>
    <w:pPr>
      <w:jc w:val="left"/>
      <w:spacing w:before="100" w:beforeAutospacing="1" w:after="100" w:afterAutospacing="1"/>
      <w:widowControl/>
    </w:pPr>
    <w:rPr>
      <w:rFonts w:ascii="宋体" w:hAnsi="宋体" w:cs="宋体"/>
      <w:sz w:val="24"/>
    </w:rPr>
  </w:style>
  <w:style w:type="table" w:styleId="990">
    <w:name w:val="Table Grid"/>
    <w:basedOn w:val="96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1">
    <w:name w:val="Hyperlink"/>
    <w:basedOn w:val="967"/>
    <w:uiPriority w:val="99"/>
    <w:unhideWhenUsed/>
    <w:qFormat/>
    <w:rPr>
      <w:color w:val="0000ff"/>
      <w:u w:val="none"/>
    </w:rPr>
  </w:style>
  <w:style w:type="character" w:styleId="992" w:customStyle="1">
    <w:name w:val="NormalCharacter1"/>
    <w:link w:val="980"/>
    <w:uiPriority w:val="0"/>
    <w:semiHidden/>
    <w:qFormat/>
    <w:rPr>
      <w:rFonts w:hint="default" w:ascii="Times New Roman" w:hAnsi="Times New Roman" w:eastAsia="宋体" w:cs="Times New Roman"/>
      <w:sz w:val="21"/>
      <w:szCs w:val="24"/>
      <w:lang w:val="en-US" w:eastAsia="zh-CN" w:bidi="ar-SA"/>
    </w:rPr>
  </w:style>
  <w:style w:type="paragraph" w:styleId="993" w:customStyle="1">
    <w:name w:val="BlockQuote1"/>
    <w:basedOn w:val="966"/>
    <w:uiPriority w:val="0"/>
    <w:qFormat/>
    <w:pPr>
      <w:ind w:left="256" w:right="6" w:firstLine="624"/>
    </w:pPr>
    <w:rPr>
      <w:rFonts w:eastAsia="仿宋_GB2312"/>
      <w:sz w:val="28"/>
    </w:rPr>
  </w:style>
  <w:style w:type="character" w:styleId="994" w:customStyle="1">
    <w:name w:val="NormalCharacter"/>
    <w:uiPriority w:val="0"/>
    <w:semiHidden/>
    <w:qFormat/>
    <w:rPr>
      <w:sz w:val="28"/>
      <w:lang w:val="en-US" w:eastAsia="zh-CN" w:bidi="ar-SA"/>
    </w:rPr>
  </w:style>
  <w:style w:type="paragraph" w:styleId="995" w:customStyle="1">
    <w:name w:val="文本块12"/>
    <w:basedOn w:val="966"/>
    <w:uiPriority w:val="6"/>
    <w:qFormat/>
    <w:pPr>
      <w:ind w:left="256" w:right="6" w:firstLine="624"/>
    </w:pPr>
    <w:rPr>
      <w:rFonts w:eastAsia="仿宋"/>
      <w:sz w:val="28"/>
    </w:rPr>
  </w:style>
  <w:style w:type="paragraph" w:styleId="996" w:customStyle="1">
    <w:name w:val="页脚1"/>
    <w:basedOn w:val="966"/>
    <w:uiPriority w:val="0"/>
    <w:qFormat/>
    <w:pPr>
      <w:jc w:val="left"/>
      <w:tabs>
        <w:tab w:val="center" w:pos="4153" w:leader="none"/>
        <w:tab w:val="right" w:pos="8306" w:leader="none"/>
      </w:tabs>
    </w:pPr>
    <w:rPr>
      <w:sz w:val="18"/>
      <w:szCs w:val="18"/>
    </w:rPr>
  </w:style>
  <w:style w:type="numbering" w:styleId="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宋涛</cp:lastModifiedBy>
  <cp:revision>3</cp:revision>
  <dcterms:created xsi:type="dcterms:W3CDTF">2026-05-19T04:59:00Z</dcterms:created>
  <dcterms:modified xsi:type="dcterms:W3CDTF">2026-06-23T04:26:14Z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444D1B06D1544C22BF0859C84CD47BDB_13</vt:lpwstr>
  </property>
  <property fmtid="{D5CDD505-2E9C-101B-9397-08002B2CF9AE}" pid="4" name="KSOTemplateDocerSaveRecord">
    <vt:lpwstr>eyJoZGlkIjoiNTVjYjM4NTU1NzQ3Nzk2MWVkZWVlZjU5YWM1ZGEwMDYiLCJ1c2VySWQiOiI2MjAyNjAwNDcifQ==</vt:lpwstr>
  </property>
</Properties>
</file>