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b/>
          <w:color w:val="auto"/>
          <w:spacing w:val="76"/>
          <w:sz w:val="144"/>
          <w:szCs w:val="144"/>
        </w:rPr>
      </w:pPr>
      <w:r>
        <w:rPr>
          <w:rFonts w:hint="eastAsia" w:ascii="宋体" w:hAnsi="宋体" w:eastAsia="宋体" w:cs="宋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17"/>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徐州高新技术产业开发区管理委员会数据服务</w:t>
      </w:r>
      <w:r>
        <w:rPr>
          <w:rFonts w:hint="eastAsia" w:ascii="宋体" w:hAnsi="宋体" w:eastAsia="宋体" w:cs="宋体"/>
          <w:color w:val="auto"/>
          <w:sz w:val="28"/>
          <w:szCs w:val="28"/>
          <w:lang w:eastAsia="zh-CN"/>
        </w:rPr>
        <w:t xml:space="preserve">项目</w:t>
      </w:r>
      <w:r/>
    </w:p>
    <w:p>
      <w:pPr>
        <w:ind w:firstLine="560"/>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JSZC-320312-TSCG-G2026-0004</w:t>
      </w:r>
      <w:r/>
    </w:p>
    <w:p>
      <w:pPr>
        <w:ind w:firstLine="560"/>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徐州高新技术产业开发区管理委员会</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rPr>
        <w:t xml:space="preserve">月</w:t>
      </w:r>
      <w:r/>
    </w:p>
    <w:p>
      <w:pPr>
        <w:pStyle w:val="715"/>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rPr>
          <w:rFonts w:hint="eastAsia" w:ascii="宋体" w:hAnsi="宋体" w:eastAsia="宋体" w:cs="宋体"/>
          <w:sz w:val="30"/>
          <w:szCs w:val="30"/>
        </w:rPr>
      </w:pPr>
      <w:r>
        <w:rPr>
          <w:rFonts w:hint="eastAsia" w:ascii="宋体" w:hAnsi="宋体" w:eastAsia="宋体" w:cs="宋体"/>
          <w:sz w:val="30"/>
          <w:szCs w:val="30"/>
        </w:rPr>
        <w:t xml:space="preserve">第三章 投标资料表</w:t>
      </w:r>
      <w:r/>
    </w:p>
    <w:p>
      <w:pPr>
        <w:rPr>
          <w:rFonts w:hint="eastAsia" w:ascii="宋体" w:hAnsi="宋体" w:eastAsia="宋体" w:cs="宋体"/>
          <w:sz w:val="30"/>
          <w:szCs w:val="30"/>
        </w:rPr>
      </w:pPr>
      <w:r>
        <w:rPr>
          <w:rFonts w:hint="eastAsia" w:ascii="宋体" w:hAnsi="宋体" w:eastAsia="宋体" w:cs="宋体"/>
          <w:sz w:val="30"/>
          <w:szCs w:val="30"/>
        </w:rPr>
        <w:t xml:space="preserve">第四章 评标标准</w:t>
      </w:r>
      <w:r/>
    </w:p>
    <w:p>
      <w:pPr>
        <w:rPr>
          <w:rFonts w:hint="eastAsia" w:ascii="宋体" w:hAnsi="宋体" w:eastAsia="宋体" w:cs="宋体"/>
          <w:sz w:val="30"/>
          <w:szCs w:val="30"/>
        </w:rPr>
      </w:pPr>
      <w:r>
        <w:rPr>
          <w:rFonts w:hint="eastAsia" w:ascii="宋体" w:hAnsi="宋体" w:eastAsia="宋体" w:cs="宋体"/>
          <w:sz w:val="30"/>
          <w:szCs w:val="30"/>
        </w:rPr>
        <w:t xml:space="preserve">第五章 拟签订的合同文本</w:t>
      </w:r>
      <w:r/>
    </w:p>
    <w:p>
      <w:pPr>
        <w:rPr>
          <w:rFonts w:hint="eastAsia" w:ascii="宋体" w:hAnsi="宋体" w:eastAsia="宋体" w:cs="宋体"/>
          <w:sz w:val="30"/>
          <w:szCs w:val="30"/>
        </w:rPr>
      </w:pPr>
      <w:r>
        <w:rPr>
          <w:rFonts w:hint="eastAsia" w:ascii="宋体" w:hAnsi="宋体" w:eastAsia="宋体" w:cs="宋体"/>
          <w:sz w:val="30"/>
          <w:szCs w:val="30"/>
        </w:rPr>
        <w:t xml:space="preserve">第六章 采购需求</w:t>
      </w:r>
      <w:r/>
    </w:p>
    <w:p>
      <w:pPr>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对</w:t>
      </w:r>
      <w:r>
        <w:rPr>
          <w:rFonts w:hint="eastAsia" w:ascii="宋体" w:hAnsi="宋体" w:cs="宋体"/>
          <w:sz w:val="24"/>
          <w:lang w:eastAsia="zh-CN"/>
        </w:rPr>
        <w:t xml:space="preserve">徐州高新技术产业开发区管理委员会数据服务</w:t>
      </w:r>
      <w:r>
        <w:rPr>
          <w:rFonts w:hint="eastAsia" w:ascii="宋体" w:hAnsi="宋体" w:eastAsia="宋体" w:cs="宋体"/>
          <w:sz w:val="24"/>
        </w:rPr>
        <w:t xml:space="preserve">项目进行公开招标采购，现欢迎符合相关条件的供应商投标。</w:t>
      </w:r>
      <w:r/>
    </w:p>
    <w:p>
      <w:pPr>
        <w:ind w:firstLine="480"/>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徐州高新技术产业开发区管理委员会数据服务</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JSZC-320312-TSCG-G2026-0004</w:t>
      </w:r>
      <w:r/>
    </w:p>
    <w:p>
      <w:pPr>
        <w:ind w:firstLine="480"/>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时间（时间期限）、地点、方式：</w:t>
      </w:r>
      <w:r/>
    </w:p>
    <w:p>
      <w:pPr>
        <w:ind w:firstLine="360"/>
        <w:rPr>
          <w:rFonts w:hint="eastAsia" w:ascii="宋体" w:hAnsi="宋体" w:eastAsia="宋体" w:cs="宋体"/>
          <w:bCs/>
          <w:sz w:val="24"/>
        </w:rPr>
      </w:pPr>
      <w:r>
        <w:rPr>
          <w:rFonts w:hint="eastAsia" w:ascii="宋体" w:hAnsi="宋体" w:eastAsia="宋体" w:cs="宋体"/>
          <w:sz w:val="24"/>
        </w:rPr>
        <w:t xml:space="preserve">招标文件提供期限：自招标公告发布之日起5个工作日；</w:t>
      </w:r>
      <w:r>
        <w:rPr>
          <w:rFonts w:hint="eastAsia" w:ascii="宋体" w:hAnsi="宋体" w:eastAsia="宋体" w:cs="宋体"/>
          <w:bCs/>
          <w:sz w:val="24"/>
        </w:rPr>
        <w:t xml:space="preserve">在“徐州政府采购网”（网址：</w:t>
      </w:r>
      <w:r>
        <w:rPr>
          <w:rFonts w:hint="eastAsia" w:ascii="宋体" w:hAnsi="宋体" w:eastAsia="宋体" w:cs="宋体"/>
          <w:sz w:val="24"/>
          <w:u w:val="single"/>
        </w:rPr>
        <w:t xml:space="preserve">http://czj.xz.gov.cn/Home/HomeIndex</w:t>
      </w:r>
      <w:r>
        <w:rPr>
          <w:rFonts w:hint="eastAsia" w:ascii="宋体" w:hAnsi="宋体" w:eastAsia="宋体" w:cs="宋体"/>
          <w:bCs/>
          <w:sz w:val="24"/>
        </w:rPr>
        <w:t xml:space="preserve">）本项目公开招标公告的附件，自行下载。</w:t>
      </w:r>
      <w:r/>
    </w:p>
    <w:p>
      <w:pPr>
        <w:rPr>
          <w:rFonts w:hint="eastAsia" w:ascii="宋体" w:hAnsi="宋体" w:eastAsia="宋体" w:cs="宋体"/>
          <w:sz w:val="24"/>
        </w:rPr>
      </w:pPr>
      <w:r>
        <w:rPr>
          <w:rFonts w:hint="eastAsia" w:ascii="宋体" w:hAnsi="宋体" w:eastAsia="宋体" w:cs="宋体"/>
          <w:sz w:val="24"/>
        </w:rPr>
        <w:t xml:space="preserve">    2．招标文件售价：免费。</w:t>
      </w:r>
      <w:r/>
    </w:p>
    <w:p>
      <w:pPr>
        <w:ind w:firstLine="480"/>
        <w:rPr>
          <w:rFonts w:hint="eastAsia" w:ascii="宋体" w:hAnsi="宋体" w:eastAsia="宋体" w:cs="宋体"/>
          <w:sz w:val="24"/>
        </w:rPr>
      </w:pPr>
      <w:r>
        <w:rPr>
          <w:rFonts w:hint="eastAsia" w:ascii="宋体" w:hAnsi="宋体" w:eastAsia="宋体" w:cs="宋体"/>
          <w:sz w:val="24"/>
        </w:rPr>
        <w:t xml:space="preserve">四、投标有关信息</w:t>
      </w:r>
      <w:r/>
    </w:p>
    <w:p>
      <w:pPr>
        <w:ind w:firstLine="480"/>
        <w:rPr>
          <w:rFonts w:hint="eastAsia" w:ascii="宋体" w:hAnsi="宋体" w:eastAsia="宋体" w:cs="宋体"/>
          <w:sz w:val="24"/>
        </w:rPr>
      </w:pPr>
      <w:r>
        <w:rPr>
          <w:rFonts w:hint="eastAsia" w:ascii="宋体" w:hAnsi="宋体" w:eastAsia="宋体" w:cs="宋体"/>
          <w:sz w:val="24"/>
        </w:rPr>
        <w:t xml:space="preserve">1.投标截止时间：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6月25日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rPr>
          <w:rFonts w:hint="eastAsia" w:ascii="宋体" w:hAnsi="宋体" w:eastAsia="宋体" w:cs="宋体"/>
          <w:sz w:val="24"/>
        </w:rPr>
        <w:t xml:space="preserve">（电子招标投标交易平台（即“苏采云”系统）的国家授时中心标准时间，下同）</w:t>
      </w:r>
      <w:r/>
    </w:p>
    <w:p>
      <w:pPr>
        <w:ind w:firstLine="480"/>
        <w:rPr>
          <w:rFonts w:hint="eastAsia" w:ascii="宋体" w:hAnsi="宋体" w:eastAsia="宋体" w:cs="宋体"/>
          <w:sz w:val="24"/>
          <w:lang w:eastAsia="zh-CN"/>
        </w:rPr>
      </w:pPr>
      <w:r>
        <w:rPr>
          <w:rFonts w:hint="eastAsia" w:ascii="宋体" w:hAnsi="宋体" w:eastAsia="宋体" w:cs="宋体"/>
          <w:sz w:val="24"/>
        </w:rPr>
        <w:t xml:space="preserve">2.开标时间：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6月25日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ind w:firstLine="480"/>
        <w:rPr>
          <w:rFonts w:hint="eastAsia" w:ascii="宋体" w:hAnsi="宋体" w:eastAsia="宋体" w:cs="宋体"/>
          <w:bCs/>
          <w:sz w:val="24"/>
          <w:u w:val="single"/>
        </w:rPr>
      </w:pPr>
      <w:r>
        <w:rPr>
          <w:rFonts w:hint="eastAsia" w:ascii="宋体" w:hAnsi="宋体" w:eastAsia="宋体" w:cs="宋体"/>
          <w:sz w:val="24"/>
        </w:rPr>
        <w:t xml:space="preserve">3.开标地点：“苏采云”系统（网址： http://jszfcg.jsczt.cn/）“开标大厅”或进入徐州政府采购网（网址：http://czj.xz.gov.cn/Home/HomeIndex）-业务工作-用户登录，点击“苏采云”进入系统“开标大厅”。 </w:t>
      </w:r>
      <w:r/>
    </w:p>
    <w:p>
      <w:pPr>
        <w:ind w:left="479"/>
        <w:rPr>
          <w:rFonts w:hint="eastAsia" w:ascii="宋体" w:hAnsi="宋体" w:eastAsia="宋体" w:cs="宋体"/>
          <w:sz w:val="24"/>
        </w:rPr>
      </w:pPr>
      <w:r>
        <w:rPr>
          <w:rFonts w:hint="eastAsia" w:ascii="宋体" w:hAnsi="宋体" w:eastAsia="宋体" w:cs="宋体"/>
          <w:sz w:val="24"/>
        </w:rPr>
        <w:t xml:space="preserve">五、采购人</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 称：</w:t>
      </w:r>
      <w:r>
        <w:rPr>
          <w:rFonts w:hint="eastAsia" w:ascii="宋体" w:hAnsi="宋体" w:cs="宋体"/>
          <w:sz w:val="24"/>
          <w:lang w:eastAsia="zh-CN"/>
        </w:rPr>
        <w:t xml:space="preserve">徐州高新技术产业开发区管理委员会</w:t>
      </w:r>
      <w:r/>
    </w:p>
    <w:p>
      <w:pPr>
        <w:ind w:firstLine="480"/>
        <w:rPr>
          <w:rFonts w:hint="eastAsia" w:ascii="宋体" w:hAnsi="宋体" w:eastAsia="宋体" w:cs="宋体"/>
          <w:sz w:val="24"/>
          <w:lang w:val="en-US" w:eastAsia="zh-CN"/>
        </w:rPr>
      </w:pPr>
      <w:r>
        <w:rPr>
          <w:rFonts w:hint="eastAsia" w:ascii="宋体" w:hAnsi="宋体" w:eastAsia="宋体" w:cs="宋体"/>
          <w:sz w:val="24"/>
        </w:rPr>
        <w:t xml:space="preserve">2.地址： </w:t>
      </w:r>
      <w:r>
        <w:rPr>
          <w:rFonts w:hint="eastAsia" w:ascii="宋体" w:hAnsi="宋体" w:cs="宋体"/>
          <w:sz w:val="24"/>
          <w:lang w:eastAsia="zh-CN"/>
        </w:rPr>
        <w:t xml:space="preserve">江苏省徐州市铜山区珠江东路11号</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cs="宋体"/>
          <w:sz w:val="24"/>
          <w:lang w:eastAsia="zh-CN"/>
        </w:rPr>
        <w:t xml:space="preserve">0516-83535322</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柳梦珂</w:t>
      </w:r>
      <w:r>
        <w:rPr>
          <w:rFonts w:hint="eastAsia" w:ascii="宋体" w:hAnsi="宋体" w:eastAsia="宋体" w:cs="宋体"/>
          <w:sz w:val="24"/>
        </w:rPr>
        <w:t xml:space="preserve">   电话： </w:t>
      </w:r>
      <w:r>
        <w:rPr>
          <w:rFonts w:hint="eastAsia" w:ascii="宋体" w:hAnsi="宋体" w:cs="宋体"/>
          <w:sz w:val="24"/>
          <w:lang w:eastAsia="zh-CN"/>
        </w:rPr>
        <w:t xml:space="preserve">0516-83535322</w:t>
      </w:r>
      <w:r/>
    </w:p>
    <w:p>
      <w:pPr>
        <w:ind w:firstLine="480"/>
        <w:rPr>
          <w:rFonts w:hint="eastAsia" w:ascii="宋体" w:hAnsi="宋体" w:eastAsia="宋体" w:cs="宋体"/>
          <w:sz w:val="24"/>
        </w:rPr>
      </w:pPr>
      <w:r>
        <w:rPr>
          <w:rFonts w:hint="eastAsia" w:ascii="宋体" w:hAnsi="宋体" w:eastAsia="宋体" w:cs="宋体"/>
          <w:sz w:val="24"/>
        </w:rPr>
        <w:t xml:space="preserve">六、采购代理机构</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eastAsia="宋体" w:cs="宋体"/>
          <w:sz w:val="24"/>
          <w:lang w:eastAsia="zh-CN"/>
        </w:rPr>
        <w:t xml:space="preserve">徐州市铜山区公共资源交易中心</w:t>
      </w:r>
      <w:r/>
    </w:p>
    <w:p>
      <w:pPr>
        <w:ind w:firstLine="480"/>
        <w:rPr>
          <w:rFonts w:hint="default" w:ascii="宋体" w:hAnsi="宋体" w:eastAsia="宋体" w:cs="宋体"/>
          <w:sz w:val="24"/>
          <w:lang w:val="en-US" w:eastAsia="zh-CN"/>
        </w:rPr>
      </w:pPr>
      <w:r>
        <w:rPr>
          <w:rFonts w:hint="eastAsia" w:ascii="宋体" w:hAnsi="宋体" w:eastAsia="宋体" w:cs="宋体"/>
          <w:sz w:val="24"/>
        </w:rPr>
        <w:t xml:space="preserve">2．地址：</w:t>
      </w:r>
      <w:r>
        <w:rPr>
          <w:rFonts w:hint="eastAsia" w:ascii="宋体" w:hAnsi="宋体" w:eastAsia="宋体" w:cs="宋体"/>
          <w:sz w:val="24"/>
          <w:lang w:eastAsia="zh-CN"/>
        </w:rPr>
        <w:t xml:space="preserve">江苏省徐州市铜山区长江西路9-1号科技创业大厦B区B337房间</w:t>
      </w:r>
      <w:r>
        <w:rPr>
          <w:rFonts w:hint="eastAsia" w:ascii="宋体" w:hAnsi="宋体" w:eastAsia="宋体" w:cs="宋体"/>
          <w:sz w:val="24"/>
        </w:rPr>
        <w:t xml:space="preserve">   邮编：221</w:t>
      </w:r>
      <w:r>
        <w:rPr>
          <w:rFonts w:hint="eastAsia" w:ascii="宋体" w:hAnsi="宋体" w:cs="宋体"/>
          <w:sz w:val="24"/>
          <w:lang w:val="en-US" w:eastAsia="zh-CN"/>
        </w:rPr>
        <w:t xml:space="preserve">100</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eastAsia="宋体" w:cs="宋体"/>
          <w:sz w:val="24"/>
          <w:lang w:eastAsia="zh-CN"/>
        </w:rPr>
        <w:t xml:space="preserve">0516-83319560</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宗文倩</w:t>
      </w:r>
      <w:r>
        <w:rPr>
          <w:rFonts w:hint="eastAsia" w:ascii="宋体" w:hAnsi="宋体" w:eastAsia="宋体" w:cs="宋体"/>
          <w:sz w:val="24"/>
        </w:rPr>
        <w:t xml:space="preserve">        电话：</w:t>
      </w:r>
      <w:r>
        <w:rPr>
          <w:rFonts w:hint="eastAsia" w:ascii="宋体" w:hAnsi="宋体" w:eastAsia="宋体" w:cs="宋体"/>
          <w:sz w:val="24"/>
          <w:lang w:eastAsia="zh-CN"/>
        </w:rPr>
        <w:t xml:space="preserve">0516-83319560</w:t>
      </w:r>
      <w:r/>
    </w:p>
    <w:p>
      <w:pPr>
        <w:ind w:firstLine="600"/>
        <w:rPr>
          <w:rFonts w:hint="eastAsia" w:ascii="宋体" w:hAnsi="宋体" w:eastAsia="宋体" w:cs="宋体"/>
          <w:sz w:val="24"/>
        </w:rPr>
      </w:pPr>
      <w:r>
        <w:rPr>
          <w:rFonts w:hint="eastAsia" w:ascii="宋体" w:hAnsi="宋体" w:eastAsia="宋体" w:cs="宋体"/>
          <w:sz w:val="24"/>
        </w:rPr>
      </w:r>
      <w:r/>
    </w:p>
    <w:p>
      <w:pPr>
        <w:ind w:firstLine="60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9. 采购项目预算金额、最高限价</w:t>
      </w:r>
      <w:r/>
    </w:p>
    <w:p>
      <w:pPr>
        <w:ind w:firstLine="480"/>
        <w:rPr>
          <w:rFonts w:hint="eastAsia" w:ascii="宋体" w:hAnsi="宋体" w:eastAsia="宋体" w:cs="宋体"/>
          <w:sz w:val="24"/>
        </w:rPr>
      </w:pPr>
      <w:r>
        <w:rPr>
          <w:rFonts w:hint="eastAsia" w:ascii="宋体" w:hAnsi="宋体" w:eastAsia="宋体" w:cs="宋体"/>
          <w:sz w:val="24"/>
        </w:rPr>
        <w:t xml:space="preserve">9.1 采购项目预算金额：见招标文件第三章《投标资料表》。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9.2 采购人根据价格测算情况，可以在采购预算额度内合理设定最高限价，但不得设定最低限价。采购人在采购预算额度内设定的最高限价（以下称“最高限价”）：见招标文件第三章《投标资料表》。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w:t>
      </w:r>
      <w:r>
        <w:rPr>
          <w:rFonts w:hint="eastAsia" w:ascii="宋体" w:hAnsi="宋体" w:eastAsia="宋体" w:cs="宋体"/>
          <w:b/>
          <w:sz w:val="24"/>
        </w:rPr>
        <w:t xml:space="preserve">投标人只能提交一个投标报价，提交2个以上投标报价的投标文件在符合性审查时按照投标无效处理。</w:t>
      </w:r>
      <w:r/>
    </w:p>
    <w:p>
      <w:pPr>
        <w:ind w:firstLine="480"/>
        <w:rPr>
          <w:rFonts w:hint="eastAsia" w:ascii="宋体" w:hAnsi="宋体" w:eastAsia="宋体" w:cs="宋体"/>
          <w:bCs/>
          <w:sz w:val="24"/>
        </w:rPr>
      </w:pPr>
      <w:r>
        <w:rPr>
          <w:rFonts w:hint="eastAsia" w:ascii="宋体" w:hAnsi="宋体" w:eastAsia="宋体" w:cs="宋体"/>
          <w:sz w:val="24"/>
        </w:rPr>
        <w:t xml:space="preserve">20.6 </w:t>
      </w:r>
      <w:r>
        <w:rPr>
          <w:rFonts w:hint="eastAsia" w:ascii="宋体" w:hAnsi="宋体" w:eastAsia="宋体" w:cs="宋体"/>
          <w:bCs/>
          <w:sz w:val="24"/>
        </w:rPr>
        <w:t xml:space="preserve">不接受超过采购项目预算金额的投标报价。具体</w:t>
      </w:r>
      <w:r>
        <w:rPr>
          <w:rFonts w:hint="eastAsia" w:ascii="宋体" w:hAnsi="宋体" w:eastAsia="宋体" w:cs="宋体"/>
          <w:sz w:val="24"/>
        </w:rPr>
        <w:t xml:space="preserve">见招标文件第三章《投标资料表》</w:t>
      </w:r>
      <w:r>
        <w:rPr>
          <w:rFonts w:hint="eastAsia" w:ascii="宋体" w:hAnsi="宋体" w:eastAsia="宋体" w:cs="宋体"/>
          <w:bCs/>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20.6不接受超过最高限价的投标报价。具体见招标文件第三章《投标资料表》。</w:t>
      </w:r>
      <w:r/>
    </w:p>
    <w:p>
      <w:pPr>
        <w:ind w:firstLine="480"/>
        <w:rPr>
          <w:rFonts w:hint="eastAsia" w:ascii="宋体" w:hAnsi="宋体" w:eastAsia="宋体" w:cs="宋体"/>
          <w:bCs/>
          <w:sz w:val="24"/>
        </w:rPr>
      </w:pPr>
      <w:r>
        <w:rPr>
          <w:rFonts w:hint="eastAsia" w:ascii="宋体" w:hAnsi="宋体" w:eastAsia="宋体" w:cs="宋体"/>
          <w:bCs/>
          <w:sz w:val="24"/>
        </w:rPr>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w:t>
      </w:r>
      <w:r>
        <w:rPr>
          <w:rFonts w:hint="eastAsia" w:ascii="宋体" w:hAnsi="宋体" w:eastAsia="宋体" w:cs="宋体"/>
          <w:b/>
          <w:sz w:val="24"/>
        </w:rPr>
        <w:t xml:space="preserve">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jc w:val="left"/>
        <w:widowControl/>
        <w:rPr>
          <w:rFonts w:hint="eastAsia" w:ascii="宋体" w:hAnsi="宋体" w:eastAsia="宋体" w:cs="宋体"/>
          <w:sz w:val="24"/>
        </w:rPr>
      </w:pPr>
      <w:r>
        <w:rPr>
          <w:rFonts w:hint="eastAsia" w:ascii="宋体" w:hAnsi="宋体" w:eastAsia="宋体" w:cs="宋体"/>
          <w:sz w:val="24"/>
        </w:rPr>
        <w:t xml:space="preserve">　  （四）总价金额与按单价汇总金额不一致的，以总价金额为准，同时按照总价金额与单价汇总金额的比值，同比例修正单价。</w:t>
      </w:r>
      <w:r/>
    </w:p>
    <w:p>
      <w:pPr>
        <w:jc w:val="left"/>
        <w:widowControl/>
        <w:rPr>
          <w:rFonts w:hint="eastAsia" w:ascii="宋体" w:hAnsi="宋体" w:eastAsia="宋体" w:cs="宋体"/>
          <w:b/>
          <w:sz w:val="24"/>
        </w:rPr>
      </w:pPr>
      <w:r>
        <w:rPr>
          <w:rFonts w:hint="eastAsia" w:ascii="宋体" w:hAnsi="宋体" w:eastAsia="宋体" w:cs="宋体"/>
          <w:sz w:val="24"/>
        </w:rPr>
        <w:t xml:space="preserve">　　同时出现两种以上不一致的，按照前款规定的顺序修正。</w:t>
      </w:r>
      <w:r>
        <w:rPr>
          <w:rFonts w:hint="eastAsia" w:ascii="宋体" w:hAnsi="宋体" w:eastAsia="宋体" w:cs="宋体"/>
          <w:b/>
          <w:sz w:val="24"/>
        </w:rPr>
        <w:t xml:space="preserve">修正后的报价按照第29条第二款的规定经投标人确认后产生约束力，投标人不确认的，其投标无效。</w:t>
      </w:r>
      <w:r/>
    </w:p>
    <w:p>
      <w:pPr>
        <w:ind w:firstLine="480"/>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t xml:space="preserve">33. 实施政府采购异常低价审查的有关要求：</w:t>
      </w:r>
      <w:r/>
    </w:p>
    <w:p>
      <w:pPr>
        <w:ind w:firstLine="480"/>
        <w:rPr>
          <w:rFonts w:hint="eastAsia" w:ascii="宋体" w:hAnsi="宋体" w:eastAsia="宋体" w:cs="宋体"/>
          <w:sz w:val="24"/>
        </w:rPr>
      </w:pPr>
      <w:r/>
      <w:bookmarkStart w:id="0" w:name="OLE_LINK5"/>
      <w:r/>
      <w:bookmarkStart w:id="1" w:name="OLE_LINK6"/>
      <w:r>
        <w:rPr>
          <w:rFonts w:hint="eastAsia" w:ascii="宋体" w:hAnsi="宋体" w:eastAsia="宋体" w:cs="宋体"/>
          <w:sz w:val="24"/>
        </w:rPr>
        <w:t xml:space="preserve">（一）评审中出现下列情形之一的，评审（评标）委员会应当启动异常低价投标（响应）审查程序：</w:t>
      </w:r>
      <w:r/>
    </w:p>
    <w:p>
      <w:pPr>
        <w:ind w:firstLine="480"/>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sz w:val="24"/>
        </w:rPr>
        <w:t xml:space="preserve">45%</w:t>
      </w:r>
      <w:r>
        <w:rPr>
          <w:rFonts w:hint="eastAsia" w:ascii="宋体" w:hAnsi="宋体" w:eastAsia="宋体" w:cs="宋体"/>
          <w:sz w:val="24"/>
        </w:rPr>
        <w:t xml:space="preserve">的，即投标（响应）报价&lt;采购项目最高限价×</w:t>
      </w:r>
      <w:r>
        <w:rPr>
          <w:rFonts w:hint="eastAsia" w:ascii="宋体" w:hAnsi="宋体" w:eastAsia="宋体" w:cs="宋体"/>
          <w:b/>
          <w:sz w:val="24"/>
        </w:rPr>
        <w:t xml:space="preserve">45%</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相关法律法规对供应商报价有规定的，从其规定。</w:t>
      </w:r>
      <w:r/>
    </w:p>
    <w:p>
      <w:pPr>
        <w:pStyle w:val="714"/>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sz w:val="24"/>
        </w:rP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b/>
          <w:sz w:val="24"/>
        </w:rPr>
        <w:t xml:space="preserve">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（三）报价超过招标文件中规定的最高限价的；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ind w:firstLine="360"/>
        <w:rPr>
          <w:rFonts w:hint="eastAsia" w:ascii="宋体" w:hAnsi="宋体" w:eastAsia="宋体" w:cs="宋体"/>
          <w:sz w:val="24"/>
        </w:rPr>
      </w:pPr>
      <w:r>
        <w:rPr>
          <w:rFonts w:hint="eastAsia" w:ascii="宋体" w:hAnsi="宋体" w:eastAsia="宋体" w:cs="宋体"/>
          <w:sz w:val="24"/>
        </w:rPr>
        <w:t xml:space="preserve">（六）法律、法规和招标文件规定的其他无效情形。</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p>
    <w:p>
      <w:pPr>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 xml:space="preserve">第三章  投标资料表</w:t>
      </w:r>
      <w:r/>
    </w:p>
    <w:p>
      <w:pPr>
        <w:pStyle w:val="736"/>
        <w:ind w:firstLine="480"/>
        <w:rPr>
          <w:rFonts w:hint="eastAsia" w:ascii="宋体" w:hAnsi="宋体" w:eastAsia="宋体" w:cs="宋体"/>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tbl>
      <w:tblPr>
        <w:tblStyle w:val="713"/>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本项目采购人：</w:t>
            </w:r>
            <w:r>
              <w:rPr>
                <w:rFonts w:hint="eastAsia" w:ascii="宋体" w:hAnsi="宋体" w:cs="宋体"/>
                <w:sz w:val="24"/>
                <w:lang w:eastAsia="zh-CN"/>
              </w:rPr>
              <w:t xml:space="preserve">徐州高新技术产业开发区管理委员会</w:t>
            </w: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徐州市铜山区公共资源交易中心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115万</w:t>
            </w:r>
            <w:r>
              <w:rPr>
                <w:rFonts w:hint="eastAsia" w:ascii="宋体" w:hAnsi="宋体" w:eastAsia="宋体" w:cs="宋体"/>
                <w:sz w:val="24"/>
              </w:rPr>
              <w:t xml:space="preserve">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采购人在采购预算额度内设定的最高限价（以下称“最高限价”）：</w:t>
            </w:r>
            <w:r>
              <w:rPr>
                <w:rFonts w:hint="eastAsia" w:ascii="宋体" w:hAnsi="宋体" w:cs="宋体"/>
                <w:sz w:val="24"/>
                <w:lang w:val="en-US" w:eastAsia="zh-CN"/>
              </w:rPr>
              <w:t xml:space="preserve">115万</w:t>
            </w:r>
            <w:r>
              <w:rPr>
                <w:rFonts w:hint="eastAsia" w:ascii="宋体" w:hAnsi="宋体" w:eastAsia="宋体" w:cs="宋体"/>
                <w:sz w:val="24"/>
              </w:rPr>
              <w:t xml:space="preserve">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15.1</w:t>
            </w:r>
            <w:r/>
          </w:p>
          <w:p>
            <w:pPr>
              <w:jc w:val="center"/>
              <w:rPr>
                <w:rFonts w:hint="eastAsia" w:ascii="宋体" w:hAnsi="宋体" w:eastAsia="宋体" w:cs="宋体"/>
                <w:sz w:val="24"/>
              </w:rPr>
            </w:pPr>
            <w:r>
              <w:rPr>
                <w:rFonts w:hint="eastAsia" w:ascii="宋体" w:hAnsi="宋体" w:eastAsia="宋体" w:cs="宋体"/>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rPr>
              <w:t xml:space="preserve">并通过“苏采云”系统重新下载更正（澄清）后的采购文件（后缀名为“.kedt”），离线编制投标文件，</w:t>
            </w:r>
            <w:r>
              <w:rPr>
                <w:rFonts w:hint="eastAsia" w:ascii="宋体" w:hAnsi="宋体" w:eastAsia="宋体"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sz w:val="24"/>
              </w:rP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rPr>
              <w:t xml:space="preserve">发布本项目的“</w:t>
            </w:r>
            <w:r>
              <w:rPr>
                <w:rFonts w:hint="eastAsia" w:ascii="宋体" w:hAnsi="宋体" w:eastAsia="宋体" w:cs="宋体"/>
                <w:sz w:val="24"/>
              </w:rPr>
              <w:t xml:space="preserve">终止公告</w:t>
            </w:r>
            <w:r>
              <w:rPr>
                <w:rFonts w:hint="eastAsia" w:ascii="宋体" w:hAnsi="宋体" w:eastAsia="宋体" w:cs="宋体"/>
                <w:bCs/>
                <w:sz w:val="24"/>
              </w:rPr>
              <w:t xml:space="preserve">”后采购代理机构已尽通知义务。敬请各潜在投标人关注本项目的“</w:t>
            </w:r>
            <w:r>
              <w:rPr>
                <w:rFonts w:hint="eastAsia" w:ascii="宋体" w:hAnsi="宋体" w:eastAsia="宋体" w:cs="宋体"/>
                <w:sz w:val="24"/>
              </w:rPr>
              <w:t xml:space="preserve">终止公告</w:t>
            </w:r>
            <w:r>
              <w:rPr>
                <w:rFonts w:hint="eastAsia" w:ascii="宋体" w:hAnsi="宋体" w:eastAsia="宋体" w:cs="宋体"/>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sz w:val="24"/>
              </w:rPr>
            </w:pPr>
            <w:r>
              <w:rPr>
                <w:rFonts w:hint="eastAsia" w:ascii="宋体" w:hAnsi="宋体" w:eastAsia="宋体" w:cs="宋体"/>
                <w:bCs/>
                <w:sz w:val="24"/>
              </w:rPr>
              <w:t xml:space="preserve">一、</w:t>
            </w:r>
            <w:r>
              <w:rPr>
                <w:rFonts w:hint="eastAsia" w:ascii="宋体" w:hAnsi="宋体" w:eastAsia="宋体" w:cs="宋体"/>
                <w:sz w:val="24"/>
              </w:rPr>
              <w:t xml:space="preserve">由采购人查询信用信息。</w:t>
            </w:r>
            <w:r/>
          </w:p>
          <w:p>
            <w:pPr>
              <w:ind w:firstLine="480"/>
              <w:rPr>
                <w:rFonts w:hint="eastAsia" w:ascii="宋体" w:hAnsi="宋体" w:eastAsia="宋体" w:cs="宋体"/>
                <w:sz w:val="24"/>
              </w:rPr>
            </w:pPr>
            <w:r>
              <w:rPr>
                <w:rFonts w:hint="eastAsia" w:ascii="宋体" w:hAnsi="宋体" w:eastAsia="宋体" w:cs="宋体"/>
                <w:sz w:val="24"/>
              </w:rPr>
              <w:t xml:space="preserve">二、查询渠道包括：</w:t>
            </w:r>
            <w:r/>
          </w:p>
          <w:p>
            <w:pPr>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     3.</w:t>
            </w:r>
            <w:r>
              <w:rPr>
                <w:rFonts w:hint="eastAsia" w:ascii="宋体" w:hAnsi="宋体" w:eastAsia="宋体" w:cs="宋体"/>
                <w:sz w:val="24"/>
              </w:rPr>
              <w:t xml:space="preserve">“信用江苏”网（http://credit.jiangsu.gov.cn/）</w:t>
            </w:r>
            <w:r>
              <w:rPr>
                <w:rFonts w:hint="eastAsia" w:ascii="宋体" w:hAnsi="宋体" w:eastAsia="宋体" w:cs="宋体"/>
                <w:bCs/>
                <w:sz w:val="24"/>
              </w:rPr>
              <w:t xml:space="preserve">；</w:t>
            </w:r>
            <w:r/>
          </w:p>
          <w:p>
            <w:pPr>
              <w:ind w:firstLine="600"/>
              <w:rPr>
                <w:rFonts w:hint="eastAsia" w:ascii="宋体" w:hAnsi="宋体" w:eastAsia="宋体" w:cs="宋体"/>
                <w:bCs/>
                <w:sz w:val="24"/>
              </w:rPr>
            </w:pPr>
            <w:r>
              <w:rPr>
                <w:rFonts w:hint="eastAsia" w:ascii="宋体" w:hAnsi="宋体" w:eastAsia="宋体" w:cs="宋体"/>
                <w:sz w:val="24"/>
              </w:rPr>
              <w:t xml:space="preserve">4.“信用徐州”网（</w:t>
            </w:r>
            <w:r>
              <w:rPr>
                <w:rFonts w:hint="eastAsia" w:ascii="宋体" w:hAnsi="宋体" w:eastAsia="宋体" w:cs="宋体"/>
                <w:bCs/>
                <w:sz w:val="24"/>
              </w:rPr>
              <w:t xml:space="preserve">www.xuzhoucredit.gov.cn/</w:t>
            </w:r>
            <w:r>
              <w:rPr>
                <w:rFonts w:hint="eastAsia" w:ascii="宋体" w:hAnsi="宋体" w:eastAsia="宋体" w:cs="宋体"/>
                <w:sz w:val="24"/>
              </w:rPr>
              <w:t xml:space="preserve">）。</w:t>
            </w:r>
            <w:r/>
          </w:p>
          <w:p>
            <w:pPr>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ind w:firstLine="480"/>
              <w:rPr>
                <w:rFonts w:hint="eastAsia" w:ascii="宋体" w:hAnsi="宋体" w:eastAsia="宋体" w:cs="宋体"/>
                <w:strike/>
                <w:sz w:val="24"/>
              </w:rPr>
            </w:pPr>
            <w:r>
              <w:rPr>
                <w:rFonts w:hint="eastAsia" w:ascii="宋体" w:hAnsi="宋体" w:eastAsia="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w:t>
            </w:r>
            <w:bookmarkStart w:id="2" w:name="_Hlt91509263"/>
            <w:r/>
            <w:bookmarkStart w:id="3" w:name="_Hlt91509264"/>
            <w:r>
              <w:rPr>
                <w:rFonts w:hint="eastAsia" w:ascii="宋体" w:hAnsi="宋体" w:eastAsia="宋体" w:cs="宋体"/>
                <w:sz w:val="24"/>
              </w:rPr>
              <w:t xml:space="preserve">z</w:t>
            </w:r>
            <w:bookmarkEnd w:id="2"/>
            <w:r/>
            <w:bookmarkEnd w:id="3"/>
            <w:r>
              <w:rPr>
                <w:rFonts w:hint="eastAsia" w:ascii="宋体" w:hAnsi="宋体" w:eastAsia="宋体" w:cs="宋体"/>
                <w:sz w:val="24"/>
              </w:rPr>
              <w:t xml:space="preserve">t.cn/</w:t>
            </w:r>
            <w:r>
              <w:rPr>
                <w:rFonts w:hint="eastAsia" w:ascii="宋体" w:hAnsi="宋体" w:eastAsia="宋体" w:cs="宋体"/>
                <w:sz w:val="24"/>
              </w:rPr>
              <w:fldChar w:fldCharType="end"/>
            </w:r>
            <w:r>
              <w:rPr>
                <w:rFonts w:hint="eastAsia" w:ascii="宋体" w:hAnsi="宋体" w:eastAsia="宋体" w:cs="宋体"/>
                <w:sz w:val="24"/>
              </w:rPr>
              <w:t xml:space="preserve">）--已报名项目--报名详情页面内相应链接进行下载；“苏采云”系统供应商操作手册的获取及操作中的技术问题可通过“苏采云”系统中的客服热线进行咨询。</w:t>
            </w:r>
            <w:r/>
          </w:p>
          <w:p>
            <w:pPr>
              <w:ind w:firstLine="480"/>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w:t>
            </w:r>
            <w:r>
              <w:rPr>
                <w:rFonts w:hint="eastAsia" w:ascii="宋体" w:hAnsi="宋体" w:eastAsia="宋体" w:cs="宋体"/>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Pr>
            <w:r>
              <w:rPr>
                <w:rFonts w:hint="eastAsia" w:ascii="宋体" w:hAnsi="宋体" w:eastAsia="宋体" w:cs="宋体"/>
                <w:b/>
                <w:sz w:val="24"/>
              </w:rPr>
              <w:t xml:space="preserve">一、基本目录</w:t>
            </w:r>
            <w:r/>
          </w:p>
          <w:p>
            <w:pPr>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widowControl/>
              <w:rPr>
                <w:rFonts w:hint="eastAsia" w:ascii="宋体" w:hAnsi="宋体" w:eastAsia="宋体" w:cs="宋体"/>
                <w:sz w:val="24"/>
              </w:rPr>
              <w:outlineLvl w:val="2"/>
            </w:pPr>
            <w:r>
              <w:rPr>
                <w:rFonts w:hint="eastAsia" w:ascii="宋体" w:hAnsi="宋体" w:eastAsia="宋体" w:cs="宋体"/>
                <w:sz w:val="24"/>
              </w:rPr>
              <w:t xml:space="preserve">2.《授权委托书》（提供扫描件，格式见招标文件第七章《投标文件相关格式》）；</w:t>
            </w:r>
            <w:r/>
          </w:p>
          <w:p>
            <w:pPr>
              <w:pStyle w:val="714"/>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二、资格条件</w:t>
            </w:r>
            <w:r>
              <w:rPr>
                <w:rFonts w:hint="eastAsia" w:ascii="宋体" w:hAnsi="宋体" w:eastAsia="宋体" w:cs="宋体"/>
                <w:sz w:val="24"/>
              </w:rPr>
              <w:t xml:space="preserve">（</w:t>
            </w:r>
            <w:r>
              <w:rPr>
                <w:rFonts w:hint="eastAsia" w:ascii="宋体" w:hAnsi="宋体" w:eastAsia="宋体" w:cs="宋体"/>
                <w:b/>
                <w:sz w:val="24"/>
              </w:rPr>
              <w:t xml:space="preserve">1～7项必须提供，否则投标无效</w:t>
            </w:r>
            <w:r>
              <w:rPr>
                <w:rFonts w:hint="eastAsia" w:ascii="宋体" w:hAnsi="宋体" w:eastAsia="宋体" w:cs="宋体"/>
                <w:sz w:val="24"/>
              </w:rPr>
              <w:t xml:space="preserve">）</w:t>
            </w:r>
            <w:r/>
          </w:p>
          <w:p>
            <w:pPr>
              <w:pStyle w:val="714"/>
              <w:rPr>
                <w:rFonts w:hint="eastAsia" w:ascii="宋体" w:hAnsi="宋体" w:eastAsia="宋体" w:cs="宋体"/>
                <w:sz w:val="24"/>
                <w:szCs w:val="24"/>
              </w:rPr>
            </w:pPr>
            <w:r>
              <w:rPr>
                <w:rFonts w:hint="eastAsia" w:ascii="宋体" w:hAnsi="宋体" w:eastAsia="宋体" w:cs="宋体"/>
                <w:sz w:val="24"/>
                <w:szCs w:val="24"/>
              </w:rPr>
              <w:t xml:space="preserve">1.投标人合法有效的法人或者其他组织的营业执照等证明文件，自然人的身份证明。以上证明文件提供扫描件。</w:t>
            </w:r>
            <w:r/>
          </w:p>
          <w:p>
            <w:pPr>
              <w:pStyle w:val="714"/>
              <w:rPr>
                <w:rFonts w:hint="eastAsia" w:ascii="宋体" w:hAnsi="宋体" w:eastAsia="宋体" w:cs="宋体"/>
                <w:sz w:val="24"/>
                <w:szCs w:val="24"/>
              </w:rPr>
            </w:pPr>
            <w:r>
              <w:rPr>
                <w:rFonts w:hint="eastAsia" w:ascii="宋体" w:hAnsi="宋体" w:eastAsia="宋体" w:cs="宋体"/>
                <w:sz w:val="24"/>
                <w:szCs w:val="24"/>
              </w:rPr>
              <w:t xml:space="preserve">2.财务状况报告，至少提供：</w:t>
            </w:r>
            <w:r/>
          </w:p>
          <w:p>
            <w:pPr>
              <w:pStyle w:val="714"/>
              <w:rPr>
                <w:rFonts w:hint="eastAsia" w:ascii="宋体" w:hAnsi="宋体" w:eastAsia="宋体" w:cs="宋体"/>
                <w:sz w:val="24"/>
                <w:szCs w:val="24"/>
              </w:rPr>
            </w:pPr>
            <w:r>
              <w:rPr>
                <w:rFonts w:hint="eastAsia" w:ascii="宋体" w:hAnsi="宋体" w:eastAsia="宋体" w:cs="宋体"/>
                <w:sz w:val="24"/>
                <w:szCs w:val="24"/>
              </w:rPr>
              <w:t xml:space="preserve">（1）供应商的本项目提交响应文件截止时间前6个月内任一时间截点的资产负债表的扫描件1份；</w:t>
            </w:r>
            <w:r/>
          </w:p>
          <w:p>
            <w:pPr>
              <w:pStyle w:val="714"/>
              <w:rPr>
                <w:rFonts w:hint="eastAsia" w:ascii="宋体" w:hAnsi="宋体" w:eastAsia="宋体" w:cs="宋体"/>
                <w:sz w:val="24"/>
                <w:szCs w:val="24"/>
              </w:rPr>
            </w:pPr>
            <w:r>
              <w:rPr>
                <w:rFonts w:hint="eastAsia" w:ascii="宋体" w:hAnsi="宋体" w:eastAsia="宋体" w:cs="宋体"/>
                <w:sz w:val="24"/>
                <w:szCs w:val="24"/>
              </w:rPr>
              <w:t xml:space="preserve">（2）供应商的本项目提交响应文件截止时间前6个月内任何1月（不含提交响应文件截止时间当月）利润表月报表的扫描件1份。</w:t>
            </w:r>
            <w:r/>
          </w:p>
          <w:p>
            <w:pPr>
              <w:pStyle w:val="714"/>
              <w:rPr>
                <w:rFonts w:hint="eastAsia" w:ascii="宋体" w:hAnsi="宋体" w:eastAsia="宋体" w:cs="宋体"/>
                <w:sz w:val="24"/>
                <w:szCs w:val="24"/>
              </w:rPr>
            </w:pPr>
            <w:r>
              <w:rPr>
                <w:rFonts w:hint="eastAsia" w:ascii="宋体" w:hAnsi="宋体" w:eastAsia="宋体" w:cs="宋体"/>
                <w:sz w:val="24"/>
                <w:szCs w:val="24"/>
              </w:rPr>
              <w:t xml:space="preserve">3.投标人依法缴纳税收和社会保障资金的记录：</w:t>
            </w:r>
            <w:r/>
          </w:p>
          <w:p>
            <w:pPr>
              <w:pStyle w:val="714"/>
              <w:rPr>
                <w:rFonts w:hint="eastAsia" w:ascii="宋体" w:hAnsi="宋体" w:eastAsia="宋体" w:cs="宋体"/>
                <w:sz w:val="24"/>
                <w:szCs w:val="24"/>
              </w:rPr>
            </w:pPr>
            <w:r>
              <w:rPr>
                <w:rFonts w:hint="eastAsia" w:ascii="宋体" w:hAnsi="宋体" w:eastAsia="宋体" w:cs="宋体"/>
                <w:sz w:val="24"/>
                <w:szCs w:val="24"/>
              </w:rPr>
              <w:t xml:space="preserve">（1）本项目开标时间前6个月内任何1月的依法缴纳税收的相关材料的扫描件；</w:t>
            </w:r>
            <w:r/>
          </w:p>
          <w:p>
            <w:pPr>
              <w:pStyle w:val="714"/>
              <w:rPr>
                <w:rFonts w:hint="eastAsia" w:ascii="宋体" w:hAnsi="宋体" w:eastAsia="宋体" w:cs="宋体"/>
                <w:sz w:val="24"/>
                <w:szCs w:val="24"/>
              </w:rPr>
            </w:pPr>
            <w:r>
              <w:rPr>
                <w:rFonts w:hint="eastAsia" w:ascii="宋体" w:hAnsi="宋体" w:eastAsia="宋体" w:cs="宋体"/>
                <w:sz w:val="24"/>
                <w:szCs w:val="24"/>
              </w:rPr>
              <w:t xml:space="preserve">（2）本项目开标时间前6个月内任何1月的依法缴纳社会保障资金的相关材料的扫描件。</w:t>
            </w:r>
            <w:r/>
          </w:p>
          <w:p>
            <w:pPr>
              <w:pStyle w:val="714"/>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4.具备履行合同所必需的设备和专业技术能力的证明材料，即投标文件中提供《</w:t>
            </w:r>
            <w:bookmarkStart w:id="4" w:name="_Toc515551102"/>
            <w:r>
              <w:rPr>
                <w:rFonts w:hint="eastAsia" w:ascii="宋体" w:hAnsi="宋体" w:eastAsia="宋体" w:cs="宋体"/>
                <w:sz w:val="24"/>
                <w:szCs w:val="24"/>
              </w:rPr>
              <w:t xml:space="preserve">具备履行合同所必需的设备和专业技术能力的书面声明</w:t>
            </w:r>
            <w:bookmarkEnd w:id="4"/>
            <w:r>
              <w:rPr>
                <w:rFonts w:hint="eastAsia" w:ascii="宋体" w:hAnsi="宋体" w:eastAsia="宋体" w:cs="宋体"/>
                <w:sz w:val="24"/>
                <w:szCs w:val="24"/>
              </w:rPr>
              <w:t xml:space="preserve">》（加盖电子签章，格式见招标文件第七章《投标文件相关格式》）。</w:t>
            </w:r>
            <w:r/>
          </w:p>
          <w:p>
            <w:pPr>
              <w:pStyle w:val="714"/>
              <w:rPr>
                <w:rFonts w:hint="eastAsia" w:ascii="宋体" w:hAnsi="宋体" w:eastAsia="宋体" w:cs="宋体"/>
                <w:sz w:val="24"/>
                <w:szCs w:val="24"/>
              </w:rPr>
            </w:pPr>
            <w:r>
              <w:rPr>
                <w:rFonts w:hint="eastAsia" w:ascii="宋体" w:hAnsi="宋体" w:eastAsia="宋体" w:cs="宋体"/>
                <w:sz w:val="24"/>
                <w:szCs w:val="24"/>
              </w:rPr>
              <w:t xml:space="preserve">5.投标人参加政府采购活动前3年内在经营活动中没有重大违法记录的书面声明（加盖电子签章，格式见招标文件第七章《投标文件相关格式》）。</w:t>
            </w:r>
            <w:r/>
          </w:p>
          <w:p>
            <w:pPr>
              <w:pStyle w:val="714"/>
              <w:rPr>
                <w:rFonts w:hint="eastAsia" w:ascii="宋体" w:hAnsi="宋体" w:eastAsia="宋体" w:cs="宋体"/>
                <w:sz w:val="24"/>
                <w:szCs w:val="24"/>
              </w:rPr>
            </w:pPr>
            <w:r>
              <w:rPr>
                <w:rFonts w:hint="eastAsia" w:ascii="宋体" w:hAnsi="宋体" w:eastAsia="宋体" w:cs="宋体"/>
                <w:sz w:val="24"/>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pStyle w:val="714"/>
              <w:rPr>
                <w:rFonts w:hint="eastAsia" w:ascii="宋体" w:hAnsi="宋体" w:eastAsia="宋体" w:cs="宋体"/>
                <w:sz w:val="24"/>
                <w:szCs w:val="24"/>
              </w:rPr>
            </w:pPr>
            <w:r>
              <w:rPr>
                <w:rFonts w:hint="eastAsia" w:ascii="宋体" w:hAnsi="宋体" w:eastAsia="宋体" w:cs="宋体"/>
                <w:sz w:val="24"/>
                <w:szCs w:val="24"/>
              </w:rPr>
              <w:t xml:space="preserve">7.投标人不是为本采购项目提供整体设计、规范编制或者项目管理、监理、检测等服务的供应商的书面声明。（加盖电子签章，格式见招标文件第七章《投标文件相关格式》）。</w:t>
            </w:r>
            <w:r/>
          </w:p>
          <w:p>
            <w:pPr>
              <w:pStyle w:val="714"/>
              <w:rPr>
                <w:rFonts w:hint="eastAsia" w:ascii="宋体" w:hAnsi="宋体" w:eastAsia="宋体" w:cs="宋体"/>
                <w:sz w:val="24"/>
                <w:szCs w:val="24"/>
              </w:rPr>
            </w:pPr>
            <w:r>
              <w:rPr>
                <w:rFonts w:hint="eastAsia" w:ascii="宋体" w:hAnsi="宋体" w:eastAsia="宋体" w:cs="宋体"/>
                <w:sz w:val="24"/>
                <w:szCs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pStyle w:val="714"/>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三、符合条件</w:t>
            </w:r>
            <w:r>
              <w:rPr>
                <w:rFonts w:hint="eastAsia" w:ascii="宋体" w:hAnsi="宋体" w:eastAsia="宋体" w:cs="宋体"/>
                <w:sz w:val="24"/>
              </w:rPr>
              <w:t xml:space="preserve">（</w:t>
            </w:r>
            <w:r>
              <w:rPr>
                <w:rFonts w:hint="eastAsia" w:ascii="宋体" w:hAnsi="宋体" w:eastAsia="宋体" w:cs="宋体"/>
                <w:b/>
                <w:sz w:val="24"/>
              </w:rPr>
              <w:t xml:space="preserve">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1.《分项价格表》（加盖电子签章，格式见招标文件第七章《投标文件相关格式》。）；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2.《投标函》（加盖电子签章，格式见招标文件第七章《投标文件相关格式》。）；</w:t>
            </w:r>
            <w:r/>
          </w:p>
          <w:p>
            <w:pPr>
              <w:rPr>
                <w:rFonts w:hint="eastAsia" w:ascii="宋体" w:hAnsi="宋体" w:eastAsia="宋体" w:cs="宋体"/>
                <w:sz w:val="24"/>
                <w:szCs w:val="24"/>
                <w:highlight w:val="none"/>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.《偏离表》（加盖电子签章，格式见招标文件第七章《投标文件相关格式》。）；</w:t>
            </w:r>
            <w:r/>
          </w:p>
          <w:p>
            <w:pPr>
              <w:rPr>
                <w:rFonts w:hint="eastAsia" w:ascii="宋体" w:hAnsi="宋体" w:eastAsia="宋体" w:cs="宋体"/>
                <w:sz w:val="24"/>
                <w:szCs w:val="24"/>
              </w:rPr>
            </w:pPr>
            <w:r>
              <w:rPr>
                <w:rFonts w:hint="eastAsia" w:ascii="宋体" w:hAnsi="宋体" w:eastAsia="宋体" w:cs="宋体"/>
                <w:sz w:val="24"/>
                <w:highlight w:val="none"/>
              </w:rPr>
              <w:t xml:space="preserve">4.《授权委托书》（加盖电子签章，格式见招标文件第七章《投标文件相关格式》）；</w:t>
            </w:r>
            <w:r/>
          </w:p>
          <w:p>
            <w:pPr>
              <w:rPr>
                <w:rFonts w:hint="eastAsia" w:ascii="宋体" w:hAnsi="宋体" w:eastAsia="宋体" w:cs="宋体"/>
              </w:rPr>
            </w:pPr>
            <w:r>
              <w:rPr>
                <w:rFonts w:hint="eastAsia" w:ascii="宋体" w:hAnsi="宋体" w:eastAsia="宋体" w:cs="宋体"/>
              </w:rPr>
            </w:r>
            <w:r/>
          </w:p>
          <w:p>
            <w:pPr>
              <w:pStyle w:val="714"/>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五、价格折扣文件格式</w:t>
            </w:r>
            <w:r/>
          </w:p>
          <w:p>
            <w:pPr>
              <w:rPr>
                <w:rFonts w:hint="eastAsia" w:ascii="宋体" w:hAnsi="宋体" w:eastAsia="宋体" w:cs="宋体"/>
                <w:sz w:val="24"/>
                <w:szCs w:val="24"/>
              </w:rPr>
            </w:pPr>
            <w:r>
              <w:rPr>
                <w:rFonts w:hint="eastAsia" w:ascii="宋体" w:hAnsi="宋体" w:eastAsia="宋体" w:cs="宋体"/>
                <w:sz w:val="24"/>
                <w:szCs w:val="24"/>
              </w:rPr>
              <w:t xml:space="preserve">（一）企业报价折扣证明：</w:t>
            </w:r>
            <w:r/>
          </w:p>
          <w:p>
            <w:pPr>
              <w:rPr>
                <w:rFonts w:hint="eastAsia" w:ascii="宋体" w:hAnsi="宋体" w:eastAsia="宋体" w:cs="宋体"/>
                <w:sz w:val="24"/>
                <w:szCs w:val="24"/>
              </w:rPr>
            </w:pPr>
            <w:r>
              <w:rPr>
                <w:rFonts w:hint="eastAsia" w:ascii="宋体" w:hAnsi="宋体" w:eastAsia="宋体" w:cs="宋体"/>
                <w:sz w:val="24"/>
                <w:szCs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sz w:val="24"/>
                <w:szCs w:val="24"/>
              </w:rPr>
            </w:pPr>
            <w:r>
              <w:rPr>
                <w:rFonts w:hint="eastAsia" w:ascii="宋体" w:hAnsi="宋体" w:eastAsia="宋体" w:cs="宋体"/>
                <w:sz w:val="24"/>
                <w:szCs w:val="24"/>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sz w:val="24"/>
                <w:szCs w:val="24"/>
              </w:rPr>
            </w:pPr>
            <w:r>
              <w:rPr>
                <w:rFonts w:hint="eastAsia" w:ascii="宋体" w:hAnsi="宋体" w:eastAsia="宋体" w:cs="宋体"/>
                <w:sz w:val="24"/>
                <w:szCs w:val="24"/>
              </w:rPr>
              <w:t xml:space="preserve">2.投标人为监狱企业的，提供省级以上监狱管理局、戒毒管理局（含新疆生产建设兵团）出具的属于监狱企业的证明文件的扫描件。</w:t>
            </w:r>
            <w:r/>
          </w:p>
          <w:p>
            <w:pPr>
              <w:rPr>
                <w:rFonts w:hint="eastAsia" w:ascii="宋体" w:hAnsi="宋体" w:eastAsia="宋体" w:cs="宋体"/>
                <w:sz w:val="24"/>
                <w:szCs w:val="24"/>
              </w:rPr>
            </w:pPr>
            <w:r>
              <w:rPr>
                <w:rFonts w:hint="eastAsia" w:ascii="宋体" w:hAnsi="宋体" w:eastAsia="宋体" w:cs="宋体"/>
                <w:sz w:val="24"/>
                <w:szCs w:val="24"/>
              </w:rPr>
              <w:t xml:space="preserve">注：具体以《财政部司法部关于政府采购支持监狱企业发展有关问题的通知》（财库〔2014〕68号）的规定为准。</w:t>
            </w:r>
            <w:r/>
          </w:p>
          <w:p>
            <w:pPr>
              <w:rPr>
                <w:rFonts w:hint="eastAsia" w:ascii="宋体" w:hAnsi="宋体" w:eastAsia="宋体" w:cs="宋体"/>
                <w:sz w:val="24"/>
                <w:szCs w:val="24"/>
              </w:rPr>
            </w:pPr>
            <w:r>
              <w:rPr>
                <w:rFonts w:hint="eastAsia" w:ascii="宋体" w:hAnsi="宋体" w:eastAsia="宋体" w:cs="宋体"/>
                <w:sz w:val="24"/>
                <w:szCs w:val="24"/>
              </w:rPr>
              <w:t xml:space="preserve">3.投标人为享受政府采购支持政策的残疾人福利性单位的，提供《残疾人福利性单位声明函》（加盖电子签章，格式见招标文件第七章《投标文件相关格式》）。</w:t>
            </w:r>
            <w:r/>
          </w:p>
          <w:p>
            <w:pPr>
              <w:rPr>
                <w:rFonts w:hint="eastAsia"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rPr>
                <w:rFonts w:hint="eastAsia" w:ascii="宋体" w:hAnsi="宋体" w:eastAsia="宋体" w:cs="宋体"/>
                <w:sz w:val="24"/>
                <w:szCs w:val="24"/>
              </w:rPr>
            </w:pPr>
            <w:r>
              <w:rPr>
                <w:rFonts w:hint="eastAsia" w:ascii="宋体" w:hAnsi="宋体" w:eastAsia="宋体" w:cs="宋体"/>
                <w:sz w:val="24"/>
                <w:szCs w:val="24"/>
              </w:rPr>
              <w:t xml:space="preserve">　　①安置的残疾人占本单位在职职工人数的比例不低于25%（含25%），并且安置的残疾人人数不少于10人（含10人）；</w:t>
            </w:r>
            <w:r/>
          </w:p>
          <w:p>
            <w:pPr>
              <w:rPr>
                <w:rFonts w:hint="eastAsia" w:ascii="宋体" w:hAnsi="宋体" w:eastAsia="宋体" w:cs="宋体"/>
                <w:sz w:val="24"/>
                <w:szCs w:val="24"/>
              </w:rPr>
            </w:pPr>
            <w:r>
              <w:rPr>
                <w:rFonts w:hint="eastAsia" w:ascii="宋体" w:hAnsi="宋体" w:eastAsia="宋体" w:cs="宋体"/>
                <w:sz w:val="24"/>
                <w:szCs w:val="24"/>
              </w:rPr>
              <w:t xml:space="preserve">　　②依法与安置的每位残疾人签订了一年以上（含一年）的劳动合同或服务协议；</w:t>
            </w:r>
            <w:r/>
          </w:p>
          <w:p>
            <w:pPr>
              <w:rPr>
                <w:rFonts w:hint="eastAsia" w:ascii="宋体" w:hAnsi="宋体" w:eastAsia="宋体" w:cs="宋体"/>
                <w:sz w:val="24"/>
                <w:szCs w:val="24"/>
              </w:rPr>
            </w:pPr>
            <w:r>
              <w:rPr>
                <w:rFonts w:hint="eastAsia" w:ascii="宋体" w:hAnsi="宋体" w:eastAsia="宋体" w:cs="宋体"/>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sz w:val="24"/>
                <w:szCs w:val="24"/>
              </w:rPr>
            </w:pPr>
            <w:r>
              <w:rPr>
                <w:rFonts w:hint="eastAsia" w:ascii="宋体" w:hAnsi="宋体" w:eastAsia="宋体" w:cs="宋体"/>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sz w:val="24"/>
                <w:szCs w:val="24"/>
              </w:rPr>
            </w:pPr>
            <w:r>
              <w:rPr>
                <w:rFonts w:hint="eastAsia" w:ascii="宋体" w:hAnsi="宋体" w:eastAsia="宋体" w:cs="宋体"/>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sz w:val="24"/>
                <w:szCs w:val="24"/>
              </w:rPr>
            </w:pPr>
            <w:r>
              <w:rPr>
                <w:rFonts w:hint="eastAsia" w:ascii="宋体" w:hAnsi="宋体" w:eastAsia="宋体" w:cs="宋体"/>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sz w:val="24"/>
                <w:szCs w:val="24"/>
              </w:rPr>
            </w:pPr>
            <w:r>
              <w:rPr>
                <w:rFonts w:hint="eastAsia" w:ascii="宋体" w:hAnsi="宋体" w:eastAsia="宋体" w:cs="宋体"/>
                <w:sz w:val="24"/>
                <w:szCs w:val="24"/>
              </w:rPr>
              <w:t xml:space="preserve">具体以《三部门联合发布关于促进残疾人就业政府采购政策的通知》（财库〔2017〕141号）规定为准。</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t xml:space="preserve">注：</w:t>
            </w:r>
            <w:r/>
          </w:p>
          <w:p>
            <w:pPr>
              <w:rPr>
                <w:rFonts w:hint="eastAsia" w:ascii="宋体" w:hAnsi="宋体" w:eastAsia="宋体" w:cs="宋体"/>
                <w:sz w:val="24"/>
              </w:rPr>
            </w:pPr>
            <w:r>
              <w:rPr>
                <w:rFonts w:hint="eastAsia" w:ascii="宋体" w:hAnsi="宋体" w:eastAsia="宋体" w:cs="宋体"/>
                <w:sz w:val="24"/>
              </w:rPr>
              <w:t xml:space="preserve">1.投标人应对以上文件的合法性、真实性负责。</w:t>
            </w:r>
            <w:r/>
          </w:p>
          <w:p>
            <w:pPr>
              <w:rPr>
                <w:rFonts w:hint="eastAsia" w:ascii="宋体" w:hAnsi="宋体" w:eastAsia="宋体" w:cs="宋体"/>
              </w:rPr>
            </w:pPr>
            <w:r>
              <w:rPr>
                <w:rFonts w:hint="eastAsia" w:ascii="宋体" w:hAnsi="宋体" w:eastAsia="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ind w:firstLine="480"/>
              <w:jc w:val="left"/>
              <w:widowControl/>
              <w:rPr>
                <w:rFonts w:hint="eastAsia" w:ascii="宋体" w:hAnsi="宋体" w:eastAsia="宋体" w:cs="宋体"/>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rPr>
              <w:t xml:space="preserve">150M</w:t>
            </w:r>
            <w:r>
              <w:rPr>
                <w:rFonts w:hint="eastAsia" w:ascii="宋体" w:hAnsi="宋体" w:eastAsia="宋体"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投标文件的密封、签署、盖章要求：</w:t>
            </w:r>
            <w:r/>
          </w:p>
          <w:p>
            <w:pPr>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jc w:val="left"/>
              <w:widowControl/>
              <w:rPr>
                <w:rFonts w:hint="eastAsia" w:ascii="宋体" w:hAnsi="宋体" w:eastAsia="宋体" w:cs="宋体"/>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74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74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74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Cs/>
                <w:sz w:val="24"/>
              </w:rPr>
              <w:t xml:space="preserve">不接受超过</w:t>
            </w:r>
            <w:r>
              <w:rPr>
                <w:rFonts w:hint="eastAsia" w:ascii="宋体" w:hAnsi="宋体" w:cs="宋体"/>
                <w:bCs/>
                <w:sz w:val="24"/>
                <w:lang w:val="en-US" w:eastAsia="zh-CN"/>
              </w:rPr>
              <w:t xml:space="preserve">115万</w:t>
            </w:r>
            <w:r>
              <w:rPr>
                <w:rFonts w:hint="eastAsia" w:ascii="宋体" w:hAnsi="宋体" w:eastAsia="宋体" w:cs="宋体"/>
                <w:bCs/>
                <w:sz w:val="24"/>
              </w:rPr>
              <w:t xml:space="preserve">元人民币（</w:t>
            </w:r>
            <w:r>
              <w:rPr>
                <w:rFonts w:hint="eastAsia" w:ascii="宋体" w:hAnsi="宋体" w:eastAsia="宋体" w:cs="宋体"/>
                <w:sz w:val="24"/>
              </w:rPr>
              <w:t xml:space="preserve">最高限价)</w:t>
            </w:r>
            <w:r>
              <w:rPr>
                <w:rFonts w:hint="eastAsia" w:ascii="宋体" w:hAnsi="宋体" w:eastAsia="宋体" w:cs="宋体"/>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lang w:eastAsia="zh-CN"/>
              </w:rPr>
            </w:pPr>
            <w:r>
              <w:rPr>
                <w:rFonts w:hint="eastAsia" w:ascii="宋体" w:hAnsi="宋体" w:eastAsia="宋体" w:cs="宋体"/>
                <w:sz w:val="24"/>
              </w:rPr>
              <w:t xml:space="preserve">投标截止时间：2026年</w:t>
            </w:r>
            <w:r>
              <w:rPr>
                <w:rFonts w:hint="eastAsia" w:ascii="宋体" w:hAnsi="宋体" w:cs="宋体"/>
                <w:sz w:val="24"/>
                <w:lang w:eastAsia="zh-CN"/>
              </w:rPr>
              <w:t xml:space="preserve">6月25日10:00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投标文件的递交：</w:t>
            </w:r>
            <w:r/>
          </w:p>
          <w:p>
            <w:pPr>
              <w:rPr>
                <w:rFonts w:hint="eastAsia" w:ascii="宋体" w:hAnsi="宋体" w:eastAsia="宋体" w:cs="宋体"/>
                <w:sz w:val="24"/>
                <w:lang w:eastAsia="zh-CN"/>
              </w:rPr>
            </w:pPr>
            <w:r>
              <w:rPr>
                <w:rFonts w:hint="eastAsia" w:ascii="宋体" w:hAnsi="宋体" w:eastAsia="宋体" w:cs="宋体"/>
                <w:sz w:val="24"/>
              </w:rPr>
              <w:t xml:space="preserve">1.投标文件递交截止时间：2026年</w:t>
            </w:r>
            <w:r>
              <w:rPr>
                <w:rFonts w:hint="eastAsia" w:ascii="宋体" w:hAnsi="宋体" w:cs="宋体"/>
                <w:sz w:val="24"/>
                <w:lang w:eastAsia="zh-CN"/>
              </w:rPr>
              <w:t xml:space="preserve">6月25日10:00</w:t>
            </w:r>
            <w:r/>
          </w:p>
          <w:p>
            <w:pPr>
              <w:jc w:val="left"/>
              <w:widowControl/>
              <w:rPr>
                <w:rFonts w:hint="eastAsia" w:ascii="宋体" w:hAnsi="宋体" w:eastAsia="宋体" w:cs="宋体"/>
              </w:rPr>
            </w:pPr>
            <w:r>
              <w:rPr>
                <w:rFonts w:hint="eastAsia" w:ascii="宋体" w:hAnsi="宋体" w:eastAsia="宋体" w:cs="宋体"/>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报价相同的，招标文件规定的确定一个投标人参加评标的方式：由采购人确定。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评审得分相同的，招标文件规定的确定一个投标人获得中标人推荐资格的方式：由采购人确定。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开标时间及地点：</w:t>
            </w:r>
            <w:r/>
          </w:p>
          <w:p>
            <w:pPr>
              <w:jc w:val="left"/>
              <w:widowControl/>
              <w:rPr>
                <w:rFonts w:hint="eastAsia" w:ascii="宋体" w:hAnsi="宋体" w:eastAsia="宋体" w:cs="宋体"/>
                <w:sz w:val="24"/>
                <w:lang w:eastAsia="zh-CN"/>
              </w:rPr>
            </w:pPr>
            <w:r>
              <w:rPr>
                <w:rFonts w:hint="eastAsia" w:ascii="宋体" w:hAnsi="宋体" w:eastAsia="宋体" w:cs="宋体"/>
                <w:sz w:val="24"/>
              </w:rPr>
              <w:t xml:space="preserve">1.开标时间：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6月25日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jc w:val="left"/>
              <w:widowControl/>
              <w:rPr>
                <w:rFonts w:hint="eastAsia" w:ascii="宋体" w:hAnsi="宋体" w:eastAsia="宋体" w:cs="宋体"/>
                <w:sz w:val="24"/>
              </w:rPr>
            </w:pPr>
            <w:r>
              <w:rPr>
                <w:rFonts w:hint="eastAsia" w:ascii="宋体" w:hAnsi="宋体" w:eastAsia="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w:t>
            </w:r>
            <w:r>
              <w:rPr>
                <w:rFonts w:hint="eastAsia" w:ascii="宋体" w:hAnsi="宋体" w:eastAsia="宋体" w:cs="宋体"/>
                <w:sz w:val="24"/>
              </w:rPr>
              <w:t xml:space="preserve">，通过“苏采云”系统（使用“CA数字证书”）解密。解密时限：进入解密环节后，</w:t>
            </w:r>
            <w:r>
              <w:rPr>
                <w:rFonts w:hint="eastAsia" w:ascii="宋体" w:hAnsi="宋体" w:eastAsia="宋体" w:cs="宋体"/>
                <w:b/>
                <w:bCs/>
                <w:sz w:val="24"/>
              </w:rPr>
              <w:t xml:space="preserve">30分钟内。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“苏采云”系统生成开标记录并</w:t>
            </w:r>
            <w:r>
              <w:rPr>
                <w:rFonts w:hint="eastAsia" w:ascii="宋体" w:hAnsi="宋体" w:eastAsia="宋体" w:cs="宋体"/>
                <w:b/>
                <w:bCs/>
                <w:sz w:val="24"/>
              </w:rPr>
              <w:t xml:space="preserve">向社会公众公布后5分钟内</w:t>
            </w:r>
            <w:r>
              <w:rPr>
                <w:rFonts w:hint="eastAsia" w:ascii="宋体" w:hAnsi="宋体" w:eastAsia="宋体" w:cs="宋体"/>
                <w:sz w:val="24"/>
              </w:rPr>
              <w:t xml:space="preserve">，投标人通过“苏采云”系统（使用“CA数字证书”）</w:t>
            </w:r>
            <w:r>
              <w:rPr>
                <w:rFonts w:hint="eastAsia" w:ascii="宋体" w:hAnsi="宋体" w:eastAsia="宋体" w:cs="宋体"/>
                <w:b/>
                <w:bCs/>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8"/>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1.评标中需要投标人对投标文件进行澄清、说明或者补正的，应当通过“苏采云”系统（使用“CA数字证书”,加盖电子签章）交换数据电文。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评审（评标）委员会启动异常低价投标（响应）审查后，</w:t>
            </w:r>
            <w:r>
              <w:rPr>
                <w:rFonts w:hint="eastAsia" w:ascii="宋体" w:hAnsi="宋体" w:eastAsia="宋体" w:cs="宋体"/>
                <w:b/>
                <w:sz w:val="24"/>
              </w:rPr>
              <w:t xml:space="preserve">通过“苏采云”系统</w:t>
            </w:r>
            <w:r>
              <w:rPr>
                <w:rFonts w:hint="eastAsia" w:ascii="宋体" w:hAnsi="宋体" w:eastAsia="宋体" w:cs="宋体"/>
                <w:sz w:val="24"/>
              </w:rPr>
              <w:t xml:space="preserve">要求相关供应商在评审现场合理的时间内对投标（响应）价格作出解释，相关供应商</w:t>
            </w:r>
            <w:r>
              <w:rPr>
                <w:rFonts w:hint="eastAsia" w:ascii="宋体" w:hAnsi="宋体" w:eastAsia="宋体"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sz w:val="24"/>
              </w:rPr>
              <w:t xml:space="preserve">。</w:t>
            </w:r>
            <w:r/>
          </w:p>
          <w:p>
            <w:pPr>
              <w:ind w:firstLine="482"/>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中标候选人并列的，招标文件规定的确定中标人方式：</w:t>
            </w:r>
            <w:r/>
          </w:p>
          <w:p>
            <w:pPr>
              <w:jc w:val="left"/>
              <w:rPr>
                <w:rFonts w:hint="eastAsia" w:ascii="宋体" w:hAnsi="宋体" w:eastAsia="宋体" w:cs="宋体"/>
                <w:sz w:val="24"/>
              </w:rPr>
            </w:pPr>
            <w:r>
              <w:rPr>
                <w:rFonts w:hint="eastAsia" w:ascii="宋体" w:hAnsi="宋体" w:eastAsia="宋体" w:cs="宋体"/>
                <w:sz w:val="24"/>
              </w:rPr>
              <w:t xml:space="preserve">一、确定人：采购人。</w:t>
            </w:r>
            <w:r/>
          </w:p>
          <w:p>
            <w:pPr>
              <w:jc w:val="left"/>
              <w:rPr>
                <w:rFonts w:hint="eastAsia" w:ascii="宋体" w:hAnsi="宋体" w:eastAsia="宋体" w:cs="宋体"/>
                <w:sz w:val="24"/>
              </w:rPr>
            </w:pPr>
            <w:r>
              <w:rPr>
                <w:rFonts w:hint="eastAsia" w:ascii="宋体" w:hAnsi="宋体" w:eastAsia="宋体" w:cs="宋体"/>
                <w:sz w:val="24"/>
              </w:rPr>
              <w:t xml:space="preserve">二、确定中标人方式：</w:t>
            </w:r>
            <w:r/>
          </w:p>
          <w:p>
            <w:pPr>
              <w:ind w:firstLine="480"/>
              <w:jc w:val="left"/>
              <w:rPr>
                <w:rFonts w:hint="eastAsia" w:ascii="宋体" w:hAnsi="宋体" w:eastAsia="宋体" w:cs="宋体"/>
                <w:sz w:val="24"/>
              </w:rPr>
            </w:pPr>
            <w:r>
              <w:rPr>
                <w:rFonts w:hint="eastAsia" w:ascii="宋体" w:hAnsi="宋体" w:eastAsia="宋体" w:cs="宋体"/>
                <w:sz w:val="24"/>
              </w:rPr>
              <w:t xml:space="preserve">按照以下顺序确定中标人：</w:t>
            </w:r>
            <w:r/>
          </w:p>
          <w:p>
            <w:pPr>
              <w:jc w:val="left"/>
              <w:rPr>
                <w:rFonts w:hint="eastAsia" w:ascii="宋体" w:hAnsi="宋体" w:eastAsia="宋体" w:cs="宋体"/>
                <w:sz w:val="24"/>
              </w:rPr>
            </w:pPr>
            <w:r>
              <w:rPr>
                <w:rFonts w:hint="eastAsia" w:ascii="宋体" w:hAnsi="宋体" w:eastAsia="宋体"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b/>
                <w:sz w:val="24"/>
              </w:rPr>
            </w:pPr>
            <w:r>
              <w:rPr>
                <w:rFonts w:hint="eastAsia" w:ascii="宋体" w:hAnsi="宋体" w:eastAsia="宋体" w:cs="宋体"/>
                <w:sz w:val="24"/>
              </w:rPr>
              <w:t xml:space="preserve">在公告中标结果的同时，</w:t>
            </w:r>
            <w:r>
              <w:rPr>
                <w:rFonts w:hint="eastAsia" w:ascii="宋体" w:hAnsi="宋体" w:eastAsia="宋体" w:cs="宋体"/>
                <w:b/>
                <w:sz w:val="24"/>
              </w:rPr>
              <w:t xml:space="preserve">通过“苏采云”系统以数据电文形式：</w:t>
            </w:r>
            <w:r>
              <w:rPr>
                <w:rFonts w:hint="eastAsia" w:ascii="宋体" w:hAnsi="宋体" w:eastAsia="宋体"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特别说明：</w:t>
            </w:r>
            <w:r/>
          </w:p>
          <w:p>
            <w:pPr>
              <w:rPr>
                <w:rFonts w:hint="eastAsia" w:ascii="宋体" w:hAnsi="宋体" w:eastAsia="宋体" w:cs="宋体"/>
                <w:sz w:val="24"/>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 根据</w:t>
            </w: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与</w:t>
            </w:r>
            <w:r>
              <w:rPr>
                <w:rFonts w:hint="eastAsia" w:ascii="宋体" w:hAnsi="宋体" w:cs="宋体"/>
                <w:sz w:val="24"/>
                <w:lang w:eastAsia="zh-CN"/>
              </w:rPr>
              <w:t xml:space="preserve">徐州高新技术产业开发区管理委员会</w:t>
            </w:r>
            <w:r>
              <w:rPr>
                <w:rFonts w:hint="eastAsia" w:ascii="宋体" w:hAnsi="宋体" w:eastAsia="宋体" w:cs="宋体"/>
                <w:sz w:val="24"/>
              </w:rPr>
              <w:t xml:space="preserve">（采购人）签订的本采购项目的《委托代理协议》，供应商对政府采购活动事项有疑问的，向</w:t>
            </w:r>
            <w:r>
              <w:rPr>
                <w:rFonts w:hint="eastAsia" w:ascii="宋体" w:hAnsi="宋体" w:cs="宋体"/>
                <w:sz w:val="24"/>
                <w:lang w:eastAsia="zh-CN"/>
              </w:rPr>
              <w:t xml:space="preserve">徐州高新技术产业开发区管理委员会</w:t>
            </w:r>
            <w:r>
              <w:rPr>
                <w:rFonts w:hint="eastAsia" w:ascii="宋体" w:hAnsi="宋体" w:eastAsia="宋体"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eastAsia="zh-CN"/>
              </w:rPr>
              <w:t xml:space="preserve">徐州高新技术产业开发区管理委员会</w:t>
            </w:r>
            <w:r>
              <w:rPr>
                <w:rFonts w:hint="eastAsia" w:ascii="宋体" w:hAnsi="宋体" w:eastAsia="宋体" w:cs="宋体"/>
                <w:sz w:val="24"/>
              </w:rPr>
              <w:t xml:space="preserve">（采购人）提出质疑。询问和质疑由</w:t>
            </w:r>
            <w:r>
              <w:rPr>
                <w:rFonts w:hint="eastAsia" w:ascii="宋体" w:hAnsi="宋体" w:cs="宋体"/>
                <w:sz w:val="24"/>
                <w:lang w:eastAsia="zh-CN"/>
              </w:rPr>
              <w:t xml:space="preserve">徐州高新技术产业开发区管理委员会</w:t>
            </w:r>
            <w:r>
              <w:rPr>
                <w:rFonts w:hint="eastAsia" w:ascii="宋体" w:hAnsi="宋体" w:eastAsia="宋体" w:cs="宋体"/>
                <w:sz w:val="24"/>
              </w:rPr>
              <w:t xml:space="preserve">（采购人）依法处理。</w:t>
            </w:r>
            <w:r/>
          </w:p>
          <w:p>
            <w:pPr>
              <w:jc w:val="left"/>
              <w:rPr>
                <w:rFonts w:hint="eastAsia" w:ascii="宋体" w:hAnsi="宋体" w:eastAsia="宋体" w:cs="宋体"/>
                <w:sz w:val="24"/>
              </w:rPr>
            </w:pPr>
            <w:r>
              <w:rPr>
                <w:rFonts w:hint="eastAsia" w:ascii="宋体" w:hAnsi="宋体" w:eastAsia="宋体" w:cs="宋体"/>
                <w:sz w:val="24"/>
              </w:rPr>
              <w:t xml:space="preserve">2. 供应商在法定质疑期内一次性提出针对同一采购程序环节的质疑。</w:t>
            </w:r>
            <w:r/>
          </w:p>
          <w:p>
            <w:pPr>
              <w:jc w:val="left"/>
              <w:rPr>
                <w:rFonts w:hint="eastAsia" w:ascii="宋体" w:hAnsi="宋体" w:eastAsia="宋体" w:cs="宋体"/>
                <w:sz w:val="24"/>
              </w:rPr>
            </w:pPr>
            <w:r>
              <w:rPr>
                <w:rFonts w:hint="eastAsia" w:ascii="宋体" w:hAnsi="宋体" w:eastAsia="宋体" w:cs="宋体"/>
                <w:sz w:val="24"/>
              </w:rPr>
              <w:t xml:space="preserve">3. 质疑函</w:t>
            </w:r>
            <w:r/>
          </w:p>
          <w:p>
            <w:pPr>
              <w:jc w:val="left"/>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jc w:val="left"/>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cs="宋体"/>
                <w:sz w:val="24"/>
                <w:lang w:eastAsia="zh-CN"/>
              </w:rPr>
              <w:t xml:space="preserve">徐州高新技术产业开发区管理委员会</w:t>
            </w:r>
            <w:r/>
          </w:p>
          <w:p>
            <w:pPr>
              <w:jc w:val="left"/>
              <w:rPr>
                <w:rFonts w:hint="eastAsia" w:ascii="宋体" w:hAnsi="宋体" w:eastAsia="宋体" w:cs="宋体"/>
                <w:sz w:val="24"/>
                <w:lang w:eastAsia="zh-CN"/>
              </w:rPr>
            </w:pPr>
            <w:r>
              <w:rPr>
                <w:rFonts w:hint="eastAsia" w:ascii="宋体" w:hAnsi="宋体" w:eastAsia="宋体" w:cs="宋体"/>
                <w:sz w:val="24"/>
              </w:rPr>
              <w:t xml:space="preserve">联系电话：</w:t>
            </w:r>
            <w:r>
              <w:rPr>
                <w:rFonts w:hint="eastAsia" w:ascii="宋体" w:hAnsi="宋体" w:cs="宋体"/>
                <w:sz w:val="24"/>
                <w:lang w:eastAsia="zh-CN"/>
              </w:rPr>
              <w:t xml:space="preserve">0516-83535322</w:t>
            </w:r>
            <w:r/>
          </w:p>
          <w:p>
            <w:pPr>
              <w:jc w:val="left"/>
              <w:rPr>
                <w:rFonts w:hint="eastAsia" w:ascii="宋体" w:hAnsi="宋体" w:eastAsia="宋体" w:cs="宋体"/>
                <w:sz w:val="24"/>
              </w:rPr>
            </w:pPr>
            <w:r>
              <w:rPr>
                <w:rFonts w:hint="eastAsia" w:ascii="宋体" w:hAnsi="宋体" w:eastAsia="宋体" w:cs="宋体"/>
                <w:sz w:val="24"/>
              </w:rPr>
              <w:t xml:space="preserve">通讯地址：</w:t>
            </w:r>
            <w:r>
              <w:rPr>
                <w:rFonts w:hint="eastAsia" w:ascii="宋体" w:hAnsi="宋体" w:cs="宋体"/>
                <w:sz w:val="24"/>
                <w:lang w:eastAsia="zh-CN"/>
              </w:rPr>
              <w:t xml:space="preserve">江苏省徐州市铜山区珠江东路11号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ageBreakBefore/>
        <w:widowControl/>
        <w:rPr>
          <w:rFonts w:hint="eastAsia" w:ascii="宋体" w:hAnsi="宋体" w:eastAsia="宋体" w:cs="宋体"/>
          <w:sz w:val="24"/>
        </w:rPr>
      </w:pPr>
      <w:r>
        <w:rPr>
          <w:rFonts w:hint="eastAsia" w:ascii="宋体" w:hAnsi="宋体" w:eastAsia="宋体" w:cs="宋体"/>
          <w:sz w:val="24"/>
        </w:rPr>
      </w:r>
      <w:r/>
    </w:p>
    <w:p>
      <w:pPr>
        <w:numPr>
          <w:ilvl w:val="0"/>
          <w:numId w:val="2"/>
        </w:numPr>
        <w:jc w:val="center"/>
        <w:widowControl/>
        <w:rPr>
          <w:rFonts w:hint="eastAsia" w:ascii="宋体" w:hAnsi="宋体" w:eastAsia="宋体" w:cs="宋体"/>
          <w:sz w:val="30"/>
          <w:szCs w:val="30"/>
        </w:rPr>
      </w:pPr>
      <w:r>
        <w:rPr>
          <w:rFonts w:hint="eastAsia" w:ascii="宋体" w:hAnsi="宋体" w:eastAsia="宋体" w:cs="宋体"/>
          <w:sz w:val="30"/>
          <w:szCs w:val="30"/>
        </w:rPr>
        <w:t xml:space="preserve">评标标准</w:t>
      </w:r>
      <w:r/>
    </w:p>
    <w:tbl>
      <w:tblPr>
        <w:tblStyle w:val="713"/>
        <w:tblW w:w="929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89"/>
        <w:gridCol w:w="1367"/>
        <w:gridCol w:w="6743"/>
      </w:tblGrid>
      <w:tr>
        <w:trPr>
          <w:jc w:val="center"/>
          <w:trHeight w:val="606"/>
        </w:trPr>
        <w:tc>
          <w:tcPr>
            <w:gridSpan w:val="2"/>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pStyle w:val="765"/>
              <w:ind w:left="1" w:hanging="15"/>
              <w:jc w:val="center"/>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pStyle w:val="765"/>
              <w:ind w:left="1" w:hanging="15"/>
              <w:jc w:val="center"/>
              <w:rPr>
                <w:rFonts w:ascii="宋体" w:hAnsi="宋体" w:cs="宋体"/>
                <w:b/>
                <w:bCs/>
                <w:sz w:val="24"/>
              </w:rPr>
            </w:pPr>
            <w:r>
              <w:rPr>
                <w:rFonts w:hint="eastAsia" w:ascii="宋体" w:hAnsi="宋体" w:cs="宋体"/>
                <w:b/>
                <w:bCs/>
                <w:sz w:val="24"/>
              </w:rPr>
              <w:t xml:space="preserve">评分细则</w:t>
            </w:r>
            <w:r/>
          </w:p>
        </w:tc>
      </w:tr>
      <w:tr>
        <w:trPr>
          <w:jc w:val="center"/>
          <w:trHeight w:val="1621"/>
        </w:trPr>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765"/>
              <w:jc w:val="center"/>
              <w:rPr>
                <w:rFonts w:ascii="宋体" w:hAnsi="宋体" w:cs="宋体"/>
                <w:sz w:val="24"/>
              </w:rPr>
            </w:pPr>
            <w:r>
              <w:rPr>
                <w:rFonts w:hint="eastAsia" w:ascii="宋体" w:hAnsi="宋体" w:cs="宋体"/>
                <w:sz w:val="24"/>
              </w:rPr>
              <w:t xml:space="preserve">价格部分</w:t>
            </w:r>
            <w:r/>
          </w:p>
          <w:p>
            <w:pPr>
              <w:pStyle w:val="765"/>
              <w:jc w:val="center"/>
              <w:rPr>
                <w:rFonts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center"/>
              <w:rPr>
                <w:rFonts w:ascii="宋体" w:hAnsi="宋体" w:cs="宋体"/>
                <w:sz w:val="24"/>
              </w:rPr>
            </w:pPr>
            <w:r>
              <w:rPr>
                <w:rFonts w:hint="eastAsia" w:ascii="宋体" w:hAnsi="宋体" w:cs="宋体"/>
                <w:sz w:val="24"/>
              </w:rPr>
              <w:t xml:space="preserve">价格</w:t>
            </w:r>
            <w:r/>
          </w:p>
          <w:p>
            <w:pPr>
              <w:pStyle w:val="765"/>
              <w:jc w:val="center"/>
              <w:rPr>
                <w:rFonts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6743" w:type="dxa"/>
            <w:vAlign w:val="top"/>
            <w:textDirection w:val="lrTb"/>
            <w:noWrap w:val="false"/>
          </w:tcPr>
          <w:p>
            <w:pPr>
              <w:pStyle w:val="939"/>
              <w:ind w:firstLine="0"/>
              <w:jc w:val="left"/>
              <w:rPr>
                <w:rFonts w:ascii="宋体" w:hAnsi="宋体" w:cs="宋体"/>
                <w:sz w:val="24"/>
              </w:rPr>
            </w:pPr>
            <w:r>
              <w:rPr>
                <w:rFonts w:ascii="宋体" w:hAnsi="宋体" w:cs="宋体"/>
                <w:sz w:val="24"/>
              </w:rPr>
              <w:t xml:space="preserve">各投标人价格得分=最低报价（投标人的最低评审价格）÷各投标人评审价格×10。</w:t>
            </w:r>
            <w:r>
              <w:rPr>
                <w:rFonts w:ascii="宋体" w:hAnsi="宋体" w:cs="宋体"/>
                <w:sz w:val="24"/>
              </w:rPr>
              <w:br/>
            </w:r>
            <w:r>
              <w:rPr>
                <w:rFonts w:ascii="宋体" w:hAnsi="宋体" w:cs="宋体"/>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3854"/>
        </w:trPr>
        <w:tc>
          <w:tcPr>
            <w:tcBorders>
              <w:top w:val="single" w:color="000000" w:sz="4" w:space="0"/>
              <w:left w:val="single" w:color="000000" w:sz="4" w:space="0"/>
              <w:right w:val="single" w:color="000000" w:sz="4" w:space="0"/>
            </w:tcBorders>
            <w:tcW w:w="1189" w:type="dxa"/>
            <w:vAlign w:val="center"/>
            <w:vMerge w:val="restart"/>
            <w:textDirection w:val="lrTb"/>
            <w:noWrap w:val="false"/>
          </w:tcPr>
          <w:p>
            <w:pPr>
              <w:pStyle w:val="765"/>
              <w:rPr>
                <w:rFonts w:ascii="宋体" w:hAnsi="宋体" w:cs="宋体"/>
                <w:sz w:val="24"/>
              </w:rPr>
            </w:pPr>
            <w:r>
              <w:rPr>
                <w:rFonts w:hint="eastAsia" w:ascii="宋体" w:hAnsi="宋体" w:cs="宋体"/>
                <w:sz w:val="24"/>
              </w:rPr>
              <w:t xml:space="preserve">商务部分</w:t>
            </w:r>
            <w:r/>
          </w:p>
          <w:p>
            <w:pPr>
              <w:pStyle w:val="765"/>
              <w:jc w:val="center"/>
              <w:rPr>
                <w:rFonts w:ascii="宋体" w:hAnsi="宋体" w:cs="宋体"/>
                <w:sz w:val="24"/>
              </w:rPr>
            </w:pPr>
            <w:r>
              <w:rPr>
                <w:rFonts w:hint="eastAsia" w:ascii="宋体" w:hAnsi="宋体" w:cs="宋体"/>
                <w:sz w:val="24"/>
              </w:rPr>
              <w:t xml:space="preserve">（20分）</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left"/>
              <w:widowControl/>
              <w:rPr>
                <w:rFonts w:ascii="宋体" w:hAnsi="宋体" w:cs="宋体"/>
                <w:sz w:val="24"/>
              </w:rPr>
            </w:pPr>
            <w:r>
              <w:rPr>
                <w:rFonts w:hint="eastAsia" w:ascii="宋体" w:hAnsi="宋体" w:cs="宋体"/>
                <w:color w:val="000000"/>
                <w:sz w:val="24"/>
                <w:lang w:bidi="en-US"/>
              </w:rPr>
              <w:t xml:space="preserve">企业实力（4分）</w:t>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pStyle w:val="764"/>
              <w:rPr>
                <w:rFonts w:ascii="宋体" w:hAnsi="宋体" w:cs="宋体"/>
                <w:sz w:val="24"/>
              </w:rPr>
            </w:pPr>
            <w:r>
              <w:rPr>
                <w:rFonts w:hint="eastAsia" w:ascii="宋体" w:hAnsi="宋体" w:cs="宋体"/>
                <w:sz w:val="24"/>
              </w:rPr>
              <w:t xml:space="preserve">1、同时具有ISO9001（质量管理体系认证）、ISO14001（环境管理体系认证）、ISO45001（职业健康安全体系认证）证书得1分。</w:t>
            </w:r>
            <w:r/>
          </w:p>
          <w:p>
            <w:pPr>
              <w:pStyle w:val="764"/>
              <w:rPr>
                <w:rFonts w:ascii="宋体" w:hAnsi="宋体" w:cs="宋体"/>
                <w:sz w:val="24"/>
              </w:rPr>
            </w:pPr>
            <w:r>
              <w:rPr>
                <w:rFonts w:hint="eastAsia" w:ascii="宋体" w:hAnsi="宋体" w:cs="宋体"/>
                <w:sz w:val="24"/>
              </w:rPr>
              <w:t xml:space="preserve">2、具有信息安全服务资质认证证书（CCRC）安全集成服务或信息技术服务标准（ITSS)运维能力成熟度二级证书及以上得1分。</w:t>
            </w:r>
            <w:r/>
          </w:p>
          <w:p>
            <w:pPr>
              <w:pStyle w:val="764"/>
              <w:rPr>
                <w:rFonts w:ascii="宋体" w:hAnsi="宋体" w:cs="宋体"/>
                <w:sz w:val="24"/>
              </w:rPr>
            </w:pPr>
            <w:r>
              <w:rPr>
                <w:rFonts w:hint="eastAsia" w:ascii="宋体" w:hAnsi="宋体" w:cs="宋体"/>
                <w:sz w:val="24"/>
              </w:rPr>
              <w:t xml:space="preserve">3、所投云管平台厂商具备ISO27017云安全管理体系认证证书得1分，要求提供证书复印件。</w:t>
            </w:r>
            <w:r/>
          </w:p>
          <w:p>
            <w:pPr>
              <w:pStyle w:val="764"/>
              <w:rPr>
                <w:rFonts w:ascii="宋体" w:hAnsi="宋体" w:cs="宋体"/>
                <w:sz w:val="24"/>
              </w:rPr>
            </w:pPr>
            <w:r>
              <w:rPr>
                <w:rFonts w:hint="eastAsia" w:ascii="宋体" w:hAnsi="宋体" w:cs="宋体"/>
                <w:sz w:val="24"/>
              </w:rPr>
              <w:t xml:space="preserve">4、所投云管平台制造厂商需要对紧急情况产生的各种风险应作出快速和有效的反应，体现企业应急管理能力，需通过ISO 22320应急管理体系认证，满足得1分。要求提供证书原件扫描件。</w:t>
            </w:r>
            <w:r/>
          </w:p>
        </w:tc>
      </w:tr>
      <w:tr>
        <w:trPr>
          <w:jc w:val="center"/>
          <w:trHeight w:val="3355"/>
        </w:trPr>
        <w:tc>
          <w:tcPr>
            <w:tcBorders>
              <w:left w:val="single" w:color="000000" w:sz="4" w:space="0"/>
              <w:right w:val="single" w:color="000000" w:sz="4" w:space="0"/>
            </w:tcBorders>
            <w:tcW w:w="1189" w:type="dxa"/>
            <w:vAlign w:val="center"/>
            <w:vMerge w:val="continue"/>
            <w:textDirection w:val="lrTb"/>
            <w:noWrap w:val="false"/>
          </w:tcPr>
          <w:p>
            <w:pPr>
              <w:pStyle w:val="76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left"/>
              <w:widowControl/>
              <w:rPr>
                <w:rFonts w:ascii="宋体" w:hAnsi="宋体" w:cs="宋体"/>
                <w:sz w:val="24"/>
              </w:rPr>
            </w:pPr>
            <w:r>
              <w:rPr>
                <w:rFonts w:hint="eastAsia" w:ascii="宋体" w:hAnsi="宋体" w:cs="宋体"/>
                <w:color w:val="000000"/>
                <w:sz w:val="24"/>
                <w:lang w:bidi="en-US"/>
              </w:rPr>
              <w:t xml:space="preserve">人员配备 </w:t>
            </w:r>
            <w:r/>
          </w:p>
          <w:p>
            <w:pPr>
              <w:pStyle w:val="765"/>
              <w:jc w:val="left"/>
              <w:widowControl/>
              <w:rPr>
                <w:rFonts w:ascii="宋体" w:hAnsi="宋体" w:cs="宋体"/>
                <w:sz w:val="24"/>
              </w:rPr>
            </w:pPr>
            <w:r>
              <w:rPr>
                <w:rFonts w:hint="eastAsia" w:ascii="宋体" w:hAnsi="宋体" w:cs="宋体"/>
                <w:color w:val="000000"/>
                <w:sz w:val="24"/>
                <w:lang w:bidi="en-US"/>
              </w:rPr>
              <w:t xml:space="preserve">（6分）</w:t>
            </w:r>
            <w:r/>
          </w:p>
          <w:p>
            <w:pPr>
              <w:pStyle w:val="76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rPr>
                <w:rFonts w:ascii="宋体" w:hAnsi="宋体" w:cs="宋体"/>
                <w:sz w:val="24"/>
              </w:rPr>
            </w:pPr>
            <w:r>
              <w:rPr>
                <w:rFonts w:hint="eastAsia" w:ascii="宋体" w:hAnsi="宋体" w:cs="宋体"/>
                <w:sz w:val="24"/>
              </w:rPr>
              <w:t xml:space="preserve">1、项目经理同时具有一级建造师（通信与广电工程）、高级工程师（通信工程）和安全员（B证）得2分。</w:t>
            </w:r>
            <w:r/>
          </w:p>
          <w:p>
            <w:pPr>
              <w:rPr>
                <w:rFonts w:ascii="宋体" w:hAnsi="宋体" w:cs="宋体"/>
                <w:sz w:val="24"/>
              </w:rPr>
            </w:pPr>
            <w:r>
              <w:rPr>
                <w:rFonts w:hint="eastAsia" w:ascii="宋体" w:hAnsi="宋体" w:cs="宋体"/>
                <w:sz w:val="24"/>
              </w:rPr>
              <w:t xml:space="preserve">2、项目技术负责人同时具有信息系统项目管理师和注册信息安全专业人员（CISP）得2分。</w:t>
            </w:r>
            <w:r/>
          </w:p>
          <w:p>
            <w:pPr>
              <w:rPr>
                <w:rFonts w:ascii="宋体" w:hAnsi="宋体" w:cs="宋体"/>
                <w:sz w:val="24"/>
              </w:rPr>
            </w:pPr>
            <w:r>
              <w:rPr>
                <w:rFonts w:hint="eastAsia" w:ascii="宋体" w:hAnsi="宋体" w:cs="宋体"/>
                <w:sz w:val="24"/>
              </w:rPr>
              <w:t xml:space="preserve">3、安全人员同时具有注册信息安全专业人员（CISP）和信息安全保障人员（CISAW-CCRC）得2分。</w:t>
            </w:r>
            <w:r/>
          </w:p>
          <w:p>
            <w:pPr>
              <w:rPr>
                <w:rFonts w:ascii="宋体" w:hAnsi="宋体" w:cs="宋体"/>
                <w:sz w:val="24"/>
              </w:rPr>
            </w:pPr>
            <w:r>
              <w:rPr>
                <w:rFonts w:hint="eastAsia" w:ascii="宋体" w:hAnsi="宋体" w:cs="宋体"/>
                <w:sz w:val="24"/>
              </w:rPr>
              <w:t xml:space="preserve">注：投标文件中提供人员名单、资质材料扫描件及上述人员必须为投标人自有职工，投标文件中须提供上述资质扫描件及近三个月中任一个月的社保证明材料扫描件。本项最高得6分，最低得0分。</w:t>
            </w:r>
            <w:r/>
          </w:p>
        </w:tc>
      </w:tr>
      <w:tr>
        <w:trPr>
          <w:jc w:val="center"/>
          <w:trHeight w:val="2091"/>
        </w:trPr>
        <w:tc>
          <w:tcPr>
            <w:tcBorders>
              <w:left w:val="single" w:color="000000" w:sz="4" w:space="0"/>
              <w:right w:val="single" w:color="000000" w:sz="4" w:space="0"/>
            </w:tcBorders>
            <w:tcW w:w="1189" w:type="dxa"/>
            <w:vAlign w:val="center"/>
            <w:vMerge w:val="continue"/>
            <w:textDirection w:val="lrTb"/>
            <w:noWrap w:val="false"/>
          </w:tcPr>
          <w:p>
            <w:pPr>
              <w:pStyle w:val="76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center"/>
              <w:rPr>
                <w:rFonts w:ascii="宋体" w:hAnsi="宋体" w:cs="宋体"/>
                <w:sz w:val="24"/>
              </w:rPr>
            </w:pPr>
            <w:r>
              <w:rPr>
                <w:rFonts w:hint="eastAsia" w:ascii="宋体" w:hAnsi="宋体" w:cs="宋体"/>
                <w:sz w:val="24"/>
              </w:rPr>
              <w:t xml:space="preserve">业绩</w:t>
            </w:r>
            <w:r/>
          </w:p>
          <w:p>
            <w:pPr>
              <w:pStyle w:val="766"/>
              <w:ind w:left="0" w:firstLine="0"/>
              <w:jc w:val="center"/>
              <w:rPr>
                <w:rFonts w:ascii="宋体" w:hAnsi="宋体" w:eastAsia="宋体" w:cs="宋体"/>
                <w:sz w:val="24"/>
                <w:szCs w:val="24"/>
              </w:rPr>
            </w:pPr>
            <w:r>
              <w:rPr>
                <w:rFonts w:hint="eastAsia" w:ascii="宋体" w:hAnsi="宋体" w:eastAsia="宋体" w:cs="宋体"/>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rPr>
                <w:sz w:val="24"/>
                <w:szCs w:val="24"/>
              </w:rPr>
            </w:pPr>
            <w:r>
              <w:rPr>
                <w:rFonts w:hint="eastAsia"/>
                <w:sz w:val="24"/>
                <w:szCs w:val="24"/>
              </w:rPr>
              <w:t xml:space="preserve">投标人在投标文件中提供2023年7月1日以来自身承接的与本项目类似的云计算服务项目业绩（项目涉及云迁移、云部署、云运营，以合同签订日期为准）。</w:t>
            </w:r>
            <w:r/>
          </w:p>
          <w:p>
            <w:pPr>
              <w:pStyle w:val="764"/>
              <w:rPr>
                <w:rFonts w:ascii="宋体" w:hAnsi="宋体" w:cs="宋体"/>
                <w:sz w:val="24"/>
              </w:rPr>
            </w:pPr>
            <w:r>
              <w:rPr>
                <w:rFonts w:hint="eastAsia" w:ascii="宋体" w:hAnsi="宋体" w:cs="宋体"/>
                <w:sz w:val="24"/>
                <w:highlight w:val="none"/>
              </w:rPr>
              <w:t xml:space="preserve">每提供一个得2 分, 最高得 4分。注：须提供投标人是乙方的有效的合同原件扫描件并注明项目甲方联系人和联系方式备查。</w:t>
            </w:r>
            <w:r/>
          </w:p>
        </w:tc>
      </w:tr>
      <w:tr>
        <w:trPr>
          <w:jc w:val="center"/>
          <w:trHeight w:val="538"/>
        </w:trPr>
        <w:tc>
          <w:tcPr>
            <w:tcBorders>
              <w:left w:val="single" w:color="000000" w:sz="4" w:space="0"/>
              <w:bottom w:val="none" w:color="000000" w:sz="4" w:space="0"/>
              <w:right w:val="single" w:color="000000" w:sz="4" w:space="0"/>
            </w:tcBorders>
            <w:tcW w:w="1189" w:type="dxa"/>
            <w:vAlign w:val="center"/>
            <w:vMerge w:val="continue"/>
            <w:textDirection w:val="lrTb"/>
            <w:noWrap w:val="false"/>
          </w:tcPr>
          <w:p>
            <w:pPr>
              <w:pStyle w:val="76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center"/>
              <w:rPr>
                <w:rFonts w:ascii="宋体" w:hAnsi="宋体" w:cs="宋体"/>
                <w:sz w:val="24"/>
              </w:rPr>
            </w:pPr>
            <w:r>
              <w:rPr>
                <w:rFonts w:hint="eastAsia" w:ascii="宋体" w:hAnsi="宋体" w:cs="宋体"/>
                <w:sz w:val="24"/>
              </w:rPr>
              <w:t xml:space="preserve">投标文件完整性（6分）</w:t>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pStyle w:val="764"/>
              <w:rPr>
                <w:rFonts w:ascii="宋体" w:hAnsi="宋体" w:cs="宋体"/>
                <w:sz w:val="24"/>
              </w:rPr>
            </w:pPr>
            <w:r>
              <w:rPr>
                <w:rFonts w:hint="eastAsia" w:ascii="宋体" w:hAnsi="宋体" w:cs="宋体"/>
                <w:sz w:val="24"/>
              </w:rPr>
              <w:t xml:space="preserve">对投标文件完整性内容的全面性、可行性、针对性进行评价。</w:t>
            </w:r>
            <w:r/>
          </w:p>
          <w:p>
            <w:pPr>
              <w:pStyle w:val="764"/>
              <w:rPr>
                <w:rFonts w:ascii="宋体" w:hAnsi="宋体" w:cs="宋体"/>
                <w:sz w:val="24"/>
              </w:rPr>
            </w:pPr>
            <w:r>
              <w:rPr>
                <w:rFonts w:hint="eastAsia" w:ascii="宋体" w:hAnsi="宋体" w:cs="宋体"/>
                <w:sz w:val="24"/>
              </w:rPr>
              <w:t xml:space="preserve">全面性(2分)：全面具体详实得2分；全面但内容简单得1分；全面性较差得0分。</w:t>
            </w:r>
            <w:r/>
          </w:p>
          <w:p>
            <w:pPr>
              <w:pStyle w:val="764"/>
              <w:rPr>
                <w:rFonts w:ascii="宋体" w:hAnsi="宋体" w:cs="宋体"/>
                <w:sz w:val="24"/>
              </w:rPr>
            </w:pPr>
            <w:r>
              <w:rPr>
                <w:rFonts w:hint="eastAsia" w:ascii="宋体" w:hAnsi="宋体" w:cs="宋体"/>
                <w:sz w:val="24"/>
              </w:rPr>
              <w:t xml:space="preserve">可行性(2分)：切实可行具体详实得2分；切实可行性一般得1分；可行性差得0分。</w:t>
            </w:r>
            <w:r/>
          </w:p>
          <w:p>
            <w:pPr>
              <w:pStyle w:val="764"/>
              <w:rPr>
                <w:rFonts w:ascii="宋体" w:hAnsi="宋体" w:cs="宋体"/>
                <w:sz w:val="24"/>
              </w:rPr>
            </w:pPr>
            <w:r>
              <w:rPr>
                <w:rFonts w:hint="eastAsia" w:ascii="宋体" w:hAnsi="宋体" w:cs="宋体"/>
                <w:sz w:val="24"/>
              </w:rPr>
              <w:t xml:space="preserve">针对性(2分)：针对性强得2分；针对性差得0分。</w:t>
            </w:r>
            <w:r/>
          </w:p>
          <w:p>
            <w:pPr>
              <w:pStyle w:val="764"/>
              <w:rPr>
                <w:rFonts w:ascii="宋体" w:hAnsi="宋体" w:cs="宋体"/>
                <w:sz w:val="24"/>
              </w:rPr>
            </w:pPr>
            <w:r>
              <w:rPr>
                <w:rFonts w:hint="eastAsia" w:ascii="宋体" w:hAnsi="宋体" w:cs="宋体"/>
                <w:sz w:val="24"/>
              </w:rPr>
              <w:t xml:space="preserve">未提供的得0分。</w:t>
            </w:r>
            <w:r/>
          </w:p>
          <w:p>
            <w:pPr>
              <w:pStyle w:val="764"/>
              <w:rPr>
                <w:rFonts w:ascii="宋体" w:hAnsi="宋体" w:cs="宋体"/>
                <w:sz w:val="24"/>
              </w:rPr>
            </w:pPr>
            <w:r>
              <w:rPr>
                <w:rFonts w:hint="eastAsia" w:ascii="宋体" w:hAnsi="宋体" w:cs="宋体"/>
                <w:sz w:val="24"/>
              </w:rPr>
              <w:t xml:space="preserve">本项最高得6分，最低得0分。</w:t>
            </w:r>
            <w:r/>
          </w:p>
        </w:tc>
      </w:tr>
      <w:tr>
        <w:trPr>
          <w:jc w:val="center"/>
          <w:trHeight w:val="1585"/>
        </w:trPr>
        <w:tc>
          <w:tcPr>
            <w:tcBorders>
              <w:top w:val="single" w:color="000000" w:sz="4" w:space="0"/>
              <w:left w:val="single" w:color="000000" w:sz="4" w:space="0"/>
              <w:right w:val="single" w:color="000000" w:sz="4" w:space="0"/>
            </w:tcBorders>
            <w:tcW w:w="1189" w:type="dxa"/>
            <w:vAlign w:val="center"/>
            <w:vMerge w:val="restart"/>
            <w:textDirection w:val="lrTb"/>
            <w:noWrap w:val="false"/>
          </w:tcPr>
          <w:p>
            <w:pPr>
              <w:pStyle w:val="765"/>
              <w:rPr>
                <w:rFonts w:ascii="宋体" w:hAnsi="宋体" w:cs="宋体"/>
                <w:sz w:val="24"/>
              </w:rPr>
            </w:pPr>
            <w:r>
              <w:rPr>
                <w:rFonts w:hint="eastAsia" w:ascii="宋体" w:hAnsi="宋体" w:cs="宋体"/>
                <w:sz w:val="24"/>
              </w:rPr>
              <w:t xml:space="preserve">技术部分（70分）</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left"/>
              <w:widowControl/>
              <w:rPr>
                <w:rFonts w:ascii="宋体" w:hAnsi="宋体" w:cs="宋体"/>
                <w:sz w:val="24"/>
              </w:rPr>
            </w:pPr>
            <w:r>
              <w:rPr>
                <w:rFonts w:hint="eastAsia" w:ascii="宋体" w:hAnsi="宋体" w:cs="宋体"/>
                <w:color w:val="000000"/>
                <w:sz w:val="24"/>
                <w:lang w:bidi="en-US"/>
              </w:rPr>
              <w:t xml:space="preserve">技术规格 </w:t>
            </w:r>
            <w:r/>
          </w:p>
          <w:p>
            <w:pPr>
              <w:pStyle w:val="765"/>
              <w:jc w:val="left"/>
              <w:widowControl/>
              <w:rPr>
                <w:rFonts w:ascii="宋体" w:hAnsi="宋体" w:cs="宋体"/>
                <w:sz w:val="24"/>
              </w:rPr>
            </w:pPr>
            <w:r>
              <w:rPr>
                <w:rFonts w:hint="eastAsia" w:ascii="宋体" w:hAnsi="宋体" w:cs="宋体"/>
                <w:color w:val="000000"/>
                <w:sz w:val="24"/>
                <w:lang w:bidi="en-US"/>
              </w:rPr>
              <w:t xml:space="preserve">（40分） </w:t>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pStyle w:val="940"/>
              <w:ind w:left="0"/>
              <w:rPr>
                <w:rFonts w:ascii="宋体" w:hAnsi="宋体" w:cs="宋体"/>
                <w:sz w:val="24"/>
              </w:rPr>
            </w:pPr>
            <w:r>
              <w:rPr>
                <w:rFonts w:hint="eastAsia" w:ascii="宋体" w:hAnsi="宋体" w:cs="宋体"/>
                <w:sz w:val="24"/>
              </w:rPr>
              <w:t xml:space="preserve">满足采购需求文件中产品技术要求中的全部技术指标得40分，带“▲”指标不满足或负偏离的，每项扣1分。投标人需根据采购需求在投标文件中做出逐条应答。本项最高得40分，最低得0分。</w:t>
            </w:r>
            <w:r/>
          </w:p>
          <w:p>
            <w:pPr>
              <w:pStyle w:val="940"/>
              <w:ind w:left="0"/>
              <w:rPr>
                <w:rFonts w:ascii="宋体" w:hAnsi="宋体" w:cs="宋体"/>
                <w:sz w:val="24"/>
              </w:rPr>
            </w:pPr>
            <w:r>
              <w:rPr>
                <w:rFonts w:hint="eastAsia" w:ascii="宋体" w:hAnsi="宋体" w:cs="宋体"/>
                <w:b/>
                <w:bCs/>
                <w:color w:val="000000"/>
                <w:sz w:val="24"/>
                <w:lang w:bidi="en-US"/>
              </w:rPr>
              <w:t xml:space="preserve">注：正负偏离需在《偏离表》中详细列出</w:t>
            </w:r>
            <w:r/>
          </w:p>
        </w:tc>
      </w:tr>
      <w:tr>
        <w:trPr>
          <w:jc w:val="center"/>
          <w:trHeight w:val="2066"/>
        </w:trPr>
        <w:tc>
          <w:tcPr>
            <w:tcBorders>
              <w:left w:val="single" w:color="000000" w:sz="4" w:space="0"/>
              <w:right w:val="single" w:color="000000" w:sz="4" w:space="0"/>
            </w:tcBorders>
            <w:tcW w:w="1189" w:type="dxa"/>
            <w:vAlign w:val="center"/>
            <w:vMerge w:val="continue"/>
            <w:textDirection w:val="lrTb"/>
            <w:noWrap w:val="false"/>
          </w:tcPr>
          <w:p>
            <w:pPr>
              <w:pStyle w:val="765"/>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center"/>
              <w:rPr>
                <w:rFonts w:ascii="宋体" w:hAnsi="宋体" w:cs="宋体"/>
                <w:sz w:val="24"/>
              </w:rPr>
            </w:pPr>
            <w:r>
              <w:rPr>
                <w:rFonts w:hint="eastAsia" w:ascii="宋体" w:hAnsi="宋体" w:cs="宋体"/>
                <w:sz w:val="24"/>
              </w:rPr>
              <w:t xml:space="preserve">实施方案</w:t>
            </w:r>
            <w:r/>
          </w:p>
          <w:p>
            <w:pPr>
              <w:pStyle w:val="765"/>
              <w:jc w:val="center"/>
              <w:rPr>
                <w:rFonts w:ascii="宋体" w:hAnsi="宋体" w:cs="宋体"/>
                <w:sz w:val="24"/>
              </w:rPr>
            </w:pPr>
            <w:r>
              <w:rPr>
                <w:rFonts w:hint="eastAsia" w:ascii="宋体" w:hAnsi="宋体" w:cs="宋体"/>
                <w:sz w:val="24"/>
              </w:rPr>
              <w:t xml:space="preserve">（15分）</w:t>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针对投标人提供的实施方案进行横向对比，能够充分理解项目，对方案的先进性、成熟性、安全性进行综合评分。对内容的全面性、针对性、可行性进行评价。</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全面性(5分)：全面具体详实得5分；较全面得 3分；不全面得 1分。</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针对性(5分)：针对性强得5分；针对性较强得3分；针对性不强得1 分。</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可行性(5分)：符合实际切实可行得5分；较切实可行得3分；可行性欠缺得1分。</w:t>
            </w:r>
            <w:r/>
          </w:p>
          <w:p>
            <w:pPr>
              <w:pStyle w:val="764"/>
              <w:rPr>
                <w:rFonts w:ascii="宋体" w:hAnsi="宋体" w:cs="宋体"/>
                <w:sz w:val="24"/>
              </w:rPr>
            </w:pPr>
            <w:r>
              <w:rPr>
                <w:rFonts w:hint="eastAsia" w:ascii="宋体" w:hAnsi="宋体" w:cs="宋体"/>
                <w:sz w:val="24"/>
              </w:rPr>
              <w:t xml:space="preserve">未提供的得0分。</w:t>
            </w:r>
            <w:r/>
          </w:p>
          <w:p>
            <w:pPr>
              <w:pStyle w:val="766"/>
              <w:ind w:left="0" w:firstLine="0"/>
            </w:pPr>
            <w:r>
              <w:rPr>
                <w:rFonts w:hint="eastAsia" w:ascii="宋体" w:hAnsi="宋体" w:eastAsia="宋体" w:cs="宋体"/>
                <w:sz w:val="24"/>
                <w:szCs w:val="24"/>
              </w:rPr>
              <w:t xml:space="preserve">本项最高得15分，最低得0分。</w:t>
            </w:r>
            <w:r/>
          </w:p>
        </w:tc>
      </w:tr>
      <w:tr>
        <w:trPr>
          <w:jc w:val="center"/>
          <w:trHeight w:val="3134"/>
        </w:trPr>
        <w:tc>
          <w:tcPr>
            <w:tcBorders>
              <w:left w:val="single" w:color="000000" w:sz="4" w:space="0"/>
              <w:right w:val="single" w:color="000000" w:sz="4" w:space="0"/>
            </w:tcBorders>
            <w:tcW w:w="1189" w:type="dxa"/>
            <w:vAlign w:val="center"/>
            <w:vMerge w:val="continue"/>
            <w:textDirection w:val="lrTb"/>
            <w:noWrap w:val="false"/>
          </w:tcPr>
          <w:p>
            <w:pPr>
              <w:pStyle w:val="765"/>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center"/>
              <w:widowControl/>
              <w:rPr>
                <w:rFonts w:ascii="宋体" w:hAnsi="宋体" w:cs="宋体"/>
                <w:sz w:val="24"/>
              </w:rPr>
            </w:pPr>
            <w:r>
              <w:rPr>
                <w:rFonts w:hint="eastAsia" w:ascii="宋体" w:hAnsi="宋体" w:cs="宋体"/>
                <w:color w:val="000000"/>
                <w:sz w:val="24"/>
                <w:lang w:bidi="en-US"/>
              </w:rPr>
              <w:t xml:space="preserve">售后服务方案</w:t>
            </w:r>
            <w:r/>
          </w:p>
          <w:p>
            <w:pPr>
              <w:pStyle w:val="765"/>
              <w:jc w:val="center"/>
              <w:widowControl/>
              <w:rPr>
                <w:rFonts w:ascii="宋体" w:hAnsi="宋体" w:cs="宋体"/>
                <w:sz w:val="24"/>
              </w:rPr>
            </w:pPr>
            <w:r>
              <w:rPr>
                <w:rFonts w:hint="eastAsia" w:ascii="宋体" w:hAnsi="宋体" w:cs="宋体"/>
                <w:color w:val="000000"/>
                <w:sz w:val="24"/>
                <w:lang w:bidi="en-US"/>
              </w:rPr>
              <w:t xml:space="preserve">（9分）</w:t>
            </w:r>
            <w:r/>
          </w:p>
          <w:p>
            <w:pPr>
              <w:pStyle w:val="76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针对投标人提供的售后服务方案进行横向对比，能够充分理解项目，对方案内容的全面性、针对性、可行性进行评价。</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全面性(3分)：全面具体详实得3分；较全面得 2分；不全面得 1分。</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针对性(3分)：针对性强得3分；针对性较强得2分；针对性不强得1 分。</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可行性(3分)：符合实际切实可行得3分；较切实可行得2分；可行性欠缺得1分。</w:t>
            </w:r>
            <w:r/>
          </w:p>
          <w:p>
            <w:pPr>
              <w:pStyle w:val="764"/>
              <w:rPr>
                <w:rFonts w:ascii="宋体" w:hAnsi="宋体" w:cs="宋体"/>
                <w:sz w:val="24"/>
              </w:rPr>
            </w:pPr>
            <w:r>
              <w:rPr>
                <w:rFonts w:hint="eastAsia" w:ascii="宋体" w:hAnsi="宋体" w:cs="宋体"/>
                <w:sz w:val="24"/>
              </w:rPr>
              <w:t xml:space="preserve">未提供的得0分。</w:t>
            </w:r>
            <w:r/>
          </w:p>
          <w:p>
            <w:pPr>
              <w:pStyle w:val="766"/>
              <w:ind w:left="0" w:firstLine="0"/>
            </w:pPr>
            <w:r>
              <w:rPr>
                <w:rFonts w:hint="eastAsia" w:ascii="宋体" w:hAnsi="宋体" w:eastAsia="宋体" w:cs="宋体"/>
                <w:sz w:val="24"/>
                <w:szCs w:val="24"/>
              </w:rPr>
              <w:t xml:space="preserve">本项最高得9分，最低得0分。</w:t>
            </w:r>
            <w:r/>
          </w:p>
        </w:tc>
      </w:tr>
      <w:tr>
        <w:trPr>
          <w:jc w:val="center"/>
          <w:trHeight w:val="3134"/>
        </w:trPr>
        <w:tc>
          <w:tcPr>
            <w:tcBorders>
              <w:left w:val="single" w:color="000000" w:sz="4" w:space="0"/>
              <w:bottom w:val="single" w:color="000000" w:sz="4" w:space="0"/>
              <w:right w:val="single" w:color="000000" w:sz="4" w:space="0"/>
            </w:tcBorders>
            <w:tcW w:w="1189" w:type="dxa"/>
            <w:vAlign w:val="center"/>
            <w:vMerge w:val="continue"/>
            <w:textDirection w:val="lrTb"/>
            <w:noWrap w:val="false"/>
          </w:tcPr>
          <w:p>
            <w:pPr>
              <w:pStyle w:val="765"/>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pStyle w:val="765"/>
              <w:jc w:val="center"/>
              <w:widowControl/>
              <w:rPr>
                <w:rFonts w:ascii="宋体" w:hAnsi="宋体" w:cs="宋体"/>
                <w:sz w:val="24"/>
              </w:rPr>
            </w:pPr>
            <w:r>
              <w:rPr>
                <w:rFonts w:hint="eastAsia" w:ascii="宋体" w:hAnsi="宋体" w:cs="宋体"/>
                <w:color w:val="000000"/>
                <w:sz w:val="24"/>
                <w:lang w:bidi="en-US"/>
              </w:rPr>
              <w:t xml:space="preserve">培训方案</w:t>
            </w:r>
            <w:r/>
          </w:p>
          <w:p>
            <w:pPr>
              <w:pStyle w:val="765"/>
              <w:jc w:val="center"/>
              <w:widowControl/>
              <w:rPr>
                <w:rFonts w:ascii="宋体" w:hAnsi="宋体" w:cs="宋体"/>
                <w:sz w:val="24"/>
              </w:rPr>
            </w:pPr>
            <w:r>
              <w:rPr>
                <w:rFonts w:hint="eastAsia" w:ascii="宋体" w:hAnsi="宋体" w:cs="宋体"/>
                <w:color w:val="000000"/>
                <w:sz w:val="24"/>
                <w:lang w:bidi="en-US"/>
              </w:rPr>
              <w:t xml:space="preserve">（6分）</w:t>
            </w:r>
            <w:r/>
          </w:p>
          <w:p>
            <w:pPr>
              <w:pStyle w:val="765"/>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针对投标人提供的培训服务方案进行横向对比，能够充分理解项目，对方案内容的全面性、针对性、可行性进行评价。</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全面性(2分)：全面具体详实得2分；不全面得 1分。</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针对性(2分)：针对性强得2分；针对性不强得1 分。</w:t>
            </w:r>
            <w:r/>
          </w:p>
          <w:p>
            <w:pPr>
              <w:pStyle w:val="765"/>
              <w:jc w:val="left"/>
              <w:widowControl/>
              <w:rPr>
                <w:rFonts w:ascii="宋体" w:hAnsi="宋体" w:cs="宋体"/>
                <w:color w:val="000000"/>
                <w:sz w:val="24"/>
                <w:lang w:bidi="en-US"/>
              </w:rPr>
            </w:pPr>
            <w:r>
              <w:rPr>
                <w:rFonts w:hint="eastAsia" w:ascii="宋体" w:hAnsi="宋体" w:cs="宋体"/>
                <w:color w:val="000000"/>
                <w:sz w:val="24"/>
                <w:lang w:bidi="en-US"/>
              </w:rPr>
              <w:t xml:space="preserve">可行性(2分)：符合实际切实可行得2分；可行性欠缺得1分。</w:t>
            </w:r>
            <w:r/>
          </w:p>
          <w:p>
            <w:pPr>
              <w:pStyle w:val="764"/>
              <w:rPr>
                <w:rFonts w:ascii="宋体" w:hAnsi="宋体" w:cs="宋体"/>
                <w:sz w:val="24"/>
              </w:rPr>
            </w:pPr>
            <w:r>
              <w:rPr>
                <w:rFonts w:hint="eastAsia" w:ascii="宋体" w:hAnsi="宋体" w:cs="宋体"/>
                <w:sz w:val="24"/>
              </w:rPr>
              <w:t xml:space="preserve">未提供的得0分。</w:t>
            </w:r>
            <w:r/>
          </w:p>
          <w:p>
            <w:pPr>
              <w:pStyle w:val="766"/>
              <w:ind w:left="0" w:firstLine="0"/>
            </w:pPr>
            <w:r>
              <w:rPr>
                <w:rFonts w:hint="eastAsia" w:ascii="宋体" w:hAnsi="宋体" w:eastAsia="宋体" w:cs="宋体"/>
                <w:sz w:val="24"/>
                <w:szCs w:val="24"/>
              </w:rPr>
              <w:t xml:space="preserve">本项最高得</w:t>
            </w:r>
            <w:r>
              <w:rPr>
                <w:rFonts w:hint="eastAsia" w:ascii="宋体" w:hAnsi="宋体" w:cs="宋体"/>
                <w:sz w:val="24"/>
                <w:szCs w:val="24"/>
              </w:rPr>
              <w:t xml:space="preserve">6</w:t>
            </w:r>
            <w:r>
              <w:rPr>
                <w:rFonts w:hint="eastAsia" w:ascii="宋体" w:hAnsi="宋体" w:eastAsia="宋体" w:cs="宋体"/>
                <w:sz w:val="24"/>
                <w:szCs w:val="24"/>
              </w:rPr>
              <w:t xml:space="preserve">分，最低得0分。</w:t>
            </w:r>
            <w:r/>
          </w:p>
        </w:tc>
      </w:tr>
    </w:tbl>
    <w:p>
      <w:pPr>
        <w:widowControl/>
        <w:rPr>
          <w:rFonts w:hint="eastAsia" w:ascii="宋体" w:hAnsi="宋体" w:eastAsia="宋体" w:cs="宋体"/>
          <w:sz w:val="30"/>
          <w:szCs w:val="30"/>
        </w:rPr>
      </w:pPr>
      <w:r>
        <w:rPr>
          <w:rFonts w:hint="eastAsia" w:ascii="宋体" w:hAnsi="宋体" w:eastAsia="宋体" w:cs="宋体"/>
          <w:sz w:val="24"/>
        </w:rPr>
        <w:t xml:space="preserve">注：评分结果精确到小数点后两位。</w:t>
      </w:r>
      <w:r/>
    </w:p>
    <w:p>
      <w:pPr>
        <w:jc w:val="center"/>
        <w:pageBreakBefore/>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第五章  拟签订的合同文本</w:t>
      </w:r>
      <w:r/>
    </w:p>
    <w:p>
      <w:pPr>
        <w:pStyle w:val="765"/>
        <w:ind w:firstLine="560"/>
        <w:jc w:val="left"/>
        <w:spacing w:line="360" w:lineRule="auto"/>
        <w:rPr>
          <w:rFonts w:hint="eastAsia" w:ascii="宋体" w:hAnsi="宋体" w:eastAsia="宋体" w:cs="宋体"/>
          <w:sz w:val="24"/>
        </w:rPr>
      </w:pPr>
      <w:r>
        <w:rPr>
          <w:rFonts w:hint="eastAsia" w:ascii="宋体" w:hAnsi="宋体" w:eastAsia="宋体" w:cs="宋体"/>
          <w:sz w:val="24"/>
        </w:rPr>
        <w:t xml:space="preserve">项目编号： </w:t>
      </w:r>
      <w:r/>
    </w:p>
    <w:p>
      <w:pPr>
        <w:pStyle w:val="766"/>
        <w:ind w:left="1470" w:right="1470" w:firstLine="560"/>
        <w:rPr>
          <w:rFonts w:hint="eastAsia" w:ascii="宋体" w:hAnsi="宋体" w:eastAsia="宋体" w:cs="宋体"/>
          <w:sz w:val="24"/>
          <w:szCs w:val="24"/>
        </w:rPr>
      </w:pPr>
      <w:r>
        <w:rPr>
          <w:rFonts w:hint="eastAsia" w:ascii="宋体" w:hAnsi="宋体" w:eastAsia="宋体" w:cs="宋体"/>
          <w:sz w:val="24"/>
          <w:szCs w:val="24"/>
        </w:rPr>
      </w:r>
      <w:r/>
    </w:p>
    <w:p>
      <w:pPr>
        <w:pStyle w:val="765"/>
        <w:ind w:left="1959" w:hanging="1400"/>
        <w:jc w:val="left"/>
        <w:spacing w:line="360" w:lineRule="auto"/>
        <w:rPr>
          <w:rFonts w:hint="eastAsia" w:ascii="宋体" w:hAnsi="宋体" w:eastAsia="宋体" w:cs="宋体"/>
          <w:sz w:val="24"/>
        </w:rPr>
      </w:pPr>
      <w:r>
        <w:rPr>
          <w:rFonts w:hint="eastAsia" w:ascii="宋体" w:hAnsi="宋体" w:eastAsia="宋体" w:cs="宋体"/>
          <w:sz w:val="24"/>
        </w:rPr>
        <w:t xml:space="preserve">项目名称： </w:t>
      </w:r>
      <w:r/>
    </w:p>
    <w:p>
      <w:pPr>
        <w:pStyle w:val="765"/>
        <w:ind w:firstLine="560"/>
        <w:jc w:val="left"/>
        <w:spacing w:line="360" w:lineRule="auto"/>
        <w:rPr>
          <w:rFonts w:hint="eastAsia" w:ascii="宋体" w:hAnsi="宋体" w:eastAsia="宋体" w:cs="宋体"/>
          <w:sz w:val="24"/>
        </w:rPr>
      </w:pPr>
      <w:r>
        <w:rPr>
          <w:rFonts w:hint="eastAsia" w:ascii="宋体" w:hAnsi="宋体" w:eastAsia="宋体" w:cs="宋体"/>
          <w:sz w:val="24"/>
        </w:rPr>
      </w:r>
      <w:r/>
    </w:p>
    <w:p>
      <w:pPr>
        <w:pStyle w:val="765"/>
        <w:ind w:firstLine="560"/>
        <w:jc w:val="left"/>
        <w:spacing w:line="360" w:lineRule="auto"/>
        <w:rPr>
          <w:rFonts w:hint="eastAsia" w:ascii="宋体" w:hAnsi="宋体" w:eastAsia="宋体" w:cs="宋体"/>
          <w:sz w:val="24"/>
        </w:rPr>
      </w:pPr>
      <w:r>
        <w:rPr>
          <w:rFonts w:hint="eastAsia" w:ascii="宋体" w:hAnsi="宋体" w:eastAsia="宋体" w:cs="宋体"/>
          <w:sz w:val="24"/>
        </w:rPr>
        <w:t xml:space="preserve">甲   方： </w:t>
      </w:r>
      <w:r/>
    </w:p>
    <w:p>
      <w:pPr>
        <w:pStyle w:val="765"/>
        <w:ind w:firstLine="560"/>
        <w:jc w:val="left"/>
        <w:spacing w:line="360" w:lineRule="auto"/>
        <w:rPr>
          <w:rFonts w:hint="eastAsia" w:ascii="宋体" w:hAnsi="宋体" w:eastAsia="宋体" w:cs="宋体"/>
          <w:sz w:val="24"/>
        </w:rPr>
      </w:pPr>
      <w:r>
        <w:rPr>
          <w:rFonts w:hint="eastAsia" w:ascii="宋体" w:hAnsi="宋体" w:eastAsia="宋体" w:cs="宋体"/>
          <w:sz w:val="24"/>
        </w:rPr>
        <w:t xml:space="preserve">乙   方： </w:t>
      </w:r>
      <w:r/>
    </w:p>
    <w:p>
      <w:pPr>
        <w:pStyle w:val="765"/>
        <w:ind w:firstLine="560"/>
        <w:jc w:val="left"/>
        <w:spacing w:line="360" w:lineRule="auto"/>
        <w:rPr>
          <w:rFonts w:hint="eastAsia" w:ascii="宋体" w:hAnsi="宋体" w:eastAsia="宋体" w:cs="宋体"/>
          <w:sz w:val="24"/>
        </w:rPr>
      </w:pPr>
      <w:r>
        <w:rPr>
          <w:rFonts w:hint="eastAsia" w:ascii="宋体" w:hAnsi="宋体" w:eastAsia="宋体" w:cs="宋体"/>
          <w:sz w:val="24"/>
        </w:rPr>
        <w:t xml:space="preserve">签订日期：     年   月    日</w:t>
      </w:r>
      <w:r/>
    </w:p>
    <w:p>
      <w:pPr>
        <w:pStyle w:val="765"/>
        <w:ind w:firstLine="480"/>
        <w:spacing w:line="579" w:lineRule="exact"/>
        <w:rPr>
          <w:rFonts w:hint="eastAsia" w:ascii="宋体" w:hAnsi="宋体" w:eastAsia="宋体" w:cs="宋体"/>
          <w:sz w:val="24"/>
        </w:rPr>
      </w:pPr>
      <w:r>
        <w:rPr>
          <w:rFonts w:hint="eastAsia" w:ascii="宋体" w:hAnsi="宋体" w:eastAsia="宋体" w:cs="宋体"/>
          <w:sz w:val="24"/>
        </w:rPr>
      </w:r>
      <w:r/>
    </w:p>
    <w:p>
      <w:pPr>
        <w:pStyle w:val="765"/>
        <w:ind w:firstLine="480"/>
        <w:spacing w:line="579" w:lineRule="exact"/>
        <w:rPr>
          <w:rFonts w:hint="eastAsia" w:ascii="宋体" w:hAnsi="宋体" w:eastAsia="宋体" w:cs="宋体"/>
          <w:sz w:val="24"/>
        </w:rPr>
      </w:pPr>
      <w:r>
        <w:rPr>
          <w:rFonts w:hint="eastAsia" w:ascii="宋体" w:hAnsi="宋体" w:eastAsia="宋体" w:cs="宋体"/>
          <w:sz w:val="24"/>
        </w:rPr>
      </w:r>
      <w:r/>
    </w:p>
    <w:p>
      <w:pPr>
        <w:pStyle w:val="9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友情提醒：采购人与中标、成交供应商应当在中标、成交通知书发出之日起三十日内，按照采购文件确定的事项签订政府采购合同。</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65"/>
        <w:spacing w:line="560" w:lineRule="exact"/>
        <w:widowControl/>
        <w:rPr>
          <w:rFonts w:hint="eastAsia" w:ascii="宋体" w:hAnsi="宋体" w:eastAsia="宋体" w:cs="宋体"/>
          <w:b/>
          <w:bCs/>
          <w:sz w:val="24"/>
        </w:rPr>
        <w:sectPr>
          <w:footnotePr/>
          <w:endnotePr/>
          <w:type w:val="nextPage"/>
          <w:pgSz w:w="11906" w:h="16838" w:orient="portrait"/>
          <w:pgMar w:top="1588" w:right="1418" w:bottom="1474" w:left="1474" w:header="851" w:footer="992" w:gutter="0"/>
          <w:cols w:num="1" w:sep="0" w:space="720" w:equalWidth="1"/>
          <w:docGrid w:linePitch="360"/>
        </w:sectPr>
      </w:pPr>
      <w:r>
        <w:rPr>
          <w:rFonts w:hint="eastAsia" w:ascii="宋体" w:hAnsi="宋体" w:eastAsia="宋体" w:cs="宋体"/>
          <w:b/>
          <w:bCs/>
          <w:sz w:val="24"/>
        </w:rPr>
      </w:r>
      <w:r/>
    </w:p>
    <w:p>
      <w:pPr>
        <w:pStyle w:val="765"/>
        <w:ind w:firstLine="723"/>
        <w:jc w:val="center"/>
        <w:spacing w:line="56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合同文本</w:t>
      </w:r>
      <w:r/>
    </w:p>
    <w:p>
      <w:pPr>
        <w:pStyle w:val="765"/>
        <w:ind w:right="480" w:firstLine="480"/>
        <w:spacing w:line="360" w:lineRule="auto"/>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rPr>
          <w:rFonts w:hint="eastAsia" w:ascii="宋体" w:hAnsi="宋体" w:eastAsia="宋体" w:cs="宋体"/>
          <w:sz w:val="24"/>
        </w:rPr>
        <w:t xml:space="preserve">  合同编号: </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765"/>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rPr>
          <w:rFonts w:hint="eastAsia" w:ascii="宋体" w:hAnsi="宋体" w:eastAsia="宋体" w:cs="宋体"/>
          <w:sz w:val="24"/>
        </w:rPr>
        <w:t xml:space="preserve"> 签字地点:</w:t>
      </w:r>
      <w:r>
        <w:rPr>
          <w:rFonts w:hint="eastAsia" w:ascii="宋体" w:hAnsi="宋体" w:eastAsia="宋体" w:cs="宋体"/>
          <w:sz w:val="24"/>
          <w:u w:val="single"/>
        </w:rPr>
        <w:t xml:space="preserve">                 </w:t>
      </w:r>
      <w:r/>
    </w:p>
    <w:p>
      <w:pPr>
        <w:pStyle w:val="766"/>
        <w:ind w:left="0" w:firstLine="0"/>
        <w:rPr>
          <w:rFonts w:hint="eastAsia" w:ascii="宋体" w:hAnsi="宋体" w:eastAsia="宋体" w:cs="宋体"/>
          <w:sz w:val="24"/>
          <w:szCs w:val="24"/>
        </w:rPr>
      </w:pPr>
      <w:r>
        <w:rPr>
          <w:rFonts w:hint="eastAsia" w:ascii="宋体" w:hAnsi="宋体" w:eastAsia="宋体" w:cs="宋体"/>
          <w:sz w:val="24"/>
          <w:szCs w:val="24"/>
        </w:rPr>
        <w:t xml:space="preserve">                                    签字日期:</w:t>
      </w:r>
      <w:r>
        <w:rPr>
          <w:rFonts w:hint="eastAsia" w:ascii="宋体" w:hAnsi="宋体" w:eastAsia="宋体" w:cs="宋体"/>
          <w:sz w:val="24"/>
          <w:szCs w:val="24"/>
          <w:u w:val="single"/>
        </w:rPr>
        <w:t xml:space="preserve">              </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根据《中华人民共和国民法典》、《中华人民共和国政府采购法》和有关法律法规，经双方协商一致，签订本合同。</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1、项目名称： </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2、项目编号： </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3、服务范围</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包括但不限于机房整体运行环境、数据赁服务有关的内容。</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4、项目内容及期限</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此次采购的服务资源包括：vCPU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核，内存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G，存储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TB，带宽</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M，以及配套的机房环境服务。</w:t>
      </w:r>
      <w:r/>
    </w:p>
    <w:p>
      <w:pPr>
        <w:pStyle w:val="765"/>
        <w:ind w:firstLine="480"/>
        <w:spacing w:line="360" w:lineRule="auto"/>
        <w:rPr>
          <w:rFonts w:hint="eastAsia" w:ascii="宋体" w:hAnsi="宋体" w:eastAsia="宋体" w:cs="宋体"/>
          <w:bCs/>
          <w:sz w:val="24"/>
        </w:rPr>
      </w:pPr>
      <w:r>
        <w:rPr>
          <w:rFonts w:hint="eastAsia" w:ascii="宋体" w:hAnsi="宋体" w:eastAsia="宋体" w:cs="宋体"/>
          <w:color w:val="000000"/>
          <w:sz w:val="24"/>
        </w:rPr>
        <w:t xml:space="preserve">⑵服务期限：1年。</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5、服务期限为：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日至</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日</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6、合同验收、付款方式</w:t>
      </w:r>
      <w:r/>
    </w:p>
    <w:p>
      <w:pPr>
        <w:pStyle w:val="766"/>
        <w:ind w:left="0" w:firstLine="0"/>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w:t>
      </w:r>
      <w:r/>
    </w:p>
    <w:p>
      <w:pPr>
        <w:pStyle w:val="765"/>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1.验收主体：高新区数据局。</w:t>
      </w:r>
      <w:r/>
    </w:p>
    <w:p>
      <w:pPr>
        <w:pStyle w:val="765"/>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2.验收时间：按合同要求，在合同签订3个月内，正常提供服务后，组织第1次验收；在服务到期或提前终止后，组织第2次验收。</w:t>
      </w:r>
      <w:r/>
    </w:p>
    <w:p>
      <w:pPr>
        <w:pStyle w:val="765"/>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3.验收标准：</w:t>
      </w:r>
      <w:r/>
    </w:p>
    <w:p>
      <w:pPr>
        <w:pStyle w:val="765"/>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验收标准：通过验收主体组织的专家论证会，需符合《中华人民共和国数据安全法》、《中华人民共和国网络安全法》、《数据安全技术 大数据服务安全能力要求》GB/T 35274-2023、《信息技术 云计算 智能云服务通用要求》（GB/T 46350-2025）、《网络安全技术 云计算服务安</w:t>
      </w:r>
      <w:r>
        <w:rPr>
          <w:rFonts w:hint="eastAsia" w:ascii="宋体" w:hAnsi="宋体" w:eastAsia="宋体" w:cs="宋体"/>
          <w:color w:val="000000"/>
          <w:sz w:val="24"/>
          <w:lang w:eastAsia="zh-CN"/>
        </w:rPr>
        <w:t xml:space="preserve">全能力评估方法》（GB/T 34942-2025）等相关规范标准  。供应商所提供的基础服务资源总量不低于CPU 1000核，内存4500G，存储2800TB，带宽3000M；提供专有服务：公网IP、网络行为安全审计、安全监控服务（SOC）、安全扫描服务、防病毒软件等；提供数据服务的云平台符合网络安全等级保护大于等于3级的相关要求；提供4台标准IDC机柜及相关服务。完成招标的云主机部署，施工和云服务质量达到规定和设计要求，各委办局云主机运行稳定，符合招标文件及附件文本、项目合同、乙方投标文件及附件文本要求。</w:t>
      </w:r>
      <w:r/>
    </w:p>
    <w:p>
      <w:pPr>
        <w:pStyle w:val="765"/>
        <w:numPr>
          <w:ilvl w:val="0"/>
          <w:numId w:val="0"/>
        </w:numPr>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验收内容：按招标文件采购需求进行验收，具体包括：技术规格要求、日常运维要求、云资源池要求、人员配备要求、服务期限要求、项目实施要求、售后服务要求、培训服务要求、项目质量保障要求。</w:t>
      </w:r>
      <w:r/>
    </w:p>
    <w:p>
      <w:pPr>
        <w:pStyle w:val="765"/>
        <w:numPr>
          <w:ilvl w:val="0"/>
          <w:numId w:val="0"/>
        </w:numPr>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付款</w:t>
      </w:r>
      <w:r/>
    </w:p>
    <w:p>
      <w:pPr>
        <w:pStyle w:val="7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双方签订合同验收合格后，向乙方支付服务款项。本合同价款（含税）为人民币大写金额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元（小写金额：￥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元）。经双方协商一致，选择以下第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付款方式:</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付款方式一:提交预付款保函的</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（1）合同签订且乙方向甲方出具预付款保函后 10 个工作日内，甲方应支付合同价款的百分之四十(40%)小写￥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。由甲方办理资金结算手续经审核后支付给乙方。</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（2）合同价款的百分之六十(60%)小写￥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       。相关服务通过甲方验收正常运行后，由甲方办理资金结算手续经审核后支付给乙方。在甲方收到乙方合同的国家统一的正式发票之日起10个工作日内，甲方向乙方支付相应金额的款项人民币。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付款方式二：不提交预付款保函的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（1）合同签订后10个工作日内，甲方应支付合同价款的百分之三十(30%)小写￥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。由甲方办理资金结算手续经审核后支付给乙方。</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（2）合同价款的百分之七十(70%)小写￥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相关服务通过甲方验收正常运行后，由甲方办理资金结算手续经审核后支付给乙方，具体到账时间以账政支付为准。在甲方收到乙方合同的国家统一的正式发票之日起10个工作日内，甲方向乙方支付相应金额的款项人民币。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highlight w:val="yellow"/>
        </w:rPr>
        <w:t xml:space="preserve">1、</w:t>
      </w:r>
      <w:r>
        <w:rPr>
          <w:rFonts w:hint="eastAsia" w:ascii="宋体" w:hAnsi="宋体" w:eastAsia="宋体" w:cs="宋体"/>
          <w:color w:val="000000"/>
          <w:sz w:val="24"/>
        </w:rPr>
        <w:t xml:space="preserve">乙方需提交的支付文件包括：乙方出具的全额正式发票。</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highlight w:val="yellow"/>
        </w:rPr>
        <w:t xml:space="preserve">2、</w:t>
      </w:r>
      <w:r>
        <w:rPr>
          <w:rFonts w:hint="eastAsia" w:ascii="宋体" w:hAnsi="宋体" w:eastAsia="宋体" w:cs="宋体"/>
          <w:color w:val="000000"/>
          <w:sz w:val="24"/>
        </w:rPr>
        <w:t xml:space="preserve">乙方开户名称、开户银行和账号为：</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开户名称：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账号：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highlight w:val="yellow"/>
        </w:rPr>
        <w:t xml:space="preserve">3、</w:t>
      </w:r>
      <w:r>
        <w:rPr>
          <w:rFonts w:hint="eastAsia" w:ascii="宋体" w:hAnsi="宋体" w:eastAsia="宋体" w:cs="宋体"/>
          <w:color w:val="000000"/>
          <w:sz w:val="24"/>
        </w:rPr>
        <w:t xml:space="preserve">乙方不按本条约定提供发票的，甲方有权拒绝付款且不视为违约。</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7、双方权利及义务</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⑴甲方的责任及义务</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⑵甲方有权在合同规定范围内使用乙方提供的机房环境及相关数据服务。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⑶甲方有权获得乙方按照合同规定的事项提供机房运行环境和相关数据服务以及相应的技术服务。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⑷甲方有权要求乙方提供相关设备和环境及相关数据服务的有关技术参数。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⑸甲方保证所属设备安全、稳定运行。</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⑹甲方应当按规定的时间和方式向乙方支付相应服务费用。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（7）甲方不得将乙方所提供服务转让或租借给第三方使用。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（8）甲方有权要求乙方定期对乙方系统运行的安全隐患进行排查。</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8、乙方责任及义务：</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⑴乙方有权按时向甲方收取本合同中规定的相应费用。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⑵乙方应向甲方提供运行环境的有关技术参数。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⑶乙方提供本合同下约定的服务内容。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⑷乙方应指定服务接口人作为运维服务的接口人，负责与甲方之间的信息传递、反馈、 沟通及甲方内部资源的协调。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⑸乙方应配合甲方对系统运行环境进行现场维护支持，在合同有效期内，乙方应保证始终满足甲乙双方商议的服务质量要求。按照招标文件的要求，提供机房基础设施及相关数据服务。</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⑹乙方须接受派出机构的信息安全延伸检查。</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⑺如乙方出现经营问题不能继续履约服务，乙方必须如数退还甲方支付的服务费用。</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9、违约责任：</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乙方不能提交成果（逾期超过十五天视为不能提交），或提交不合格从而影响甲方按期正常使用的，应向甲方偿付合同总价款5%的违约金，违约金不足以补偿损失的甲方有权要求乙方补足。</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乙方逾期提交成果，应在提交前与甲方协商，甲方仍需求的，乙方应立即提交并应按照逾期提交部分的合同金额的每天万分之五支付逾期交货违约金，同时承担甲方因此遭致的损失费用。</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⑶在履行合同过程中，因乙方提供场地的环境、质量发生变化等原因不再满足甲方工作需求，甲方有权解除本合同，乙方同时承担甲方因此遭致的损失费用。</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⑷如因一方违反本合同约定给守约方造成损失的，应当依法赔偿，赔偿的金额应包括但不限于守约方因维权需要所花费的律师费、鉴定费、公证费、诉讼费、诉讼担保费、交通费等。</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10、权利保证及保密</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在本合同生效日前已存在的版权及其他知识产权应属于本合同生效前既拥有该等权利的一方。</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⑶ 保护知识产权原则：乙方应当保证其有关参与本项目相关的活动、项目结束之后的任何涉及到本次采购的行为，均不会侵犯任何第三方的知识产权。若因此发生任何争议、侵权，均应当由乙方独自承担全部及/或任何责任，包括由此给甲方造成的各种费用支出，如诉讼费用、律师费、鉴定费、赔偿金等。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⑷ 甲、乙双方必须对项目涉及的数据严格保密。在中标后双方严格遵照保密管理规定，签订保密协议，严禁将本项目所涉及相关技术资料、成果、商务文件等信息私自提供给其他人员或单位，否则，将追究相关人员的法律责任。</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11、不可抗力</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因不可抗力不能履行合同的，根据不可抗力的影响，部分或者全部免除责任。但合同一方延迟履行后发生不可抗力的，不能免除责任。</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合同一方因不可抗力不能履行合同的，应当及时通知对方，以减轻可能给对方造成的损失，并应当在合理期限内提供证明。</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13、索赔：</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甲方有权根据权威机构部门出具的检验证书向乙方提出索赔。</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如果在甲方发出索赔通知后七天内，乙方未能答复，上述索赔应视为已被乙方接受。若乙方未在甲方提出索赔通知后七天内或甲方同意的更长时间内，按照合同规定的任何一种方法解决索赔事宜，甲方将从未付款或乙方的履约保证金中扣回索赔金额，如果这些金额不足以补偿索赔金额，甲方有权向乙方提出对不足部分的补偿。</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12、本合同执行过程中的未尽事宜，双方应本着实事求是、友好协商的态度加以解决。双方协商一致的，签订补充协议。补充协议与本合同具有同等效力。</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13、因本合同发生争议，由双方当事人协商解决或由双方主管部门调解，协商或调解不成的，可向甲方所在地人民法院起诉。</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14、附则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本合同连同附件页，一式 肆 份，具有同等法律效力，甲方贰份，乙方贰份。</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本合同执行期限内如因自然灾害、城市建设、政策调整或者不可抗力导致合同不得不终止，甲乙双方应该相互理解，妥善处理终止合同所涉及相关事宜，互不追究对方责任。</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⑶本合同其它未尽事宜及与采购文件有矛盾之处，以采购文件（标书编号：  ）为准。</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⑷合同的变更：甲方在履行完政府采购计划变更手续并完成相关采购程序后，签订政府采购补充（变更）协议后予以变更。</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⑸本合同自双方签章后生效。</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甲方（盖章）：                        乙方（盖章）：</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法定代表人(签字)：                    法定代表人(签字)：</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委托代表人(签字)     </w:t>
      </w:r>
      <w:r>
        <w:rPr>
          <w:rFonts w:hint="eastAsia" w:ascii="宋体" w:hAnsi="宋体" w:eastAsia="宋体" w:cs="宋体"/>
          <w:color w:val="000000"/>
          <w:sz w:val="24"/>
        </w:rPr>
        <w:tab/>
      </w:r>
      <w:r>
        <w:rPr>
          <w:rFonts w:hint="eastAsia" w:ascii="宋体" w:hAnsi="宋体" w:eastAsia="宋体" w:cs="宋体"/>
          <w:color w:val="000000"/>
          <w:sz w:val="24"/>
        </w:rPr>
        <w:t xml:space="preserve">             委托代表人(签字)：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联系电话：                            联系电话：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开户行：                              开户行：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账号：                                账号： </w:t>
      </w:r>
      <w:r/>
    </w:p>
    <w:p>
      <w:pPr>
        <w:pStyle w:val="76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签订时间：    年  月   日            签订时间：   年   月   日</w:t>
      </w:r>
      <w:r/>
    </w:p>
    <w:p>
      <w:pPr>
        <w:rPr>
          <w:rFonts w:hint="eastAsia" w:ascii="宋体" w:hAnsi="宋体" w:eastAsia="宋体" w:cs="宋体"/>
          <w:highlight w:val="none"/>
        </w:rPr>
      </w:pPr>
      <w:r>
        <w:rPr>
          <w:rFonts w:hint="eastAsia" w:ascii="宋体" w:hAnsi="宋体" w:eastAsia="宋体" w:cs="宋体"/>
          <w:highlight w:val="none"/>
        </w:rPr>
      </w:r>
      <w:r/>
    </w:p>
    <w:p>
      <w:pPr>
        <w:contextualSpacing/>
        <w:spacing w:before="240"/>
        <w:rPr>
          <w:rFonts w:hint="eastAsia" w:ascii="宋体" w:hAnsi="宋体" w:eastAsia="宋体" w:cs="宋体"/>
        </w:rPr>
      </w:pPr>
      <w:r>
        <w:rPr>
          <w:rFonts w:hint="eastAsia" w:ascii="宋体" w:hAnsi="宋体" w:eastAsia="宋体" w:cs="宋体"/>
          <w:sz w:val="24"/>
        </w:rPr>
        <w:t xml:space="preserve">             </w:t>
      </w:r>
      <w:r/>
    </w:p>
    <w:p>
      <w:pPr>
        <w:pStyle w:val="730"/>
        <w:ind w:left="0" w:firstLine="0"/>
        <w:rPr>
          <w:rFonts w:hint="eastAsia" w:ascii="宋体" w:hAnsi="宋体" w:eastAsia="宋体" w:cs="宋体"/>
          <w:sz w:val="30"/>
          <w:szCs w:val="30"/>
        </w:rPr>
      </w:pPr>
      <w:r>
        <w:rPr>
          <w:rFonts w:hint="eastAsia" w:ascii="宋体" w:hAnsi="宋体" w:eastAsia="宋体" w:cs="宋体"/>
          <w:sz w:val="30"/>
          <w:szCs w:val="30"/>
        </w:rPr>
      </w:r>
      <w:r/>
    </w:p>
    <w:p>
      <w:pPr>
        <w:pStyle w:val="730"/>
        <w:ind w:left="0" w:firstLine="0"/>
        <w:rPr>
          <w:rFonts w:hint="eastAsia" w:ascii="宋体" w:hAnsi="宋体" w:eastAsia="宋体" w:cs="宋体"/>
          <w:sz w:val="30"/>
          <w:szCs w:val="30"/>
        </w:rPr>
      </w:pPr>
      <w:r>
        <w:rPr>
          <w:rFonts w:hint="eastAsia" w:ascii="宋体" w:hAnsi="宋体" w:eastAsia="宋体" w:cs="宋体"/>
          <w:sz w:val="30"/>
          <w:szCs w:val="30"/>
        </w:rPr>
      </w:r>
      <w:r/>
    </w:p>
    <w:p>
      <w:pPr>
        <w:ind w:firstLine="300"/>
        <w:jc w:val="center"/>
        <w:widowControl/>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第六章  采购需求</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一、项目名称：徐州高新技术产业开发区管理委员会数据服务项目</w:t>
      </w:r>
      <w:r/>
    </w:p>
    <w:p>
      <w:pPr>
        <w:ind w:left="-1" w:right="-92"/>
        <w:spacing w:line="360" w:lineRule="auto"/>
        <w:rPr>
          <w:rFonts w:hint="eastAsia" w:ascii="宋体" w:hAnsi="宋体" w:eastAsia="宋体" w:cs="宋体"/>
          <w:b/>
          <w:bCs/>
          <w:sz w:val="24"/>
        </w:rPr>
      </w:pPr>
      <w:r>
        <w:rPr>
          <w:rFonts w:hint="eastAsia" w:ascii="宋体" w:hAnsi="宋体" w:eastAsia="宋体" w:cs="宋体"/>
          <w:b/>
          <w:bCs/>
          <w:sz w:val="24"/>
        </w:rPr>
        <w:t xml:space="preserve">二、预算金额：</w:t>
      </w:r>
      <w:r>
        <w:rPr>
          <w:rFonts w:hint="eastAsia" w:ascii="宋体" w:hAnsi="宋体" w:eastAsia="宋体" w:cs="宋体"/>
          <w:b/>
          <w:sz w:val="24"/>
        </w:rPr>
        <w:t xml:space="preserve">本项目</w:t>
      </w:r>
      <w:r>
        <w:rPr>
          <w:rFonts w:hint="eastAsia" w:ascii="宋体" w:hAnsi="宋体" w:cs="宋体"/>
          <w:b/>
          <w:sz w:val="24"/>
          <w:lang w:val="en-US" w:eastAsia="zh-CN"/>
        </w:rPr>
        <w:t xml:space="preserve">非专门面向中小微。</w:t>
      </w:r>
      <w:r>
        <w:rPr>
          <w:rFonts w:hint="eastAsia" w:ascii="宋体" w:hAnsi="宋体" w:eastAsia="宋体" w:cs="宋体"/>
          <w:b/>
          <w:sz w:val="24"/>
        </w:rPr>
        <w:t xml:space="preserve">不接受超过</w:t>
      </w:r>
      <w:r>
        <w:rPr>
          <w:rFonts w:hint="eastAsia" w:ascii="宋体" w:hAnsi="宋体" w:eastAsia="宋体" w:cs="宋体"/>
          <w:b/>
          <w:color w:val="000000"/>
          <w:sz w:val="24"/>
          <w:highlight w:val="yellow"/>
          <w:u w:val="single"/>
          <w:lang w:val="en-US" w:eastAsia="zh-CN"/>
        </w:rPr>
        <w:t xml:space="preserve">115</w:t>
      </w:r>
      <w:r>
        <w:rPr>
          <w:rFonts w:hint="eastAsia" w:ascii="宋体" w:hAnsi="宋体" w:eastAsia="宋体" w:cs="宋体"/>
          <w:b/>
          <w:sz w:val="24"/>
        </w:rPr>
        <w:t xml:space="preserve">万元人民币（采购项目预算金额）的投标报价；</w:t>
      </w:r>
      <w:r>
        <w:rPr>
          <w:rFonts w:hint="eastAsia" w:ascii="宋体" w:hAnsi="宋体" w:eastAsia="宋体" w:cs="宋体"/>
          <w:bCs/>
          <w:sz w:val="24"/>
        </w:rPr>
        <w:t xml:space="preserve">投标报价包括完成该服务的全部人工费、差旅费及其它辅助费用、管理、维护、保险、利润、税金、政策性文件规定及协议包含的所有风险、责任等各项应有费用，后续根据采购方实际使用量，超出部分另行计费。</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三、项目简要</w:t>
      </w:r>
      <w:r/>
    </w:p>
    <w:p>
      <w:pPr>
        <w:ind w:left="-1" w:right="-92" w:firstLine="480"/>
        <w:spacing w:line="360" w:lineRule="auto"/>
        <w:rPr>
          <w:rFonts w:hint="eastAsia" w:ascii="宋体" w:hAnsi="宋体" w:eastAsia="宋体" w:cs="宋体"/>
          <w:bCs/>
          <w:sz w:val="24"/>
        </w:rPr>
      </w:pPr>
      <w:r/>
      <w:bookmarkStart w:id="5" w:name="_Toc523404701"/>
      <w:r/>
      <w:bookmarkStart w:id="6" w:name="_Toc522790136"/>
      <w:r>
        <w:rPr>
          <w:rFonts w:hint="eastAsia" w:ascii="宋体" w:hAnsi="宋体" w:eastAsia="宋体" w:cs="宋体"/>
          <w:bCs/>
          <w:sz w:val="24"/>
        </w:rPr>
        <w:t xml:space="preserve">近年来,为促进数据汇聚和共享,高新区先后出台了多项文件,我区建设统一数据服务，一方面可以避免重复建设，节约建设资金，另一方面通过统一标准有效促进政府各部门之间的互连互通、业务协同，避免产生“信息孤岛”，同时有利于推动政府大数据开发与利用。</w:t>
      </w:r>
      <w:r/>
    </w:p>
    <w:p>
      <w:pPr>
        <w:spacing w:line="360" w:lineRule="auto"/>
        <w:tabs>
          <w:tab w:val="left" w:pos="438" w:leader="none"/>
        </w:tabs>
        <w:rPr>
          <w:rFonts w:hint="eastAsia" w:ascii="宋体" w:hAnsi="宋体" w:eastAsia="宋体" w:cs="宋体"/>
          <w:b/>
          <w:bCs/>
          <w:sz w:val="24"/>
        </w:rPr>
      </w:pPr>
      <w:r>
        <w:rPr>
          <w:rFonts w:hint="eastAsia" w:ascii="宋体" w:hAnsi="宋体" w:eastAsia="宋体" w:cs="宋体"/>
          <w:b/>
          <w:bCs/>
          <w:sz w:val="24"/>
        </w:rPr>
        <w:t xml:space="preserve">四、项目要求</w:t>
      </w:r>
      <w:r/>
    </w:p>
    <w:p>
      <w:pPr>
        <w:ind w:firstLine="480"/>
        <w:spacing w:line="360" w:lineRule="auto"/>
        <w:rPr>
          <w:rFonts w:hint="eastAsia" w:ascii="宋体" w:hAnsi="宋体" w:eastAsia="宋体" w:cs="宋体"/>
          <w:sz w:val="24"/>
          <w:highlight w:val="yellow"/>
        </w:rPr>
      </w:pPr>
      <w:r>
        <w:rPr>
          <w:rFonts w:hint="eastAsia" w:ascii="宋体" w:hAnsi="宋体" w:eastAsia="宋体" w:cs="宋体"/>
          <w:sz w:val="24"/>
        </w:rPr>
        <w:t xml:space="preserve">本项目主要包括通用数据中心基础服务和专有服务。此次采购的基础服务资源：vCPU </w:t>
      </w:r>
      <w:r>
        <w:rPr>
          <w:rFonts w:hint="eastAsia" w:ascii="宋体" w:hAnsi="宋体" w:eastAsia="宋体" w:cs="宋体"/>
          <w:sz w:val="24"/>
          <w:lang w:val="en-US" w:eastAsia="zh-CN"/>
        </w:rPr>
        <w:t xml:space="preserve">324</w:t>
      </w:r>
      <w:r>
        <w:rPr>
          <w:rFonts w:hint="eastAsia" w:ascii="宋体" w:hAnsi="宋体" w:eastAsia="宋体" w:cs="宋体"/>
          <w:sz w:val="24"/>
        </w:rPr>
        <w:t xml:space="preserve">核，内存</w:t>
      </w:r>
      <w:r>
        <w:rPr>
          <w:rFonts w:hint="eastAsia" w:ascii="宋体" w:hAnsi="宋体" w:eastAsia="宋体" w:cs="宋体"/>
          <w:sz w:val="24"/>
          <w:lang w:val="en-US" w:eastAsia="zh-CN"/>
        </w:rPr>
        <w:t xml:space="preserve">1248</w:t>
      </w:r>
      <w:r>
        <w:rPr>
          <w:rFonts w:hint="eastAsia" w:ascii="宋体" w:hAnsi="宋体" w:eastAsia="宋体" w:cs="宋体"/>
          <w:sz w:val="24"/>
        </w:rPr>
        <w:t xml:space="preserve">G，存储1100TB，带宽</w:t>
      </w:r>
      <w:r>
        <w:rPr>
          <w:rFonts w:hint="eastAsia" w:ascii="宋体" w:hAnsi="宋体" w:eastAsia="宋体" w:cs="宋体"/>
          <w:sz w:val="24"/>
          <w:lang w:val="en-US" w:eastAsia="zh-CN"/>
        </w:rPr>
        <w:t xml:space="preserve">82</w:t>
      </w:r>
      <w:r>
        <w:rPr>
          <w:rFonts w:hint="eastAsia" w:ascii="宋体" w:hAnsi="宋体" w:eastAsia="宋体" w:cs="宋体"/>
          <w:sz w:val="24"/>
        </w:rPr>
        <w:t xml:space="preserve">0M，供应商所提供的基础服务资源应总量应不低于vCPU 1000核，内存4500G，存储2800TB，带宽3000M；专有服务包括：公网IP、网络行为安全审计、安全监控服务（SOC）、安全扫描服务、防病毒软件等服务。</w:t>
      </w:r>
      <w:r>
        <w:rPr>
          <w:rFonts w:hint="eastAsia" w:ascii="宋体" w:hAnsi="宋体" w:eastAsia="宋体" w:cs="宋体"/>
          <w:color w:val="000000"/>
          <w:sz w:val="24"/>
        </w:rPr>
        <w:t xml:space="preserve">以下带“▲”的指标，如不满足或负偏离的，每项扣1分。投标人需根据采购需求在投标文件中做出逐条应答。</w:t>
      </w:r>
      <w:r/>
    </w:p>
    <w:p>
      <w:pPr>
        <w:spacing w:after="120"/>
        <w:rPr>
          <w:rFonts w:hint="eastAsia" w:ascii="宋体" w:hAnsi="宋体" w:eastAsia="宋体" w:cs="宋体"/>
          <w:b/>
          <w:bCs/>
          <w:color w:val="000000"/>
          <w:sz w:val="24"/>
        </w:rPr>
      </w:pPr>
      <w:r>
        <w:rPr>
          <w:rFonts w:hint="eastAsia" w:ascii="宋体" w:hAnsi="宋体" w:eastAsia="宋体" w:cs="宋体"/>
          <w:b/>
          <w:bCs/>
          <w:color w:val="000000"/>
          <w:sz w:val="24"/>
        </w:rPr>
        <w:t xml:space="preserve">（一）技术规格要求</w:t>
      </w:r>
      <w:r/>
    </w:p>
    <w:p>
      <w:pPr>
        <w:spacing w:line="360" w:lineRule="auto"/>
        <w:rPr>
          <w:rFonts w:hint="eastAsia" w:ascii="宋体" w:hAnsi="宋体" w:eastAsia="宋体" w:cs="宋体"/>
          <w:b/>
          <w:bCs/>
          <w:sz w:val="24"/>
        </w:rPr>
      </w:pPr>
      <w:r/>
      <w:bookmarkStart w:id="7" w:name="_Toc296687427"/>
      <w:r/>
      <w:bookmarkStart w:id="8" w:name="_Hlk111033010"/>
      <w:r>
        <w:rPr>
          <w:rFonts w:hint="eastAsia" w:ascii="宋体" w:hAnsi="宋体" w:eastAsia="宋体" w:cs="宋体"/>
          <w:b/>
          <w:bCs/>
          <w:sz w:val="24"/>
        </w:rPr>
        <w:t xml:space="preserve">1.机房环境要求</w:t>
      </w:r>
      <w:r/>
    </w:p>
    <w:p>
      <w:pPr>
        <w:spacing w:line="360" w:lineRule="auto"/>
        <w:rPr>
          <w:rFonts w:hint="eastAsia" w:ascii="宋体" w:hAnsi="宋体" w:eastAsia="宋体" w:cs="宋体"/>
          <w:sz w:val="24"/>
        </w:rPr>
      </w:pPr>
      <w:r/>
      <w:bookmarkStart w:id="9" w:name="OLE_LINK1"/>
      <w:r>
        <w:rPr>
          <w:rFonts w:hint="eastAsia" w:ascii="宋体" w:hAnsi="宋体" w:eastAsia="宋体" w:cs="宋体"/>
          <w:sz w:val="24"/>
          <w:highlight w:val="none"/>
        </w:rPr>
        <w:t xml:space="preserve">▲</w:t>
      </w:r>
      <w:bookmarkEnd w:id="9"/>
      <w:r>
        <w:rPr>
          <w:rFonts w:hint="eastAsia" w:ascii="宋体" w:hAnsi="宋体" w:eastAsia="宋体" w:cs="宋体"/>
          <w:sz w:val="24"/>
        </w:rPr>
        <w:t xml:space="preserve">投标人提供服务的信息系统机房，</w:t>
      </w:r>
      <w:r>
        <w:rPr>
          <w:rFonts w:hint="eastAsia" w:ascii="宋体" w:hAnsi="宋体" w:eastAsia="宋体" w:cs="宋体"/>
          <w:color w:val="000000"/>
          <w:sz w:val="24"/>
        </w:rPr>
        <w:t xml:space="preserve">应当</w:t>
      </w:r>
      <w:r>
        <w:rPr>
          <w:rFonts w:hint="eastAsia" w:ascii="宋体" w:hAnsi="宋体" w:eastAsia="宋体" w:cs="宋体"/>
          <w:sz w:val="24"/>
        </w:rPr>
        <w:t xml:space="preserve">具有较好的可靠性、安全性、可扩展性。</w:t>
      </w:r>
      <w:r>
        <w:rPr>
          <w:rFonts w:hint="eastAsia" w:ascii="宋体" w:hAnsi="宋体" w:eastAsia="宋体" w:cs="宋体"/>
          <w:color w:val="000000"/>
          <w:sz w:val="24"/>
        </w:rPr>
        <w:t xml:space="preserve">投标人提供服务于本项目的机房，在徐州市行政区域内且直线距离高新区政府所在地30公里以下（中标后满足）。（机房所在铜山区或徐州高新区区域内）</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1.1电源系统</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1.1.1▲供配电要求</w:t>
      </w:r>
      <w:r/>
    </w:p>
    <w:p>
      <w:pPr>
        <w:spacing w:line="360" w:lineRule="auto"/>
        <w:rPr>
          <w:rFonts w:hint="eastAsia" w:ascii="宋体" w:hAnsi="宋体" w:eastAsia="宋体" w:cs="宋体"/>
          <w:sz w:val="24"/>
        </w:rPr>
      </w:pPr>
      <w:r>
        <w:rPr>
          <w:rFonts w:hint="eastAsia" w:ascii="宋体" w:hAnsi="宋体" w:eastAsia="宋体" w:cs="宋体"/>
          <w:sz w:val="24"/>
        </w:rPr>
        <w:t xml:space="preserve">1)机房采用双路市电供电，且两个电源不应同时受到损坏。</w:t>
      </w:r>
      <w:r/>
    </w:p>
    <w:p>
      <w:pPr>
        <w:spacing w:line="360" w:lineRule="auto"/>
        <w:rPr>
          <w:rFonts w:hint="eastAsia" w:ascii="宋体" w:hAnsi="宋体" w:eastAsia="宋体" w:cs="宋体"/>
          <w:sz w:val="24"/>
        </w:rPr>
      </w:pPr>
      <w:r>
        <w:rPr>
          <w:rFonts w:hint="eastAsia" w:ascii="宋体" w:hAnsi="宋体" w:eastAsia="宋体" w:cs="宋体"/>
          <w:sz w:val="24"/>
        </w:rPr>
        <w:t xml:space="preserve">2)机房的电力可用性达到99.99%。</w:t>
      </w:r>
      <w:r/>
    </w:p>
    <w:p>
      <w:pPr>
        <w:spacing w:line="360" w:lineRule="auto"/>
        <w:rPr>
          <w:rFonts w:hint="eastAsia" w:ascii="宋体" w:hAnsi="宋体" w:eastAsia="宋体" w:cs="宋体"/>
          <w:sz w:val="24"/>
        </w:rPr>
      </w:pPr>
      <w:r>
        <w:rPr>
          <w:rFonts w:hint="eastAsia" w:ascii="宋体" w:hAnsi="宋体" w:eastAsia="宋体" w:cs="宋体"/>
          <w:sz w:val="24"/>
        </w:rPr>
        <w:t xml:space="preserve">3)配置具备稳压和过电压防护功能的供配电系统。</w:t>
      </w:r>
      <w:r/>
    </w:p>
    <w:p>
      <w:pPr>
        <w:spacing w:line="360" w:lineRule="auto"/>
        <w:rPr>
          <w:rFonts w:hint="eastAsia" w:ascii="宋体" w:hAnsi="宋体" w:eastAsia="宋体" w:cs="宋体"/>
          <w:sz w:val="24"/>
        </w:rPr>
      </w:pPr>
      <w:r>
        <w:rPr>
          <w:rFonts w:hint="eastAsia" w:ascii="宋体" w:hAnsi="宋体" w:eastAsia="宋体" w:cs="宋体"/>
          <w:sz w:val="24"/>
        </w:rPr>
        <w:t xml:space="preserve">4)IT系统供电与空调等动力供电分开。</w:t>
      </w:r>
      <w:r/>
    </w:p>
    <w:p>
      <w:pPr>
        <w:spacing w:line="360" w:lineRule="auto"/>
        <w:rPr>
          <w:rFonts w:hint="eastAsia" w:ascii="宋体" w:hAnsi="宋体" w:eastAsia="宋体" w:cs="宋体"/>
          <w:sz w:val="24"/>
        </w:rPr>
      </w:pPr>
      <w:r>
        <w:rPr>
          <w:rFonts w:hint="eastAsia" w:ascii="宋体" w:hAnsi="宋体" w:eastAsia="宋体" w:cs="宋体"/>
          <w:sz w:val="24"/>
        </w:rPr>
        <w:t xml:space="preserve">5)机房内采用机柜专用PDU插座，并在机房内分别设置维修和测试用电源插座，两者有明显区别标志。</w:t>
      </w:r>
      <w:r/>
    </w:p>
    <w:p>
      <w:pPr>
        <w:spacing w:line="360" w:lineRule="auto"/>
        <w:rPr>
          <w:rFonts w:hint="eastAsia" w:ascii="宋体" w:hAnsi="宋体" w:eastAsia="宋体" w:cs="宋体"/>
          <w:sz w:val="24"/>
        </w:rPr>
      </w:pPr>
      <w:r>
        <w:rPr>
          <w:rFonts w:hint="eastAsia" w:ascii="宋体" w:hAnsi="宋体" w:eastAsia="宋体" w:cs="宋体"/>
          <w:sz w:val="24"/>
        </w:rPr>
        <w:t xml:space="preserve">6)末端配电：每台机柜配置A\B双路PDU（来自不同的UPS系统供电），每路不少于16个插孔，12个10A，4个16A，精密配电柜端配备32A空开。</w:t>
      </w:r>
      <w:r/>
    </w:p>
    <w:p>
      <w:pPr>
        <w:spacing w:line="360" w:lineRule="auto"/>
        <w:rPr>
          <w:rFonts w:hint="eastAsia" w:ascii="宋体" w:hAnsi="宋体" w:eastAsia="宋体" w:cs="宋体"/>
          <w:sz w:val="24"/>
        </w:rPr>
      </w:pPr>
      <w:r>
        <w:rPr>
          <w:rFonts w:hint="eastAsia" w:ascii="宋体" w:hAnsi="宋体" w:eastAsia="宋体" w:cs="宋体"/>
          <w:sz w:val="24"/>
        </w:rPr>
        <w:t xml:space="preserve">7)每台机柜的可用电力不小于13A。</w:t>
      </w:r>
      <w:r/>
    </w:p>
    <w:p>
      <w:pPr>
        <w:spacing w:line="360" w:lineRule="auto"/>
        <w:rPr>
          <w:rFonts w:hint="eastAsia" w:ascii="宋体" w:hAnsi="宋体" w:eastAsia="宋体" w:cs="宋体"/>
          <w:sz w:val="24"/>
        </w:rPr>
      </w:pPr>
      <w:r>
        <w:rPr>
          <w:rFonts w:hint="eastAsia" w:ascii="宋体" w:hAnsi="宋体" w:eastAsia="宋体" w:cs="宋体"/>
          <w:sz w:val="24"/>
        </w:rPr>
        <w:t xml:space="preserve">8)招标人租赁的机房区域的供电应通过两个路由引入。</w:t>
      </w:r>
      <w:r/>
    </w:p>
    <w:p>
      <w:pPr>
        <w:spacing w:line="360" w:lineRule="auto"/>
        <w:rPr>
          <w:rFonts w:hint="eastAsia" w:ascii="宋体" w:hAnsi="宋体" w:eastAsia="宋体" w:cs="宋体"/>
          <w:sz w:val="24"/>
        </w:rPr>
      </w:pPr>
      <w:r>
        <w:rPr>
          <w:rFonts w:hint="eastAsia" w:ascii="宋体" w:hAnsi="宋体" w:eastAsia="宋体" w:cs="宋体"/>
          <w:sz w:val="24"/>
        </w:rPr>
        <w:t xml:space="preserve">9)可提供单相及三相设备用电。</w:t>
      </w:r>
      <w:r/>
    </w:p>
    <w:p>
      <w:pPr>
        <w:spacing w:line="360" w:lineRule="auto"/>
        <w:rPr>
          <w:rFonts w:hint="eastAsia" w:ascii="宋体" w:hAnsi="宋体" w:eastAsia="宋体" w:cs="宋体"/>
          <w:sz w:val="24"/>
        </w:rPr>
      </w:pPr>
      <w:r>
        <w:rPr>
          <w:rFonts w:hint="eastAsia" w:ascii="宋体" w:hAnsi="宋体" w:eastAsia="宋体" w:cs="宋体"/>
          <w:sz w:val="24"/>
        </w:rPr>
        <w:t xml:space="preserve">10）配电列头柜应采用精密配电柜，并具备防雷功能。</w:t>
      </w:r>
      <w:r/>
    </w:p>
    <w:p>
      <w:pPr>
        <w:spacing w:line="360" w:lineRule="auto"/>
        <w:rPr>
          <w:rFonts w:hint="eastAsia" w:ascii="宋体" w:hAnsi="宋体" w:eastAsia="宋体" w:cs="宋体"/>
          <w:sz w:val="24"/>
        </w:rPr>
      </w:pPr>
      <w:r>
        <w:rPr>
          <w:rFonts w:hint="eastAsia" w:ascii="宋体" w:hAnsi="宋体" w:eastAsia="宋体" w:cs="宋体"/>
          <w:sz w:val="24"/>
        </w:rPr>
        <w:t xml:space="preserve">11）配电列头柜出线开关应有一定的预留，以满足采购人的扩容需要。</w:t>
      </w:r>
      <w:r/>
    </w:p>
    <w:p>
      <w:pPr>
        <w:spacing w:line="360" w:lineRule="auto"/>
        <w:rPr>
          <w:rFonts w:hint="eastAsia" w:ascii="宋体" w:hAnsi="宋体" w:eastAsia="宋体" w:cs="宋体"/>
          <w:sz w:val="24"/>
        </w:rPr>
      </w:pPr>
      <w:r>
        <w:rPr>
          <w:rFonts w:hint="eastAsia" w:ascii="宋体" w:hAnsi="宋体" w:eastAsia="宋体" w:cs="宋体"/>
          <w:sz w:val="24"/>
        </w:rPr>
        <w:t xml:space="preserve">12）机房内需提供完备、可靠的接地系统。</w:t>
      </w:r>
      <w:r/>
    </w:p>
    <w:p>
      <w:pPr>
        <w:spacing w:line="360" w:lineRule="auto"/>
        <w:rPr>
          <w:rFonts w:hint="eastAsia" w:ascii="宋体" w:hAnsi="宋体" w:eastAsia="宋体" w:cs="宋体"/>
          <w:sz w:val="24"/>
        </w:rPr>
      </w:pPr>
      <w:r>
        <w:rPr>
          <w:rFonts w:hint="eastAsia" w:ascii="宋体" w:hAnsi="宋体" w:eastAsia="宋体" w:cs="宋体"/>
          <w:sz w:val="24"/>
        </w:rPr>
        <w:t xml:space="preserve">13）机房接地电阻小于1欧。</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1.1.2▲UPS电源要求</w:t>
      </w:r>
      <w:r/>
    </w:p>
    <w:p>
      <w:pPr>
        <w:spacing w:line="360" w:lineRule="auto"/>
        <w:rPr>
          <w:rFonts w:hint="eastAsia" w:ascii="宋体" w:hAnsi="宋体" w:eastAsia="宋体" w:cs="宋体"/>
          <w:sz w:val="24"/>
        </w:rPr>
      </w:pPr>
      <w:r>
        <w:rPr>
          <w:rFonts w:hint="eastAsia" w:ascii="宋体" w:hAnsi="宋体" w:eastAsia="宋体" w:cs="宋体"/>
          <w:sz w:val="24"/>
        </w:rPr>
        <w:t xml:space="preserve">1）冗余要求：</w:t>
      </w:r>
      <w:r>
        <w:rPr>
          <w:rFonts w:hint="eastAsia" w:ascii="宋体" w:hAnsi="宋体" w:eastAsia="宋体" w:cs="宋体"/>
          <w:color w:val="000000"/>
          <w:sz w:val="24"/>
        </w:rPr>
        <w:t xml:space="preserve">机房UPS配备2N冗余方式（提供竣工验收资料）。</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2）满载情况下电池后备时间应不低于15分钟，采购人租赁机房区域内每个机柜要求由分别来源于两路UPS的两路电力供应（提供竣工验收资料）。</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1.1.3▲柴油发电机要求</w:t>
      </w:r>
      <w:r/>
    </w:p>
    <w:p>
      <w:pPr>
        <w:spacing w:line="360" w:lineRule="auto"/>
        <w:rPr>
          <w:rFonts w:hint="eastAsia" w:ascii="宋体" w:hAnsi="宋体" w:eastAsia="宋体" w:cs="宋体"/>
          <w:sz w:val="24"/>
        </w:rPr>
      </w:pPr>
      <w:r>
        <w:rPr>
          <w:rFonts w:hint="eastAsia" w:ascii="宋体" w:hAnsi="宋体" w:eastAsia="宋体" w:cs="宋体"/>
          <w:sz w:val="24"/>
        </w:rPr>
        <w:t xml:space="preserve">1）要求：</w:t>
      </w:r>
      <w:r>
        <w:rPr>
          <w:rFonts w:hint="eastAsia" w:ascii="宋体" w:hAnsi="宋体" w:eastAsia="宋体" w:cs="宋体"/>
          <w:color w:val="000000"/>
          <w:sz w:val="24"/>
        </w:rPr>
        <w:t xml:space="preserve">提供柴油发电机系统（提供竣工验收资料）</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2）后备柴油发电机的容量包括UPS的基本容量、空调和制冷设备的基本容量、应急照明及关系到生命安全等需要的负荷容量。在双路市电同时中断的情况下，发电机组应能全自动启动及并机投运，提供应急电力供应，并满负荷平稳输出。发电机组自启动到具备供电条件的时长原则上应小于5分钟。</w:t>
      </w:r>
      <w:r/>
    </w:p>
    <w:p>
      <w:pPr>
        <w:spacing w:line="360" w:lineRule="auto"/>
        <w:rPr>
          <w:rFonts w:hint="eastAsia" w:ascii="宋体" w:hAnsi="宋体" w:eastAsia="宋体" w:cs="宋体"/>
          <w:sz w:val="24"/>
        </w:rPr>
      </w:pPr>
      <w:r>
        <w:rPr>
          <w:rFonts w:hint="eastAsia" w:ascii="宋体" w:hAnsi="宋体" w:eastAsia="宋体" w:cs="宋体"/>
          <w:sz w:val="24"/>
        </w:rPr>
        <w:t xml:space="preserve">3)油库容量：投标人提供服务的机房内应设置有大容量油库，发电机燃油储备应能满足所有发电机组满载运行不低于8小时，并可不停机加油。此外，投标人应与附近油站签署有优先供油保障协议，可确保发电机燃油在8小时内获得补充。</w:t>
      </w:r>
      <w:r>
        <w:rPr>
          <w:rFonts w:hint="eastAsia" w:ascii="宋体" w:hAnsi="宋体" w:eastAsia="宋体" w:cs="宋体"/>
          <w:color w:val="000000"/>
          <w:sz w:val="24"/>
        </w:rPr>
        <w:t xml:space="preserve">储油设施应符合国家相关标准规范要求（提供供油保障协议）</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4)柴油发电机组应具有自动启动、自动切换、自动停机功能，应急电源与正常电源之间必须采取防止并列运行的措施。</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1.2▲温湿度控制系统</w:t>
      </w:r>
      <w:r/>
    </w:p>
    <w:p>
      <w:pPr>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rPr>
        <w:t xml:space="preserve">机房精密空调应配备N+X冗余（X=1～N）机房专用空调（提供竣工验收资料）</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2)保持机房温度（开机时）23℃±1℃ ，相对湿度（开机时）40%-55%，不结露。</w:t>
      </w:r>
      <w:r/>
    </w:p>
    <w:p>
      <w:pPr>
        <w:spacing w:line="360" w:lineRule="auto"/>
        <w:rPr>
          <w:rFonts w:hint="eastAsia" w:ascii="宋体" w:hAnsi="宋体" w:eastAsia="宋体" w:cs="宋体"/>
          <w:sz w:val="24"/>
        </w:rPr>
      </w:pPr>
      <w:r>
        <w:rPr>
          <w:rFonts w:hint="eastAsia" w:ascii="宋体" w:hAnsi="宋体" w:eastAsia="宋体" w:cs="宋体"/>
          <w:sz w:val="24"/>
        </w:rPr>
        <w:t xml:space="preserve">3)送风方式：下送风、上回风，按冷、热通道分离布置。</w:t>
      </w:r>
      <w:r/>
    </w:p>
    <w:p>
      <w:pPr>
        <w:spacing w:line="360" w:lineRule="auto"/>
        <w:rPr>
          <w:rFonts w:hint="eastAsia" w:ascii="宋体" w:hAnsi="宋体" w:eastAsia="宋体" w:cs="宋体"/>
          <w:sz w:val="24"/>
        </w:rPr>
      </w:pPr>
      <w:r>
        <w:rPr>
          <w:rFonts w:hint="eastAsia" w:ascii="宋体" w:hAnsi="宋体" w:eastAsia="宋体" w:cs="宋体"/>
          <w:sz w:val="24"/>
        </w:rPr>
        <w:t xml:space="preserve">4)机房内维持正压，机房与走廊压差不小于5Pa，与室外静压差不小于10Pa。</w:t>
      </w:r>
      <w:r/>
    </w:p>
    <w:p>
      <w:pPr>
        <w:spacing w:line="360" w:lineRule="auto"/>
        <w:rPr>
          <w:rFonts w:hint="eastAsia" w:ascii="宋体" w:hAnsi="宋体" w:eastAsia="宋体" w:cs="宋体"/>
          <w:sz w:val="24"/>
        </w:rPr>
      </w:pPr>
      <w:r>
        <w:rPr>
          <w:rFonts w:hint="eastAsia" w:ascii="宋体" w:hAnsi="宋体" w:eastAsia="宋体" w:cs="宋体"/>
          <w:sz w:val="24"/>
        </w:rPr>
        <w:t xml:space="preserve">5)有漏水隐患处应安装漏水检测装置，针对空调漏水情况能够及时发现和报警。</w:t>
      </w:r>
      <w:r/>
    </w:p>
    <w:p>
      <w:pPr>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color w:val="000000"/>
          <w:sz w:val="24"/>
        </w:rPr>
        <w:t xml:space="preserve">空调系统由发电机提供后备电力保障（提供竣工验收资料）</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7)空调机组下方应设置挡水堰，并部署有漏水检测系统，漏水检测系统报警信号接入到环境监控系统，对机房漏水情况进行实时检测和处理。</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1.3▲消防系统</w:t>
      </w:r>
      <w:r/>
    </w:p>
    <w:p>
      <w:pPr>
        <w:spacing w:line="360" w:lineRule="auto"/>
        <w:rPr>
          <w:rFonts w:hint="eastAsia" w:ascii="宋体" w:hAnsi="宋体" w:eastAsia="宋体" w:cs="宋体"/>
          <w:sz w:val="24"/>
        </w:rPr>
      </w:pPr>
      <w:r>
        <w:rPr>
          <w:rFonts w:hint="eastAsia" w:ascii="宋体" w:hAnsi="宋体" w:eastAsia="宋体" w:cs="宋体"/>
          <w:sz w:val="24"/>
        </w:rPr>
        <w:t xml:space="preserve">1)机房区域具备消防功能，可提供集中式灭火报警系统。</w:t>
      </w:r>
      <w:r/>
    </w:p>
    <w:p>
      <w:pPr>
        <w:spacing w:line="360" w:lineRule="auto"/>
        <w:rPr>
          <w:rFonts w:hint="eastAsia" w:ascii="宋体" w:hAnsi="宋体" w:eastAsia="宋体" w:cs="宋体"/>
          <w:sz w:val="24"/>
        </w:rPr>
      </w:pPr>
      <w:r>
        <w:rPr>
          <w:rFonts w:hint="eastAsia" w:ascii="宋体" w:hAnsi="宋体" w:eastAsia="宋体" w:cs="宋体"/>
          <w:sz w:val="24"/>
        </w:rPr>
        <w:t xml:space="preserve">2)投标人提供服务的机房场地及配电室应设置感温、感烟双重报警系统。采用IG541或FM200环保洁净气体灭火系统。气体释放喷头应采取多路部署，分区灭火方式。无水管经过IT设备放置的机房区域。</w:t>
      </w:r>
      <w:r/>
    </w:p>
    <w:p>
      <w:pPr>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color w:val="000000"/>
          <w:sz w:val="24"/>
        </w:rPr>
        <w:t xml:space="preserve">消防中控室应配置有7×24小时专职消防监控人员，实时监控火灾自动报警系统。</w:t>
      </w:r>
      <w:r/>
    </w:p>
    <w:p>
      <w:pPr>
        <w:spacing w:line="360" w:lineRule="auto"/>
        <w:rPr>
          <w:rFonts w:hint="eastAsia" w:ascii="宋体" w:hAnsi="宋体" w:eastAsia="宋体" w:cs="宋体"/>
          <w:sz w:val="24"/>
        </w:rPr>
      </w:pPr>
      <w:r>
        <w:rPr>
          <w:rFonts w:hint="eastAsia" w:ascii="宋体" w:hAnsi="宋体" w:eastAsia="宋体" w:cs="宋体"/>
          <w:sz w:val="24"/>
        </w:rPr>
        <w:t xml:space="preserve">4)机房的安全出口应不少于两个，并设在机房的两端。机房门应向疏散方向开启，走廊、楼梯间应畅通并有明显的疏散指示标志。</w:t>
      </w:r>
      <w:r/>
    </w:p>
    <w:p>
      <w:pPr>
        <w:spacing w:line="360" w:lineRule="auto"/>
        <w:rPr>
          <w:rFonts w:hint="eastAsia" w:ascii="宋体" w:hAnsi="宋体" w:eastAsia="宋体" w:cs="宋体"/>
          <w:sz w:val="24"/>
        </w:rPr>
      </w:pPr>
      <w:r>
        <w:rPr>
          <w:rFonts w:hint="eastAsia" w:ascii="宋体" w:hAnsi="宋体" w:eastAsia="宋体" w:cs="宋体"/>
          <w:sz w:val="24"/>
        </w:rPr>
        <w:t xml:space="preserve">5)机房内应设置有独立的消防排烟系统。</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3.机房空间要求</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3.1机柜类型</w:t>
      </w:r>
      <w:r/>
    </w:p>
    <w:p>
      <w:pPr>
        <w:spacing w:line="360" w:lineRule="auto"/>
        <w:rPr>
          <w:rFonts w:hint="eastAsia" w:ascii="宋体" w:hAnsi="宋体" w:eastAsia="宋体" w:cs="宋体"/>
          <w:sz w:val="24"/>
        </w:rPr>
      </w:pPr>
      <w:r>
        <w:rPr>
          <w:rFonts w:hint="eastAsia" w:ascii="宋体" w:hAnsi="宋体" w:eastAsia="宋体" w:cs="宋体"/>
          <w:sz w:val="24"/>
        </w:rPr>
        <w:t xml:space="preserve">1)▲尺寸：必须满足标准19英寸机架设备安装上架要求，机柜尺寸不小于600×1100×2000mm，可用空间不小于42U，机柜内置走线槽及盘线器。</w:t>
      </w:r>
      <w:r/>
    </w:p>
    <w:p>
      <w:pPr>
        <w:spacing w:line="360" w:lineRule="auto"/>
        <w:rPr>
          <w:rFonts w:hint="eastAsia" w:ascii="宋体" w:hAnsi="宋体" w:eastAsia="宋体" w:cs="宋体"/>
          <w:sz w:val="24"/>
        </w:rPr>
      </w:pPr>
      <w:r>
        <w:rPr>
          <w:rFonts w:hint="eastAsia" w:ascii="宋体" w:hAnsi="宋体" w:eastAsia="宋体" w:cs="宋体"/>
          <w:sz w:val="24"/>
        </w:rPr>
        <w:t xml:space="preserve">2)内立柱：可固定标准19英寸机架设备，可以安装L型托架或托盘，满足主流设备导轨安装要求。</w:t>
      </w:r>
      <w:r/>
    </w:p>
    <w:p>
      <w:pPr>
        <w:spacing w:line="360" w:lineRule="auto"/>
        <w:rPr>
          <w:rFonts w:hint="eastAsia" w:ascii="宋体" w:hAnsi="宋体" w:eastAsia="宋体" w:cs="宋体"/>
          <w:sz w:val="24"/>
        </w:rPr>
      </w:pPr>
      <w:r>
        <w:rPr>
          <w:rFonts w:hint="eastAsia" w:ascii="宋体" w:hAnsi="宋体" w:eastAsia="宋体" w:cs="宋体"/>
          <w:sz w:val="24"/>
        </w:rPr>
        <w:t xml:space="preserve">3)承重：每机柜承重不低于800KG。</w:t>
      </w:r>
      <w:r/>
    </w:p>
    <w:p>
      <w:pPr>
        <w:spacing w:line="360" w:lineRule="auto"/>
        <w:rPr>
          <w:rFonts w:hint="eastAsia" w:ascii="宋体" w:hAnsi="宋体" w:eastAsia="宋体" w:cs="宋体"/>
          <w:sz w:val="24"/>
        </w:rPr>
      </w:pPr>
      <w:r>
        <w:rPr>
          <w:rFonts w:hint="eastAsia" w:ascii="宋体" w:hAnsi="宋体" w:eastAsia="宋体" w:cs="宋体"/>
          <w:sz w:val="24"/>
        </w:rPr>
        <w:t xml:space="preserve">4)▲托盘托架：机柜内托盘或托架数量可满足设备上架要求，每个托架或托盘要求承重不小于80KG。</w:t>
      </w:r>
      <w:r/>
    </w:p>
    <w:p>
      <w:pPr>
        <w:pStyle w:val="730"/>
        <w:ind w:left="0" w:firstLine="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4.云资源池要求：</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1.为保证系统稳定性，本次所投网络设备、安全设备、服务器设备优选同一品牌。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2.设备参数：</w:t>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数据中心核心交换机</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产品架构</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支持10G/40G/100G/400G全系列线卡，</w:t>
            </w:r>
            <w:r/>
          </w:p>
          <w:p>
            <w:pPr>
              <w:rPr>
                <w:rFonts w:hint="eastAsia" w:ascii="宋体" w:hAnsi="宋体" w:eastAsia="宋体" w:cs="宋体"/>
                <w:color w:val="000000"/>
                <w:sz w:val="24"/>
              </w:rPr>
            </w:pPr>
            <w:r>
              <w:rPr>
                <w:rFonts w:hint="eastAsia" w:ascii="宋体" w:hAnsi="宋体" w:eastAsia="宋体" w:cs="宋体"/>
                <w:color w:val="000000"/>
                <w:sz w:val="24"/>
              </w:rPr>
              <w:t xml:space="preserve">考虑用户网络未来5年扩展性及兼容性，以上速率板卡均可以混插，一起使用，无需更换主控及网板；</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交换机容量≥380Tbps，包转发率≥230400Mpps。以官网所列最低参数为准，提供官网截图证明。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▲硬件要求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主控板槽位数≥2，业务板槽位数≥8，独立交换网板槽位数≥6。提供官网截图证明。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二层功能</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支持ERPS以太环保护协议（G.8032）。</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三层功能</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支持MPLS L3 VPN，支持MPLS L2 VPN，支持MPLS VPLS，支持MPLS TE，支持MCE</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DC</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支持VxLAN 网关，支持基于IPv4/IPv6的VxLAN二三层互通，实配VxLAN功能</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▲虚拟化</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支持4框虚拟化，提供官网截图证明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路由协议</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支持IPv4、IPv6静态路由、动态单播路由、组播等协议。</w:t>
            </w:r>
            <w:r/>
          </w:p>
        </w:tc>
      </w:tr>
    </w:tbl>
    <w:p>
      <w:pPr>
        <w:spacing w:after="120"/>
        <w:rPr>
          <w:rFonts w:hint="eastAsia" w:ascii="宋体" w:hAnsi="宋体" w:eastAsia="宋体" w:cs="宋体"/>
          <w:sz w:val="24"/>
        </w:rPr>
      </w:pPr>
      <w:r>
        <w:rPr>
          <w:rFonts w:hint="eastAsia" w:ascii="宋体" w:hAnsi="宋体" w:eastAsia="宋体" w:cs="宋体"/>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数据中心汇聚交换机</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交换机容量≥4Tbps，包转发率≥1600Mpps。以官网所列最低参数为准，提供官网截图证明。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▲可靠性</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双模块化电源，双模块化风扇，前后或后前通风。提供官网截图证明。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路由协议</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支持IPv4、IPv6静态路由、动态单播路由、组播等协议。</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VPN</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支持MPLS L2 VPN、MPLS L3 VPN。</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VxLAN</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支持VxLAN二层互通，支持EVPN分布式网关二三层互通功能。</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实配10 GE光接口≥48个，40 GE光接口≥6个，万兆多模光模块≥24个，40G多模光模块≥4个，40G堆叠线缆≥2个。</w:t>
            </w:r>
            <w:r/>
          </w:p>
        </w:tc>
      </w:tr>
    </w:tbl>
    <w:p>
      <w:pPr>
        <w:spacing w:after="120"/>
        <w:rPr>
          <w:rFonts w:hint="eastAsia" w:ascii="宋体" w:hAnsi="宋体" w:eastAsia="宋体" w:cs="宋体"/>
          <w:color w:val="ff0000"/>
          <w:sz w:val="24"/>
        </w:rPr>
      </w:pPr>
      <w:r>
        <w:rPr>
          <w:rFonts w:hint="eastAsia" w:ascii="宋体" w:hAnsi="宋体" w:eastAsia="宋体" w:cs="宋体"/>
          <w:color w:val="ff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接入交换机</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交换机容量≥432Gbps，包转发率≥87Mpps。以官网所列最低参数为准，提供官网截图证明。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IPV4</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支持IPv4静态路由、RIP、OSPF。</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IPV6</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支持IPv6静态路由、RIPng、OSPFv3。</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▲虚拟化特性</w:t>
            </w:r>
            <w:r/>
          </w:p>
        </w:tc>
        <w:tc>
          <w:tcPr>
            <w:tcBorders>
              <w:top w:val="single" w:color="000000" w:sz="4" w:space="0"/>
              <w:left w:val="single" w:color="000000" w:sz="4" w:space="0"/>
              <w:bottom w:val="single" w:color="000000" w:sz="4" w:space="0"/>
              <w:right w:val="single" w:color="000000" w:sz="4" w:space="0"/>
            </w:tcBorders>
            <w:tcW w:w="631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支持N:1虚拟化技术（多台物理设备虚拟成一台逻辑交换机，简化网络管理且提高可靠性）；支持纵向虚拟化，提供官网截图</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组播</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支持IGMP Snooping，支持MLD Snooping，支持组播VLAN。</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二层环网协议</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支持STP/RSTP/MSTP协议，支持RRPP。</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▲智能网管功能</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支持以设备内置及图形化操作的方式，实现对网络的统一运维及管理。提供官网截图证明。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实配10/100/1000BASE-T电口≥48个，万兆SFP+口≥4个，万兆多模光模块≥4个。</w:t>
            </w:r>
            <w:r/>
          </w:p>
        </w:tc>
      </w:tr>
    </w:tbl>
    <w:p>
      <w:pPr>
        <w:spacing w:after="120"/>
        <w:rPr>
          <w:rFonts w:hint="eastAsia" w:ascii="宋体" w:hAnsi="宋体" w:eastAsia="宋体" w:cs="宋体"/>
          <w:color w:val="ff0000"/>
          <w:sz w:val="24"/>
        </w:rPr>
      </w:pPr>
      <w:r>
        <w:rPr>
          <w:rFonts w:hint="eastAsia" w:ascii="宋体" w:hAnsi="宋体" w:eastAsia="宋体" w:cs="宋体"/>
          <w:color w:val="ff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防火墙</w:t>
      </w:r>
      <w:r/>
    </w:p>
    <w:tbl>
      <w:tblPr>
        <w:tblStyle w:val="713"/>
        <w:tblW w:w="79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6659"/>
      </w:tblGrid>
      <w:tr>
        <w:trPr>
          <w:jc w:val="center"/>
          <w:trHeight w:val="285"/>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指标项</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技术规格要求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千兆电口≥10；千兆光接口≥2；万兆光口≥8；配置双电源；</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硬件架构</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采用多核架构；支持交流、直流双电源；支持风扇可插拔；支持前后风道</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吞吐量≥40Gbps，最大并发连接数≥1600万，每秒新建连接数≥50万，IPSec吞吐量≥16Gbps，SSL_VPN吞吐量≥2.8Gbps，IPS吞吐量≥18Gbps；</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▲安全策略</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支持一体化安全策略，能够基于时间、用户/用户组、应用层协议、内容安全统一界面进行安全策略配置（提供功能截图)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支持策略风险调优，支持安全策略优化分析，支持策略数冗余及命中分析，支持基于应用风险的策略调优，可根据流量、应用、风险类型等细粒度展示，并给出总体安全评分，便于用户更好的管理安全策略。</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路由功能</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支持静态路由、策略路由、RIP、OSPF、BGP、ISIS等路由协议</w:t>
            </w:r>
            <w:r/>
          </w:p>
        </w:tc>
      </w:tr>
      <w:tr>
        <w:trPr>
          <w:jc w:val="center"/>
          <w:trHeight w:val="638"/>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策略路由支持的匹配条件：源IP/目的IP，服务类型，应用类型，报文长度等</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IPV6</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支持IPv6 over IPv4 GRE隧道，6RD隧道</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协议识别</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可识别应用层协议数量≥5000种；支持识别国标SIP协议及主流安防厂家的私有协议</w:t>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流量控制</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可支持基于应用层协议设置流控策略，包括设置最大带宽、保证带宽、协议流量优先级等。</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支持基于用户，IP的带宽保证</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支持每IP，每用户的最大连接数限制，防护服务器</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支持用户流量配额管理</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支持流量整形</w:t>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▲DDoS防护</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支持HTTP、HTTPS、DNS、SIP等应用层Flood攻击，支持流量自学习功能，可设置自学习时间，并自动生成DDoS防范策略</w:t>
            </w:r>
            <w:r/>
          </w:p>
        </w:tc>
      </w:tr>
      <w:tr>
        <w:trPr>
          <w:jc w:val="center"/>
          <w:trHeight w:val="307"/>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支持IP信誉。（提供功能截图）</w:t>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NAT</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支持全面NAT功能，对多种应用层协议支持ALG功能，包括ILS、DNS、PPTP、SIP、FTP、ICQ、RTSP、QQ、MSN、MMS等</w:t>
            </w:r>
            <w:r/>
          </w:p>
        </w:tc>
      </w:tr>
      <w:tr>
        <w:trPr>
          <w:jc w:val="center"/>
          <w:trHeight w:val="366"/>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支持源NAT自动探测并排除NAT-IP地址池中无效地址（防封杀）</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支持源NAT地址池使用率超限告警</w:t>
            </w:r>
            <w:r/>
          </w:p>
        </w:tc>
      </w:tr>
      <w:tr>
        <w:trPr>
          <w:jc w:val="center"/>
          <w:trHeight w:val="346"/>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支持三元组NAT smart-fullcone。</w:t>
            </w:r>
            <w:r/>
          </w:p>
        </w:tc>
      </w:tr>
      <w:tr>
        <w:trPr>
          <w:jc w:val="center"/>
          <w:trHeight w:val="398"/>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入侵防御及病毒防护</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基于特征检测，支持超过14000种特征的攻击检测和防御</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支持基于场景进行策略入侵防御的模板定制</w:t>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基于对包括但不限于操作系统、网络设备、办公软件、网页服务等保护对象的入侵防御策略，支持基于对漏洞、恶意文件、信息收集类攻击等的攻击分类的防护策略，支持基于服务器、客户端的防护策略，且缺省动作支持黑名单</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可以支持HTTP、FTP、SMTP、POP3、IMAP、NFS等协议的病毒防护</w:t>
            </w:r>
            <w:r/>
          </w:p>
        </w:tc>
      </w:tr>
      <w:tr>
        <w:trPr>
          <w:jc w:val="center"/>
          <w:trHeight w:val="666"/>
        </w:trPr>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加密流量安全防护</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支持对HTTPS，POP3S，SMTPS,IMAPS加密流量代理解密后，并进行内容过滤，审计，安全防护</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支持基于URL分类的精细化解密，提高解密性能</w:t>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可靠性</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支持HA平滑升级，升级窗口中支持不同版本的软件形成双机热备</w:t>
            </w:r>
            <w:r/>
          </w:p>
        </w:tc>
      </w:tr>
    </w:tbl>
    <w:p>
      <w:pPr>
        <w:rPr>
          <w:rFonts w:hint="eastAsia" w:ascii="宋体" w:hAnsi="宋体" w:eastAsia="宋体" w:cs="宋体"/>
          <w:color w:val="ff0000"/>
          <w:sz w:val="24"/>
        </w:rPr>
      </w:pPr>
      <w:r>
        <w:rPr>
          <w:rFonts w:hint="eastAsia" w:ascii="宋体" w:hAnsi="宋体" w:eastAsia="宋体" w:cs="宋体"/>
          <w:color w:val="ff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WAF</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▲硬件架构</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2U高，机架式硬件架构，双电源冗余，内存≥8G，硬盘≥1T。</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接口要求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万兆以太光口≥4个，万兆多模光模块≥4个。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扩展槽位</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扩展槽位≥4个。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应用层吞吐量(get 64k页面）≥3Gbps，HTTP最大并发连接数≥80W，HTTP最大新建连接数≥4W，保护网站站点数量无限制。</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部署模式</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支持透明流模式、透明代理模式、反向代理模式、路由牵引模式、镜像检测模式及镜像阻断模式。</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旁路阻断</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支持旁路镜像模式下，对检测到的攻击进行旁路阻断。</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▲WEB安全防护</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可针对暴力破解等自动化攻击进行有效防护。（提供截图证明）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支持页面访问顺序规则防护。</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网站自学习建模，可通过学习URL、host等信息展示网站结构树形图，并支持对URL的访问量和响应健康度进行图形化统计；支持通过自学习的URL参数的长度、类型、范围及请求方法等数据特点创建黑白名单模型，如果参数违反模型则判断为非法流量，直接执行阻断或封禁动作。</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运维审计</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硬件配置</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双电源冗余，内存≥8G，硬盘≥4T。</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接口要求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万兆以太光口≥4个，千兆以太电口≥6个，万兆多模光模块≥4个。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扩展槽位</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扩展槽位≥1个。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最大图形并发连接数200个，最大字符并发连接数700个。本次实配300个资产的管理能力，支持无限个资产管理的扩容能力。</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浏览器</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支持Chrome、Firefox、IE、Safrai等主流浏览器，产品应用不依赖JAVA及Flash。</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▲身份认证</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可以将自定义角色组合为全新的认证方式。（提供截图证明）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支持AD账号的自动化同步，可将未纳管的AD账号自动添加到系统中并自动赋予指定角色，无需管理员干预。提供截图证明。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协议类型</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支持SSH、Telnet、RDP、SFTP、XD两种认证方式MCP、VNC等多种协议，支持通过应用发布方式实现对BS、CS应用的纳管。</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▲动态视图</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支持按不同属性对资产进行多级分类并自动生成树状结构的资源视图。（提供截图证明）</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审计分析</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支持资源、用户、操作三个维度审计智能检索，其中在操作检索层面，支持多关键字检索，检索结果直接定位到相关操作片段，并能将多个会话的操作片段进行一键合并和基于时间的操作排序重组。</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数据库审计</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硬件配置</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双电源冗余，内存≥4G，硬盘≥2T。</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接口要求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万兆以太光口≥4个，千兆以太电口≥4个，万兆多模光模块≥4个。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扩展槽位</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扩展槽位≥1个。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SQL峰值处理能力不低于3万条/秒，日志存储数量不低于4亿条，可支持审计2个业务系统，每业务挂载数据库数量不限。</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管理部署</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界面直观展示设备运</w:t>
            </w:r>
            <w:r>
              <w:rPr>
                <w:rFonts w:hint="eastAsia" w:ascii="宋体" w:hAnsi="宋体" w:eastAsia="宋体" w:cs="宋体"/>
                <w:color w:val="000000"/>
                <w:sz w:val="24"/>
              </w:rPr>
              <w:t xml:space="preserve">行态势，通过五个色块动态展示服务运行状况、审计数据总量、告警总量、健康度（根据健康度自动变化颜色）、系统连续运行时间等重要信息。可在长达90日的时间范围内手动选择展示区间，同时支持以1分钟、10分钟、1小时作为统计单元。系统运行态势，包含SQL事务数（会话数据、明细数据、告警数据）、CPU、内存、负载。支持磁盘和固态盘的I/O使用率、存储状态实时展示，要求存储状态支持类型占比，类型包括数据库文件、备份文件、索引文件、交换文件、数据库缓存、其他，以及提供磁盘健康状态和可用容量预测。以上内容需在同一界面中展示。</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数据分析</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事件告警，发现异常或非法行为。提供事件追踪页面，通过事件关联追踪排查事件，多维度定位事件状态，包括地点追踪、屏幕录像，且屏幕录像与该事件一样对应。支持快捷规则配置；同时，支持对审计数据的多种响应方式，包含过滤、记录、windows消息、邮件、syslog、SNMP、屏幕录像、网关联动等多种事件告警和提示方式，第一时间向负责人发送告警信息。</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业务审计</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提供监察人员使用的监察视图，可展示今日、本周以及本月统方事件，同时可根据工号为对象进行二次钻取，展示统方事件分布。</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报表与查询</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普通查询、模糊查询、明细查询、词组查询、流水号查询五种匹配命中方式，同时可叠加多达27种查询条件，其中包含会话语句种类、重复程度、耗时、数量、排除关键字及时段选择，查询结果支持多种格式导出。</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日志审计</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硬件配置</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双电源冗余，内存≥2*16G，硬盘≥3*4T。</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接口要求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万兆以太光口≥2个，千兆以太电口≥4个，万兆多模光模块≥2个。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扩展槽位</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扩展槽≥3个。</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▲性能要求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事件入库性≥4000 EPS，日志源≥1024。</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日志管理</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日志按设备类型分布、日志按等级分布、日志按类型分布，并且支持下钻查看详细信息。</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关联分析</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可对多源日志进行递归关联、时序关联、统计关联等方式关联分析，提升安全分析结果准确性。</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日志检索</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支持全文检索原始日志；支持任意信息、任意时间进行内容查询匹配，支持可选包含/不包含匹配方式。</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统计报表</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支持自定义报表中日志统计维度、统计方式（柱状图、饼状图、折线图、表格）。支持用户自定义报表样式，可基于日志、关联事件结果生成50多种维度的自定义统计报告。</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终端安全管理系统</w:t>
      </w:r>
      <w:r/>
    </w:p>
    <w:tbl>
      <w:tblPr>
        <w:tblStyle w:val="936"/>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5"/>
      </w:tblGrid>
      <w:tr>
        <w:trPr>
          <w:jc w:val="center"/>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▲病毒引擎</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具备人工智能引擎，人工智能引擎支持PE/OFFICE/PDF常见文件类型威胁检测。</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信任名单</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支持目录白名单、文件哈希白名单、签名证书白名单三种方式。</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漏洞修复</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漏洞修复支持内网WSUS和互联网、隔离环境三种工作模式。</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用户体验</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Windows/Linux/国产操作系统提供相同的杀毒UI界面。</w:t>
            </w:r>
            <w:r/>
          </w:p>
        </w:tc>
      </w:tr>
      <w:tr>
        <w:trPr>
          <w:jc w:val="center"/>
        </w:trPr>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15"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实配3年40个Linux系统杀毒授权、3年100个Windows Server系统杀毒授权。</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管理节点服务器</w:t>
      </w:r>
      <w:r/>
    </w:p>
    <w:tbl>
      <w:tblPr>
        <w:tblStyle w:val="938"/>
        <w:tblW w:w="83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6386"/>
      </w:tblGrid>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外型</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机架式，高度≥2U，标配原厂导轨；</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CPU型号</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Intel Xeon Scalable Cascade Lake系列，单颗处理器主频≥2.2GHz,核数≥10；</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CPU数量</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bookmarkStart w:id="10" w:name="RANGE!D7"/>
            <w:r/>
            <w:bookmarkEnd w:id="10"/>
            <w:r>
              <w:rPr>
                <w:rFonts w:hint="eastAsia" w:ascii="宋体" w:hAnsi="宋体" w:eastAsia="宋体" w:cs="宋体"/>
                <w:color w:val="000000"/>
                <w:sz w:val="24"/>
              </w:rPr>
              <w:t xml:space="preserve">≥2颗；</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≥256GB DDR4 3200MHz内存；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▲内存扩展</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最大支持24根DDR4内存，最高速率2933MT/s，支持RDIMM或LRDIMM，最大容量3.0TB；</w:t>
            </w:r>
            <w:r/>
          </w:p>
          <w:p>
            <w:pPr>
              <w:rPr>
                <w:rFonts w:hint="eastAsia" w:ascii="宋体" w:hAnsi="宋体" w:eastAsia="宋体" w:cs="宋体"/>
                <w:color w:val="000000"/>
                <w:sz w:val="24"/>
              </w:rPr>
            </w:pPr>
            <w:r>
              <w:rPr>
                <w:rFonts w:hint="eastAsia" w:ascii="宋体" w:hAnsi="宋体" w:eastAsia="宋体" w:cs="宋体"/>
                <w:color w:val="000000"/>
                <w:sz w:val="24"/>
              </w:rPr>
              <w:t xml:space="preserve">支持12根英特尔傲腾数据中心级持久内存（DCPMM）；</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配置≥2*1.8TB 10K SAS硬盘；配置≥2*960GB 读写混合型及以上级别SSD硬盘；配置≥2*8TB 7.2K SATA硬盘；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硬盘槽位</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配置≥8个3.5寸机械硬盘槽位，此型号服务器可扩展至≥40个硬盘槽位；</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NVMe支持</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最高支持32块前置NVMe硬盘；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阵列控制器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≥1个标配SAS RAID阵列卡（需占用PCIe扩展槽），支持RAID0/1/5/6/50/60/10/1E/Simple Volume,2GB缓存，支持掉电保护；</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PCIE插槽</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实配≥4个标准PCIE3.0插槽，最多提供≥10个PCIE3.0插槽；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网卡</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配置≥4个万兆以太网光口；</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电源风扇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2个≥550w白金版热插拔冗余电源，支持96%能效比的钛金级电源选件；热插拔冗余风扇；</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工作温度</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支持ASHARE A3和A4标准，最高5-50°C标准工作温度；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配置≥1Gb独立的远程管理控制端口；</w:t>
            </w:r>
            <w:r>
              <w:rPr>
                <w:rFonts w:hint="eastAsia" w:ascii="宋体" w:hAnsi="宋体" w:eastAsia="宋体" w:cs="宋体"/>
                <w:color w:val="000000"/>
                <w:sz w:val="24"/>
              </w:rPr>
              <w:br/>
            </w:r>
            <w:r>
              <w:rPr>
                <w:rFonts w:hint="eastAsia" w:ascii="宋体" w:hAnsi="宋体" w:eastAsia="宋体" w:cs="宋体"/>
                <w:color w:val="000000"/>
                <w:sz w:val="24"/>
              </w:rPr>
              <w:t xml:space="preserve">支持虚拟KVM功能, 可实现与操作系统无关的远程对服务器的完全控制，包括远程的开机、关机、重启、更新Firmware、虚拟光驱、等操作，提供服务器健康日记、服务器控制台录屏/回放功能，能够提供电源监控，支持3D图形化的机箱内部温度拓扑图显示，可支持动态功率封顶；</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嵌入式管理模块支持防火墙功能，可基于MAC地址，IP定义访问规则，支持OTP的双因素认证方案，提高系统安全性；</w:t>
            </w:r>
            <w:r/>
          </w:p>
          <w:p>
            <w:pPr>
              <w:rPr>
                <w:rFonts w:hint="eastAsia" w:ascii="宋体" w:hAnsi="宋体" w:eastAsia="宋体" w:cs="宋体"/>
                <w:color w:val="000000"/>
                <w:sz w:val="24"/>
              </w:rPr>
            </w:pPr>
            <w:r>
              <w:rPr>
                <w:rFonts w:hint="eastAsia" w:ascii="宋体" w:hAnsi="宋体" w:eastAsia="宋体" w:cs="宋体"/>
                <w:color w:val="000000"/>
                <w:sz w:val="24"/>
              </w:rPr>
              <w:t xml:space="preserve">用户（本地，远程）统一配置到不同的用户组，用户的权限由角色定义，提高系统安全性；</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便捷管理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支持SNMP、SMTP、短信、微信、语音告警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硬件安全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可配置机箱入侵侦测，在外部打开机箱时提供报警功能；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▲智能模块</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支持防火墙、IPS、防病毒和QoS的安全功能，（提供官网截图）</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集群管理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要求配置集群统一管理平台，支持对服务器、交换机及机箱的统一管理、状态监控、模板化部署等功能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配置主机3台，配置不小于上述要求。</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监控节点服务器</w:t>
      </w:r>
      <w:r/>
    </w:p>
    <w:tbl>
      <w:tblPr>
        <w:tblStyle w:val="938"/>
        <w:tblW w:w="83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6386"/>
      </w:tblGrid>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外型</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机架式，高度≥2U，标配原厂导轨；</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CPU型号</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Intel Xeon Scalable Cascade Lake系列，单颗处理器主频≥2.2GHz,核数≥10；</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CPU数量</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≥2颗；</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≥256GB DDR4 3200MHz内存；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▲内存扩展</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最大支持24根DDR4内存，最高速率2933MT/s，支持RDIMM或LRDIMM，最大容量3.0TB；</w:t>
            </w:r>
            <w:r/>
          </w:p>
          <w:p>
            <w:pPr>
              <w:rPr>
                <w:rFonts w:hint="eastAsia" w:ascii="宋体" w:hAnsi="宋体" w:eastAsia="宋体" w:cs="宋体"/>
                <w:color w:val="000000"/>
                <w:sz w:val="24"/>
              </w:rPr>
            </w:pPr>
            <w:r>
              <w:rPr>
                <w:rFonts w:hint="eastAsia" w:ascii="宋体" w:hAnsi="宋体" w:eastAsia="宋体" w:cs="宋体"/>
                <w:color w:val="000000"/>
                <w:sz w:val="24"/>
              </w:rPr>
              <w:t xml:space="preserve">支持12根英特尔傲腾数据中心级持久内存（DCPMM）；</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配置≥2*1.8TB 10K SAS硬盘；配置≥2*960GB 读写混合型及以上级别SSD硬盘；配置≥2*8TB 7.2K SATA硬盘；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硬盘槽位</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配置≥8个3.5寸机械硬盘槽位，此型号服务器可扩展至≥40个硬盘槽位；</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NVMe支持</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最高支持32块前置NVMe硬盘；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阵列控制器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≥1个标配SAS RAID阵列卡（需占用PCIe扩展槽），支持RAID0/1/5/6/50/60/10/1E/Simple Volume,2GB缓存，支持掉电保护；</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PCIE插槽</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实配≥4个标准PCIE3.0插槽，最多提供≥10个PCIE3.0插槽；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网卡</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配置≥4个万兆以太网光口；</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电源风扇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2个≥550w白金版热插拔冗余电源，支持96%能效比的钛金级电源选件；热插拔冗余风扇；</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工作温度</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支持ASHARE A3和A4标准，最高5-50°C标准工作温度；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配置≥1Gb独立的远程管理控制端口；</w:t>
            </w:r>
            <w:r>
              <w:rPr>
                <w:rFonts w:hint="eastAsia" w:ascii="宋体" w:hAnsi="宋体" w:eastAsia="宋体" w:cs="宋体"/>
                <w:color w:val="000000"/>
                <w:sz w:val="24"/>
              </w:rPr>
              <w:br/>
            </w:r>
            <w:r>
              <w:rPr>
                <w:rFonts w:hint="eastAsia" w:ascii="宋体" w:hAnsi="宋体" w:eastAsia="宋体" w:cs="宋体"/>
                <w:color w:val="000000"/>
                <w:sz w:val="24"/>
              </w:rPr>
              <w:t xml:space="preserve">支持虚拟KVM功能, 可实现与操作系统无关的远程对服务器的完全控制，包括远程的开机、关机、重启、更新Firmware、虚拟光驱、等操作，提供服务器健康日记、服务器控制台录屏/回放功能，能够提供电源监控，支持3D图形化的机箱内部温度拓扑图显示，可支持动态功率封顶；</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嵌入式管理模块支持防火墙功能，可基于MAC地址，IP定义访问规则；</w:t>
            </w:r>
            <w:r/>
          </w:p>
          <w:p>
            <w:pPr>
              <w:rPr>
                <w:rFonts w:hint="eastAsia" w:ascii="宋体" w:hAnsi="宋体" w:eastAsia="宋体" w:cs="宋体"/>
                <w:color w:val="000000"/>
                <w:sz w:val="24"/>
              </w:rPr>
            </w:pPr>
            <w:r>
              <w:rPr>
                <w:rFonts w:hint="eastAsia" w:ascii="宋体" w:hAnsi="宋体" w:eastAsia="宋体" w:cs="宋体"/>
                <w:color w:val="000000"/>
                <w:sz w:val="24"/>
              </w:rPr>
              <w:t xml:space="preserve">支持OTP的双因素认证方案，提高系统安全性；</w:t>
            </w:r>
            <w:r/>
          </w:p>
          <w:p>
            <w:pPr>
              <w:rPr>
                <w:rFonts w:hint="eastAsia" w:ascii="宋体" w:hAnsi="宋体" w:eastAsia="宋体" w:cs="宋体"/>
                <w:color w:val="000000"/>
                <w:sz w:val="24"/>
              </w:rPr>
            </w:pPr>
            <w:r>
              <w:rPr>
                <w:rFonts w:hint="eastAsia" w:ascii="宋体" w:hAnsi="宋体" w:eastAsia="宋体" w:cs="宋体"/>
                <w:color w:val="000000"/>
                <w:sz w:val="24"/>
              </w:rPr>
              <w:t xml:space="preserve">用户（本地，远程）统一配置到不同的用户组，用户的权限由角色定义，提高系统安全性；</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便捷管理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支持SNMP、SMTP、短信、语音告警；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硬件安全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可配置机箱入侵侦测，在外部打开机箱时提供报警功能；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▲智能模块</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支持防火墙、IPS、防病毒和QoS的安全功能。（提供官网截图）</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集群管理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要求配置集群统一管理平台，支持对服务器、交换机及机箱的统一管理、状态监控、模板化部署等功能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配置主机3台，配置不小于上述要求。</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存储节点服务器</w:t>
      </w:r>
      <w:r/>
    </w:p>
    <w:tbl>
      <w:tblPr>
        <w:tblStyle w:val="938"/>
        <w:tblW w:w="83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6386"/>
      </w:tblGrid>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外型</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机架式，高度≥2U，标配原厂导轨；</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CPU型号</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Intel Xeon Scalable Cascade Lake系列，单颗处理器主频≥2.2GHz,核数≥10；</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CPU数量</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≥2颗；</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≥128GB DDR4 3200MHz内存；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▲内存扩展</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最大支持24根DDR4内存，最高速率2933MT/s，支持RDIMM或LRDIMM，最大容量3.0TB；</w:t>
            </w:r>
            <w:r/>
          </w:p>
          <w:p>
            <w:pPr>
              <w:rPr>
                <w:rFonts w:hint="eastAsia" w:ascii="宋体" w:hAnsi="宋体" w:eastAsia="宋体" w:cs="宋体"/>
                <w:color w:val="000000"/>
                <w:sz w:val="24"/>
              </w:rPr>
            </w:pPr>
            <w:r>
              <w:rPr>
                <w:rFonts w:hint="eastAsia" w:ascii="宋体" w:hAnsi="宋体" w:eastAsia="宋体" w:cs="宋体"/>
                <w:color w:val="000000"/>
                <w:sz w:val="24"/>
              </w:rPr>
              <w:t xml:space="preserve">支持12根英特尔傲腾数据中心级持久内存（DCPMM）；</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配置≥2*1.2TB 10K SAS硬盘；配置≥3*960GB 读写混合型及以上级别SSD硬盘；配置≥9*8TB 7.2K SATA硬盘；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硬盘槽位</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配置≥12个3.5寸硬盘槽位和4个2.5寸硬盘槽位，此型号服务器可扩展至≥40个硬盘槽位，；</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NVMe支持</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最高支持32块前置NVMe硬盘；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阵列控制器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≥1个标配SAS RAID阵列卡（需占用PCIe扩展槽），支持RAID0/1/5/6/50/60/10/1E/Simple Volume,2GB缓存，支持掉电保护；</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PCIE插槽</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实配≥4个标准PCIE3.0插槽，最多提供≥10个PCIE3.0插槽；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网卡</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配置≥4个万兆以太网光口；</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电源风扇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2个≥550w白金版热插拔冗余电源，支持96%能效比的钛金级电源选件；热插拔冗余风扇；</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工作温度</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支持ASHARE A3和A4标准，最高5-50°C标准工作温度；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配置≥1Gb独立的远程管理控制端口；</w:t>
            </w:r>
            <w:r>
              <w:rPr>
                <w:rFonts w:hint="eastAsia" w:ascii="宋体" w:hAnsi="宋体" w:eastAsia="宋体" w:cs="宋体"/>
                <w:color w:val="000000"/>
                <w:sz w:val="24"/>
              </w:rPr>
              <w:br/>
            </w:r>
            <w:r>
              <w:rPr>
                <w:rFonts w:hint="eastAsia" w:ascii="宋体" w:hAnsi="宋体" w:eastAsia="宋体" w:cs="宋体"/>
                <w:color w:val="000000"/>
                <w:sz w:val="24"/>
              </w:rPr>
              <w:t xml:space="preserve">支持虚拟KVM功能, 可实现与操作系统无关的远程对服务器的完全控制，包括远程的开机、关机、重启、更新Firmware、虚拟光驱、等操作，提供服务器健康日记、服务器控制台录屏/回放功能，能够提供电源监控，支持3D图形化的机箱内部温度拓扑图显示，可支持动态功率封顶；</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嵌入式管理模块支持防火墙功能，可基于MAC地址，IP定义访问规则；</w:t>
            </w:r>
            <w:r/>
          </w:p>
          <w:p>
            <w:pPr>
              <w:rPr>
                <w:rFonts w:hint="eastAsia" w:ascii="宋体" w:hAnsi="宋体" w:eastAsia="宋体" w:cs="宋体"/>
                <w:color w:val="000000"/>
                <w:sz w:val="24"/>
              </w:rPr>
            </w:pPr>
            <w:r>
              <w:rPr>
                <w:rFonts w:hint="eastAsia" w:ascii="宋体" w:hAnsi="宋体" w:eastAsia="宋体" w:cs="宋体"/>
                <w:color w:val="000000"/>
                <w:sz w:val="24"/>
              </w:rPr>
              <w:t xml:space="preserve">支持OTP的双因素认证方案，提高系统安全性；</w:t>
            </w:r>
            <w:r/>
          </w:p>
          <w:p>
            <w:pPr>
              <w:rPr>
                <w:rFonts w:hint="eastAsia" w:ascii="宋体" w:hAnsi="宋体" w:eastAsia="宋体" w:cs="宋体"/>
                <w:color w:val="000000"/>
                <w:sz w:val="24"/>
              </w:rPr>
            </w:pPr>
            <w:r>
              <w:rPr>
                <w:rFonts w:hint="eastAsia" w:ascii="宋体" w:hAnsi="宋体" w:eastAsia="宋体" w:cs="宋体"/>
                <w:color w:val="000000"/>
                <w:sz w:val="24"/>
              </w:rPr>
              <w:t xml:space="preserve">用户（本地，远程）统一配置到不同的用户组，用户的权限由角色定义，提高系统安全性；</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硬件安全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可配置机箱入侵侦测，在外部打开机箱时提供报警功能；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便捷管理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支持SNMP、SMTP、短信、语音告警；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▲智能模块</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支持防火墙、IPS、防病毒和QoS的安全功能（提供官网截图）</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集群管理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要求配置集群统一管理平台，支持对服务器、交换机及机箱的统一管理、状态监控、模板化部署等功能；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配置主机5台，配置不小于上述要求。</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计算节点服务器</w:t>
      </w:r>
      <w:r/>
    </w:p>
    <w:tbl>
      <w:tblPr>
        <w:tblStyle w:val="938"/>
        <w:tblW w:w="83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6386"/>
      </w:tblGrid>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外型</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机架式，高度≥2U，标配原厂导轨；</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CPU型号</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Intel Xeon Scalable Cascade Lake系列，单颗处理器主频≥2.2GHz,核数≥18；</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CPU数量</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≥2颗；</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≥512GB DDR4 3200MHz内存；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▲内存扩展</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最大支持24根DDR4内存，最高速率2933MT/s，支持RDIMM或LRDIMM，最大容量3.0TB；</w:t>
            </w:r>
            <w:r/>
          </w:p>
          <w:p>
            <w:pPr>
              <w:rPr>
                <w:rFonts w:hint="eastAsia" w:ascii="宋体" w:hAnsi="宋体" w:eastAsia="宋体" w:cs="宋体"/>
                <w:color w:val="000000"/>
                <w:sz w:val="24"/>
              </w:rPr>
            </w:pPr>
            <w:r>
              <w:rPr>
                <w:rFonts w:hint="eastAsia" w:ascii="宋体" w:hAnsi="宋体" w:eastAsia="宋体" w:cs="宋体"/>
                <w:color w:val="000000"/>
                <w:sz w:val="24"/>
              </w:rPr>
              <w:t xml:space="preserve">支持12根英特尔傲腾数据中心级持久内存（DCPMM）</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硬盘规格</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配置≥2*1.2TB 10K SAS硬盘；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硬盘槽位</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配置≥8个2.5寸机械硬盘槽位，此型号服务器可扩展至≥40个硬盘槽位；</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NVMe支持</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最高支持32块前置NVMe硬盘；</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阵列控制器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≥1个标配SAS RAID阵列卡（需占用PCIe扩展槽），支持RAID0/1/5/6/50/60/10/1E/Simple Volume,2GB缓存，支持掉电保护；</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PCIE插槽</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实配≥4个标准PCIE3.0插槽，最多提供≥10个PCIE3.0插槽；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网卡</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配置≥4个万兆以太网光口；</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电源风扇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2个≥800w白金版热插拔冗余电源，支持96%能效比的钛金级电源选件；热插拔冗余风扇；</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▲工作温度</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支持ASHARE A3和A4标准，最高5-50°C标准工作温度；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配置≥1Gb独立的远程管理控制端口；</w:t>
            </w:r>
            <w:r>
              <w:rPr>
                <w:rFonts w:hint="eastAsia" w:ascii="宋体" w:hAnsi="宋体" w:eastAsia="宋体" w:cs="宋体"/>
                <w:color w:val="000000"/>
                <w:sz w:val="24"/>
              </w:rPr>
              <w:br/>
            </w:r>
            <w:r>
              <w:rPr>
                <w:rFonts w:hint="eastAsia" w:ascii="宋体" w:hAnsi="宋体" w:eastAsia="宋体" w:cs="宋体"/>
                <w:color w:val="000000"/>
                <w:sz w:val="24"/>
              </w:rPr>
              <w:t xml:space="preserve">支持虚拟KVM功能, 可实现与操作系统无关的远程对服务器的完全控制，包括远程的开机、关机、重启、更新Firmware、虚拟光驱、等操作，提供服务器健康日记、服务器控制台录屏/回放功能，能够提供电源监控，支持3D图形化的机箱内部温度拓扑图显示，可支持动态功率封顶；</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嵌入式管理模块支持防火墙功能，可基于MAC地址，IP定义访问规则；</w:t>
            </w:r>
            <w:r/>
          </w:p>
          <w:p>
            <w:pPr>
              <w:rPr>
                <w:rFonts w:hint="eastAsia" w:ascii="宋体" w:hAnsi="宋体" w:eastAsia="宋体" w:cs="宋体"/>
                <w:color w:val="000000"/>
                <w:sz w:val="24"/>
              </w:rPr>
            </w:pPr>
            <w:r>
              <w:rPr>
                <w:rFonts w:hint="eastAsia" w:ascii="宋体" w:hAnsi="宋体" w:eastAsia="宋体" w:cs="宋体"/>
                <w:color w:val="000000"/>
                <w:sz w:val="24"/>
              </w:rPr>
              <w:t xml:space="preserve">支持OTP的双因素认证方案，提高系统安全性；</w:t>
            </w:r>
            <w:r/>
          </w:p>
          <w:p>
            <w:pPr>
              <w:rPr>
                <w:rFonts w:hint="eastAsia" w:ascii="宋体" w:hAnsi="宋体" w:eastAsia="宋体" w:cs="宋体"/>
                <w:color w:val="000000"/>
                <w:sz w:val="24"/>
              </w:rPr>
            </w:pPr>
            <w:r>
              <w:rPr>
                <w:rFonts w:hint="eastAsia" w:ascii="宋体" w:hAnsi="宋体" w:eastAsia="宋体" w:cs="宋体"/>
                <w:color w:val="000000"/>
                <w:sz w:val="24"/>
              </w:rPr>
              <w:t xml:space="preserve">用户（本地，远程）统一配置到不同的用户组，用户的权限由角色定义，提高系统安全性；</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硬件安全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可配置机箱入侵侦测，在外部打开机箱时提供报警功能；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便捷管理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支持SNMP、SMTP、短信、语音告警；</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▲智能模块</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支持防火墙、IPS、防病毒和QoS的安全功能，（提供官网截图）</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集群管理</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要求配置集群统一管理平台，支持对服务器、交换机及机箱的统一管理、状态监控、模板化部署等功能；</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配置主机4台，配置不小于上述要求。</w:t>
            </w:r>
            <w:r/>
          </w:p>
        </w:tc>
      </w:tr>
    </w:tbl>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云管平台</w:t>
      </w:r>
      <w:r/>
    </w:p>
    <w:tbl>
      <w:tblPr>
        <w:tblStyle w:val="938"/>
        <w:tblW w:w="83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6386"/>
      </w:tblGrid>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▲云计算平台要求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云管理平台管理节点和OpenStack控制组件须支持以容器形式集群部署，同时支持部署在物理机和虚拟机上，并在部署前自动检测主机性能以识别主机性能是否存在风险。提供平滑升级扩展、高可靠容错机制，各云服务组件之间松耦合，支持不同的服务组件如IaaS、PaaS、大数据、数据库、安全等独立部署，支持不同的服务组件单独启用或停用，单云服务组件升级对其他云服务和云管理平台无影响。</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运营要求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支持资源租期功能，为云管理员提供统一管理租期选项的能力，用户在申请资源时只能选择指定的资源租期，管理员可以及时调整租期选项以满足云服务的运营需求。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计算服务</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云管理平台支持裸金属服务，用户可以申请裸金属服务器并安装操作系统，或纳管正在运行的裸金属服务器。支持对裸金属服务器进行启动、停止、销毁等生命周期操作。</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安全服务</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云管理平台能够提供云防火墙服务，对用户的网络进行安全防护，申请时可以指定防火墙的性能规格并针对TCP、UDP、ICMP不同网络协议进行安全规则配置。一个防火墙可以对租户的多个网络进行防护。</w:t>
            </w:r>
            <w:r/>
          </w:p>
        </w:tc>
      </w:tr>
    </w:tbl>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虚拟化平台</w:t>
      </w:r>
      <w:r/>
    </w:p>
    <w:tbl>
      <w:tblPr>
        <w:tblStyle w:val="938"/>
        <w:tblW w:w="83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6386"/>
      </w:tblGrid>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品牌要求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虚拟化软件非OEM或贴牌产品，禁止借用第三方软件的整合，以保证功能的可靠性和安全性；</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▲兼容性要求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虚拟化产品支持海光、鲲鹏、飞腾等业界主流CPU服务器，支持x86架构和ARM架构服务器集群统一管理，支持现有市场上主要国内外操作系统，包括Windows、CentOS、Fedora、RedHat、SUSE、Ubuntu、FreeBSD、MacOS、中标红旗、中标麒麟、中标普华、深度、一铭、凝思等，</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基本功能</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管理平台可以对虚拟机、Kubernetes集群、GPU等算力资源提供统一的资源管理，以满足用户不同业务，不同场景的算力需求，简化管理与运维。</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虚拟机可以实现物理机的全部功能，如具有自己的资源（内存、CPU、网卡、存储），可以指定单独的IP地址、MAC地址等。</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批量修改虚拟机的配置参数，包括：I/O优先级、启动优先级、是否自动迁移、CPU调度优先级、CPU个数、内存大小、自动启动、VM启动设备、tools自动升级等；支持虚拟机桌面预览功能，无需登录虚拟机即可在虚拟化管理平台上看到虚拟机当前桌面的状态，降低用户运维工作量，提升运维效率。</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配置要求</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每颗物理CPU为一个授权许可，配置本次所需的CPU</w:t>
            </w:r>
            <w:r/>
          </w:p>
        </w:tc>
      </w:tr>
    </w:tbl>
    <w:p>
      <w:pPr>
        <w:ind w:firstLine="640"/>
        <w:jc w:val="left"/>
        <w:keepLines/>
        <w:keepNext/>
        <w:spacing w:line="560" w:lineRule="exact"/>
        <w:rPr>
          <w:rFonts w:hint="eastAsia" w:ascii="宋体" w:hAnsi="宋体" w:eastAsia="宋体" w:cs="宋体"/>
          <w:color w:val="000000"/>
          <w:sz w:val="24"/>
        </w:rPr>
        <w:outlineLvl w:val="1"/>
      </w:pPr>
      <w:r>
        <w:rPr>
          <w:rFonts w:hint="eastAsia" w:ascii="宋体" w:hAnsi="宋体" w:eastAsia="宋体" w:cs="宋体"/>
          <w:color w:val="000000"/>
          <w:sz w:val="24"/>
        </w:rPr>
        <w:t xml:space="preserve">SDN控制器</w:t>
      </w:r>
      <w:r/>
    </w:p>
    <w:tbl>
      <w:tblPr>
        <w:tblStyle w:val="938"/>
        <w:tblW w:w="83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6386"/>
      </w:tblGrid>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功能及技术指标</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b/>
                <w:color w:val="000000"/>
                <w:sz w:val="24"/>
              </w:rPr>
            </w:pPr>
            <w:r>
              <w:rPr>
                <w:rFonts w:hint="eastAsia" w:ascii="宋体" w:hAnsi="宋体" w:eastAsia="宋体" w:cs="宋体"/>
                <w:b/>
                <w:color w:val="000000"/>
                <w:sz w:val="24"/>
              </w:rPr>
              <w:t xml:space="preserve">参数要求</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▲高可用能力</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outlineLvl w:val="0"/>
            </w:pPr>
            <w:r>
              <w:rPr>
                <w:rFonts w:hint="eastAsia" w:ascii="宋体" w:hAnsi="宋体" w:eastAsia="宋体" w:cs="宋体"/>
                <w:color w:val="000000"/>
                <w:sz w:val="24"/>
              </w:rPr>
              <w:t xml:space="preserve">控制器支持2+1+1冷备方式部署，增强管理控制平面的可靠性；其中1台为冷备模式，当集群出现多节点故障，导致集群无法正常工作时，冷备节点可以启动后快速加入集群，实现快速的灾备恢复；</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重要网络能力</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支持基于EVPN的组播，并可通过控制器下发EVPN组播配置，包括DC内L2组播、L3组播、跨VPC组播、跨DC内外部组播等；支持组播最优复制，流量在最接近接收者的设备上复制，减少网络带宽占用。</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组网中的各种交换机设备角色均支持无堆叠组网及其自动化部署，避免设备升级影响业务。</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安全服务能力</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微分段策略源端匹配功能：策略生效点是在源端Leaf，流量在源端阻断/放行，避免隔离流量绕行。</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计算联动</w:t>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控制器可以直接对接VMware vCenter、RedHat RHVM等虚拟化管理平台，实现计算与网络的联动，统一计算和网络配置的入口，避免线下信息传递。</w:t>
            </w:r>
            <w:r/>
          </w:p>
        </w:tc>
      </w:tr>
      <w:tr>
        <w:trPr>
          <w:jc w:val="center"/>
        </w:trPr>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6386" w:type="dxa"/>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支持对接不少于64个VMwarevCetner或RedHat RHVM集群，实现大规模组网。</w:t>
            </w:r>
            <w:r/>
          </w:p>
        </w:tc>
      </w:tr>
    </w:tbl>
    <w:p>
      <w:pPr>
        <w:pStyle w:val="730"/>
        <w:ind w:left="0" w:firstLine="0"/>
        <w:rPr>
          <w:rFonts w:hint="eastAsia" w:ascii="宋体" w:hAnsi="宋体" w:eastAsia="宋体" w:cs="宋体"/>
        </w:rPr>
      </w:pPr>
      <w:r>
        <w:rPr>
          <w:rFonts w:hint="eastAsia" w:ascii="宋体" w:hAnsi="宋体" w:eastAsia="宋体" w:cs="宋体"/>
        </w:rPr>
      </w:r>
      <w:r/>
    </w:p>
    <w:p>
      <w:pPr>
        <w:spacing w:after="120"/>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五、人员配备要求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至少配备2名机房驻场运维人员，保证每天都有驻场运维人员值班。运维人员需熟悉TCP/IP及常见网络协议，熟悉主流厂家交换机、路由器、防火墙配置命令，能按工作要求完成现场巡检，设备维护，故障排除等</w:t>
      </w:r>
      <w:bookmarkEnd w:id="7"/>
      <w:r/>
      <w:bookmarkEnd w:id="8"/>
      <w:r>
        <w:rPr>
          <w:rFonts w:hint="eastAsia" w:ascii="宋体" w:hAnsi="宋体" w:eastAsia="宋体" w:cs="宋体"/>
          <w:sz w:val="24"/>
        </w:rPr>
        <w:t xml:space="preserve">。</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六、服务期限：</w:t>
      </w:r>
      <w:r>
        <w:rPr>
          <w:rFonts w:hint="eastAsia" w:ascii="宋体" w:hAnsi="宋体" w:eastAsia="宋体" w:cs="宋体"/>
          <w:sz w:val="24"/>
        </w:rPr>
        <w:t xml:space="preserve">1年。</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七、项目实施要求</w:t>
      </w:r>
      <w:r/>
    </w:p>
    <w:p>
      <w:pPr>
        <w:spacing w:line="360" w:lineRule="auto"/>
        <w:rPr>
          <w:rFonts w:hint="eastAsia" w:ascii="宋体" w:hAnsi="宋体" w:eastAsia="宋体" w:cs="宋体"/>
          <w:sz w:val="24"/>
        </w:rPr>
      </w:pPr>
      <w:r>
        <w:rPr>
          <w:rFonts w:hint="eastAsia" w:ascii="宋体" w:hAnsi="宋体" w:eastAsia="宋体" w:cs="宋体"/>
          <w:sz w:val="24"/>
        </w:rPr>
        <w:t xml:space="preserve">1、交付时间：投标人应在合同签订后的1个月内完成项目。中标单位应配合业务使用单位进行相应业务系统的搬迁服务，搬迁期间需保证使用单位的网络、业务系统不关停，搬迁过程中所需要的软件、硬件及其他各项投入由中标单位提供，因此产生的各项费用由中标单位承担。中标单位需在5天内向采购单位提供搬迁方案，由采购单位组织服务使用单位进行搬迁方案论证，搬迁方案核通过后双方签订合同；如中标单位5天内无法提供搬迁方案或搬迁方案论证不通过，采购人有权取消其中标资格。</w:t>
      </w:r>
      <w:r/>
    </w:p>
    <w:p>
      <w:pPr>
        <w:spacing w:line="360" w:lineRule="auto"/>
        <w:rPr>
          <w:rFonts w:hint="eastAsia" w:ascii="宋体" w:hAnsi="宋体" w:eastAsia="宋体" w:cs="宋体"/>
          <w:sz w:val="24"/>
        </w:rPr>
      </w:pPr>
      <w:r>
        <w:rPr>
          <w:rFonts w:hint="eastAsia" w:ascii="宋体" w:hAnsi="宋体" w:eastAsia="宋体" w:cs="宋体"/>
          <w:sz w:val="24"/>
        </w:rPr>
        <w:t xml:space="preserve">2、交付地点：采购人指定地点。</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八、售后服务方案</w:t>
      </w:r>
      <w:bookmarkEnd w:id="5"/>
      <w:r/>
      <w:bookmarkEnd w:id="6"/>
      <w:r/>
      <w:r/>
    </w:p>
    <w:p>
      <w:pPr>
        <w:spacing w:line="360" w:lineRule="auto"/>
        <w:rPr>
          <w:rFonts w:hint="eastAsia" w:ascii="宋体" w:hAnsi="宋体" w:eastAsia="宋体" w:cs="宋体"/>
          <w:sz w:val="24"/>
        </w:rPr>
      </w:pPr>
      <w:r>
        <w:rPr>
          <w:rFonts w:hint="eastAsia" w:ascii="宋体" w:hAnsi="宋体" w:eastAsia="宋体" w:cs="宋体"/>
          <w:sz w:val="24"/>
        </w:rPr>
        <w:t xml:space="preserve">1、投标人中标后需提供系统扩充、升级方面的保障和技术支持服务，提供7×24小时的技术支持响应。在出现问题时，投标人接到通知后必须派技术人员2小时内赶到现场检查处理。遇到重大事件应无条件响应，且具备现场30分钟内支持的能力。</w:t>
      </w:r>
      <w:r/>
    </w:p>
    <w:p>
      <w:pPr>
        <w:spacing w:line="360" w:lineRule="auto"/>
        <w:rPr>
          <w:rFonts w:hint="eastAsia" w:ascii="宋体" w:hAnsi="宋体" w:eastAsia="宋体" w:cs="宋体"/>
          <w:sz w:val="24"/>
        </w:rPr>
      </w:pPr>
      <w:r>
        <w:rPr>
          <w:rFonts w:hint="eastAsia" w:ascii="宋体" w:hAnsi="宋体" w:eastAsia="宋体" w:cs="宋体"/>
          <w:sz w:val="24"/>
        </w:rPr>
        <w:t xml:space="preserve">2、在服务期内，投标人应在徐州成立客户服务队伍，提供良好的维护服务，确保本项目范围内的硬件和软件能够正常使用。</w:t>
      </w:r>
      <w:r/>
    </w:p>
    <w:p>
      <w:pPr>
        <w:spacing w:line="360" w:lineRule="auto"/>
        <w:rPr>
          <w:rFonts w:hint="eastAsia" w:ascii="宋体" w:hAnsi="宋体" w:eastAsia="宋体" w:cs="宋体"/>
          <w:sz w:val="24"/>
        </w:rPr>
      </w:pPr>
      <w:r>
        <w:rPr>
          <w:rFonts w:hint="eastAsia" w:ascii="宋体" w:hAnsi="宋体" w:eastAsia="宋体" w:cs="宋体"/>
          <w:sz w:val="24"/>
        </w:rPr>
        <w:t xml:space="preserve">3、投标人中标后，须在甲方验收合格后免费提供1年不少于2人的驻场运维团队，包括云平台运维、网络和安全运维。服务级别不低于5×8小时，遇到重大事件应无条件响应，且具备现场半小时内支持的能力。</w:t>
      </w:r>
      <w:r/>
    </w:p>
    <w:p>
      <w:pPr>
        <w:ind w:right="6"/>
        <w:rPr>
          <w:rFonts w:hint="eastAsia" w:ascii="宋体" w:hAnsi="宋体" w:eastAsia="宋体" w:cs="宋体"/>
          <w:b/>
          <w:bCs/>
          <w:sz w:val="24"/>
        </w:rPr>
      </w:pPr>
      <w:r>
        <w:rPr>
          <w:rFonts w:hint="eastAsia" w:ascii="宋体" w:hAnsi="宋体" w:eastAsia="宋体" w:cs="宋体"/>
          <w:b/>
          <w:bCs/>
          <w:sz w:val="24"/>
        </w:rPr>
        <w:t xml:space="preserve">九、培训服务方案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针对本项目相关人员培训的具体时间和地点将在采购人认为方便合适的时间和地点举行，内容应包括产品的介绍、产品的使用、产品的日常运维，要求如下：</w:t>
      </w:r>
      <w:r/>
    </w:p>
    <w:p>
      <w:pPr>
        <w:spacing w:line="360" w:lineRule="auto"/>
        <w:rPr>
          <w:rFonts w:hint="eastAsia" w:ascii="宋体" w:hAnsi="宋体" w:eastAsia="宋体" w:cs="宋体"/>
          <w:sz w:val="24"/>
        </w:rPr>
      </w:pPr>
      <w:r>
        <w:rPr>
          <w:rFonts w:hint="eastAsia" w:ascii="宋体" w:hAnsi="宋体" w:eastAsia="宋体" w:cs="宋体"/>
          <w:sz w:val="24"/>
        </w:rPr>
        <w:t xml:space="preserve">1、投标人应在投标文件中提交培训计划书、培训内容、详细的课程安排以及培训时间表。</w:t>
      </w:r>
      <w:r/>
    </w:p>
    <w:p>
      <w:pPr>
        <w:spacing w:line="360" w:lineRule="auto"/>
        <w:rPr>
          <w:rFonts w:hint="eastAsia" w:ascii="宋体" w:hAnsi="宋体" w:eastAsia="宋体" w:cs="宋体"/>
          <w:sz w:val="24"/>
        </w:rPr>
      </w:pPr>
      <w:r>
        <w:rPr>
          <w:rFonts w:hint="eastAsia" w:ascii="宋体" w:hAnsi="宋体" w:eastAsia="宋体" w:cs="宋体"/>
          <w:sz w:val="24"/>
        </w:rPr>
        <w:t xml:space="preserve">2、投标人中标后须提供现场培训。</w:t>
      </w:r>
      <w:r/>
    </w:p>
    <w:p>
      <w:pPr>
        <w:spacing w:line="360" w:lineRule="auto"/>
        <w:rPr>
          <w:rFonts w:hint="eastAsia" w:ascii="宋体" w:hAnsi="宋体" w:eastAsia="宋体" w:cs="宋体"/>
          <w:sz w:val="24"/>
        </w:rPr>
      </w:pPr>
      <w:r>
        <w:rPr>
          <w:rFonts w:hint="eastAsia" w:ascii="宋体" w:hAnsi="宋体" w:eastAsia="宋体" w:cs="宋体"/>
          <w:sz w:val="24"/>
        </w:rPr>
        <w:t xml:space="preserve">3、投标人培训方式须按基本原理、安装操作、运行管理三个方面组织实施。</w:t>
      </w:r>
      <w:r/>
    </w:p>
    <w:p>
      <w:pPr>
        <w:spacing w:line="360" w:lineRule="auto"/>
        <w:rPr>
          <w:rFonts w:hint="eastAsia" w:ascii="宋体" w:hAnsi="宋体" w:eastAsia="宋体" w:cs="宋体"/>
          <w:sz w:val="24"/>
        </w:rPr>
      </w:pPr>
      <w:r>
        <w:rPr>
          <w:rFonts w:hint="eastAsia" w:ascii="宋体" w:hAnsi="宋体" w:eastAsia="宋体" w:cs="宋体"/>
          <w:sz w:val="24"/>
        </w:rPr>
        <w:t xml:space="preserve">4、投标人应确保受训人员对系统基本原理、技术特性、操作规范、运行规程、管理维护等方面获得全面了解和掌握，使其能够胜任系统的全部运行、操作、故障分析处理、设备维修和保养等工作。</w:t>
      </w:r>
      <w:r/>
    </w:p>
    <w:p>
      <w:pPr>
        <w:spacing w:line="360" w:lineRule="auto"/>
        <w:rPr>
          <w:rFonts w:hint="eastAsia" w:ascii="宋体" w:hAnsi="宋体" w:eastAsia="宋体" w:cs="宋体"/>
          <w:sz w:val="24"/>
        </w:rPr>
      </w:pPr>
      <w:r>
        <w:rPr>
          <w:rFonts w:hint="eastAsia" w:ascii="宋体" w:hAnsi="宋体" w:eastAsia="宋体" w:cs="宋体"/>
          <w:sz w:val="24"/>
        </w:rPr>
        <w:t xml:space="preserve">5、培训的主要内容包括但不限于下表所列：</w:t>
      </w:r>
      <w:r/>
    </w:p>
    <w:tbl>
      <w:tblPr>
        <w:tblStyle w:val="713"/>
        <w:tblW w:w="8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325"/>
        <w:gridCol w:w="4332"/>
        <w:gridCol w:w="1275"/>
      </w:tblGrid>
      <w:tr>
        <w:trPr>
          <w:trHeight w:val="385"/>
        </w:trPr>
        <w:tc>
          <w:tcPr>
            <w:shd w:val="clear" w:color="auto" w:fill="d0cece"/>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rPr>
                <w:rFonts w:hint="eastAsia" w:ascii="宋体" w:hAnsi="宋体" w:eastAsia="宋体" w:cs="宋体"/>
                <w:b/>
                <w:bCs/>
                <w:sz w:val="24"/>
              </w:rPr>
            </w:pPr>
            <w:r>
              <w:rPr>
                <w:rFonts w:hint="eastAsia" w:ascii="宋体" w:hAnsi="宋体" w:eastAsia="宋体" w:cs="宋体"/>
                <w:b/>
                <w:bCs/>
                <w:sz w:val="24"/>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firstLine="482"/>
              <w:rPr>
                <w:rFonts w:hint="eastAsia" w:ascii="宋体" w:hAnsi="宋体" w:eastAsia="宋体" w:cs="宋体"/>
                <w:b/>
                <w:bCs/>
                <w:sz w:val="24"/>
              </w:rPr>
            </w:pPr>
            <w:r>
              <w:rPr>
                <w:rFonts w:hint="eastAsia" w:ascii="宋体" w:hAnsi="宋体" w:eastAsia="宋体" w:cs="宋体"/>
                <w:b/>
                <w:bCs/>
                <w:sz w:val="24"/>
              </w:rPr>
              <w:t xml:space="preserve">培训项目</w:t>
            </w:r>
            <w:r/>
          </w:p>
        </w:tc>
        <w:tc>
          <w:tcPr>
            <w:shd w:val="clear" w:color="auto" w:fill="d0cece"/>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ind w:firstLine="482"/>
              <w:rPr>
                <w:rFonts w:hint="eastAsia" w:ascii="宋体" w:hAnsi="宋体" w:eastAsia="宋体" w:cs="宋体"/>
                <w:b/>
                <w:bCs/>
                <w:sz w:val="24"/>
              </w:rPr>
            </w:pPr>
            <w:r>
              <w:rPr>
                <w:rFonts w:hint="eastAsia" w:ascii="宋体" w:hAnsi="宋体" w:eastAsia="宋体" w:cs="宋体"/>
                <w:b/>
                <w:bCs/>
                <w:sz w:val="24"/>
              </w:rPr>
              <w:t xml:space="preserve">培训内容</w:t>
            </w:r>
            <w:r/>
          </w:p>
        </w:tc>
        <w:tc>
          <w:tcPr>
            <w:shd w:val="clear" w:color="auto" w:fill="d0cece"/>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rPr>
                <w:rFonts w:hint="eastAsia" w:ascii="宋体" w:hAnsi="宋体" w:eastAsia="宋体" w:cs="宋体"/>
                <w:b/>
                <w:bCs/>
                <w:sz w:val="24"/>
              </w:rPr>
            </w:pPr>
            <w:r>
              <w:rPr>
                <w:rFonts w:hint="eastAsia" w:ascii="宋体" w:hAnsi="宋体" w:eastAsia="宋体" w:cs="宋体"/>
                <w:b/>
                <w:bCs/>
                <w:sz w:val="24"/>
              </w:rPr>
              <w:t xml:space="preserve">时长（天）</w:t>
            </w:r>
            <w:r/>
          </w:p>
        </w:tc>
      </w:tr>
      <w:tr>
        <w:trPr>
          <w:trHeight w:val="52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云平台运维技术培训</w:t>
            </w:r>
            <w:r/>
          </w:p>
        </w:tc>
        <w:tc>
          <w:tcPr>
            <w:tcBorders>
              <w:top w:val="single" w:color="000000" w:sz="4" w:space="0"/>
              <w:left w:val="single" w:color="000000" w:sz="4" w:space="0"/>
              <w:bottom w:val="single" w:color="000000" w:sz="4" w:space="0"/>
              <w:right w:val="single" w:color="000000" w:sz="4" w:space="0"/>
            </w:tcBorders>
            <w:tcW w:w="4332"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云平台运维能力提升，日常运营业务发放和运维管理操作、运维工具介绍等</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5</w:t>
            </w:r>
            <w:r/>
          </w:p>
        </w:tc>
      </w:tr>
    </w:tbl>
    <w:p>
      <w:pPr>
        <w:ind w:left="256" w:right="6" w:firstLine="624"/>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投标人提供的培训服务需要满足以下培训能力：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1、具备政务信息化全系列产品培训能力，包括但不限于大数据、云计算、网络安全、存储、服务器等产品，具备业界认可的政务信息化认证能力；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2、具备提供政务信息化网络全生命周期演进的培训方案，包括规划、设计、部署、维护、优化、运营各阶段初中高级提升培训；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3、授课讲师需有3年以上教学经验；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4、具备专业的实验环境；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5、具备在项目开工前提供培训能力，通过模拟现网配置进行网络实施演练。</w:t>
      </w:r>
      <w:r/>
    </w:p>
    <w:p>
      <w:pPr>
        <w:ind w:right="6"/>
        <w:rPr>
          <w:rFonts w:hint="eastAsia" w:ascii="宋体" w:hAnsi="宋体" w:eastAsia="宋体" w:cs="宋体"/>
          <w:b/>
          <w:bCs/>
          <w:sz w:val="24"/>
        </w:rPr>
      </w:pPr>
      <w:r>
        <w:rPr>
          <w:rFonts w:hint="eastAsia" w:ascii="宋体" w:hAnsi="宋体" w:eastAsia="宋体" w:cs="宋体"/>
          <w:b/>
          <w:bCs/>
          <w:sz w:val="24"/>
        </w:rPr>
        <w:t xml:space="preserve">十、项目质量保障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1、投标人须出具承诺函，可在招标结果公示后5个工作日内提供样品云资源测试，如测试结果与响应参数不符，将按照政府采购有关规定承担法律责任。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2、投标人须出具承诺函，承诺配合采购人开展网络安全等级保护第三级安全测评。</w:t>
      </w:r>
      <w:r/>
    </w:p>
    <w:p>
      <w:pPr>
        <w:pStyle w:val="725"/>
        <w:keepLines w:val="0"/>
        <w:keepNext w:val="0"/>
        <w:pageBreakBefore w:val="0"/>
        <w:spacing w:line="360" w:lineRule="auto"/>
        <w:rPr>
          <w:rFonts w:hint="default"/>
          <w:lang w:val="en-US" w:eastAsia="zh-CN"/>
        </w:rPr>
      </w:pPr>
      <w:r>
        <w:rPr>
          <w:rFonts w:hint="default"/>
          <w:lang w:val="en-US" w:eastAsia="zh-CN"/>
        </w:rPr>
      </w:r>
      <w:r/>
    </w:p>
    <w:p>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49"/>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9"/>
        <w:jc w:val="both"/>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9"/>
        <w:ind w:firstLine="562"/>
        <w:jc w:val="center"/>
        <w:spacing w:before="0" w:after="0" w:line="40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sz w:val="30"/>
          <w:szCs w:val="30"/>
        </w:rPr>
        <w:t xml:space="preserve">第七章  </w:t>
      </w:r>
      <w:r>
        <w:rPr>
          <w:rFonts w:hint="eastAsia" w:ascii="宋体" w:hAnsi="宋体" w:eastAsia="宋体" w:cs="宋体"/>
          <w:color w:val="auto"/>
          <w:sz w:val="28"/>
          <w:szCs w:val="28"/>
          <w:highlight w:val="none"/>
          <w:shd w:val="clear" w:color="auto" w:fill="auto"/>
        </w:rPr>
        <w:t xml:space="preserve">投标文件相关格式</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投标人参加政府采购活动前3年内在经营活动中没有重大违法记录的书面声明</w:t>
      </w:r>
      <w:r/>
    </w:p>
    <w:p>
      <w:pPr>
        <w:pStyle w:val="714"/>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投标人相关承诺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.投标人书面声明</w:t>
      </w:r>
      <w:r/>
    </w:p>
    <w:p>
      <w:pPr>
        <w:pStyle w:val="714"/>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.预付款保函支付条款模板</w:t>
      </w:r>
      <w:r/>
    </w:p>
    <w:p>
      <w:pPr>
        <w:ind w:firstLine="560"/>
        <w:spacing w:line="4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pStyle w:val="704"/>
        <w:jc w:val="both"/>
        <w:rPr>
          <w:rFonts w:hint="eastAsia" w:ascii="宋体" w:hAnsi="宋体" w:eastAsia="宋体" w:cs="宋体"/>
          <w:color w:val="auto"/>
          <w:sz w:val="24"/>
          <w:szCs w:val="24"/>
          <w:highlight w:val="none"/>
          <w:shd w:val="clear" w:color="auto" w:fill="auto"/>
        </w:rPr>
      </w:pPr>
      <w:r/>
      <w:bookmarkStart w:id="11" w:name="_Toc44947225"/>
      <w:r/>
      <w:r/>
    </w:p>
    <w:p>
      <w:pPr>
        <w:pStyle w:val="704"/>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30"/>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sz w:val="24"/>
          <w:szCs w:val="24"/>
        </w:rPr>
      </w:pPr>
      <w:r>
        <w:rPr>
          <w:rFonts w:hint="eastAsia" w:ascii="宋体" w:hAnsi="宋体" w:eastAsia="宋体" w:cs="宋体"/>
          <w:b/>
          <w:bCs/>
          <w:color w:val="auto"/>
          <w:sz w:val="28"/>
          <w:szCs w:val="28"/>
          <w:highlight w:val="none"/>
          <w:shd w:val="clear" w:color="auto" w:fill="auto"/>
          <w:lang w:val="en-US" w:eastAsia="zh-CN"/>
        </w:rPr>
        <w:t xml:space="preserve">1.投标函</w:t>
      </w:r>
      <w:bookmarkEnd w:id="11"/>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徐州市铜山区公共资源交易中心</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徐州高新技术产业开发区管理委员会数据服务</w:t>
      </w:r>
      <w:r>
        <w:rPr>
          <w:rFonts w:hint="eastAsia" w:ascii="宋体" w:hAnsi="宋体" w:eastAsia="宋体" w:cs="宋体"/>
          <w:sz w:val="24"/>
          <w:szCs w:val="24"/>
        </w:rPr>
        <w:t xml:space="preserve">项目[项目编号：</w:t>
      </w:r>
      <w:r>
        <w:rPr>
          <w:rFonts w:hint="eastAsia" w:ascii="宋体" w:hAnsi="宋体" w:cs="宋体"/>
          <w:color w:val="auto"/>
          <w:sz w:val="24"/>
          <w:szCs w:val="24"/>
          <w:highlight w:val="none"/>
          <w:shd w:val="clear" w:color="auto" w:fill="auto"/>
          <w:lang w:eastAsia="zh-CN"/>
        </w:rPr>
        <w:t xml:space="preserve">JSZC-320312-TSCG-G2026-0004</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__(姓名)代表我方______________（投标人的名称）全权处理本次投标的有关事宜。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 本项目由投标人本企业提供服务，投标人唯一投标报价见《开标一览表》。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 投标有效期为90天。</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6.招标文件中关于“投标文件的密封要求”的规定由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 </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有权将我单位本项目投标文件中的《开标一览表》和《分项价格表》予以公示，公示的方式由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确定。如我单位被确定为中标、成交供应商，</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 与本投标有关的一切正式往来信函请寄：</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手机号码：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color w:val="auto"/>
          <w:sz w:val="28"/>
          <w:szCs w:val="28"/>
          <w:highlight w:val="none"/>
          <w:shd w:val="clear" w:color="auto" w:fill="auto"/>
          <w:lang w:val="en-US" w:eastAsia="zh-CN"/>
        </w:rPr>
      </w:pPr>
      <w:r/>
      <w:bookmarkStart w:id="12" w:name="_Toc44947226"/>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2.开标一览表</w:t>
      </w:r>
      <w:bookmarkEnd w:id="12"/>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bidi="ar"/>
        </w:rPr>
        <w:t xml:space="preserve">货币单位：人民币元</w:t>
      </w:r>
      <w:r/>
    </w:p>
    <w:p>
      <w:pPr>
        <w:pStyle w:val="718"/>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tbl>
      <w:tblPr>
        <w:tblStyle w:val="713"/>
        <w:tblW w:w="807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096"/>
        <w:gridCol w:w="2710"/>
      </w:tblGrid>
      <w:tr>
        <w:trPr>
          <w:cantSplit/>
          <w:jc w:val="center"/>
          <w:trHeight w:val="1163"/>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项目内容</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总价（小写）</w:t>
            </w:r>
            <w:r/>
          </w:p>
        </w:tc>
      </w:tr>
      <w:tr>
        <w:trPr>
          <w:cantSplit/>
          <w:jc w:val="center"/>
          <w:trHeight w:val="1214"/>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详见投标文件</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cantSplit/>
          <w:jc w:val="center"/>
          <w:trHeight w:val="1272"/>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总价（大写）：</w:t>
            </w:r>
            <w:r/>
          </w:p>
        </w:tc>
        <w:tc>
          <w:tcPr>
            <w:gridSpan w:val="2"/>
            <w:shd w:val="clear" w:color="auto" w:fill="auto"/>
            <w:tcW w:w="480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shd w:val="clear" w:color="auto" w:fill="auto"/>
        </w:rPr>
        <w:suppressLineNumbers w:val="0"/>
      </w:pPr>
      <w:r>
        <w:rPr>
          <w:rFonts w:hint="eastAsia" w:ascii="宋体" w:hAnsi="宋体" w:eastAsia="宋体" w:cs="宋体"/>
          <w:b/>
          <w:bCs w:val="0"/>
          <w:color w:val="auto"/>
          <w:sz w:val="24"/>
          <w:szCs w:val="24"/>
          <w:highlight w:val="none"/>
          <w:shd w:val="clear" w:color="auto" w:fill="auto"/>
        </w:rPr>
      </w:r>
      <w:r/>
    </w:p>
    <w:p>
      <w:pPr>
        <w:pStyle w:val="718"/>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投标人名称：</w:t>
      </w:r>
      <w:r>
        <w:rPr>
          <w:rFonts w:hint="eastAsia" w:ascii="宋体" w:hAnsi="宋体" w:eastAsia="宋体" w:cs="宋体"/>
          <w:color w:val="auto"/>
          <w:sz w:val="24"/>
          <w:szCs w:val="24"/>
          <w:highlight w:val="none"/>
          <w:u w:val="singl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shd w:val="clear" w:color="auto" w:fill="auto"/>
        </w:rPr>
        <w:t xml:space="preserve">电子签章</w:t>
      </w:r>
      <w:r>
        <w:rPr>
          <w:rFonts w:hint="eastAsia" w:ascii="宋体" w:hAnsi="宋体" w:eastAsia="宋体" w:cs="宋体"/>
          <w:color w:val="auto"/>
          <w:sz w:val="24"/>
          <w:szCs w:val="24"/>
          <w:highlight w:val="none"/>
          <w:shd w:val="clear" w:color="auto" w:fill="auto"/>
          <w:lang w:val="en-US" w:eastAsia="zh-CN" w:bidi="ar"/>
        </w:rPr>
        <w:t xml:space="preserve">）</w:t>
      </w:r>
      <w:r/>
    </w:p>
    <w:p>
      <w:pPr>
        <w:pStyle w:val="743"/>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日 期：   年  月  日</w:t>
      </w:r>
      <w:r>
        <w:rPr>
          <w:rFonts w:hint="eastAsia" w:ascii="宋体" w:hAnsi="宋体" w:eastAsia="宋体" w:cs="宋体"/>
          <w:color w:val="auto"/>
          <w:sz w:val="24"/>
          <w:szCs w:val="24"/>
          <w:highlight w:val="none"/>
          <w:shd w:val="clear" w:color="auto" w:fill="auto"/>
          <w:lang w:val="en-US" w:eastAsia="zh-CN" w:bidi="ar"/>
        </w:rPr>
        <w:br w:type="page" w:clear="all"/>
      </w:r>
      <w:r/>
    </w:p>
    <w:p>
      <w:pPr>
        <w:numPr>
          <w:ilvl w:val="0"/>
          <w:numId w:val="0"/>
        </w:numPr>
        <w:ind w:firstLine="3654"/>
        <w:rPr>
          <w:rFonts w:hint="eastAsia" w:ascii="宋体" w:hAnsi="宋体" w:eastAsia="宋体" w:cs="宋体"/>
          <w:b/>
          <w:bCs/>
          <w:color w:val="auto"/>
          <w:sz w:val="28"/>
          <w:szCs w:val="28"/>
          <w:highlight w:val="none"/>
          <w:shd w:val="clear" w:color="auto" w:fill="auto"/>
        </w:rPr>
      </w:pPr>
      <w:r/>
      <w:bookmarkStart w:id="13" w:name="_Toc44947227"/>
      <w:r>
        <w:rPr>
          <w:rFonts w:hint="eastAsia" w:ascii="宋体" w:hAnsi="宋体" w:eastAsia="宋体" w:cs="宋体"/>
          <w:b/>
          <w:bCs/>
          <w:color w:val="auto"/>
          <w:sz w:val="28"/>
          <w:szCs w:val="28"/>
          <w:highlight w:val="none"/>
          <w:shd w:val="clear" w:color="auto" w:fill="auto"/>
          <w:lang w:val="en-US" w:eastAsia="zh-CN"/>
        </w:rPr>
        <w:t xml:space="preserve">3.</w:t>
      </w:r>
      <w:r>
        <w:rPr>
          <w:rFonts w:hint="eastAsia" w:ascii="宋体" w:hAnsi="宋体" w:eastAsia="宋体" w:cs="宋体"/>
          <w:b/>
          <w:bCs/>
          <w:color w:val="auto"/>
          <w:sz w:val="28"/>
          <w:szCs w:val="28"/>
          <w:highlight w:val="none"/>
          <w:shd w:val="clear" w:color="auto" w:fill="auto"/>
        </w:rPr>
        <w:t xml:space="preserve">分项价格表</w:t>
      </w:r>
      <w:bookmarkEnd w:id="13"/>
      <w:r/>
      <w:r/>
    </w:p>
    <w:p>
      <w:pPr>
        <w:pStyle w:val="718"/>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rPr>
          <w:rFonts w:hint="eastAsia" w:ascii="宋体" w:hAnsi="宋体" w:eastAsia="宋体" w:cs="宋体"/>
          <w:color w:val="auto"/>
          <w:sz w:val="24"/>
          <w:szCs w:val="24"/>
          <w:highlight w:val="none"/>
          <w:shd w:val="clear" w:color="auto" w:fill="auto"/>
        </w:rPr>
        <w:t xml:space="preserve">  </w:t>
      </w:r>
      <w:r/>
    </w:p>
    <w:p>
      <w:pPr>
        <w:jc w:val="right"/>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货币单位：人民币元 </w:t>
      </w:r>
      <w:r/>
    </w:p>
    <w:p>
      <w:pPr>
        <w:pStyle w:val="759"/>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格式自拟。</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3.投标人对以上数据的真实性负责。</w:t>
      </w:r>
      <w:r/>
    </w:p>
    <w:p>
      <w:pPr>
        <w:ind w:firstLine="480"/>
        <w:spacing w:line="0" w:lineRule="atLeas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b/>
          <w:color w:val="auto"/>
          <w:sz w:val="24"/>
          <w:szCs w:val="24"/>
          <w:highlight w:val="none"/>
          <w:shd w:val="clear" w:color="auto" w:fill="auto"/>
        </w:rPr>
        <w:t xml:space="preserve">有权将以上内容进行公示。</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投标人名称</w:t>
      </w:r>
      <w:r>
        <w:rPr>
          <w:rFonts w:hint="eastAsia" w:ascii="宋体" w:hAnsi="宋体" w:eastAsia="宋体" w:cs="宋体"/>
          <w:color w:val="auto"/>
          <w:sz w:val="24"/>
          <w:szCs w:val="24"/>
          <w:highlight w:val="none"/>
          <w:shd w:val="clear" w:color="auto" w:fill="auto"/>
        </w:rPr>
        <w:t xml:space="preserve">：  （盖单位电子签章）</w:t>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480"/>
        <w:jc w:val="center"/>
        <w:spacing w:line="100" w:lineRule="atLeas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ind w:firstLine="480"/>
        <w:jc w:val="center"/>
        <w:spacing w:line="100" w:lineRule="atLeast"/>
        <w:rPr>
          <w:rFonts w:hint="eastAsia" w:ascii="宋体" w:hAnsi="宋体" w:eastAsia="宋体" w:cs="宋体"/>
          <w:b/>
          <w:bCs/>
          <w:color w:val="auto"/>
          <w:sz w:val="28"/>
          <w:szCs w:val="28"/>
          <w:highlight w:val="none"/>
          <w:shd w:val="clear" w:color="auto" w:fill="auto"/>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4．偏离表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p>
    <w:tbl>
      <w:tblPr>
        <w:tblStyle w:val="713"/>
        <w:tblW w:w="851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1877"/>
        <w:gridCol w:w="2036"/>
        <w:gridCol w:w="1002"/>
      </w:tblGrid>
      <w:tr>
        <w:trPr>
          <w:jc w:val="cente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偏离</w:t>
            </w:r>
            <w:r>
              <w:rPr>
                <w:rFonts w:hint="eastAsia" w:ascii="宋体" w:hAnsi="宋体" w:eastAsia="宋体" w:cs="宋体"/>
                <w:caps/>
                <w:color w:val="auto"/>
                <w:sz w:val="24"/>
                <w:szCs w:val="24"/>
                <w:highlight w:val="none"/>
                <w:shd w:val="clear" w:color="auto" w:fill="auto"/>
                <w:lang w:val="en-US" w:eastAsia="zh-CN"/>
              </w:rPr>
              <w:t xml:space="preserve">  </w:t>
            </w:r>
            <w:r>
              <w:rPr>
                <w:rFonts w:hint="eastAsia" w:ascii="宋体" w:hAnsi="宋体" w:eastAsia="宋体" w:cs="宋体"/>
                <w:caps/>
                <w:color w:val="auto"/>
                <w:sz w:val="24"/>
                <w:szCs w:val="24"/>
                <w:highlight w:val="none"/>
                <w:shd w:val="clear" w:color="auto" w:fill="auto"/>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招标文件的要求</w:t>
            </w:r>
            <w:r/>
          </w:p>
        </w:tc>
        <w:tc>
          <w:tcPr>
            <w:tcW w:w="1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投标文件中的内容</w:t>
            </w:r>
            <w:r/>
          </w:p>
        </w:tc>
        <w:tc>
          <w:tcPr>
            <w:tcW w:w="20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（正/负/无）偏离</w:t>
            </w:r>
            <w:r/>
          </w:p>
        </w:tc>
        <w:tc>
          <w:tcPr>
            <w:tcW w:w="100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说明</w:t>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（电子签章）</w:t>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0"/>
        <w:jc w:val="left"/>
        <w:spacing w:line="240" w:lineRule="auto"/>
        <w:widowControl/>
        <w:rPr>
          <w:rFonts w:hint="eastAsia" w:ascii="宋体" w:hAnsi="宋体" w:eastAsia="宋体" w:cs="宋体"/>
          <w:color w:val="auto"/>
          <w:sz w:val="24"/>
          <w:szCs w:val="24"/>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4" w:name="_Toc44947229"/>
      <w:r>
        <w:rPr>
          <w:rFonts w:hint="eastAsia" w:ascii="宋体" w:hAnsi="宋体" w:eastAsia="宋体" w:cs="宋体"/>
          <w:b/>
          <w:bCs/>
          <w:color w:val="auto"/>
          <w:sz w:val="28"/>
          <w:szCs w:val="28"/>
          <w:highlight w:val="none"/>
          <w:shd w:val="clear" w:color="auto" w:fill="auto"/>
          <w:lang w:val="en-US" w:eastAsia="zh-CN"/>
        </w:rPr>
        <w:t xml:space="preserve">5.法定代表人授权书</w:t>
      </w:r>
      <w:bookmarkEnd w:id="14"/>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               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法人营业执照注册号：</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                   性别：男（女）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年龄：  岁                 民族：   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身份证号：</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兹委托（      ）全权代表我企业（公司）参与（</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rPr>
          <w:rFonts w:hint="eastAsia" w:ascii="宋体" w:hAnsi="宋体" w:eastAsia="宋体" w:cs="宋体"/>
          <w:color w:val="auto"/>
          <w:sz w:val="24"/>
          <w:szCs w:val="24"/>
          <w:highlight w:val="none"/>
          <w:shd w:val="clear" w:color="auto" w:fill="auto"/>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特此授权委托。</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委托人（电子签章）：                       受托人（签字或盖章）：</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法定代表人（签字或盖章）：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(受托人身份证</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56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8"/>
          <w:szCs w:val="28"/>
          <w:highlight w:val="none"/>
          <w:shd w:val="clear" w:color="auto" w:fill="auto"/>
        </w:rPr>
      </w:pPr>
      <w:r/>
      <w:bookmarkStart w:id="15" w:name="_Toc44947232"/>
      <w:r>
        <w:rPr>
          <w:rFonts w:hint="eastAsia" w:ascii="宋体" w:hAnsi="宋体" w:eastAsia="宋体" w:cs="宋体"/>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6.具备履行合同所必需的设备和专业技术能力的书面声明</w:t>
      </w:r>
      <w:bookmarkEnd w:id="15"/>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投标人郑重声明：投标人具备履行合同（项目名称：</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rPr>
          <w:rFonts w:hint="eastAsia" w:ascii="宋体" w:hAnsi="宋体" w:eastAsia="宋体" w:cs="宋体"/>
          <w:color w:val="auto"/>
          <w:sz w:val="24"/>
          <w:szCs w:val="24"/>
          <w:highlight w:val="none"/>
          <w:shd w:val="clear" w:color="auto" w:fill="auto"/>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设备：</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专业技术能力：</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特此声明。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投标人名称（电子签章）：</w:t>
      </w:r>
      <w:r/>
    </w:p>
    <w:p>
      <w:pPr>
        <w:pStyle w:val="718"/>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bookmarkStart w:id="16" w:name="_Toc44947233"/>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7.中小企业声明函</w:t>
      </w:r>
      <w:bookmarkEnd w:id="16"/>
      <w:r/>
      <w:r/>
    </w:p>
    <w:p>
      <w:pPr>
        <w:ind w:firstLine="482"/>
        <w:keepLines w:val="0"/>
        <w:keepNext w:val="0"/>
        <w:pageBreakBefore w:val="0"/>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360" w:lineRule="auto"/>
        <w:rPr>
          <w:rFonts w:hint="eastAsia" w:ascii="宋体" w:hAnsi="宋体" w:eastAsia="宋体" w:cs="宋体"/>
          <w:color w:val="auto"/>
          <w:sz w:val="24"/>
          <w:szCs w:val="24"/>
          <w:highlight w:val="none"/>
          <w:shd w:val="clear" w:color="auto" w:fill="auto"/>
        </w:rPr>
      </w:pPr>
      <w:r/>
      <w:bookmarkStart w:id="17" w:name="_Toc44947234"/>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 w:val="24"/>
          <w:szCs w:val="24"/>
          <w:highlight w:val="none"/>
          <w:shd w:val="clear" w:color="auto" w:fill="auto"/>
          <w:lang w:eastAsia="zh-CN"/>
        </w:rPr>
        <w:t xml:space="preserve">徐州高新技术产业开发区管理委员会</w:t>
      </w:r>
      <w:r>
        <w:rPr>
          <w:rFonts w:hint="eastAsia" w:ascii="宋体" w:hAnsi="宋体" w:eastAsia="宋体" w:cs="宋体"/>
          <w:color w:val="auto"/>
          <w:sz w:val="24"/>
          <w:szCs w:val="24"/>
          <w:highlight w:val="none"/>
          <w:shd w:val="clear" w:color="auto" w:fill="auto"/>
        </w:rPr>
        <w:t xml:space="preserve">）的（</w:t>
      </w:r>
      <w:r>
        <w:rPr>
          <w:rFonts w:hint="eastAsia" w:ascii="宋体" w:hAnsi="宋体" w:cs="宋体"/>
          <w:color w:val="auto"/>
          <w:sz w:val="24"/>
          <w:szCs w:val="24"/>
          <w:highlight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）采购活动，提供的</w:t>
      </w:r>
      <w:r>
        <w:rPr>
          <w:rFonts w:hint="eastAsia" w:ascii="宋体" w:hAnsi="宋体" w:eastAsia="宋体" w:cs="宋体"/>
          <w:color w:val="auto"/>
          <w:sz w:val="24"/>
          <w:szCs w:val="24"/>
          <w:highlight w:val="none"/>
          <w:shd w:val="clear" w:color="auto" w:fill="auto"/>
          <w:lang w:val="en-US" w:eastAsia="zh-CN"/>
        </w:rPr>
        <w:t xml:space="preserve">服务</w:t>
      </w:r>
      <w:r>
        <w:rPr>
          <w:rFonts w:hint="eastAsia" w:ascii="宋体" w:hAnsi="宋体" w:eastAsia="宋体" w:cs="宋体"/>
          <w:color w:val="auto"/>
          <w:sz w:val="24"/>
          <w:szCs w:val="24"/>
          <w:highlight w:val="none"/>
          <w:shd w:val="clear" w:color="auto" w:fill="auto"/>
        </w:rPr>
        <w:t xml:space="preserve">全部由符合政策要求的中小企业承接。相关企业的具体情况如下：</w:t>
      </w:r>
      <w:r/>
    </w:p>
    <w:p>
      <w:pPr>
        <w:pStyle w:val="721"/>
        <w:ind w:firstLine="480"/>
        <w:jc w:val="left"/>
        <w:spacing w:before="100" w:beforeAutospacing="1" w:after="100" w:afterAutospacing="1" w:line="450" w:lineRule="atLeast"/>
        <w:widowControl/>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w:t>
      </w:r>
      <w:r>
        <w:rPr>
          <w:rFonts w:hint="eastAsia" w:ascii="宋体" w:hAnsi="宋体" w:eastAsia="宋体" w:cs="宋体"/>
          <w:color w:val="auto"/>
          <w:sz w:val="24"/>
        </w:rPr>
        <w:t xml:space="preserve">行业；</w:t>
      </w:r>
      <w:r>
        <w:rPr>
          <w:rFonts w:hint="eastAsia" w:ascii="宋体" w:hAnsi="宋体" w:eastAsia="宋体" w:cs="宋体"/>
          <w:color w:val="auto"/>
          <w:sz w:val="24"/>
          <w:lang w:eastAsia="zh-CN"/>
        </w:rPr>
        <w:t xml:space="preserve">承接企业</w:t>
      </w:r>
      <w:r>
        <w:rPr>
          <w:rFonts w:hint="eastAsia" w:ascii="宋体" w:hAnsi="宋体" w:eastAsia="宋体" w:cs="宋体"/>
          <w:color w:val="auto"/>
          <w:sz w:val="24"/>
        </w:rPr>
        <w:t xml:space="preserve">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以上企业，不属于大企业的分支机构</w:t>
      </w:r>
      <w:bookmarkStart w:id="19" w:name="_GoBack"/>
      <w:r/>
      <w:bookmarkEnd w:id="19"/>
      <w:r>
        <w:rPr>
          <w:rFonts w:hint="eastAsia" w:ascii="宋体" w:hAnsi="宋体" w:eastAsia="宋体" w:cs="宋体"/>
          <w:color w:val="auto"/>
          <w:sz w:val="24"/>
          <w:szCs w:val="24"/>
          <w:highlight w:val="none"/>
          <w:shd w:val="clear" w:color="auto" w:fill="auto"/>
        </w:rPr>
        <w:t xml:space="preserve">，不存在控股股东为大企业的情形，也不存在与大企业的负责人为同一人的情形。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本企业对上述声明内容的真实性负责。如有虚假，将依法承担相应责任。</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注：本项目采购的</w:t>
      </w:r>
      <w:r>
        <w:rPr>
          <w:rFonts w:hint="eastAsia" w:ascii="宋体" w:hAnsi="宋体" w:eastAsia="宋体" w:cs="宋体"/>
          <w:color w:val="auto"/>
          <w:sz w:val="24"/>
          <w:lang w:eastAsia="zh-CN"/>
        </w:rPr>
        <w:t xml:space="preserve">服务</w:t>
      </w:r>
      <w:r>
        <w:rPr>
          <w:rFonts w:hint="eastAsia" w:ascii="宋体" w:hAnsi="宋体" w:eastAsia="宋体" w:cs="宋体"/>
          <w:color w:val="auto"/>
          <w:sz w:val="24"/>
        </w:rPr>
        <w:t xml:space="preserve">属于</w:t>
      </w:r>
      <w:r>
        <w:rPr>
          <w:rFonts w:hint="eastAsia" w:ascii="宋体" w:hAnsi="宋体" w:eastAsia="宋体" w:cs="宋体"/>
          <w:color w:val="auto"/>
          <w:sz w:val="24"/>
          <w:u w:val="single"/>
          <w:lang w:val="en-US" w:eastAsia="zh-CN"/>
        </w:rPr>
        <w:t xml:space="preserve">软件和信息技术服务</w:t>
      </w:r>
      <w:r>
        <w:rPr>
          <w:rFonts w:hint="eastAsia" w:ascii="宋体" w:hAnsi="宋体" w:eastAsia="宋体" w:cs="宋体"/>
          <w:color w:val="auto"/>
          <w:sz w:val="24"/>
          <w:u w:val="none"/>
          <w:lang w:val="en-US" w:eastAsia="zh-CN"/>
        </w:rPr>
        <w:t xml:space="preserve">行业</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企业名称（电子签章）：                  </w:t>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日期：   年  月  日</w:t>
      </w:r>
      <w:r/>
    </w:p>
    <w:p>
      <w:pPr>
        <w:ind w:firstLine="480"/>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备注：1、从业人员、营业收入、资产总额填报上一年度数据，无上一年度数据的新成立企业可不填报。</w:t>
      </w:r>
      <w:r/>
    </w:p>
    <w:p>
      <w:pPr>
        <w:numPr>
          <w:ilvl w:val="0"/>
          <w:numId w:val="3"/>
        </w:numPr>
        <w:ind w:firstLine="482"/>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1487170</wp:posOffset>
                </wp:positionH>
                <wp:positionV relativeFrom="paragraph">
                  <wp:posOffset>-46355</wp:posOffset>
                </wp:positionV>
                <wp:extent cx="2117090" cy="419100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117.1pt;mso-position-horizontal:absolute;mso-position-vertical-relative:text;margin-top:-3.6pt;mso-position-vertical:absolute;width:166.7pt;height:330.0pt;mso-wrap-distance-left:9.0pt;mso-wrap-distance-top:0.0pt;mso-wrap-distance-right:9.0pt;mso-wrap-distance-bottom:0.0pt;" stroked="f">
                <v:path textboxrect="0,0,0,0"/>
                <w10:wrap type="topAndBottom"/>
                <v:imagedata r:id="rId16" o:title=""/>
              </v:shape>
            </w:pict>
          </mc:Fallback>
        </mc:AlternateContent>
      </w:r>
      <w:bookmarkEnd w:id="17"/>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8.残疾人福利性单位声明函</w:t>
      </w:r>
      <w:r/>
    </w:p>
    <w:p>
      <w:pPr>
        <w:pStyle w:val="725"/>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0"/>
        <w:spacing w:line="360"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pacing w:val="6"/>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JSZC-320312-TSCG-G2026-0004</w:t>
      </w:r>
      <w:r/>
    </w:p>
    <w:p>
      <w:pPr>
        <w:pStyle w:val="743"/>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rPr>
        <w:t xml:space="preserve">〔2017〕141</w:t>
      </w:r>
      <w:r>
        <w:rPr>
          <w:rFonts w:hint="eastAsia" w:ascii="宋体" w:hAnsi="宋体" w:eastAsia="宋体" w:cs="宋体"/>
          <w:color w:val="auto"/>
          <w:spacing w:val="6"/>
          <w:sz w:val="24"/>
          <w:szCs w:val="24"/>
          <w:highlight w:val="none"/>
          <w:shd w:val="clear" w:color="auto" w:fill="auto"/>
        </w:rPr>
        <w:t xml:space="preserve">号）的规定，本单位为符合条件的残疾人福利性单位，且本单位参加</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单位的</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360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说明：</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8" w:name="_Toc44947235"/>
      <w:r>
        <w:rPr>
          <w:rFonts w:hint="eastAsia" w:ascii="宋体" w:hAnsi="宋体" w:eastAsia="宋体" w:cs="宋体"/>
          <w:b/>
          <w:bCs/>
          <w:color w:val="auto"/>
          <w:sz w:val="28"/>
          <w:szCs w:val="28"/>
          <w:highlight w:val="none"/>
          <w:shd w:val="clear" w:color="auto" w:fill="auto"/>
          <w:lang w:val="en-US" w:eastAsia="zh-CN"/>
        </w:rPr>
        <w:t xml:space="preserve">9. 投标人参加政府采购活动前3年内在经营活动中没有重大违法记录的书面声明</w:t>
      </w:r>
      <w:bookmarkEnd w:id="18"/>
      <w:r/>
      <w:r/>
    </w:p>
    <w:p>
      <w:pPr>
        <w:ind w:firstLine="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我单位在参加（</w:t>
      </w:r>
      <w:r>
        <w:rPr>
          <w:rFonts w:hint="eastAsia" w:ascii="宋体" w:hAnsi="宋体" w:cs="宋体"/>
          <w:color w:val="auto"/>
          <w:sz w:val="24"/>
          <w:szCs w:val="24"/>
          <w:highlight w:val="none"/>
          <w:u w:val="single"/>
          <w:shd w:val="clear" w:color="auto" w:fill="auto"/>
          <w:lang w:eastAsia="zh-CN"/>
        </w:rPr>
        <w:t xml:space="preserve">徐州高新技术产业开发区管理委员会数据服务</w:t>
      </w:r>
      <w:r>
        <w:rPr>
          <w:rFonts w:hint="eastAsia" w:ascii="宋体" w:hAnsi="宋体" w:eastAsia="宋体" w:cs="宋体"/>
          <w:color w:val="auto"/>
          <w:sz w:val="24"/>
          <w:szCs w:val="24"/>
          <w:highlight w:val="none"/>
          <w:u w:val="singl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）项目（项目编号：</w:t>
      </w:r>
      <w:r>
        <w:rPr>
          <w:rFonts w:hint="eastAsia" w:ascii="宋体" w:hAnsi="宋体" w:cs="宋体"/>
          <w:color w:val="auto"/>
          <w:sz w:val="24"/>
          <w:szCs w:val="24"/>
          <w:highlight w:val="none"/>
          <w:u w:val="single"/>
          <w:shd w:val="clear" w:color="auto" w:fill="auto"/>
          <w:lang w:eastAsia="zh-CN"/>
        </w:rPr>
        <w:t xml:space="preserve">JSZC-320312-TSCG-G2026-0004</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：（电子签章）</w:t>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日 </w:t>
      </w:r>
      <w:r>
        <w:rPr>
          <w:rFonts w:hint="eastAsia" w:ascii="宋体" w:hAnsi="宋体" w:eastAsia="宋体" w:cs="宋体"/>
          <w:color w:val="auto"/>
          <w:sz w:val="24"/>
          <w:szCs w:val="24"/>
          <w:highlight w:val="none"/>
          <w:shd w:val="clear" w:color="auto" w:fill="auto"/>
        </w:rPr>
        <w:t xml:space="preserve">期：   年  月  日</w:t>
      </w:r>
      <w:r/>
    </w:p>
    <w:p>
      <w:pPr>
        <w:pStyle w:val="749"/>
        <w:ind w:firstLine="0"/>
        <w:jc w:val="both"/>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7"/>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徐州高新技术产业开发区管理委员会数据服务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JSZC-320312-TSCG-G2026-0004</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我单位承诺：</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我单位对上述承诺负责，并依法承担相应责任。</w:t>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pStyle w:val="725"/>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1</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徐州高新技术产业开发区管理委员会数据服务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JSZC-320312-TSCG-G2026-0004</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pStyle w:val="725"/>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pStyle w:val="730"/>
        <w:ind w:firstLine="28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18"/>
        <w:rPr>
          <w:rFonts w:hint="eastAsia" w:ascii="宋体" w:hAnsi="宋体" w:eastAsia="宋体" w:cs="宋体"/>
          <w:lang w:val="en-US" w:eastAsia="zh-CN"/>
        </w:rPr>
      </w:pPr>
      <w:r>
        <w:rPr>
          <w:rFonts w:hint="eastAsia" w:ascii="宋体" w:hAnsi="宋体" w:eastAsia="宋体" w:cs="宋体"/>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highlight w:val="none"/>
          <w:shd w:val="clear" w:color="auto" w:fill="auto"/>
          <w:lang w:val="en-US" w:eastAsia="zh-CN"/>
        </w:rPr>
        <w:t xml:space="preserve">预付款保函支付条款模板</w:t>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付款条件一：提交预付款保函的</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（1）合同签订且乙方向甲方出具预付款保函后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18"/>
        <w:ind w:firstLine="480"/>
        <w:spacing w:line="360" w:lineRule="auto"/>
        <w:tabs>
          <w:tab w:val="left" w:pos="5508"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付款条件二： 不提交预付款保函的</w:t>
      </w:r>
      <w:r/>
    </w:p>
    <w:p>
      <w:pPr>
        <w:pStyle w:val="718"/>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（1）合同签订后</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18"/>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8"/>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18"/>
        <w:ind w:firstLine="480"/>
        <w:spacing w:after="0"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注：1、付款条件一中，出具预付款保函后支付的合同款应当与保函金额一致。</w:t>
      </w:r>
      <w:r/>
    </w:p>
    <w:p>
      <w:pPr>
        <w:pStyle w:val="730"/>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2、付款条件二中，预付款比例设定应符合《关于做好政府采购支持企业发展有关事项的通知》（苏财购(2020)52号）要求。</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sectPr>
      <w:head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pBdr>
        <w:top w:val="none" w:color="auto" w:sz="0" w:space="0"/>
        <w:left w:val="none" w:color="auto" w:sz="0" w:space="0"/>
        <w:bottom w:val="none" w:color="000000"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name w:val="Heading 1"/>
    <w:basedOn w:val="702"/>
    <w:next w:val="702"/>
    <w:uiPriority w:val="0"/>
    <w:qFormat/>
    <w:pPr>
      <w:keepLines/>
      <w:keepNext/>
      <w:spacing w:before="340" w:after="330" w:line="578" w:lineRule="auto"/>
      <w:outlineLvl w:val="0"/>
    </w:pPr>
    <w:rPr>
      <w:b/>
      <w:bCs/>
      <w:sz w:val="44"/>
      <w:szCs w:val="44"/>
    </w:rPr>
  </w:style>
  <w:style w:type="paragraph" w:styleId="704">
    <w:name w:val="Heading 2"/>
    <w:basedOn w:val="702"/>
    <w:next w:val="702"/>
    <w:link w:val="770"/>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925"/>
    <w:uiPriority w:val="0"/>
    <w:unhideWhenUsed/>
    <w:qFormat/>
    <w:pPr>
      <w:keepLines/>
      <w:keepNext/>
      <w:spacing w:before="260" w:after="260" w:line="416" w:lineRule="auto"/>
      <w:outlineLvl w:val="2"/>
    </w:pPr>
    <w:rPr>
      <w:b/>
      <w:bCs/>
      <w:sz w:val="32"/>
      <w:szCs w:val="32"/>
    </w:rPr>
  </w:style>
  <w:style w:type="paragraph" w:styleId="706">
    <w:name w:val="Heading 4"/>
    <w:basedOn w:val="702"/>
    <w:next w:val="715"/>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7">
    <w:name w:val="Heading 5"/>
    <w:basedOn w:val="702"/>
    <w:next w:val="702"/>
    <w:link w:val="773"/>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74"/>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76"/>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77"/>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Layout w:type="fixed"/>
      <w:tblCellMar>
        <w:left w:w="108" w:type="dxa"/>
        <w:top w:w="0" w:type="dxa"/>
        <w:right w:w="108" w:type="dxa"/>
        <w:bottom w:w="0" w:type="dxa"/>
      </w:tblCellMar>
    </w:tblPr>
  </w:style>
  <w:style w:type="paragraph" w:styleId="714">
    <w:name w:val="toc 1"/>
    <w:basedOn w:val="702"/>
    <w:next w:val="702"/>
    <w:uiPriority w:val="99"/>
    <w:unhideWhenUsed/>
    <w:qFormat/>
    <w:pPr>
      <w:jc w:val="left"/>
      <w:spacing w:after="100" w:line="259" w:lineRule="auto"/>
      <w:widowControl/>
    </w:pPr>
    <w:rPr>
      <w:rFonts w:ascii="Calibri" w:hAnsi="Calibri"/>
      <w:sz w:val="22"/>
      <w:szCs w:val="22"/>
    </w:rPr>
  </w:style>
  <w:style w:type="paragraph" w:styleId="715">
    <w:name w:val="Normal Indent"/>
    <w:basedOn w:val="702"/>
    <w:uiPriority w:val="0"/>
    <w:qFormat/>
    <w:pPr>
      <w:ind w:firstLine="420"/>
    </w:pPr>
  </w:style>
  <w:style w:type="paragraph" w:styleId="716">
    <w:name w:val="toc 7"/>
    <w:basedOn w:val="702"/>
    <w:next w:val="702"/>
    <w:uiPriority w:val="39"/>
    <w:unhideWhenUsed/>
    <w:qFormat/>
    <w:pPr>
      <w:ind w:left="1701" w:right="0" w:firstLine="0"/>
      <w:spacing w:after="57"/>
    </w:pPr>
  </w:style>
  <w:style w:type="paragraph" w:styleId="717">
    <w:name w:val="Body Text First Indent"/>
    <w:basedOn w:val="718"/>
    <w:next w:val="725"/>
    <w:uiPriority w:val="0"/>
    <w:qFormat/>
    <w:pPr>
      <w:ind w:firstLine="420"/>
    </w:pPr>
  </w:style>
  <w:style w:type="paragraph" w:styleId="718">
    <w:name w:val="Body Text"/>
    <w:basedOn w:val="702"/>
    <w:next w:val="719"/>
    <w:link w:val="931"/>
    <w:uiPriority w:val="0"/>
    <w:qFormat/>
    <w:pPr>
      <w:spacing w:after="120"/>
    </w:pPr>
  </w:style>
  <w:style w:type="paragraph" w:styleId="719" w:customStyle="1">
    <w:name w:val="一级条标题"/>
    <w:basedOn w:val="720"/>
    <w:next w:val="7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0" w:customStyle="1">
    <w:name w:val="章标题"/>
    <w:next w:val="72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1" w:customStyle="1">
    <w:name w:val="正文111"/>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文本1"/>
    <w:basedOn w:val="723"/>
    <w:next w:val="721"/>
    <w:uiPriority w:val="0"/>
    <w:qFormat/>
    <w:pPr>
      <w:spacing w:after="120"/>
    </w:pPr>
    <w:rPr>
      <w:rFonts w:ascii="Calibri" w:hAnsi="Calibri"/>
    </w:rPr>
  </w:style>
  <w:style w:type="paragraph" w:styleId="723" w:customStyle="1">
    <w:name w:val="正文1"/>
    <w:basedOn w:val="721"/>
    <w:next w:val="722"/>
    <w:uiPriority w:val="0"/>
    <w:qFormat/>
    <w:pPr>
      <w:jc w:val="both"/>
      <w:widowControl w:val="off"/>
    </w:pPr>
    <w:rPr>
      <w:rFonts w:hint="default" w:ascii="Calibri" w:hAnsi="Calibri" w:eastAsia="宋体" w:cs="Times New Roman"/>
      <w:sz w:val="21"/>
      <w:szCs w:val="24"/>
      <w:lang w:val="en-US" w:eastAsia="zh-CN" w:bidi="ar-SA"/>
    </w:rPr>
  </w:style>
  <w:style w:type="paragraph" w:styleId="724" w:customStyle="1">
    <w:name w:val="段"/>
    <w:basedOn w:val="723"/>
    <w:next w:val="721"/>
    <w:uiPriority w:val="0"/>
    <w:qFormat/>
    <w:pPr>
      <w:ind w:firstLine="200"/>
      <w:jc w:val="both"/>
    </w:pPr>
    <w:rPr>
      <w:rFonts w:ascii="宋体" w:hAnsi="Calibri" w:eastAsia="宋体" w:cs="Times New Roman"/>
      <w:sz w:val="21"/>
      <w:szCs w:val="22"/>
      <w:lang w:val="en-US" w:eastAsia="zh-CN" w:bidi="ar-SA"/>
    </w:rPr>
  </w:style>
  <w:style w:type="paragraph" w:styleId="725">
    <w:name w:val="Body Text First Indent 2"/>
    <w:basedOn w:val="726"/>
    <w:next w:val="702"/>
    <w:link w:val="926"/>
    <w:uiPriority w:val="0"/>
    <w:qFormat/>
    <w:pPr>
      <w:ind w:firstLine="420"/>
    </w:pPr>
  </w:style>
  <w:style w:type="paragraph" w:styleId="726">
    <w:name w:val="Body Text Indent"/>
    <w:basedOn w:val="702"/>
    <w:next w:val="727"/>
    <w:link w:val="916"/>
    <w:uiPriority w:val="0"/>
    <w:qFormat/>
    <w:pPr>
      <w:ind w:left="420"/>
      <w:spacing w:after="120"/>
    </w:pPr>
  </w:style>
  <w:style w:type="paragraph" w:styleId="727">
    <w:name w:val="envelope return"/>
    <w:basedOn w:val="702"/>
    <w:uiPriority w:val="0"/>
    <w:qFormat/>
    <w:rPr>
      <w:rFonts w:ascii="Arial" w:hAnsi="Arial"/>
    </w:rPr>
  </w:style>
  <w:style w:type="paragraph" w:styleId="728">
    <w:name w:val="Caption"/>
    <w:basedOn w:val="702"/>
    <w:next w:val="702"/>
    <w:uiPriority w:val="35"/>
    <w:semiHidden/>
    <w:unhideWhenUsed/>
    <w:qFormat/>
    <w:pPr>
      <w:spacing w:line="276" w:lineRule="auto"/>
    </w:pPr>
    <w:rPr>
      <w:b/>
      <w:bCs/>
      <w:color w:val="4f81bd" w:themeColor="accent1"/>
      <w:sz w:val="18"/>
      <w:szCs w:val="18"/>
    </w:rPr>
  </w:style>
  <w:style w:type="paragraph" w:styleId="729">
    <w:name w:val="index 5"/>
    <w:basedOn w:val="702"/>
    <w:next w:val="702"/>
    <w:uiPriority w:val="0"/>
    <w:qFormat/>
    <w:pPr>
      <w:ind w:left="798"/>
      <w:jc w:val="left"/>
    </w:pPr>
    <w:rPr>
      <w:rFonts w:ascii="Calibri" w:hAnsi="Calibri"/>
    </w:rPr>
  </w:style>
  <w:style w:type="paragraph" w:styleId="730">
    <w:name w:val="Block Text"/>
    <w:basedOn w:val="702"/>
    <w:uiPriority w:val="6"/>
    <w:qFormat/>
    <w:pPr>
      <w:ind w:left="256" w:right="6" w:firstLine="624"/>
    </w:pPr>
    <w:rPr>
      <w:rFonts w:eastAsia="仿宋"/>
      <w:sz w:val="28"/>
      <w:szCs w:val="20"/>
    </w:rPr>
  </w:style>
  <w:style w:type="paragraph" w:styleId="731">
    <w:name w:val="index 4"/>
    <w:basedOn w:val="702"/>
    <w:next w:val="702"/>
    <w:uiPriority w:val="99"/>
    <w:unhideWhenUsed/>
    <w:qFormat/>
    <w:pPr>
      <w:ind w:left="600"/>
    </w:pPr>
    <w:rPr>
      <w:rFonts w:ascii="Verdana" w:hAnsi="Verdana" w:eastAsia="微软雅黑"/>
      <w:szCs w:val="20"/>
    </w:rPr>
  </w:style>
  <w:style w:type="paragraph" w:styleId="732">
    <w:name w:val="toc 5"/>
    <w:basedOn w:val="702"/>
    <w:next w:val="702"/>
    <w:uiPriority w:val="39"/>
    <w:unhideWhenUsed/>
    <w:qFormat/>
    <w:pPr>
      <w:ind w:left="1134" w:right="0" w:firstLine="0"/>
      <w:spacing w:after="57"/>
    </w:pPr>
  </w:style>
  <w:style w:type="paragraph" w:styleId="733">
    <w:name w:val="toc 3"/>
    <w:basedOn w:val="702"/>
    <w:next w:val="702"/>
    <w:uiPriority w:val="39"/>
    <w:unhideWhenUsed/>
    <w:qFormat/>
    <w:pPr>
      <w:ind w:left="567" w:right="0" w:firstLine="0"/>
      <w:spacing w:after="57"/>
    </w:pPr>
  </w:style>
  <w:style w:type="paragraph" w:styleId="734">
    <w:name w:val="Plain Text"/>
    <w:basedOn w:val="702"/>
    <w:link w:val="929"/>
    <w:uiPriority w:val="0"/>
    <w:qFormat/>
    <w:rPr>
      <w:rFonts w:ascii="宋体" w:hAnsi="Courier New"/>
      <w:szCs w:val="21"/>
    </w:rPr>
  </w:style>
  <w:style w:type="paragraph" w:styleId="735">
    <w:name w:val="toc 8"/>
    <w:basedOn w:val="702"/>
    <w:next w:val="702"/>
    <w:uiPriority w:val="39"/>
    <w:unhideWhenUsed/>
    <w:qFormat/>
    <w:pPr>
      <w:ind w:left="1984" w:right="0" w:firstLine="0"/>
      <w:spacing w:after="57"/>
    </w:pPr>
  </w:style>
  <w:style w:type="paragraph" w:styleId="736">
    <w:name w:val="Date"/>
    <w:basedOn w:val="702"/>
    <w:next w:val="702"/>
    <w:uiPriority w:val="0"/>
    <w:qFormat/>
    <w:rPr>
      <w:rFonts w:eastAsia="仿宋_GB2312"/>
      <w:sz w:val="28"/>
      <w:szCs w:val="20"/>
    </w:rPr>
  </w:style>
  <w:style w:type="paragraph" w:styleId="737">
    <w:name w:val="Body Text Indent 2"/>
    <w:basedOn w:val="702"/>
    <w:uiPriority w:val="0"/>
    <w:qFormat/>
    <w:pPr>
      <w:ind w:firstLine="475"/>
      <w:spacing w:line="10" w:lineRule="atLeast"/>
    </w:pPr>
    <w:rPr>
      <w:rFonts w:ascii="仿宋_GB2312" w:eastAsia="仿宋_GB2312"/>
      <w:sz w:val="24"/>
    </w:rPr>
  </w:style>
  <w:style w:type="paragraph" w:styleId="738">
    <w:name w:val="endnote text"/>
    <w:basedOn w:val="702"/>
    <w:link w:val="914"/>
    <w:uiPriority w:val="99"/>
    <w:semiHidden/>
    <w:unhideWhenUsed/>
    <w:qFormat/>
    <w:pPr>
      <w:spacing w:after="0" w:line="240" w:lineRule="auto"/>
    </w:pPr>
    <w:rPr>
      <w:sz w:val="20"/>
    </w:rPr>
  </w:style>
  <w:style w:type="paragraph" w:styleId="739">
    <w:name w:val="Footer"/>
    <w:basedOn w:val="702"/>
    <w:uiPriority w:val="0"/>
    <w:qFormat/>
    <w:pPr>
      <w:jc w:val="left"/>
      <w:tabs>
        <w:tab w:val="center" w:pos="4153" w:leader="none"/>
        <w:tab w:val="right" w:pos="8306" w:leader="none"/>
      </w:tabs>
    </w:pPr>
    <w:rPr>
      <w:sz w:val="18"/>
      <w:szCs w:val="18"/>
    </w:rPr>
  </w:style>
  <w:style w:type="paragraph" w:styleId="740">
    <w:name w:val="Header"/>
    <w:basedOn w:val="702"/>
    <w:uiPriority w:val="0"/>
    <w:qFormat/>
    <w:pPr>
      <w:jc w:val="center"/>
      <w:tabs>
        <w:tab w:val="center" w:pos="4153" w:leader="none"/>
        <w:tab w:val="right" w:pos="8306" w:leader="none"/>
      </w:tabs>
      <w:pBdr>
        <w:bottom w:val="single" w:color="auto" w:sz="6" w:space="1"/>
      </w:pBdr>
    </w:pPr>
    <w:rPr>
      <w:sz w:val="18"/>
      <w:szCs w:val="18"/>
    </w:rPr>
  </w:style>
  <w:style w:type="paragraph" w:styleId="741">
    <w:name w:val="toc 4"/>
    <w:basedOn w:val="702"/>
    <w:next w:val="702"/>
    <w:uiPriority w:val="39"/>
    <w:unhideWhenUsed/>
    <w:qFormat/>
    <w:pPr>
      <w:ind w:left="850" w:right="0" w:firstLine="0"/>
      <w:spacing w:after="57"/>
    </w:pPr>
  </w:style>
  <w:style w:type="paragraph" w:styleId="742">
    <w:name w:val="Subtitle"/>
    <w:basedOn w:val="702"/>
    <w:next w:val="702"/>
    <w:link w:val="780"/>
    <w:uiPriority w:val="11"/>
    <w:qFormat/>
    <w:pPr>
      <w:spacing w:before="200" w:after="200"/>
    </w:pPr>
    <w:rPr>
      <w:sz w:val="24"/>
      <w:szCs w:val="24"/>
    </w:rPr>
  </w:style>
  <w:style w:type="paragraph" w:styleId="743">
    <w:name w:val="footnote text"/>
    <w:basedOn w:val="702"/>
    <w:next w:val="729"/>
    <w:link w:val="913"/>
    <w:uiPriority w:val="99"/>
    <w:semiHidden/>
    <w:unhideWhenUsed/>
    <w:qFormat/>
    <w:pPr>
      <w:spacing w:after="40" w:line="240" w:lineRule="auto"/>
    </w:pPr>
    <w:rPr>
      <w:sz w:val="18"/>
    </w:rPr>
  </w:style>
  <w:style w:type="paragraph" w:styleId="744">
    <w:name w:val="toc 6"/>
    <w:basedOn w:val="702"/>
    <w:next w:val="702"/>
    <w:uiPriority w:val="39"/>
    <w:unhideWhenUsed/>
    <w:qFormat/>
    <w:pPr>
      <w:ind w:left="1417" w:right="0" w:firstLine="0"/>
      <w:spacing w:after="57"/>
    </w:pPr>
  </w:style>
  <w:style w:type="paragraph" w:styleId="745">
    <w:name w:val="table of figures"/>
    <w:basedOn w:val="702"/>
    <w:next w:val="702"/>
    <w:uiPriority w:val="99"/>
    <w:unhideWhenUsed/>
    <w:qFormat/>
    <w:pPr>
      <w:spacing w:after="0" w:afterAutospacing="0"/>
    </w:pPr>
  </w:style>
  <w:style w:type="paragraph" w:styleId="746">
    <w:name w:val="toc 2"/>
    <w:basedOn w:val="702"/>
    <w:next w:val="702"/>
    <w:uiPriority w:val="39"/>
    <w:unhideWhenUsed/>
    <w:qFormat/>
    <w:pPr>
      <w:ind w:left="283" w:right="0" w:firstLine="0"/>
      <w:spacing w:after="57"/>
    </w:pPr>
  </w:style>
  <w:style w:type="paragraph" w:styleId="747">
    <w:name w:val="toc 9"/>
    <w:basedOn w:val="702"/>
    <w:next w:val="702"/>
    <w:uiPriority w:val="39"/>
    <w:unhideWhenUsed/>
    <w:qFormat/>
    <w:pPr>
      <w:ind w:left="2268" w:right="0" w:firstLine="0"/>
      <w:spacing w:after="57"/>
    </w:pPr>
  </w:style>
  <w:style w:type="paragraph" w:styleId="748">
    <w:name w:val="Normal (Web)"/>
    <w:basedOn w:val="702"/>
    <w:uiPriority w:val="99"/>
    <w:qFormat/>
    <w:pPr>
      <w:jc w:val="left"/>
      <w:spacing w:before="100" w:beforeAutospacing="1" w:after="100" w:afterAutospacing="1"/>
      <w:widowControl/>
    </w:pPr>
    <w:rPr>
      <w:rFonts w:ascii="宋体" w:hAnsi="宋体" w:cs="宋体"/>
      <w:sz w:val="24"/>
    </w:rPr>
  </w:style>
  <w:style w:type="paragraph" w:styleId="749">
    <w:name w:val="Title"/>
    <w:basedOn w:val="702"/>
    <w:next w:val="702"/>
    <w:link w:val="779"/>
    <w:uiPriority w:val="10"/>
    <w:qFormat/>
    <w:pPr>
      <w:contextualSpacing/>
      <w:spacing w:before="300" w:after="200"/>
    </w:pPr>
    <w:rPr>
      <w:sz w:val="48"/>
      <w:szCs w:val="48"/>
    </w:rPr>
  </w:style>
  <w:style w:type="character" w:styleId="750">
    <w:name w:val="endnote reference"/>
    <w:basedOn w:val="712"/>
    <w:uiPriority w:val="99"/>
    <w:semiHidden/>
    <w:unhideWhenUsed/>
    <w:qFormat/>
    <w:rPr>
      <w:vertAlign w:val="superscript"/>
    </w:rPr>
  </w:style>
  <w:style w:type="character" w:styleId="751">
    <w:name w:val="page number"/>
    <w:basedOn w:val="712"/>
    <w:uiPriority w:val="0"/>
    <w:qFormat/>
  </w:style>
  <w:style w:type="character" w:styleId="752">
    <w:name w:val="FollowedHyperlink"/>
    <w:basedOn w:val="712"/>
    <w:uiPriority w:val="0"/>
    <w:qFormat/>
    <w:rPr>
      <w:color w:val="800080"/>
      <w:u w:val="single"/>
    </w:rPr>
  </w:style>
  <w:style w:type="character" w:styleId="753">
    <w:name w:val="Emphasis"/>
    <w:basedOn w:val="712"/>
    <w:uiPriority w:val="20"/>
    <w:qFormat/>
    <w:rPr>
      <w:i/>
      <w:iCs/>
    </w:rPr>
  </w:style>
  <w:style w:type="character" w:styleId="754">
    <w:name w:val="Hyperlink"/>
    <w:uiPriority w:val="0"/>
    <w:qFormat/>
    <w:rPr>
      <w:color w:val="0000ff"/>
      <w:u w:val="single"/>
    </w:rPr>
  </w:style>
  <w:style w:type="character" w:styleId="755">
    <w:name w:val="footnote reference"/>
    <w:basedOn w:val="712"/>
    <w:uiPriority w:val="99"/>
    <w:unhideWhenUsed/>
    <w:qFormat/>
    <w:rPr>
      <w:vertAlign w:val="superscript"/>
    </w:rPr>
  </w:style>
  <w:style w:type="table" w:styleId="756">
    <w:name w:val="Table Grid"/>
    <w:basedOn w:val="71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7" w:customStyle="1">
    <w:name w:val="正文首行缩进11"/>
    <w:basedOn w:val="758"/>
    <w:next w:val="761"/>
    <w:uiPriority w:val="0"/>
    <w:qFormat/>
    <w:pPr>
      <w:ind w:firstLine="420"/>
    </w:pPr>
  </w:style>
  <w:style w:type="paragraph" w:styleId="758" w:customStyle="1">
    <w:name w:val="正文文本11"/>
    <w:basedOn w:val="759"/>
    <w:next w:val="721"/>
    <w:uiPriority w:val="0"/>
    <w:qFormat/>
    <w:pPr>
      <w:spacing w:after="120"/>
    </w:pPr>
  </w:style>
  <w:style w:type="paragraph" w:styleId="759" w:customStyle="1">
    <w:name w:val="正文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目录 11"/>
    <w:basedOn w:val="759"/>
    <w:next w:val="721"/>
    <w:uiPriority w:val="0"/>
    <w:qFormat/>
    <w:pPr>
      <w:jc w:val="left"/>
      <w:spacing w:after="100" w:line="259" w:lineRule="auto"/>
      <w:widowControl/>
    </w:pPr>
    <w:rPr>
      <w:rFonts w:ascii="Calibri" w:hAnsi="Calibri" w:eastAsia="宋体"/>
      <w:sz w:val="22"/>
      <w:szCs w:val="22"/>
    </w:rPr>
  </w:style>
  <w:style w:type="paragraph" w:styleId="761" w:customStyle="1">
    <w:name w:val="正文首行缩进 211"/>
    <w:basedOn w:val="762"/>
    <w:next w:val="763"/>
    <w:uiPriority w:val="0"/>
    <w:qFormat/>
    <w:pPr>
      <w:ind w:firstLine="420"/>
      <w:tabs>
        <w:tab w:val="left" w:pos="0" w:leader="none"/>
        <w:tab w:val="left" w:pos="993" w:leader="none"/>
        <w:tab w:val="left" w:pos="1134" w:leader="none"/>
      </w:tabs>
    </w:pPr>
  </w:style>
  <w:style w:type="paragraph" w:styleId="762" w:customStyle="1">
    <w:name w:val="正文文本缩进11"/>
    <w:basedOn w:val="763"/>
    <w:next w:val="764"/>
    <w:uiPriority w:val="0"/>
    <w:qFormat/>
    <w:pPr>
      <w:ind w:firstLine="480"/>
    </w:pPr>
    <w:rPr>
      <w:rFonts w:ascii="仿宋_GB2312" w:eastAsia="仿宋_GB2312"/>
      <w:sz w:val="24"/>
    </w:rPr>
  </w:style>
  <w:style w:type="paragraph" w:styleId="763" w:customStyle="1">
    <w:name w:val="正文112"/>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寄信人地址11"/>
    <w:basedOn w:val="765"/>
    <w:uiPriority w:val="0"/>
    <w:qFormat/>
    <w:rPr>
      <w:rFonts w:ascii="Arial" w:hAnsi="Arial"/>
    </w:rPr>
  </w:style>
  <w:style w:type="paragraph" w:styleId="765" w:customStyle="1">
    <w:name w:val="正文1121"/>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文本块11"/>
    <w:basedOn w:val="765"/>
    <w:uiPriority w:val="0"/>
    <w:qFormat/>
    <w:pPr>
      <w:ind w:left="256" w:right="6" w:firstLine="624"/>
    </w:pPr>
    <w:rPr>
      <w:rFonts w:eastAsia="仿宋_GB2312"/>
      <w:sz w:val="28"/>
      <w:szCs w:val="20"/>
    </w:rPr>
  </w:style>
  <w:style w:type="paragraph" w:styleId="767" w:customStyle="1">
    <w:name w:val="文本块1"/>
    <w:basedOn w:val="723"/>
    <w:uiPriority w:val="0"/>
    <w:qFormat/>
    <w:pPr>
      <w:ind w:left="256" w:right="6" w:firstLine="624"/>
    </w:pPr>
    <w:rPr>
      <w:rFonts w:ascii="Times New Roman" w:hAnsi="Times New Roman" w:eastAsia="仿宋" w:cs="Times New Roman"/>
      <w:sz w:val="28"/>
      <w:szCs w:val="20"/>
    </w:rPr>
  </w:style>
  <w:style w:type="paragraph" w:styleId="768" w:customStyle="1">
    <w:name w:val="正文12"/>
    <w:next w:val="72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69" w:customStyle="1">
    <w:name w:val="Heading 1 Char"/>
    <w:basedOn w:val="712"/>
    <w:uiPriority w:val="9"/>
    <w:qFormat/>
    <w:rPr>
      <w:rFonts w:ascii="Arial" w:hAnsi="Arial" w:eastAsia="Arial" w:cs="Arial"/>
      <w:sz w:val="40"/>
      <w:szCs w:val="40"/>
    </w:rPr>
  </w:style>
  <w:style w:type="character" w:styleId="770" w:customStyle="1">
    <w:name w:val="Heading 2 Char"/>
    <w:basedOn w:val="712"/>
    <w:link w:val="704"/>
    <w:uiPriority w:val="9"/>
    <w:qFormat/>
    <w:rPr>
      <w:rFonts w:ascii="Arial" w:hAnsi="Arial" w:eastAsia="Arial" w:cs="Arial"/>
      <w:sz w:val="34"/>
    </w:rPr>
  </w:style>
  <w:style w:type="character" w:styleId="771" w:customStyle="1">
    <w:name w:val="Heading 3 Char"/>
    <w:basedOn w:val="712"/>
    <w:uiPriority w:val="9"/>
    <w:qFormat/>
    <w:rPr>
      <w:rFonts w:ascii="Arial" w:hAnsi="Arial" w:eastAsia="Arial" w:cs="Arial"/>
      <w:sz w:val="30"/>
      <w:szCs w:val="30"/>
    </w:rPr>
  </w:style>
  <w:style w:type="character" w:styleId="772" w:customStyle="1">
    <w:name w:val="Heading 4 Char"/>
    <w:basedOn w:val="712"/>
    <w:uiPriority w:val="9"/>
    <w:qFormat/>
    <w:rPr>
      <w:rFonts w:ascii="Arial" w:hAnsi="Arial" w:eastAsia="Arial" w:cs="Arial"/>
      <w:b/>
      <w:bCs/>
      <w:sz w:val="26"/>
      <w:szCs w:val="26"/>
    </w:rPr>
  </w:style>
  <w:style w:type="character" w:styleId="773" w:customStyle="1">
    <w:name w:val="Heading 5 Char"/>
    <w:basedOn w:val="712"/>
    <w:link w:val="707"/>
    <w:uiPriority w:val="9"/>
    <w:qFormat/>
    <w:rPr>
      <w:rFonts w:ascii="Arial" w:hAnsi="Arial" w:eastAsia="Arial" w:cs="Arial"/>
      <w:b/>
      <w:bCs/>
      <w:sz w:val="24"/>
      <w:szCs w:val="24"/>
    </w:rPr>
  </w:style>
  <w:style w:type="character" w:styleId="774" w:customStyle="1">
    <w:name w:val="Heading 6 Char"/>
    <w:basedOn w:val="712"/>
    <w:link w:val="708"/>
    <w:uiPriority w:val="9"/>
    <w:qFormat/>
    <w:rPr>
      <w:rFonts w:ascii="Arial" w:hAnsi="Arial" w:eastAsia="Arial" w:cs="Arial"/>
      <w:b/>
      <w:bCs/>
      <w:sz w:val="22"/>
      <w:szCs w:val="22"/>
    </w:rPr>
  </w:style>
  <w:style w:type="character" w:styleId="775" w:customStyle="1">
    <w:name w:val="Heading 7 Char"/>
    <w:basedOn w:val="712"/>
    <w:link w:val="709"/>
    <w:uiPriority w:val="9"/>
    <w:qFormat/>
    <w:rPr>
      <w:rFonts w:ascii="Arial" w:hAnsi="Arial" w:eastAsia="Arial" w:cs="Arial"/>
      <w:b/>
      <w:bCs/>
      <w:i/>
      <w:iCs/>
      <w:sz w:val="22"/>
      <w:szCs w:val="22"/>
    </w:rPr>
  </w:style>
  <w:style w:type="character" w:styleId="776" w:customStyle="1">
    <w:name w:val="Heading 8 Char"/>
    <w:basedOn w:val="712"/>
    <w:link w:val="710"/>
    <w:uiPriority w:val="9"/>
    <w:qFormat/>
    <w:rPr>
      <w:rFonts w:ascii="Arial" w:hAnsi="Arial" w:eastAsia="Arial" w:cs="Arial"/>
      <w:i/>
      <w:iCs/>
      <w:sz w:val="22"/>
      <w:szCs w:val="22"/>
    </w:rPr>
  </w:style>
  <w:style w:type="character" w:styleId="777" w:customStyle="1">
    <w:name w:val="Heading 9 Char"/>
    <w:basedOn w:val="712"/>
    <w:link w:val="711"/>
    <w:uiPriority w:val="9"/>
    <w:qFormat/>
    <w:rPr>
      <w:rFonts w:ascii="Arial" w:hAnsi="Arial" w:eastAsia="Arial" w:cs="Arial"/>
      <w:i/>
      <w:iCs/>
      <w:sz w:val="21"/>
      <w:szCs w:val="21"/>
    </w:r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basedOn w:val="712"/>
    <w:link w:val="749"/>
    <w:uiPriority w:val="10"/>
    <w:qFormat/>
    <w:rPr>
      <w:sz w:val="48"/>
      <w:szCs w:val="48"/>
    </w:rPr>
  </w:style>
  <w:style w:type="character" w:styleId="780" w:customStyle="1">
    <w:name w:val="Subtitle Char"/>
    <w:basedOn w:val="712"/>
    <w:link w:val="742"/>
    <w:uiPriority w:val="11"/>
    <w:qFormat/>
    <w:rPr>
      <w:sz w:val="24"/>
      <w:szCs w:val="24"/>
    </w:rPr>
  </w:style>
  <w:style w:type="paragraph" w:styleId="781">
    <w:name w:val="Quote"/>
    <w:basedOn w:val="702"/>
    <w:next w:val="702"/>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02"/>
    <w:next w:val="702"/>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12"/>
    <w:uiPriority w:val="99"/>
    <w:qFormat/>
  </w:style>
  <w:style w:type="character" w:styleId="786" w:customStyle="1">
    <w:name w:val="Footer Char"/>
    <w:basedOn w:val="712"/>
    <w:uiPriority w:val="99"/>
    <w:qFormat/>
  </w:style>
  <w:style w:type="character" w:styleId="787" w:customStyle="1">
    <w:name w:val="Caption Char"/>
    <w:uiPriority w:val="99"/>
    <w:qFormat/>
  </w:style>
  <w:style w:type="table" w:styleId="788"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9"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1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1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1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1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1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1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0" w:customStyle="1">
    <w:name w:val="Grid Table 6 Colorful - Accent 1"/>
    <w:basedOn w:val="71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1"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2"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3" w:customStyle="1">
    <w:name w:val="Grid Table 6 Colorful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4" w:customStyle="1">
    <w:name w:val="Grid Table 6 Colorful - Accent 5"/>
    <w:basedOn w:val="71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1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1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1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13"/>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13"/>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13"/>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1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13"/>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13"/>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13"/>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1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1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1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1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1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13"/>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1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1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1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1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basedOn w:val="71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basedOn w:val="71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basedOn w:val="71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6 Colorful - Accent 1"/>
    <w:basedOn w:val="713"/>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0"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1" w:customStyle="1">
    <w:name w:val="List Table 6 Colorful - Accent 3"/>
    <w:basedOn w:val="71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2" w:customStyle="1">
    <w:name w:val="List Table 6 Colorful - Accent 4"/>
    <w:basedOn w:val="713"/>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3"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4" w:customStyle="1">
    <w:name w:val="List Table 6 Colorful - Accent 6"/>
    <w:basedOn w:val="713"/>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5" w:customStyle="1">
    <w:name w:val="List Table 7 Colorful"/>
    <w:basedOn w:val="71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13"/>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13"/>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1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13"/>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13"/>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13"/>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1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1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1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1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1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1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1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1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1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1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1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43"/>
    <w:uiPriority w:val="99"/>
    <w:qFormat/>
    <w:rPr>
      <w:sz w:val="18"/>
    </w:rPr>
  </w:style>
  <w:style w:type="character" w:styleId="914" w:customStyle="1">
    <w:name w:val="Endnote Text Char"/>
    <w:link w:val="738"/>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character" w:styleId="916" w:customStyle="1">
    <w:name w:val="正文文本缩进 Char"/>
    <w:basedOn w:val="712"/>
    <w:link w:val="726"/>
    <w:uiPriority w:val="0"/>
    <w:qFormat/>
    <w:rPr>
      <w:sz w:val="21"/>
      <w:szCs w:val="24"/>
    </w:rPr>
  </w:style>
  <w:style w:type="paragraph" w:styleId="917" w:customStyle="1">
    <w:name w:val="默认段落字体 Para Char Char Char Char Char Char Char"/>
    <w:basedOn w:val="702"/>
    <w:uiPriority w:val="0"/>
    <w:qFormat/>
    <w:rPr>
      <w:rFonts w:ascii="Tahoma" w:hAnsi="Tahoma"/>
      <w:sz w:val="24"/>
      <w:szCs w:val="20"/>
    </w:rPr>
  </w:style>
  <w:style w:type="paragraph" w:styleId="918" w:customStyle="1">
    <w:name w:val="Char"/>
    <w:basedOn w:val="702"/>
    <w:uiPriority w:val="0"/>
    <w:qFormat/>
    <w:pPr>
      <w:tabs>
        <w:tab w:val="left" w:pos="360" w:leader="none"/>
      </w:tabs>
    </w:pPr>
    <w:rPr>
      <w:sz w:val="24"/>
    </w:rPr>
  </w:style>
  <w:style w:type="paragraph" w:styleId="919" w:customStyle="1">
    <w:name w:val="普通正文"/>
    <w:basedOn w:val="702"/>
    <w:uiPriority w:val="0"/>
    <w:qFormat/>
    <w:pPr>
      <w:ind w:firstLine="480"/>
      <w:jc w:val="left"/>
      <w:spacing w:before="120" w:after="120" w:line="360" w:lineRule="auto"/>
    </w:pPr>
    <w:rPr>
      <w:rFonts w:ascii="Arial" w:hAnsi="Arial"/>
      <w:sz w:val="24"/>
    </w:rPr>
  </w:style>
  <w:style w:type="paragraph" w:styleId="920" w:customStyle="1">
    <w:name w:val="p0"/>
    <w:basedOn w:val="702"/>
    <w:uiPriority w:val="0"/>
    <w:qFormat/>
    <w:pPr>
      <w:widowControl/>
    </w:pPr>
    <w:rPr>
      <w:szCs w:val="21"/>
    </w:rPr>
  </w:style>
  <w:style w:type="paragraph" w:styleId="921" w:customStyle="1">
    <w:name w:val="Default"/>
    <w:basedOn w:val="702"/>
    <w:uiPriority w:val="0"/>
    <w:qFormat/>
    <w:rPr>
      <w:rFonts w:ascii="宋体" w:hAnsi="宋体" w:cs="宋体"/>
      <w:color w:val="000000"/>
      <w:sz w:val="24"/>
    </w:rPr>
  </w:style>
  <w:style w:type="character" w:styleId="922" w:customStyle="1">
    <w:name w:val="16"/>
    <w:basedOn w:val="712"/>
    <w:uiPriority w:val="0"/>
    <w:qFormat/>
    <w:rPr>
      <w:rFonts w:hint="eastAsia" w:ascii="黑体" w:hAnsi="宋体" w:eastAsia="黑体" w:cs="黑体"/>
      <w:color w:val="000000"/>
      <w:sz w:val="44"/>
      <w:szCs w:val="44"/>
    </w:rPr>
  </w:style>
  <w:style w:type="character" w:styleId="923" w:customStyle="1">
    <w:name w:val="15"/>
    <w:basedOn w:val="712"/>
    <w:uiPriority w:val="0"/>
    <w:qFormat/>
    <w:rPr>
      <w:rFonts w:hint="eastAsia" w:ascii="仿宋" w:hAnsi="仿宋" w:eastAsia="仿宋" w:cs="仿宋"/>
      <w:color w:val="000000"/>
      <w:sz w:val="18"/>
      <w:szCs w:val="18"/>
    </w:rPr>
  </w:style>
  <w:style w:type="paragraph" w:styleId="924" w:customStyle="1">
    <w:name w:val="Table Paragraph"/>
    <w:basedOn w:val="702"/>
    <w:uiPriority w:val="1"/>
    <w:qFormat/>
    <w:rPr>
      <w:rFonts w:ascii="宋体" w:hAnsi="宋体" w:cs="宋体"/>
      <w:lang w:val="zh-CN" w:bidi="zh-CN"/>
    </w:rPr>
  </w:style>
  <w:style w:type="character" w:styleId="925" w:customStyle="1">
    <w:name w:val="标题 3 Char"/>
    <w:basedOn w:val="712"/>
    <w:link w:val="705"/>
    <w:uiPriority w:val="0"/>
    <w:qFormat/>
    <w:rPr>
      <w:b/>
      <w:bCs/>
      <w:sz w:val="32"/>
      <w:szCs w:val="32"/>
    </w:rPr>
  </w:style>
  <w:style w:type="character" w:styleId="926" w:customStyle="1">
    <w:name w:val="正文首行缩进 2 Char"/>
    <w:basedOn w:val="916"/>
    <w:link w:val="725"/>
    <w:uiPriority w:val="0"/>
    <w:qFormat/>
  </w:style>
  <w:style w:type="paragraph" w:styleId="927">
    <w:name w:val="List Paragraph"/>
    <w:basedOn w:val="702"/>
    <w:uiPriority w:val="1"/>
    <w:qFormat/>
    <w:pPr>
      <w:ind w:right="-107"/>
    </w:pPr>
  </w:style>
  <w:style w:type="paragraph" w:styleId="9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29" w:customStyle="1">
    <w:name w:val="纯文本 Char"/>
    <w:basedOn w:val="712"/>
    <w:link w:val="734"/>
    <w:uiPriority w:val="0"/>
    <w:qFormat/>
    <w:rPr>
      <w:rFonts w:ascii="宋体" w:hAnsi="Courier New"/>
      <w:sz w:val="21"/>
      <w:szCs w:val="21"/>
    </w:rPr>
  </w:style>
  <w:style w:type="paragraph" w:styleId="930" w:customStyle="1">
    <w:name w:val="目录 111"/>
    <w:basedOn w:val="721"/>
    <w:next w:val="702"/>
    <w:uiPriority w:val="99"/>
    <w:unhideWhenUsed/>
    <w:qFormat/>
    <w:pPr>
      <w:jc w:val="left"/>
      <w:spacing w:after="100" w:line="259" w:lineRule="auto"/>
      <w:widowControl/>
    </w:pPr>
    <w:rPr>
      <w:rFonts w:ascii="Calibri" w:hAnsi="Calibri"/>
      <w:sz w:val="22"/>
      <w:szCs w:val="22"/>
    </w:rPr>
  </w:style>
  <w:style w:type="character" w:styleId="931" w:customStyle="1">
    <w:name w:val="正文文本 Char"/>
    <w:basedOn w:val="712"/>
    <w:link w:val="718"/>
    <w:uiPriority w:val="0"/>
    <w:qFormat/>
    <w:rPr>
      <w:sz w:val="21"/>
      <w:szCs w:val="24"/>
    </w:rPr>
  </w:style>
  <w:style w:type="table" w:styleId="932" w:customStyle="1">
    <w:name w:val="Table Normal"/>
    <w:uiPriority w:val="0"/>
    <w:semiHidden/>
    <w:unhideWhenUsed/>
    <w:qFormat/>
    <w:tblPr>
      <w:tblLayout w:type="fixed"/>
      <w:tblCellMar>
        <w:left w:w="0" w:type="dxa"/>
        <w:top w:w="0" w:type="dxa"/>
        <w:right w:w="0" w:type="dxa"/>
        <w:bottom w:w="0" w:type="dxa"/>
      </w:tblCellMar>
    </w:tblPr>
  </w:style>
  <w:style w:type="paragraph" w:styleId="933" w:customStyle="1">
    <w:name w:val="Table Text"/>
    <w:basedOn w:val="702"/>
    <w:uiPriority w:val="0"/>
    <w:semiHidden/>
    <w:qFormat/>
    <w:rPr>
      <w:rFonts w:ascii="宋体" w:hAnsi="宋体" w:eastAsia="宋体" w:cs="宋体"/>
      <w:sz w:val="21"/>
      <w:szCs w:val="21"/>
      <w:lang w:val="en-US" w:eastAsia="en-US" w:bidi="ar-SA"/>
    </w:rPr>
  </w:style>
  <w:style w:type="paragraph" w:styleId="934" w:customStyle="1">
    <w:name w:val="页眉1"/>
    <w:basedOn w:val="721"/>
    <w:uiPriority w:val="0"/>
    <w:qFormat/>
    <w:pPr>
      <w:jc w:val="center"/>
      <w:tabs>
        <w:tab w:val="center" w:pos="4153" w:leader="none"/>
        <w:tab w:val="right" w:pos="8306" w:leader="none"/>
      </w:tabs>
      <w:pBdr>
        <w:bottom w:val="single" w:color="000000" w:sz="6" w:space="1"/>
      </w:pBdr>
    </w:pPr>
    <w:rPr>
      <w:sz w:val="18"/>
      <w:szCs w:val="18"/>
    </w:rPr>
  </w:style>
  <w:style w:type="paragraph" w:styleId="935" w:customStyle="1">
    <w:name w:val="页脚1"/>
    <w:basedOn w:val="702"/>
    <w:uiPriority w:val="0"/>
    <w:qFormat/>
    <w:pPr>
      <w:widowControl w:val="off"/>
      <w:tabs>
        <w:tab w:val="center" w:pos="4153" w:leader="none"/>
        <w:tab w:val="right" w:pos="8306" w:leader="none"/>
      </w:tabs>
    </w:pPr>
    <w:rPr>
      <w:sz w:val="18"/>
      <w:szCs w:val="18"/>
    </w:rPr>
  </w:style>
  <w:style w:type="table" w:styleId="936" w:customStyle="1">
    <w:name w:val="网格型2"/>
    <w:basedOn w:val="937"/>
    <w:uiPriority w:val="0"/>
    <w:qFormat/>
    <w:rPr>
      <w:sz w:val="21"/>
      <w:szCs w:val="22"/>
    </w:rPr>
    <w:tblPr>
      <w:tblLayout w:type="fixed"/>
      <w:tblCellMar>
        <w:left w:w="0" w:type="dxa"/>
        <w:top w:w="0" w:type="dxa"/>
        <w:right w:w="0" w:type="dxa"/>
        <w:bottom w:w="0" w:type="dxa"/>
      </w:tblCellMar>
    </w:tblPr>
  </w:style>
  <w:style w:type="table" w:styleId="937" w:customStyle="1">
    <w:name w:val="普通表格1"/>
    <w:uiPriority w:val="0"/>
    <w:semiHidden/>
    <w:qFormat/>
    <w:tblPr>
      <w:tblLayout w:type="fixed"/>
      <w:tblCellMar>
        <w:left w:w="0" w:type="dxa"/>
        <w:top w:w="0" w:type="dxa"/>
        <w:right w:w="0" w:type="dxa"/>
        <w:bottom w:w="0" w:type="dxa"/>
      </w:tblCellMar>
    </w:tblPr>
  </w:style>
  <w:style w:type="table" w:styleId="938" w:customStyle="1">
    <w:name w:val="网格型1"/>
    <w:basedOn w:val="937"/>
    <w:uiPriority w:val="0"/>
    <w:qFormat/>
    <w:tblPr>
      <w:tblLayout w:type="fixed"/>
      <w:tblCellMar>
        <w:left w:w="0" w:type="dxa"/>
        <w:top w:w="0" w:type="dxa"/>
        <w:right w:w="0" w:type="dxa"/>
        <w:bottom w:w="0" w:type="dxa"/>
      </w:tblCellMar>
    </w:tblPr>
  </w:style>
  <w:style w:type="paragraph" w:styleId="939" w:customStyle="1">
    <w:name w:val="列出段落2"/>
    <w:basedOn w:val="765"/>
    <w:uiPriority w:val="0"/>
    <w:qFormat/>
    <w:pPr>
      <w:ind w:firstLine="420"/>
    </w:pPr>
  </w:style>
  <w:style w:type="paragraph" w:styleId="940" w:customStyle="1">
    <w:name w:val="正文文本缩进12"/>
    <w:basedOn w:val="765"/>
    <w:next w:val="764"/>
    <w:uiPriority w:val="0"/>
    <w:qFormat/>
    <w:pPr>
      <w:ind w:left="420"/>
      <w:spacing w:after="120"/>
    </w:pPr>
  </w:style>
  <w:style w:type="paragraph" w:styleId="941" w:customStyle="1">
    <w:name w:val="正文文本111"/>
    <w:basedOn w:val="765"/>
    <w:next w:val="719"/>
    <w:uiPriority w:val="0"/>
    <w:qFormat/>
    <w:rPr>
      <w:rFonts w:ascii="楷体_GB2312" w:hAnsi="Arial" w:eastAsia="楷体_GB2312"/>
      <w:sz w:val="28"/>
      <w:szCs w:val="28"/>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宗文倩</cp:lastModifiedBy>
  <cp:revision>50</cp:revision>
  <dcterms:created xsi:type="dcterms:W3CDTF">2026-01-23T08:33:00Z</dcterms:created>
  <dcterms:modified xsi:type="dcterms:W3CDTF">2026-06-04T03:16:56Z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