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F1D06">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right="0"/>
        <w:jc w:val="both"/>
        <w:rPr>
          <w:rFonts w:ascii="Calibri" w:hAnsi="Calibri" w:eastAsia="宋体" w:cs="Times New Roman"/>
          <w:kern w:val="2"/>
          <w:sz w:val="24"/>
          <w:szCs w:val="24"/>
          <w:lang w:val="en-US" w:eastAsia="zh-CN" w:bidi="ar-SA"/>
        </w:rPr>
      </w:pPr>
      <w:r>
        <w:rPr>
          <w:rFonts w:hint="eastAsia" w:ascii="宋体" w:hAnsi="宋体" w:eastAsia="宋体" w:cs="宋体"/>
          <w:color w:val="000000"/>
          <w:kern w:val="2"/>
          <w:sz w:val="28"/>
          <w:szCs w:val="28"/>
          <w:lang w:val="en-US" w:eastAsia="zh-CN" w:bidi="ar-SA"/>
        </w:rPr>
        <w:t>有建议或意见，请以书面形式并加盖公章、注明联系人、联系方式，于2026年6月10日17:00之前送至我单位，逾期不受理（如邮寄，2026年6月10日17:00之后到达本单位的邮件将不再受理）。</w:t>
      </w:r>
    </w:p>
    <w:p w14:paraId="23515B1A">
      <w:pPr>
        <w:rPr>
          <w:rFonts w:hint="eastAsia"/>
          <w:sz w:val="36"/>
          <w:szCs w:val="48"/>
        </w:rPr>
      </w:pPr>
      <w:r>
        <w:rPr>
          <w:rFonts w:hint="eastAsia"/>
          <w:sz w:val="36"/>
          <w:szCs w:val="48"/>
        </w:rPr>
        <w:br w:type="page"/>
      </w:r>
    </w:p>
    <w:p w14:paraId="6DA91DE4">
      <w:pPr>
        <w:pStyle w:val="3"/>
        <w:numPr>
          <w:ilvl w:val="0"/>
          <w:numId w:val="0"/>
        </w:numPr>
        <w:bidi w:val="0"/>
        <w:ind w:leftChars="0"/>
        <w:jc w:val="center"/>
        <w:rPr>
          <w:sz w:val="36"/>
          <w:szCs w:val="48"/>
        </w:rPr>
      </w:pPr>
      <w:r>
        <w:rPr>
          <w:rFonts w:hint="eastAsia"/>
          <w:sz w:val="36"/>
          <w:szCs w:val="48"/>
        </w:rPr>
        <w:t>采购需求</w:t>
      </w:r>
    </w:p>
    <w:p w14:paraId="088DC94D">
      <w:pPr>
        <w:pStyle w:val="3"/>
        <w:numPr>
          <w:ilvl w:val="0"/>
          <w:numId w:val="0"/>
        </w:numPr>
        <w:ind w:leftChars="0"/>
      </w:pPr>
      <w:r>
        <w:rPr>
          <w:rFonts w:hint="eastAsia"/>
        </w:rPr>
        <w:t>采购项目说明</w:t>
      </w:r>
    </w:p>
    <w:p w14:paraId="48FD98ED">
      <w:pPr>
        <w:tabs>
          <w:tab w:val="left" w:pos="0"/>
        </w:tabs>
        <w:spacing w:before="240" w:line="440" w:lineRule="exact"/>
        <w:ind w:firstLine="48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（一）采购人：沛县公安局</w:t>
      </w:r>
    </w:p>
    <w:p w14:paraId="323A77A0">
      <w:pPr>
        <w:tabs>
          <w:tab w:val="left" w:pos="0"/>
        </w:tabs>
        <w:spacing w:before="240" w:line="440" w:lineRule="exact"/>
        <w:ind w:firstLine="480"/>
        <w:contextualSpacing/>
        <w:rPr>
          <w:rFonts w:hint="eastAsia" w:eastAsia="宋体" w:asciiTheme="minorEastAsia" w:hAnsiTheme="minorEastAsia" w:cstheme="minorEastAsia"/>
          <w:lang w:eastAsia="zh-CN"/>
        </w:rPr>
      </w:pPr>
      <w:r>
        <w:rPr>
          <w:rFonts w:hint="eastAsia" w:asciiTheme="minorEastAsia" w:hAnsiTheme="minorEastAsia" w:eastAsiaTheme="minorEastAsia" w:cstheme="minorEastAsia"/>
        </w:rPr>
        <w:t>（二）采购项目名称：</w:t>
      </w:r>
      <w:r>
        <w:rPr>
          <w:rFonts w:hint="eastAsia"/>
          <w:lang w:eastAsia="zh-CN"/>
        </w:rPr>
        <w:t>2026年度城区道路交通设施社会化管养服务</w:t>
      </w:r>
    </w:p>
    <w:p w14:paraId="7DC20698">
      <w:pPr>
        <w:pBdr>
          <w:top w:val="none" w:color="000000" w:sz="0" w:space="0"/>
          <w:left w:val="none" w:color="000000" w:sz="0" w:space="0"/>
          <w:bottom w:val="none" w:color="000000" w:sz="0" w:space="0"/>
          <w:right w:val="none" w:color="000000" w:sz="0" w:space="0"/>
        </w:pBdr>
        <w:spacing w:line="440" w:lineRule="exact"/>
        <w:ind w:firstLine="480"/>
        <w:outlineLvl w:val="9"/>
        <w:rPr>
          <w:rFonts w:hint="eastAsia" w:eastAsia="宋体" w:asciiTheme="minorEastAsia" w:hAnsiTheme="minorEastAsia" w:cstheme="minorEastAsia"/>
          <w:lang w:eastAsia="zh-CN"/>
        </w:rPr>
      </w:pPr>
      <w:r>
        <w:rPr>
          <w:rFonts w:hint="eastAsia" w:asciiTheme="minorEastAsia" w:hAnsiTheme="minorEastAsia" w:eastAsiaTheme="minorEastAsia" w:cstheme="minorEastAsia"/>
        </w:rPr>
        <w:t>（三）采购标的：</w:t>
      </w:r>
      <w:r>
        <w:rPr>
          <w:rFonts w:hint="eastAsia"/>
          <w:lang w:eastAsia="zh-CN"/>
        </w:rPr>
        <w:t>2026年度城区道路交通设施社会化管养服务</w:t>
      </w:r>
    </w:p>
    <w:p w14:paraId="2DEA6AA6">
      <w:pPr>
        <w:pBdr>
          <w:top w:val="none" w:color="000000" w:sz="0" w:space="0"/>
          <w:left w:val="none" w:color="000000" w:sz="0" w:space="0"/>
          <w:bottom w:val="none" w:color="000000" w:sz="0" w:space="0"/>
          <w:right w:val="none" w:color="000000" w:sz="0" w:space="0"/>
        </w:pBdr>
        <w:spacing w:line="440" w:lineRule="exact"/>
        <w:ind w:firstLine="480"/>
        <w:outlineLvl w:val="9"/>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（四）预算金额：本项目</w:t>
      </w:r>
      <w:r>
        <w:rPr>
          <w:rFonts w:hint="eastAsia" w:asciiTheme="minorEastAsia" w:hAnsiTheme="minorEastAsia" w:eastAsiaTheme="minorEastAsia" w:cstheme="minorEastAsia"/>
          <w:lang w:val="en-US" w:eastAsia="zh-CN"/>
        </w:rPr>
        <w:t>预算180万元人民币，本项目</w:t>
      </w:r>
      <w:r>
        <w:rPr>
          <w:rFonts w:hint="eastAsia" w:asciiTheme="minorEastAsia" w:hAnsiTheme="minorEastAsia" w:eastAsiaTheme="minorEastAsia" w:cstheme="minorEastAsia"/>
        </w:rPr>
        <w:t>不接受单价超过限价</w:t>
      </w:r>
      <w:r>
        <w:rPr>
          <w:rFonts w:hint="eastAsia" w:asciiTheme="minorEastAsia" w:hAnsiTheme="minorEastAsia" w:eastAsiaTheme="minorEastAsia" w:cstheme="minorEastAsia"/>
          <w:lang w:val="en-US" w:eastAsia="zh-CN"/>
        </w:rPr>
        <w:t>的</w:t>
      </w:r>
      <w:r>
        <w:rPr>
          <w:rFonts w:hint="eastAsia" w:asciiTheme="minorEastAsia" w:hAnsiTheme="minorEastAsia" w:eastAsiaTheme="minorEastAsia" w:cstheme="minorEastAsia"/>
        </w:rPr>
        <w:t>投标报价</w:t>
      </w:r>
      <w:r>
        <w:rPr>
          <w:rFonts w:hint="eastAsia" w:asciiTheme="minorEastAsia" w:hAnsiTheme="minorEastAsia" w:eastAsiaTheme="minorEastAsia" w:cstheme="minorEastAsia"/>
          <w:lang w:eastAsia="zh-CN"/>
        </w:rPr>
        <w:t>。</w:t>
      </w:r>
    </w:p>
    <w:p w14:paraId="2E336C00">
      <w:pPr>
        <w:tabs>
          <w:tab w:val="left" w:pos="0"/>
        </w:tabs>
        <w:spacing w:before="240" w:line="440" w:lineRule="exact"/>
        <w:ind w:firstLine="480"/>
        <w:contextualSpacing/>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（本次报价项目完成所需全部费用及其它相关费用，采购人不再支付报价以外的任何费用。）</w:t>
      </w:r>
    </w:p>
    <w:p w14:paraId="6D3C5E6E">
      <w:pPr>
        <w:ind w:firstLine="0" w:firstLineChars="0"/>
        <w:rPr>
          <w:b/>
          <w:bCs/>
          <w:sz w:val="36"/>
          <w:szCs w:val="40"/>
        </w:rPr>
      </w:pPr>
      <w:bookmarkStart w:id="0" w:name="_GoBack"/>
      <w:bookmarkEnd w:id="0"/>
    </w:p>
    <w:p w14:paraId="0BEC9636">
      <w:pPr>
        <w:pStyle w:val="3"/>
      </w:pPr>
      <w:r>
        <w:rPr>
          <w:rFonts w:hint="eastAsia"/>
        </w:rPr>
        <w:t>维护概述</w:t>
      </w:r>
    </w:p>
    <w:p w14:paraId="1793CBD6">
      <w:pPr>
        <w:spacing w:line="440" w:lineRule="exact"/>
        <w:ind w:firstLine="480"/>
        <w:rPr>
          <w:rFonts w:hint="eastAsia" w:asciiTheme="minorEastAsia" w:hAnsiTheme="minorEastAsia" w:eastAsiaTheme="minorEastAsia" w:cstheme="minorEastAsia"/>
        </w:rPr>
      </w:pPr>
      <w:r>
        <w:rPr>
          <w:rFonts w:hint="eastAsia"/>
        </w:rPr>
        <w:t>中标单位对纳入招标人管理的道路交通信号控制系统、视频监控系统（含电子警察系统、卡口系统等）、机房系统运行维护服务，服务内容包含交通信号控制设备、流量采集设备、电子警察设备、卡口设备、高空瞭望设备、视频监控设备、诱导设备、测速设备等设备的维护、保养、</w:t>
      </w:r>
      <w:r>
        <w:rPr>
          <w:rFonts w:hint="eastAsia" w:asciiTheme="minorEastAsia" w:hAnsiTheme="minorEastAsia" w:eastAsiaTheme="minorEastAsia" w:cstheme="minorEastAsia"/>
        </w:rPr>
        <w:t>优化调试、故障处置和修复、升级改造和更新、应急处置等，</w:t>
      </w:r>
      <w:r>
        <w:rPr>
          <w:rFonts w:hint="eastAsia"/>
        </w:rPr>
        <w:t>以及交通组织和交通信号配时的优化、机房集成平台软硬件维护等。按照专业化、精细化的标准，保障维保范围内的信号控制系统、视频监控系统、机房系统等高效稳定运行。</w:t>
      </w:r>
      <w:r>
        <w:rPr>
          <w:rFonts w:hint="eastAsia" w:asciiTheme="minorEastAsia" w:hAnsiTheme="minorEastAsia" w:eastAsiaTheme="minorEastAsia" w:cstheme="minorEastAsia"/>
          <w:b/>
          <w:u w:val="single"/>
        </w:rPr>
        <w:t>本次维护采取包工包料的全包方式，由</w:t>
      </w:r>
      <w:r>
        <w:rPr>
          <w:rFonts w:hint="eastAsia" w:asciiTheme="minorEastAsia" w:hAnsiTheme="minorEastAsia" w:eastAsiaTheme="minorEastAsia" w:cstheme="minorEastAsia"/>
          <w:b/>
          <w:u w:val="single"/>
          <w:lang w:eastAsia="zh-CN"/>
        </w:rPr>
        <w:t>中标人</w:t>
      </w:r>
      <w:r>
        <w:rPr>
          <w:rFonts w:hint="eastAsia" w:asciiTheme="minorEastAsia" w:hAnsiTheme="minorEastAsia" w:eastAsiaTheme="minorEastAsia" w:cstheme="minorEastAsia"/>
          <w:b/>
          <w:u w:val="single"/>
        </w:rPr>
        <w:t>承担全部项目需求，不再增加额外费用。</w:t>
      </w:r>
    </w:p>
    <w:p w14:paraId="4F7EBE48">
      <w:pPr>
        <w:pStyle w:val="11"/>
        <w:ind w:firstLine="480"/>
        <w:rPr>
          <w:rFonts w:hint="eastAsia"/>
        </w:rPr>
      </w:pPr>
    </w:p>
    <w:p w14:paraId="7C1A0E8A">
      <w:pPr>
        <w:pStyle w:val="3"/>
      </w:pPr>
      <w:r>
        <w:rPr>
          <w:rFonts w:hint="eastAsia"/>
        </w:rPr>
        <w:t>维护整体要求</w:t>
      </w:r>
    </w:p>
    <w:p w14:paraId="53219DF5">
      <w:pPr>
        <w:numPr>
          <w:ilvl w:val="0"/>
          <w:numId w:val="2"/>
        </w:numPr>
        <w:spacing w:line="440" w:lineRule="exact"/>
        <w:ind w:firstLine="480"/>
      </w:pPr>
      <w:r>
        <w:rPr>
          <w:rFonts w:hint="eastAsia"/>
        </w:rPr>
        <w:t>维护服务期</w:t>
      </w:r>
    </w:p>
    <w:p w14:paraId="09687516">
      <w:pPr>
        <w:spacing w:line="440" w:lineRule="exact"/>
        <w:ind w:firstLine="480"/>
      </w:pPr>
      <w:r>
        <w:rPr>
          <w:rFonts w:hint="eastAsia"/>
        </w:rPr>
        <w:t>12个月。</w:t>
      </w:r>
    </w:p>
    <w:p w14:paraId="5470741A">
      <w:pPr>
        <w:spacing w:line="440" w:lineRule="exact"/>
        <w:ind w:firstLine="480"/>
      </w:pPr>
      <w:r>
        <w:rPr>
          <w:rFonts w:hint="eastAsia"/>
        </w:rPr>
        <w:t>（二）维护范围</w:t>
      </w:r>
    </w:p>
    <w:p w14:paraId="1F7B4C09">
      <w:pPr>
        <w:spacing w:line="440" w:lineRule="exact"/>
        <w:ind w:firstLine="480"/>
      </w:pPr>
      <w:r>
        <w:rPr>
          <w:rFonts w:hint="eastAsia"/>
        </w:rPr>
        <w:t>维保范围内所有采购人管辖的道路交通信号控制系统、视频监控系统、机房系统等相关软硬件设备。</w:t>
      </w:r>
    </w:p>
    <w:p w14:paraId="2243A3E8">
      <w:pPr>
        <w:spacing w:line="440" w:lineRule="exact"/>
        <w:ind w:firstLine="480"/>
      </w:pPr>
      <w:r>
        <w:rPr>
          <w:rFonts w:hint="eastAsia"/>
        </w:rPr>
        <w:t>（三）维护</w:t>
      </w:r>
      <w:r>
        <w:rPr>
          <w:rFonts w:hint="eastAsia"/>
          <w:lang w:val="en-US" w:eastAsia="zh-CN"/>
        </w:rPr>
        <w:t>整体</w:t>
      </w:r>
      <w:r>
        <w:rPr>
          <w:rFonts w:hint="eastAsia"/>
        </w:rPr>
        <w:t>要求</w:t>
      </w:r>
    </w:p>
    <w:p w14:paraId="40AC953D">
      <w:pPr>
        <w:pStyle w:val="4"/>
        <w:ind w:firstLine="480"/>
      </w:pPr>
      <w:r>
        <w:rPr>
          <w:rFonts w:hint="eastAsia"/>
        </w:rPr>
        <w:t>1、信息安全要求</w:t>
      </w:r>
    </w:p>
    <w:p w14:paraId="1EAFA781">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保证其公司人员在服务期间所接触的采购人各种文件、数据、资料、系统操作等严格遵守招标人保密制度，不得向第三方泄露。</w:t>
      </w:r>
    </w:p>
    <w:p w14:paraId="1B207A22">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应当严格遵守采购人内部的保密相关规定，严禁泄漏采购人秘密，未经采购人确认，</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的公司人员不得对采购人业务系统作任何操作，参与项目维保人员必须做到以下几点：</w:t>
      </w:r>
    </w:p>
    <w:p w14:paraId="53CFD947">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a、只在规定的区域实行规定的工作，不得进入与之无关的工作区域；</w:t>
      </w:r>
    </w:p>
    <w:p w14:paraId="11F2AE12">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b、不得在任何设备上建立与工作无关的网站、网页和服务；不得在设备中传输、粘贴有害信息或与工作无关的信息；</w:t>
      </w:r>
    </w:p>
    <w:p w14:paraId="2AA61CE0">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c、不得擅自对设备进行扫描、探测和入侵信息系统；</w:t>
      </w:r>
    </w:p>
    <w:p w14:paraId="0EAB8A00">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d、不得对工作信息和资源越权访问、违规使用；</w:t>
      </w:r>
    </w:p>
    <w:p w14:paraId="017A2317">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e、不得私自允许无关人员接触和使用设备；</w:t>
      </w:r>
    </w:p>
    <w:p w14:paraId="67FA55C2">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f、严禁擅自将工作用设备和文件带离采购人指定地点；</w:t>
      </w:r>
    </w:p>
    <w:p w14:paraId="4822FCA7">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g、未经采购人同意，严禁以任何方式和介质拷贝任何信息及项目中涉及的信息；</w:t>
      </w:r>
    </w:p>
    <w:p w14:paraId="13071A00">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h、对工作中接触到的信息做到保密；</w:t>
      </w:r>
    </w:p>
    <w:p w14:paraId="55E6CC64">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i、不准擅自摘抄、下载、复制、拍摄、提供、销毁或私自留存相关文件、资料（含电子文档）；不准在私人交往中谈论相关工作；</w:t>
      </w:r>
    </w:p>
    <w:p w14:paraId="6F08731D">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j、不得有其他任何危害采购人信息安全的行为。</w:t>
      </w:r>
    </w:p>
    <w:p w14:paraId="6DEE77ED">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（3）按照采购人内部的信息网络的安全要求，由</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与采购人签定安全保密协议（</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和采购人在合同签订时一起签订保密协议），落实采购人网络安全及信息保密的各项规定。</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对本项目配备人员必须进行相关安全保密教育，与采购人签订保密协议，有履行保密的责任和义务。</w:t>
      </w:r>
    </w:p>
    <w:p w14:paraId="583D3260">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（4）凡以直接、间接、口头或书面等形式提供涉及保密内容的行为均属泄密，将追究当事人及维保单位的责任。</w:t>
      </w:r>
    </w:p>
    <w:p w14:paraId="5F823802">
      <w:pPr>
        <w:spacing w:line="440" w:lineRule="exact"/>
        <w:ind w:firstLine="480"/>
        <w:contextualSpacing/>
      </w:pPr>
      <w:r>
        <w:rPr>
          <w:rFonts w:hint="eastAsia" w:asciiTheme="minorEastAsia" w:hAnsiTheme="minorEastAsia" w:eastAsiaTheme="minorEastAsia" w:cstheme="minorEastAsia"/>
          <w:bCs/>
        </w:rPr>
        <w:t>（5）项目结束后，所有资料全部移交给采购人。</w:t>
      </w:r>
    </w:p>
    <w:p w14:paraId="4D7054FC">
      <w:pPr>
        <w:pStyle w:val="4"/>
        <w:numPr>
          <w:ilvl w:val="0"/>
          <w:numId w:val="0"/>
        </w:numPr>
        <w:bidi w:val="0"/>
        <w:ind w:firstLine="480" w:firstLineChars="200"/>
      </w:pPr>
      <w:r>
        <w:rPr>
          <w:rFonts w:hint="eastAsia"/>
          <w:lang w:val="en-US" w:eastAsia="zh-CN"/>
        </w:rPr>
        <w:t>2、</w:t>
      </w:r>
      <w:r>
        <w:rPr>
          <w:rFonts w:hint="eastAsia"/>
        </w:rPr>
        <w:t>人员及车辆要求</w:t>
      </w:r>
    </w:p>
    <w:p w14:paraId="1101AFF7">
      <w:pPr>
        <w:spacing w:line="390" w:lineRule="exact"/>
        <w:ind w:firstLine="480"/>
        <w:rPr>
          <w:rFonts w:hint="eastAsia" w:hAnsi="宋体"/>
          <w:szCs w:val="24"/>
        </w:rPr>
      </w:pPr>
      <w:r>
        <w:rPr>
          <w:rFonts w:hint="eastAsia" w:hAnsi="宋体"/>
        </w:rPr>
        <w:t>（1）签订合同前，采购人核对投标人所投资料原件是否一致；如与投标文件不一致的视为虚假承诺，由此产生的一切后果由中标人承担。</w:t>
      </w:r>
    </w:p>
    <w:p w14:paraId="08C858E5">
      <w:pPr>
        <w:spacing w:line="390" w:lineRule="exact"/>
        <w:ind w:firstLine="480"/>
        <w:rPr>
          <w:rFonts w:hint="eastAsia" w:hAnsi="宋体"/>
        </w:rPr>
      </w:pPr>
      <w:r>
        <w:rPr>
          <w:rFonts w:hint="eastAsia" w:hAnsi="宋体"/>
        </w:rPr>
        <w:t>（2）合同签订后中标人立即组织人员、设备进场维护。</w:t>
      </w:r>
    </w:p>
    <w:p w14:paraId="09070B95">
      <w:pPr>
        <w:spacing w:line="390" w:lineRule="exact"/>
        <w:ind w:firstLine="480"/>
        <w:rPr>
          <w:rFonts w:hint="eastAsia" w:hAnsi="宋体"/>
        </w:rPr>
      </w:pPr>
      <w:r>
        <w:rPr>
          <w:rFonts w:hint="eastAsia" w:hAnsi="宋体"/>
        </w:rPr>
        <w:t>（3）项目经理：项目经理要具有维护的实际工作经验，具有较强的信号灯和视频监控的施工、维护经验，具有协调组织能力，能指导信号优化技术人员、前端维护人员开展工作，按时参加采购人主持的会议。</w:t>
      </w:r>
    </w:p>
    <w:p w14:paraId="2D0BE4A9">
      <w:pPr>
        <w:spacing w:line="390" w:lineRule="exact"/>
        <w:ind w:firstLine="480"/>
        <w:rPr>
          <w:rFonts w:hint="eastAsia" w:hAnsi="宋体"/>
        </w:rPr>
      </w:pPr>
      <w:r>
        <w:rPr>
          <w:rFonts w:hint="eastAsia" w:hAnsi="宋体"/>
        </w:rPr>
        <w:t>（4）技术支持人员：</w:t>
      </w:r>
      <w:r>
        <w:rPr>
          <w:rFonts w:hint="eastAsia" w:hAnsi="宋体"/>
          <w:highlight w:val="none"/>
        </w:rPr>
        <w:t>技术支持人员需结合全县交通运行现状及存在问题，对既有路口交通组织方式及信号控制方案进行优化调整，提升路口交通组织的科学性</w:t>
      </w:r>
      <w:r>
        <w:rPr>
          <w:rFonts w:hint="eastAsia" w:hAnsi="宋体"/>
          <w:highlight w:val="none"/>
          <w:lang w:eastAsia="zh-CN"/>
        </w:rPr>
        <w:t>，</w:t>
      </w:r>
      <w:r>
        <w:rPr>
          <w:rFonts w:hint="eastAsia" w:hAnsi="宋体"/>
          <w:highlight w:val="none"/>
          <w:lang w:val="en-US" w:eastAsia="zh-CN"/>
        </w:rPr>
        <w:t>提高</w:t>
      </w:r>
      <w:r>
        <w:rPr>
          <w:rFonts w:hint="eastAsia" w:hAnsi="宋体"/>
          <w:highlight w:val="none"/>
        </w:rPr>
        <w:t>通行效率。根据各时段交通流量变化，优化完善信号控制配置策略，精准匹配不同时段通行需求，统筹开展沛县全域道路交通组织专项规划。</w:t>
      </w:r>
      <w:r>
        <w:rPr>
          <w:rFonts w:hint="eastAsia" w:hAnsi="宋体"/>
          <w:highlight w:val="none"/>
          <w:lang w:val="en-US" w:eastAsia="zh-CN"/>
        </w:rPr>
        <w:t>技术支持人员应</w:t>
      </w:r>
      <w:r>
        <w:rPr>
          <w:rFonts w:hint="eastAsia" w:hAnsi="宋体"/>
          <w:highlight w:val="none"/>
        </w:rPr>
        <w:t>具备交通设施专业技术能力，协助参与交通工程方案论证、施工图纸审核及路口新建与改造交通设施布设复核工作。实行常态化驻点技术保障，定期对交通信号控制系统、视频监控系统</w:t>
      </w:r>
      <w:r>
        <w:rPr>
          <w:rFonts w:hint="eastAsia" w:hAnsi="宋体"/>
          <w:highlight w:val="none"/>
          <w:lang w:eastAsia="zh-CN"/>
        </w:rPr>
        <w:t>、</w:t>
      </w:r>
      <w:r>
        <w:rPr>
          <w:rFonts w:hint="eastAsia" w:hAnsi="宋体"/>
          <w:highlight w:val="none"/>
          <w:lang w:val="en-US" w:eastAsia="zh-CN"/>
        </w:rPr>
        <w:t>机房系统</w:t>
      </w:r>
      <w:r>
        <w:rPr>
          <w:rFonts w:hint="eastAsia" w:hAnsi="宋体"/>
          <w:highlight w:val="none"/>
        </w:rPr>
        <w:t>及相关配套软件开展日常巡检、故障维护、功能升级与运维管控，确保各类软硬件系统安全可靠、稳定运行</w:t>
      </w:r>
      <w:r>
        <w:rPr>
          <w:rFonts w:hint="eastAsia" w:hAnsi="宋体"/>
        </w:rPr>
        <w:t>。</w:t>
      </w:r>
    </w:p>
    <w:p w14:paraId="3D268FBF">
      <w:pPr>
        <w:spacing w:line="400" w:lineRule="exact"/>
        <w:ind w:firstLine="480"/>
        <w:rPr>
          <w:rFonts w:hint="default" w:hAnsi="宋体"/>
          <w:highlight w:val="yellow"/>
          <w:lang w:val="en-US"/>
        </w:rPr>
      </w:pPr>
      <w:r>
        <w:rPr>
          <w:rFonts w:hint="eastAsia" w:hAnsi="宋体"/>
        </w:rPr>
        <w:t>（5）设备维护人员：</w:t>
      </w:r>
      <w:r>
        <w:rPr>
          <w:rFonts w:hint="eastAsia" w:hAnsi="宋体"/>
          <w:lang w:val="en-US" w:eastAsia="zh-CN"/>
        </w:rPr>
        <w:t>中标人须根据从业人员专业技能合理科学配置人员，组建不少于3个设备维护工作班组，其中，前端设备维护工作班组不少于2组，每班组人员不少于2人，后台维护工作班组不少于1组，每班组人员不少于2人。前端</w:t>
      </w:r>
      <w:r>
        <w:rPr>
          <w:rFonts w:hint="eastAsia" w:hAnsi="宋体"/>
          <w:highlight w:val="none"/>
          <w:lang w:val="en-US" w:eastAsia="zh-CN"/>
        </w:rPr>
        <w:t>维护班组人员须具备交通信号及监控设备安装调试、故障诊断、现场抢修与日常维修等专业技术保障能力，后台维护班组人员负责日常工单派发、故障受理、调度统筹、运行监测及信息汇总反馈。合同签订后须向采购人报备设备维护班组全体人员名单，明确各班组长及联系方式。班组负责人及联络方式一经确定，不得随意变更、更换或停用失联，确保能够及时接收工作指令、报送现场处置及工作反馈信息。</w:t>
      </w:r>
    </w:p>
    <w:p w14:paraId="282C7E61">
      <w:pPr>
        <w:spacing w:line="400" w:lineRule="exact"/>
        <w:ind w:firstLine="480"/>
        <w:rPr>
          <w:rFonts w:hint="eastAsia" w:hAnsi="宋体"/>
        </w:rPr>
      </w:pPr>
      <w:r>
        <w:rPr>
          <w:rFonts w:hint="eastAsia" w:hAnsi="宋体"/>
          <w:lang w:val="en-US" w:eastAsia="zh-CN"/>
        </w:rPr>
        <w:t>（6）中标人须对全体维护人员实行规范化统一管理，作业期间统一身着公司制式工装上岗，严格遵守作息及考勤管理制度，严禁出现脱岗、迟到早退、擅自离岗、工作失控、通讯失联等违规违纪行为。采购人对前端维护人员实行点名与随机抽查相结合的考勤管理方式，抽查及考勤结果严格执行本项目实时动态绩效考核管理办法</w:t>
      </w:r>
      <w:r>
        <w:rPr>
          <w:rFonts w:hint="eastAsia" w:hAnsi="宋体"/>
        </w:rPr>
        <w:t>。</w:t>
      </w:r>
    </w:p>
    <w:p w14:paraId="16ECB9DC">
      <w:pPr>
        <w:tabs>
          <w:tab w:val="left" w:pos="2160"/>
        </w:tabs>
        <w:spacing w:line="400" w:lineRule="exact"/>
        <w:ind w:firstLine="480"/>
        <w:rPr>
          <w:rFonts w:hint="eastAsia" w:hAnsi="宋体"/>
        </w:rPr>
      </w:pPr>
      <w:r>
        <w:rPr>
          <w:rFonts w:hint="eastAsia" w:hAnsi="宋体"/>
        </w:rPr>
        <w:t>（</w:t>
      </w:r>
      <w:r>
        <w:rPr>
          <w:rFonts w:hint="eastAsia" w:hAnsi="宋体"/>
          <w:lang w:val="en-US" w:eastAsia="zh-CN"/>
        </w:rPr>
        <w:t>7</w:t>
      </w:r>
      <w:r>
        <w:rPr>
          <w:rFonts w:hint="eastAsia" w:hAnsi="宋体"/>
        </w:rPr>
        <w:t>）</w:t>
      </w:r>
      <w:r>
        <w:rPr>
          <w:rFonts w:hint="eastAsia" w:hAnsi="宋体"/>
          <w:lang w:val="en-US" w:eastAsia="zh-CN"/>
        </w:rPr>
        <w:t>车辆要求：</w:t>
      </w:r>
      <w:r>
        <w:rPr>
          <w:rFonts w:hint="eastAsia" w:hAnsi="宋体"/>
        </w:rPr>
        <w:t>中标</w:t>
      </w:r>
      <w:r>
        <w:rPr>
          <w:rFonts w:hint="eastAsia" w:hAnsi="宋体"/>
          <w:lang w:val="en-US" w:eastAsia="zh-CN"/>
        </w:rPr>
        <w:t>人</w:t>
      </w:r>
      <w:r>
        <w:rPr>
          <w:rFonts w:hint="eastAsia" w:hAnsi="宋体"/>
        </w:rPr>
        <w:t>应在沛县配备以下车辆：4辆专用维护车辆（燃油、保养所有费用包含在本次报价内，不再增加额外费用），其中1辆维护车辆应为登高车，作业高度不低于6米、1辆调优</w:t>
      </w:r>
      <w:r>
        <w:rPr>
          <w:rFonts w:hint="eastAsia" w:hAnsi="宋体"/>
          <w:lang w:val="en-US" w:eastAsia="zh-CN"/>
        </w:rPr>
        <w:t>车</w:t>
      </w:r>
      <w:r>
        <w:rPr>
          <w:rFonts w:hint="eastAsia" w:hAnsi="宋体"/>
        </w:rPr>
        <w:t>辆</w:t>
      </w:r>
      <w:r>
        <w:rPr>
          <w:rFonts w:hint="eastAsia" w:hAnsi="宋体"/>
          <w:lang w:val="en-US" w:eastAsia="zh-CN"/>
        </w:rPr>
        <w:t>、2辆巡视车</w:t>
      </w:r>
      <w:r>
        <w:rPr>
          <w:rFonts w:hint="eastAsia" w:hAnsi="宋体"/>
        </w:rPr>
        <w:t>辆。</w:t>
      </w:r>
    </w:p>
    <w:p w14:paraId="1D234BBB">
      <w:pPr>
        <w:pStyle w:val="11"/>
        <w:rPr>
          <w:rFonts w:hint="eastAsia"/>
          <w:highlight w:val="none"/>
          <w:lang w:val="en-US" w:eastAsia="zh-CN"/>
        </w:rPr>
      </w:pPr>
      <w:r>
        <w:rPr>
          <w:rFonts w:hint="eastAsia"/>
          <w:highlight w:val="none"/>
          <w:lang w:val="en-US" w:eastAsia="zh-CN"/>
        </w:rPr>
        <w:t>3、道路交通运维管理软件要求</w:t>
      </w:r>
    </w:p>
    <w:p w14:paraId="4B09B942">
      <w:pPr>
        <w:rPr>
          <w:rFonts w:hint="default"/>
          <w:lang w:val="en-US"/>
        </w:rPr>
      </w:pPr>
      <w:r>
        <w:rPr>
          <w:rFonts w:hint="default"/>
          <w:lang w:val="en-US"/>
        </w:rPr>
        <w:t>道路交通运维管理软件依托物联网及智能传感技术，构建道路设施、交通设备、运维工单、故障处置、日常巡检、绩效考核一体化智能化管理平台。</w:t>
      </w:r>
    </w:p>
    <w:p w14:paraId="74F3C861">
      <w:pPr>
        <w:rPr>
          <w:rFonts w:hint="default"/>
          <w:lang w:val="en-US"/>
        </w:rPr>
      </w:pPr>
      <w:r>
        <w:rPr>
          <w:rFonts w:hint="default"/>
          <w:lang w:val="en-US"/>
        </w:rPr>
        <w:t>系统涵盖交通信号、视频监控、交通诱导、检测设备等前端设施资产台账管理，实现设备基础信息、安装点位、维保记录、运行状态全生命周期电子化建档。支持前后端系统在线状态全天候实时监测，自动捕捉设备离线、异常故障及运行隐患，实现问题自动预警、分级推送。</w:t>
      </w:r>
    </w:p>
    <w:p w14:paraId="50A40100">
      <w:pPr>
        <w:rPr>
          <w:rFonts w:hint="default"/>
          <w:lang w:val="en-US"/>
        </w:rPr>
      </w:pPr>
      <w:r>
        <w:rPr>
          <w:rFonts w:hint="default"/>
          <w:lang w:val="en-US"/>
        </w:rPr>
        <w:t>平台内置巡检计划管理、故障报修、工单派发、现场处置、验收归档全闭环业务流程，可按区域、路段、设备类型统筹安排日常巡检与专项维护任务。配备移动端运维作业模块，支持现场打卡、问题拍照、故障上报、工单签收及处置回传，实现运维作业标准化、流程化、可溯源。</w:t>
      </w:r>
    </w:p>
    <w:p w14:paraId="4621D298">
      <w:pPr>
        <w:bidi w:val="0"/>
        <w:rPr>
          <w:rFonts w:hint="default"/>
          <w:lang w:val="en-US"/>
        </w:rPr>
      </w:pPr>
      <w:r>
        <w:rPr>
          <w:rFonts w:hint="default"/>
          <w:lang w:val="en-US"/>
        </w:rPr>
        <w:t>具备运维数据统计分析、运行报表自动生成、人员出勤及工作成效考核功能，可多维度统计设备在线率、故障发生率、工单办结时效、巡检完成情况等关键指标，为道路交通设施运维调度、养护计划制定、人员绩效考核提供数据支撑。同时预留标准数据接口，可与现有交管平台、监控平台及相关业务系统无缝对接，兼容扩展后续新增设备及业务管理需求，全面提升辖区道路交通设施运维管理精细化、规范化、智能化水平。</w:t>
      </w:r>
    </w:p>
    <w:p w14:paraId="0050239D">
      <w:pPr>
        <w:bidi w:val="0"/>
      </w:pPr>
      <w:r>
        <w:rPr>
          <w:rFonts w:hint="eastAsia"/>
          <w:lang w:val="en-US" w:eastAsia="zh-CN"/>
        </w:rPr>
        <w:t>4、</w:t>
      </w:r>
      <w:r>
        <w:rPr>
          <w:rFonts w:hint="eastAsia"/>
        </w:rPr>
        <w:t>设备</w:t>
      </w:r>
      <w:r>
        <w:rPr>
          <w:rFonts w:hint="eastAsia"/>
          <w:lang w:val="en-US" w:eastAsia="zh-CN"/>
        </w:rPr>
        <w:t>更换及</w:t>
      </w:r>
      <w:r>
        <w:rPr>
          <w:rFonts w:hint="eastAsia"/>
        </w:rPr>
        <w:t>新增要求</w:t>
      </w:r>
    </w:p>
    <w:p w14:paraId="78B03102">
      <w:pPr>
        <w:bidi w:val="0"/>
        <w:rPr>
          <w:rFonts w:hint="eastAsia"/>
        </w:rPr>
      </w:pPr>
      <w:r>
        <w:rPr>
          <w:rFonts w:hint="eastAsia"/>
        </w:rPr>
        <w:t>对于需要更换或新增设备的（采购人安排或中标人申请），负责设备诊断、拍照取证，对照中标设备更新报价清单，报采购人同意后（同时报请监理单位要求旁站监督施工）更换和安装调试，批次施工完毕后3日内制作工程量确认单报采购人审核确认。硬件设备的更新必须与被维修设备同品牌、同等档次，如原有型号已停产，须由业主单位确认后更新更高档次的设备；如原有设备破损、老旧、色弱、缺字段等情况影响安全、使用和市容的，且无法获得该设备配件的，也可报采购人同意更换新设备。</w:t>
      </w:r>
    </w:p>
    <w:p w14:paraId="151B4280">
      <w:pPr>
        <w:pStyle w:val="6"/>
        <w:spacing w:line="400" w:lineRule="exact"/>
        <w:ind w:firstLine="480"/>
        <w:rPr>
          <w:rFonts w:hint="eastAsia" w:ascii="宋体" w:hAnsi="宋体"/>
        </w:rPr>
      </w:pPr>
      <w:r>
        <w:rPr>
          <w:rFonts w:hint="eastAsia" w:ascii="宋体" w:hAnsi="宋体"/>
          <w:bCs/>
        </w:rPr>
        <w:t>同一路口同一故障一个月内出现3次及以上的，不能再次维修解决，没有及时更换设备解决问题也未及时上报采购人，出现交通事故或交通拥堵等情况的，确认一次，</w:t>
      </w:r>
      <w:r>
        <w:rPr>
          <w:rFonts w:hint="eastAsia" w:ascii="宋体" w:hAnsi="宋体"/>
        </w:rPr>
        <w:t>除扣分外，还扣除工程款人民币2000元。</w:t>
      </w:r>
    </w:p>
    <w:p w14:paraId="55BF5BB4">
      <w:pPr>
        <w:spacing w:line="400" w:lineRule="exact"/>
        <w:ind w:firstLine="480"/>
        <w:rPr>
          <w:rFonts w:hint="eastAsia" w:hAnsi="宋体"/>
        </w:rPr>
      </w:pPr>
      <w:r>
        <w:rPr>
          <w:rFonts w:hint="eastAsia" w:hAnsi="宋体"/>
        </w:rPr>
        <w:t>发现杆件歪斜和杆件上设备坠落隐患时，要立即先期采取紧急施救并同时报采购人，检查后设备完好的，采取合理规范的矫正或紧固措施恢复；如设备折断、损坏严重等有安全隐患和不能继续使用的，经采购人同意后拆除、更换。</w:t>
      </w:r>
    </w:p>
    <w:p w14:paraId="07B8A96F">
      <w:pPr>
        <w:pStyle w:val="11"/>
        <w:rPr>
          <w:rFonts w:hint="default"/>
          <w:lang w:val="en-US"/>
        </w:rPr>
      </w:pPr>
      <w:r>
        <w:rPr>
          <w:rFonts w:hint="eastAsia" w:hAnsi="宋体"/>
        </w:rPr>
        <w:t>设备能修复，中标人不能恶意更换。中标人恶意要更换的，确认一次，除扣分外，还扣除工程款5000元，确认二次终止合同。</w:t>
      </w:r>
    </w:p>
    <w:p w14:paraId="505046CA">
      <w:pPr>
        <w:pStyle w:val="4"/>
        <w:numPr>
          <w:ilvl w:val="0"/>
          <w:numId w:val="0"/>
        </w:numPr>
        <w:ind w:firstLine="480" w:firstLineChars="200"/>
      </w:pPr>
      <w:r>
        <w:rPr>
          <w:rFonts w:hint="eastAsia"/>
          <w:lang w:val="en-US" w:eastAsia="zh-CN"/>
        </w:rPr>
        <w:t>5、</w:t>
      </w:r>
      <w:r>
        <w:rPr>
          <w:rFonts w:hint="eastAsia"/>
        </w:rPr>
        <w:t>其他要求</w:t>
      </w:r>
    </w:p>
    <w:p w14:paraId="31E9BA7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hAnsi="宋体"/>
        </w:rPr>
      </w:pPr>
      <w:r>
        <w:rPr>
          <w:rFonts w:hint="eastAsia" w:hAnsi="宋体"/>
        </w:rPr>
        <w:t>（1）合同签订后15日内，中标人应学习了解现有控制系统操作要领，培训所有维保员工都能熟练进行信号优化配时调整、故障诊断排除和中心控制等工作；学习监控系统操作要领，熟悉设备性能、系统功能等。项目负责人和优化人员在合同签订后一个月内如不能单独熟练操作现有信号控制系统，采购人有权解除合同。</w:t>
      </w:r>
    </w:p>
    <w:p w14:paraId="6F8C90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hAnsi="宋体"/>
          <w:bCs/>
        </w:rPr>
      </w:pPr>
      <w:r>
        <w:rPr>
          <w:rFonts w:hint="eastAsia" w:hAnsi="宋体"/>
          <w:bCs/>
        </w:rPr>
        <w:t>中标人应依据系统运行维护工作规范，结合业务工作需求和系统运行保障要求，制定系统运行维护制度，明确人员和职责，强化考核与监督，并建立日报、周报、月报的台帐管理机制，落实各项维护工作事项。</w:t>
      </w:r>
    </w:p>
    <w:p w14:paraId="6CE43142">
      <w:pPr>
        <w:spacing w:line="400" w:lineRule="exact"/>
        <w:ind w:firstLine="480"/>
        <w:rPr>
          <w:rFonts w:hint="eastAsia" w:hAnsi="宋体"/>
        </w:rPr>
      </w:pPr>
      <w:r>
        <w:rPr>
          <w:rFonts w:hint="eastAsia" w:hAnsi="宋体"/>
          <w:bCs/>
        </w:rPr>
        <w:t>（2）对于每次故障信息必须在12小时内反馈处理结果及意见，更换设备还需填写联系单及维护表。</w:t>
      </w:r>
    </w:p>
    <w:p w14:paraId="5D850317">
      <w:pPr>
        <w:ind w:firstLine="480"/>
        <w:rPr>
          <w:rFonts w:hint="eastAsia" w:hAnsi="宋体"/>
        </w:rPr>
      </w:pPr>
      <w:r>
        <w:rPr>
          <w:rFonts w:hint="eastAsia" w:hAnsi="宋体"/>
        </w:rPr>
        <w:t>（3）投标人应依据系统运行维护工作规范，结合业务工作需求和系统运行保障要求，建立完善的基于互联网的系统维保管理软件。维保管理软件应具备台帐管理、维护派单、维护进度完成程度跟踪、维保质量跟踪、维保设备运行情况跟踪、维保配件进出库、维保考核评价及信息查询统计等功能，维保软件开发应用费用由投标人自行承担。</w:t>
      </w:r>
    </w:p>
    <w:p w14:paraId="0768FD05">
      <w:pPr>
        <w:spacing w:line="390" w:lineRule="exact"/>
        <w:ind w:firstLine="480"/>
        <w:rPr>
          <w:bCs/>
        </w:rPr>
      </w:pPr>
      <w:r>
        <w:rPr>
          <w:rFonts w:hint="eastAsia"/>
          <w:bCs/>
        </w:rPr>
        <w:t>（4）招标人认为设备破损、老旧、色弱、生锈、污损等情况影响安全、使用和市容的，中标人必须在接通知后无条件及时维修、更换、保洁。</w:t>
      </w:r>
    </w:p>
    <w:p w14:paraId="7BCDE2B1">
      <w:pPr>
        <w:spacing w:line="390" w:lineRule="exact"/>
        <w:ind w:firstLine="480"/>
        <w:rPr>
          <w:bCs/>
        </w:rPr>
      </w:pPr>
      <w:r>
        <w:rPr>
          <w:rFonts w:hint="eastAsia"/>
          <w:bCs/>
        </w:rPr>
        <w:t>（5）投标人针对大型活动、法定假日、突发事件等情况，制定维护服务应急处突预案上报采购人。预案中需明确处突人员、车辆、联系方式、机具配置等保障措施，并按采购人要求按时到达处置现场。</w:t>
      </w:r>
    </w:p>
    <w:p w14:paraId="4E81B6B5">
      <w:pPr>
        <w:spacing w:line="390" w:lineRule="exact"/>
        <w:ind w:firstLine="480"/>
        <w:rPr>
          <w:bCs/>
        </w:rPr>
      </w:pPr>
      <w:r>
        <w:rPr>
          <w:rFonts w:hint="eastAsia"/>
          <w:bCs/>
        </w:rPr>
        <w:t>（6）维保安全</w:t>
      </w:r>
    </w:p>
    <w:p w14:paraId="4E0D2BD8">
      <w:pPr>
        <w:spacing w:line="390" w:lineRule="exact"/>
        <w:ind w:firstLine="480"/>
        <w:rPr>
          <w:bCs/>
        </w:rPr>
      </w:pPr>
      <w:r>
        <w:rPr>
          <w:rFonts w:hint="eastAsia"/>
          <w:lang w:eastAsia="zh-CN"/>
        </w:rPr>
        <w:t>中标人</w:t>
      </w:r>
      <w:r>
        <w:rPr>
          <w:rFonts w:hint="eastAsia"/>
          <w:bCs/>
        </w:rPr>
        <w:t>在运维服务期内所有安全事故由中标方承担全部责任并处理相关事宜，所有因触电、漏电、设备掉落或倒塌、井盖缺失损坏、机箱门未关等一切原因造成的第三方损失、事故、诉讼、赔偿，相关法律、经济、社会等一切责任均由</w:t>
      </w:r>
      <w:r>
        <w:rPr>
          <w:rFonts w:hint="eastAsia"/>
          <w:bCs/>
          <w:lang w:eastAsia="zh-CN"/>
        </w:rPr>
        <w:t>中标人</w:t>
      </w:r>
      <w:r>
        <w:rPr>
          <w:rFonts w:hint="eastAsia"/>
          <w:bCs/>
        </w:rPr>
        <w:t>承担，由此产生的费用由</w:t>
      </w:r>
      <w:r>
        <w:rPr>
          <w:rFonts w:hint="eastAsia"/>
          <w:bCs/>
          <w:lang w:eastAsia="zh-CN"/>
        </w:rPr>
        <w:t>中标人</w:t>
      </w:r>
      <w:r>
        <w:rPr>
          <w:rFonts w:hint="eastAsia"/>
          <w:bCs/>
        </w:rPr>
        <w:t>承担，相关设备由</w:t>
      </w:r>
      <w:r>
        <w:rPr>
          <w:rFonts w:hint="eastAsia"/>
          <w:bCs/>
          <w:lang w:eastAsia="zh-CN"/>
        </w:rPr>
        <w:t>中标人</w:t>
      </w:r>
      <w:r>
        <w:rPr>
          <w:rFonts w:hint="eastAsia"/>
          <w:bCs/>
        </w:rPr>
        <w:t>免费修复，采购人不支付任何费用。</w:t>
      </w:r>
    </w:p>
    <w:p w14:paraId="1FA38F85">
      <w:pPr>
        <w:spacing w:line="390" w:lineRule="exact"/>
        <w:ind w:firstLine="480"/>
        <w:rPr>
          <w:bCs/>
        </w:rPr>
      </w:pPr>
      <w:r>
        <w:rPr>
          <w:rFonts w:hint="eastAsia" w:hAnsi="宋体"/>
        </w:rPr>
        <w:t>在施工现场必须设置“交通设施抢修”标志及围栏、路锥等明显的防护设施，夜间施工还要安装施工警示灯，交通立锥要粘贴白色反光膜，施工人员应着反光作业服，应遵守有关安全规定，安全员全程负责道路通行安全及施工人员安全等监护。投标人在报价中应充分考虑到保洁、安全文明施工等措施的费用。除抢修外，施工尽可能减小对正常道路通行带来的影响，施工前报告现场交警并服从管理及指挥。</w:t>
      </w:r>
    </w:p>
    <w:p w14:paraId="19EFCE65">
      <w:pPr>
        <w:pStyle w:val="6"/>
        <w:spacing w:line="400" w:lineRule="exact"/>
        <w:ind w:firstLine="480"/>
        <w:rPr>
          <w:rFonts w:hint="eastAsia" w:ascii="宋体" w:hAnsi="宋体"/>
          <w:bCs/>
        </w:rPr>
      </w:pPr>
      <w:r>
        <w:rPr>
          <w:rFonts w:hint="eastAsia" w:ascii="宋体" w:hAnsi="宋体"/>
          <w:bCs/>
        </w:rPr>
        <w:t>（7）维护团队服务工作所需的各类维护工具及其使用费用（包括交通工具、施工器具、办公桌椅、电脑、打印机等）由中标人自行承担。</w:t>
      </w:r>
    </w:p>
    <w:p w14:paraId="28BE2D3F">
      <w:pPr>
        <w:pStyle w:val="6"/>
        <w:spacing w:line="400" w:lineRule="exact"/>
        <w:ind w:firstLine="480"/>
        <w:rPr>
          <w:rFonts w:hint="eastAsia" w:ascii="宋体" w:hAnsi="宋体"/>
          <w:bCs/>
        </w:rPr>
      </w:pPr>
      <w:r>
        <w:rPr>
          <w:rFonts w:hint="eastAsia" w:ascii="宋体" w:hAnsi="宋体"/>
          <w:bCs/>
        </w:rPr>
        <w:t>（8）如遇市政道路改扩建等施工，影响信号系统正常工作（含基础、管线、线缆等）时，需配合采购人明确施工单位责任和方案，共同确认修复或恢复情况。</w:t>
      </w:r>
    </w:p>
    <w:p w14:paraId="1A8B31E3">
      <w:pPr>
        <w:pStyle w:val="6"/>
        <w:spacing w:line="400" w:lineRule="exact"/>
        <w:ind w:firstLine="482"/>
        <w:rPr>
          <w:rFonts w:hint="eastAsia" w:ascii="宋体" w:hAnsi="宋体"/>
          <w:b/>
        </w:rPr>
      </w:pPr>
      <w:r>
        <w:rPr>
          <w:rFonts w:hint="eastAsia" w:ascii="宋体" w:hAnsi="宋体"/>
          <w:b/>
        </w:rPr>
        <w:t>（9）在交通信号设备进行维修时必须做好安全防护措施，由此引发的任何安全事故均由中标人承担全部责任。在运维合作期间，因信号灯故障未能及时发现和排除而引起的第三方安全事故，也由中标人承担相应的法律责任。(投标人需提供承诺书）</w:t>
      </w:r>
    </w:p>
    <w:p w14:paraId="511AEC70">
      <w:pPr>
        <w:pStyle w:val="6"/>
        <w:spacing w:line="400" w:lineRule="exact"/>
        <w:ind w:firstLine="480"/>
        <w:rPr>
          <w:rFonts w:hint="eastAsia" w:ascii="宋体" w:hAnsi="宋体"/>
        </w:rPr>
      </w:pPr>
      <w:r>
        <w:rPr>
          <w:rFonts w:hint="eastAsia" w:ascii="宋体" w:hAnsi="宋体"/>
        </w:rPr>
        <w:t>（10）在遇到台风、暴雨、雷击等各种非正常情况时，中标人必须立即出动值班巡逻队伍，加强外场设备和工程的巡视，发现损坏情况时要立即报告。在突发大面积故障时，中标人能够启动应急机制，至少可同时进行3个工作点的维护抢修。</w:t>
      </w:r>
    </w:p>
    <w:p w14:paraId="779E7267">
      <w:pPr>
        <w:pStyle w:val="6"/>
        <w:spacing w:line="400" w:lineRule="exact"/>
        <w:ind w:firstLine="480"/>
        <w:rPr>
          <w:rFonts w:hint="eastAsia" w:hAnsi="宋体"/>
        </w:rPr>
      </w:pPr>
      <w:r>
        <w:rPr>
          <w:rFonts w:hint="eastAsia" w:ascii="宋体" w:hAnsi="宋体"/>
        </w:rPr>
        <w:t>（11）中标人在合同履行期间必须随时无条件接受采购人的业务指导、工作安排（含配时优化调整、配合采购人完成紧急任务）和监督管理，并及时、按质完成信号灯、监控设备维修任务，工作信息无缝对接。</w:t>
      </w:r>
    </w:p>
    <w:p w14:paraId="69CF1985">
      <w:pPr>
        <w:pStyle w:val="6"/>
        <w:spacing w:line="400" w:lineRule="exact"/>
        <w:ind w:firstLine="480"/>
        <w:rPr>
          <w:rFonts w:hint="eastAsia" w:ascii="宋体" w:hAnsi="宋体"/>
        </w:rPr>
      </w:pPr>
      <w:r>
        <w:rPr>
          <w:rFonts w:hint="eastAsia" w:ascii="宋体" w:hAnsi="宋体"/>
        </w:rPr>
        <w:t>（12）合同签订后，中标人不得有工程转包、分包的行为，如有违反，终止合同，已维护的费用不予支付。</w:t>
      </w:r>
    </w:p>
    <w:p w14:paraId="0EF93A92">
      <w:pPr>
        <w:pStyle w:val="6"/>
        <w:spacing w:line="400" w:lineRule="exact"/>
        <w:ind w:firstLine="480"/>
      </w:pPr>
      <w:r>
        <w:rPr>
          <w:rFonts w:hint="eastAsia" w:ascii="宋体" w:hAnsi="宋体"/>
        </w:rPr>
        <w:t>（13）路口发生故障无法恢复，经采购人多次督促（三次）仍无法修复的，招标人可通过第三方修复，维修费用从当年度运维费用内直接扣除。</w:t>
      </w:r>
    </w:p>
    <w:p w14:paraId="4082E661">
      <w:pPr>
        <w:spacing w:line="400" w:lineRule="exact"/>
        <w:ind w:firstLine="480"/>
        <w:rPr>
          <w:rFonts w:hint="eastAsia" w:hAnsi="宋体"/>
        </w:rPr>
      </w:pPr>
    </w:p>
    <w:p w14:paraId="49AEC331">
      <w:pPr>
        <w:pStyle w:val="3"/>
      </w:pPr>
      <w:r>
        <w:rPr>
          <w:rFonts w:hint="eastAsia"/>
        </w:rPr>
        <w:t>交通信号控制系统维护要求</w:t>
      </w:r>
    </w:p>
    <w:p w14:paraId="59EAD7BB">
      <w:pPr>
        <w:pStyle w:val="5"/>
        <w:numPr>
          <w:ilvl w:val="2"/>
          <w:numId w:val="0"/>
        </w:numPr>
      </w:pPr>
      <w:r>
        <w:rPr>
          <w:rFonts w:hint="eastAsia"/>
        </w:rPr>
        <w:t>（一）维护范围</w:t>
      </w:r>
    </w:p>
    <w:p w14:paraId="494CB8DF">
      <w:pPr>
        <w:ind w:firstLine="480"/>
      </w:pPr>
      <w:r>
        <w:rPr>
          <w:rFonts w:hint="eastAsia"/>
        </w:rPr>
        <w:t>沛县公安局交管大队管辖范围内的交通信号控制系统的抢修、维护和调整（设备包括：信号灯具、信号机、机箱、杆件、流量检测设备、各类线缆、供电线路、管道、接线手井、通信设备等）。</w:t>
      </w:r>
    </w:p>
    <w:p w14:paraId="6CC90C59">
      <w:pPr>
        <w:pStyle w:val="5"/>
        <w:numPr>
          <w:ilvl w:val="2"/>
          <w:numId w:val="0"/>
        </w:numPr>
      </w:pPr>
      <w:r>
        <w:rPr>
          <w:rFonts w:hint="eastAsia"/>
        </w:rPr>
        <w:t>（二）维护内容</w:t>
      </w:r>
    </w:p>
    <w:p w14:paraId="77EBA305">
      <w:pPr>
        <w:ind w:firstLine="480"/>
      </w:pPr>
      <w:r>
        <w:rPr>
          <w:rFonts w:hint="eastAsia"/>
        </w:rPr>
        <w:t>1、基础资料建立和更新</w:t>
      </w:r>
    </w:p>
    <w:p w14:paraId="14466B53">
      <w:pPr>
        <w:ind w:firstLine="480"/>
        <w:rPr>
          <w:rFonts w:hint="eastAsia" w:hAnsi="宋体" w:cs="宋体"/>
          <w:bCs/>
          <w:szCs w:val="24"/>
        </w:rPr>
      </w:pPr>
      <w:r>
        <w:rPr>
          <w:rFonts w:hint="eastAsia" w:hAnsi="宋体"/>
        </w:rPr>
        <w:t>对前端信号控制系统进行排查，对信号系统涉及的所有软件和硬件设备建档与管理，</w:t>
      </w:r>
      <w:r>
        <w:rPr>
          <w:rFonts w:hint="eastAsia" w:hAnsi="宋体" w:cs="宋体"/>
          <w:bCs/>
          <w:szCs w:val="24"/>
        </w:rPr>
        <w:t>基础数据调查、采集和录入，具体内容包括：维护服务区域所有交通信号灯控路口的所处地理位置、路口类型、信号机的类型及组件序列号、杆件类型、灯具类型、管道位置及数量、窨井的位置、数量等；数据更新对信号灯及附属设施所有的动态变化（位置变化、管线变化、性能变化以及设备变换等）数据进行采集、录入、统计和系统更新。</w:t>
      </w:r>
    </w:p>
    <w:p w14:paraId="5FE2F3A7">
      <w:pPr>
        <w:spacing w:line="400" w:lineRule="exact"/>
        <w:ind w:firstLine="480"/>
        <w:rPr>
          <w:rFonts w:hint="eastAsia" w:hAnsi="宋体"/>
        </w:rPr>
      </w:pPr>
      <w:r>
        <w:rPr>
          <w:rFonts w:hint="eastAsia" w:hAnsi="宋体"/>
          <w:lang w:val="en-US" w:eastAsia="zh-CN"/>
        </w:rPr>
        <w:t>2</w:t>
      </w:r>
      <w:r>
        <w:rPr>
          <w:rFonts w:hint="eastAsia" w:hAnsi="宋体"/>
        </w:rPr>
        <w:t>、信号系统控制平台及应用软件运行保障服务</w:t>
      </w:r>
    </w:p>
    <w:p w14:paraId="32494111">
      <w:pPr>
        <w:spacing w:line="400" w:lineRule="exact"/>
        <w:ind w:firstLine="480"/>
        <w:rPr>
          <w:rFonts w:hint="eastAsia" w:hAnsi="宋体"/>
        </w:rPr>
      </w:pPr>
      <w:r>
        <w:rPr>
          <w:rFonts w:hint="eastAsia" w:hAnsi="宋体"/>
        </w:rPr>
        <w:t>（1）协助完成信号控制平台的优化调试、系统配置、补丁升级及安全防护，保障系统运行；</w:t>
      </w:r>
    </w:p>
    <w:p w14:paraId="20026D2B">
      <w:pPr>
        <w:spacing w:line="400" w:lineRule="exact"/>
        <w:ind w:firstLine="480"/>
        <w:rPr>
          <w:rFonts w:hint="eastAsia" w:hAnsi="宋体"/>
        </w:rPr>
      </w:pPr>
      <w:r>
        <w:rPr>
          <w:rFonts w:hint="eastAsia" w:hAnsi="宋体"/>
        </w:rPr>
        <w:t>（2）系统运行效果调查、分析与调整。包括：系统协调，主动进行实时跟踪、实测与调整，维护单位根据大队要求对信号控制点进行实时跟踪、实测与调整，始终保持信号控制方案合理，减少绿灯损失，降低延误、发挥路口最大实际通行能力等。</w:t>
      </w:r>
    </w:p>
    <w:p w14:paraId="49A1BDFE">
      <w:pPr>
        <w:spacing w:line="400" w:lineRule="exact"/>
        <w:ind w:firstLine="480"/>
      </w:pPr>
      <w:r>
        <w:rPr>
          <w:rFonts w:hint="eastAsia" w:hAnsi="宋体"/>
        </w:rPr>
        <w:t>（3）配合采购方完成特勤任务线路</w:t>
      </w:r>
      <w:r>
        <w:rPr>
          <w:rFonts w:hint="eastAsia" w:hAnsi="宋体"/>
          <w:lang w:val="en-US" w:eastAsia="zh-CN"/>
        </w:rPr>
        <w:t>绿波</w:t>
      </w:r>
      <w:r>
        <w:rPr>
          <w:rFonts w:hint="eastAsia" w:hAnsi="宋体"/>
        </w:rPr>
        <w:t>控制方案编制、管理和实施工作，遇紧急任务，在接到采购方通知后需1小时内达到指定位置。</w:t>
      </w:r>
    </w:p>
    <w:p w14:paraId="0C9B7210">
      <w:pPr>
        <w:spacing w:line="400" w:lineRule="exact"/>
        <w:ind w:firstLine="480"/>
      </w:pPr>
      <w:r>
        <w:rPr>
          <w:rFonts w:hint="eastAsia" w:hAnsi="宋体"/>
          <w:lang w:val="en-US" w:eastAsia="zh-CN"/>
        </w:rPr>
        <w:t>3</w:t>
      </w:r>
      <w:r>
        <w:rPr>
          <w:rFonts w:hint="eastAsia" w:hAnsi="宋体"/>
        </w:rPr>
        <w:t>、开展主动性维护工作，定期对设备进行维护和保养，对系统使用情况进行巡查、培训和指导,定期开展核心平台、辅助软件及链路、接口常规检查维护服务，并向采购人提交维护报告。同时按要求做好相关安全保密工作，严禁出现安全漏洞。</w:t>
      </w:r>
    </w:p>
    <w:p w14:paraId="255C0416">
      <w:pPr>
        <w:ind w:firstLine="480"/>
        <w:rPr>
          <w:rFonts w:hint="eastAsia" w:hAnsi="宋体" w:eastAsia="宋体" w:cs="宋体"/>
          <w:bCs/>
          <w:szCs w:val="24"/>
          <w:lang w:eastAsia="zh-CN"/>
        </w:rPr>
      </w:pPr>
      <w:r>
        <w:rPr>
          <w:rFonts w:hint="eastAsia" w:hAnsi="宋体" w:cs="宋体"/>
          <w:bCs/>
          <w:szCs w:val="24"/>
          <w:lang w:val="en-US" w:eastAsia="zh-CN"/>
        </w:rPr>
        <w:t>4</w:t>
      </w:r>
      <w:r>
        <w:rPr>
          <w:rFonts w:hint="eastAsia" w:hAnsi="宋体" w:cs="宋体"/>
          <w:bCs/>
          <w:szCs w:val="24"/>
          <w:lang w:eastAsia="zh-CN"/>
        </w:rPr>
        <w:t>、</w:t>
      </w:r>
      <w:r>
        <w:rPr>
          <w:rFonts w:hint="eastAsia" w:hAnsi="宋体" w:cs="宋体"/>
          <w:bCs/>
          <w:szCs w:val="24"/>
        </w:rPr>
        <w:t>新改建道路信号灯及其附属设施的接收维管工作</w:t>
      </w:r>
      <w:r>
        <w:rPr>
          <w:rFonts w:hint="eastAsia" w:hAnsi="宋体" w:cs="宋体"/>
          <w:bCs/>
          <w:szCs w:val="24"/>
          <w:lang w:eastAsia="zh-CN"/>
        </w:rPr>
        <w:t>。</w:t>
      </w:r>
    </w:p>
    <w:p w14:paraId="126E83A3">
      <w:pPr>
        <w:ind w:firstLine="480"/>
        <w:rPr>
          <w:rFonts w:hint="eastAsia" w:hAnsi="宋体" w:cs="宋体"/>
          <w:bCs/>
          <w:szCs w:val="24"/>
        </w:rPr>
      </w:pPr>
      <w:r>
        <w:rPr>
          <w:rFonts w:hint="eastAsia" w:hAnsi="宋体" w:cs="宋体"/>
          <w:bCs/>
          <w:szCs w:val="24"/>
          <w:lang w:val="en-US" w:eastAsia="zh-CN"/>
        </w:rPr>
        <w:t>5</w:t>
      </w:r>
      <w:r>
        <w:rPr>
          <w:rFonts w:hint="eastAsia" w:hAnsi="宋体" w:cs="宋体"/>
          <w:bCs/>
          <w:szCs w:val="24"/>
          <w:lang w:eastAsia="zh-CN"/>
        </w:rPr>
        <w:t>、</w:t>
      </w:r>
      <w:r>
        <w:rPr>
          <w:rFonts w:hint="eastAsia" w:hAnsi="宋体" w:cs="宋体"/>
          <w:bCs/>
          <w:szCs w:val="24"/>
        </w:rPr>
        <w:t>对电力电源及控制电缆管道调查，形成地下管网图，提出管道埋设需求。</w:t>
      </w:r>
    </w:p>
    <w:p w14:paraId="7503C0EE">
      <w:pPr>
        <w:ind w:firstLine="480"/>
      </w:pPr>
      <w:r>
        <w:rPr>
          <w:rFonts w:hint="eastAsia" w:hAnsi="宋体" w:cs="宋体"/>
          <w:bCs/>
          <w:szCs w:val="24"/>
          <w:lang w:val="en-US" w:eastAsia="zh-CN"/>
        </w:rPr>
        <w:t>6</w:t>
      </w:r>
      <w:r>
        <w:rPr>
          <w:rFonts w:hint="eastAsia" w:hAnsi="宋体" w:cs="宋体"/>
          <w:bCs/>
          <w:szCs w:val="24"/>
          <w:lang w:eastAsia="zh-CN"/>
        </w:rPr>
        <w:t>、</w:t>
      </w:r>
      <w:r>
        <w:rPr>
          <w:rFonts w:hint="eastAsia" w:hAnsi="宋体" w:cs="宋体"/>
          <w:bCs/>
          <w:szCs w:val="24"/>
        </w:rPr>
        <w:t>信号灯及其附属设施的安全性检查。</w:t>
      </w:r>
      <w:r>
        <w:rPr>
          <w:rFonts w:hint="eastAsia" w:hAnsi="宋体"/>
        </w:rPr>
        <w:t>对维保范围内的信号灯设备、流量检测设备、杆件、管线、手井、机箱、控制机及太阳能移动信号灯设备进行安全性检查工作。检查信号灯有无缺灯，路口信号灯是否运转正常且有无灯具老化或有色差现象；检查灯具是否齐全，有无歪斜。信号灯帽檐、裙边是否松动、破损；检查灯杆是否歪斜，观察孔盖板是否齐全，灯杆是否被刮蹭或被撞现象，路口是否缺少灯杆及灯具，路口有无废弃信号灯杆。信号灯是否被遮挡现象；检查信号灯电缆井是否有塌陷、井圈外露、井盖破碎、检查信号灯管线是否外露或因施工被拆除、损毁；检查机箱、电源箱门是否关好，有无被撬、被撞。电源网络是否正常运行，发现问题或故障及时解决（非更换设备部分）；对于需更换部件的，负责设备诊断、拍照取证，对照投标设备更新报价清单，报招标人同意后（制作更换设备申请单或联系单）更换和安装调试，紧急情况下，为保障通行和设备安全需要，可在更换设备的同时报招标人或临时采取安全有效措施。对需要更换而暂没有备用设备的，应明确设备到货及更换维护期限。更换下的设备当日内送招标人指定的地方存放备查；检查信号灯指示与标志标线匹配等情况，发现问题立即向招标人报告。数字城管发现并通知的信号外场设备有问题或者损坏，也必须在第一时间内解决，如不能解决必须给出解决方案及完成时间。</w:t>
      </w:r>
    </w:p>
    <w:p w14:paraId="608F9C78">
      <w:pPr>
        <w:pStyle w:val="11"/>
        <w:ind w:firstLine="480"/>
        <w:rPr>
          <w:rFonts w:hint="eastAsia"/>
        </w:rPr>
      </w:pPr>
      <w:r>
        <w:rPr>
          <w:rFonts w:hint="eastAsia" w:cs="宋体"/>
          <w:bCs/>
          <w:szCs w:val="24"/>
          <w:lang w:val="en-US" w:eastAsia="zh-CN"/>
        </w:rPr>
        <w:t>7</w:t>
      </w:r>
      <w:r>
        <w:rPr>
          <w:rFonts w:hint="eastAsia" w:cs="宋体"/>
          <w:bCs/>
          <w:szCs w:val="24"/>
          <w:lang w:eastAsia="zh-CN"/>
        </w:rPr>
        <w:t>、</w:t>
      </w:r>
      <w:r>
        <w:rPr>
          <w:rFonts w:hint="eastAsia" w:cs="宋体"/>
          <w:bCs/>
          <w:szCs w:val="24"/>
        </w:rPr>
        <w:t>及时维修、调整交通交通信号灯设施。</w:t>
      </w:r>
    </w:p>
    <w:p w14:paraId="20DA1ADF">
      <w:pPr>
        <w:pStyle w:val="5"/>
        <w:numPr>
          <w:ilvl w:val="2"/>
          <w:numId w:val="0"/>
        </w:numPr>
      </w:pPr>
      <w:r>
        <w:rPr>
          <w:rFonts w:hint="eastAsia"/>
        </w:rPr>
        <w:t>（三）维护要求</w:t>
      </w:r>
    </w:p>
    <w:p w14:paraId="5C0E4324">
      <w:pPr>
        <w:spacing w:line="400" w:lineRule="exact"/>
        <w:ind w:firstLine="480"/>
        <w:rPr>
          <w:rFonts w:hint="eastAsia" w:hAnsi="宋体"/>
        </w:rPr>
      </w:pPr>
      <w:r>
        <w:rPr>
          <w:rFonts w:hint="eastAsia" w:hAnsi="宋体"/>
        </w:rPr>
        <w:t>1、每日登录信号灯故障检测系统，查看当前的设备故障及修复情况；每日检查太阳能移动信号灯带电情况，按时充电、保养；每日登录信号控制系统，检查信号机在线情况及流量检测设备的在线情况、设备是否异常。发现问题及时汇报、记录，并安排维护人员进行设备维护。</w:t>
      </w:r>
    </w:p>
    <w:p w14:paraId="31B62305">
      <w:pPr>
        <w:spacing w:line="400" w:lineRule="exact"/>
        <w:ind w:firstLine="480"/>
      </w:pPr>
      <w:r>
        <w:rPr>
          <w:rFonts w:hint="eastAsia" w:hAnsi="宋体"/>
        </w:rPr>
        <w:t>2、</w:t>
      </w:r>
      <w:r>
        <w:rPr>
          <w:rFonts w:hAnsi="宋体" w:cs="宋体"/>
          <w:szCs w:val="24"/>
        </w:rPr>
        <w:t>每两周对城区范围（南至南环路、西至西环路、东至东环路、北至北京路）交通信号设备开展全覆盖巡检，如实记录各路口巡检时间。重点排查信号灯具完好情况、井盖有无缺失、设备是否存在漏电等安全隐患，巡检完成后汇总问题、梳理情况，按期形成工作周报。</w:t>
      </w:r>
    </w:p>
    <w:p w14:paraId="224CA997">
      <w:pPr>
        <w:spacing w:line="400" w:lineRule="exact"/>
        <w:ind w:firstLine="480"/>
        <w:rPr>
          <w:rFonts w:hint="eastAsia" w:hAnsi="宋体"/>
        </w:rPr>
      </w:pPr>
      <w:r>
        <w:rPr>
          <w:rFonts w:hint="eastAsia" w:hAnsi="宋体"/>
        </w:rPr>
        <w:t>3、每月集中开展一次全方位外场设备的大检查，包括信号灯、信号机、流量采集设备、杆件、管线、手工井等设备的安全性、适配性、老旧性等内容，并根据检查结果向招标人提出整改建议，并形成月度总结。</w:t>
      </w:r>
    </w:p>
    <w:p w14:paraId="522F4E29">
      <w:pPr>
        <w:spacing w:line="400" w:lineRule="exact"/>
        <w:ind w:firstLine="480"/>
        <w:rPr>
          <w:rFonts w:hint="eastAsia" w:hAnsi="宋体" w:eastAsia="宋体"/>
          <w:lang w:eastAsia="zh-CN"/>
        </w:rPr>
      </w:pPr>
      <w:r>
        <w:rPr>
          <w:rFonts w:hint="eastAsia" w:hAnsi="宋体"/>
        </w:rPr>
        <w:t>4、确保信号设备应急处置，在电力供应缺失、故障不能立即排除或其他因素造成信号不能正常运转，影响通行需求时，负责投放、回收临时移动信号灯或使用临时电源予以保障，直至供电恢复或故障排除</w:t>
      </w:r>
      <w:r>
        <w:rPr>
          <w:rFonts w:hint="eastAsia" w:hAnsi="宋体"/>
          <w:lang w:eastAsia="zh-CN"/>
        </w:rPr>
        <w:t>。</w:t>
      </w:r>
    </w:p>
    <w:p w14:paraId="3D7C71B2">
      <w:pPr>
        <w:spacing w:line="400" w:lineRule="exact"/>
        <w:ind w:firstLine="480"/>
        <w:rPr>
          <w:rFonts w:hint="eastAsia" w:hAnsi="宋体" w:eastAsia="宋体"/>
          <w:lang w:eastAsia="zh-CN"/>
        </w:rPr>
      </w:pPr>
      <w:r>
        <w:rPr>
          <w:rFonts w:hint="eastAsia" w:hAnsi="宋体"/>
        </w:rPr>
        <w:t>5、按期完成招标人交办的与信号控制有关的电力供应更改（取电位置到信号机）、设备升级、联网、电警匹配、后台管控等排查工作</w:t>
      </w:r>
      <w:r>
        <w:rPr>
          <w:rFonts w:hint="eastAsia" w:hAnsi="宋体"/>
          <w:lang w:eastAsia="zh-CN"/>
        </w:rPr>
        <w:t>。</w:t>
      </w:r>
    </w:p>
    <w:p w14:paraId="7CF34AB5">
      <w:pPr>
        <w:spacing w:line="400" w:lineRule="exact"/>
        <w:ind w:firstLine="480"/>
        <w:rPr>
          <w:rFonts w:hint="eastAsia" w:hAnsi="宋体"/>
        </w:rPr>
      </w:pPr>
      <w:r>
        <w:rPr>
          <w:rFonts w:hint="eastAsia" w:hAnsi="宋体"/>
        </w:rPr>
        <w:t>6、完成招标人安排的紧急任务及特勤保障等信号控制措施。</w:t>
      </w:r>
    </w:p>
    <w:p w14:paraId="294360AD">
      <w:pPr>
        <w:spacing w:line="400" w:lineRule="exact"/>
        <w:ind w:firstLine="480"/>
        <w:rPr>
          <w:rFonts w:hint="eastAsia" w:hAnsi="宋体"/>
          <w:szCs w:val="24"/>
        </w:rPr>
      </w:pPr>
      <w:r>
        <w:rPr>
          <w:rFonts w:hint="eastAsia" w:hAnsi="宋体"/>
        </w:rPr>
        <w:t>7、接到信号灯故障后30分钟内必须响应，对于一般故障要求3小时内修复完毕，对于前端点断电的在供电恢复后1小时内修复完毕，对于信号灯故障无法及时排除故障的，需采取临时安全措施，确保不因故障未及时排除引发交通事故。</w:t>
      </w:r>
    </w:p>
    <w:p w14:paraId="6D662BE7">
      <w:pPr>
        <w:spacing w:line="400" w:lineRule="exact"/>
        <w:ind w:firstLine="480"/>
        <w:rPr>
          <w:rFonts w:hint="eastAsia" w:hAnsi="宋体"/>
        </w:rPr>
      </w:pPr>
      <w:r>
        <w:rPr>
          <w:rFonts w:hint="eastAsia" w:hAnsi="宋体"/>
        </w:rPr>
        <w:t>8、对于故障信息必须在24小时内反馈处理结果及意见，并填写故障申报表及维护表。</w:t>
      </w:r>
    </w:p>
    <w:p w14:paraId="017701DB">
      <w:pPr>
        <w:spacing w:line="400" w:lineRule="exact"/>
        <w:ind w:firstLine="480"/>
        <w:rPr>
          <w:rFonts w:hint="eastAsia" w:hAnsi="宋体"/>
        </w:rPr>
      </w:pPr>
      <w:r>
        <w:rPr>
          <w:rFonts w:hint="eastAsia" w:hAnsi="宋体"/>
        </w:rPr>
        <w:t>9、跟进上级工作要求，定期排查井盖缺失、树枝遮挡、杆件漏电情况，并形成档案。</w:t>
      </w:r>
    </w:p>
    <w:p w14:paraId="2A422D79">
      <w:pPr>
        <w:spacing w:line="400" w:lineRule="exact"/>
        <w:ind w:firstLine="480"/>
        <w:rPr>
          <w:rFonts w:hint="eastAsia" w:hAnsi="宋体"/>
        </w:rPr>
      </w:pPr>
      <w:r>
        <w:rPr>
          <w:rFonts w:hint="eastAsia" w:hAnsi="宋体"/>
        </w:rPr>
        <w:t>10、对于接通知（书面、电话、短信、微信等方式）的故障排除及其他应急任务须做到5分钟内响应，城区范围内的路口30分钟内到达，其他路口60分钟内到达。对于一般性故障要求1小时内修复完毕，供电缺失或故障不能在规定时间内排除的立即投放移动信号灯或临时电源予以保障，涉及辅管及顶管施工的需按采购方要求修复完毕。</w:t>
      </w:r>
    </w:p>
    <w:p w14:paraId="489F2D50">
      <w:pPr>
        <w:pStyle w:val="3"/>
      </w:pPr>
      <w:r>
        <w:rPr>
          <w:rFonts w:hint="eastAsia"/>
        </w:rPr>
        <w:t>视频监控系统维护要求</w:t>
      </w:r>
    </w:p>
    <w:p w14:paraId="06744BBC">
      <w:pPr>
        <w:pStyle w:val="5"/>
        <w:numPr>
          <w:ilvl w:val="2"/>
          <w:numId w:val="0"/>
        </w:numPr>
      </w:pPr>
      <w:r>
        <w:rPr>
          <w:rFonts w:hint="eastAsia"/>
        </w:rPr>
        <w:t>（一）维护范围</w:t>
      </w:r>
    </w:p>
    <w:p w14:paraId="2B3019ED">
      <w:pPr>
        <w:ind w:firstLine="480"/>
        <w:rPr>
          <w:rFonts w:hint="eastAsia"/>
        </w:rPr>
      </w:pPr>
      <w:r>
        <w:rPr>
          <w:rFonts w:hint="eastAsia"/>
        </w:rPr>
        <w:t>沛县公安局交管大队管辖范围内的电子警察设备、卡口设备、高空瞭望设备、监控设备、诱导设备、测速等设备的抢修、维护和调整（设备包括：频闪灯、闪光灯、智能终端、交换机、光纤收发器、机箱、杆件、各类线缆、供电线路、管道、接线手井等）。</w:t>
      </w:r>
    </w:p>
    <w:p w14:paraId="09BCF6E9">
      <w:pPr>
        <w:pStyle w:val="5"/>
        <w:numPr>
          <w:ilvl w:val="2"/>
          <w:numId w:val="0"/>
        </w:numPr>
        <w:rPr>
          <w:rFonts w:hint="eastAsia" w:eastAsia="宋体"/>
          <w:lang w:val="en-US" w:eastAsia="zh-CN"/>
        </w:rPr>
      </w:pPr>
      <w:r>
        <w:rPr>
          <w:rFonts w:hint="eastAsia"/>
        </w:rPr>
        <w:t>（二）维护</w:t>
      </w:r>
      <w:r>
        <w:rPr>
          <w:rFonts w:hint="eastAsia"/>
          <w:lang w:val="en-US" w:eastAsia="zh-CN"/>
        </w:rPr>
        <w:t>内容</w:t>
      </w:r>
    </w:p>
    <w:p w14:paraId="3F106AE3">
      <w:pPr>
        <w:spacing w:line="440" w:lineRule="exact"/>
        <w:ind w:firstLine="480"/>
        <w:contextualSpacing/>
        <w:rPr>
          <w:rFonts w:hint="eastAsia" w:asciiTheme="minorEastAsia" w:hAnsiTheme="minorEastAsia" w:eastAsiaTheme="minorEastAsia" w:cstheme="minorEastAsia"/>
          <w:bCs/>
          <w:highlight w:val="yellow"/>
          <w:lang w:val="en-US" w:eastAsia="zh-CN"/>
        </w:rPr>
      </w:pPr>
      <w:r>
        <w:rPr>
          <w:rFonts w:hint="eastAsia" w:asciiTheme="minorEastAsia" w:hAnsiTheme="minorEastAsia" w:eastAsiaTheme="minorEastAsia" w:cstheme="minorEastAsia"/>
          <w:bCs/>
          <w:lang w:val="en-US" w:eastAsia="zh-CN"/>
        </w:rPr>
        <w:t>1</w:t>
      </w:r>
      <w:r>
        <w:rPr>
          <w:rFonts w:hint="eastAsia" w:asciiTheme="minorEastAsia" w:hAnsiTheme="minorEastAsia" w:eastAsiaTheme="minorEastAsia" w:cstheme="minorEastAsia"/>
          <w:bCs/>
        </w:rPr>
        <w:t>、</w:t>
      </w:r>
      <w:r>
        <w:rPr>
          <w:rFonts w:hint="eastAsia" w:asciiTheme="minorEastAsia" w:hAnsiTheme="minorEastAsia" w:eastAsiaTheme="minorEastAsia" w:cstheme="minorEastAsia"/>
          <w:bCs/>
          <w:highlight w:val="none"/>
          <w:lang w:val="en-US" w:eastAsia="zh-CN"/>
        </w:rPr>
        <w:t>前端设备维护内容</w:t>
      </w:r>
    </w:p>
    <w:p w14:paraId="44A8384A">
      <w:pPr>
        <w:pStyle w:val="11"/>
        <w:rPr>
          <w:rFonts w:hint="default"/>
          <w:lang w:val="en-US" w:eastAsia="zh-CN"/>
        </w:rPr>
      </w:pPr>
      <w:r>
        <w:rPr>
          <w:rFonts w:hint="eastAsia"/>
          <w:lang w:val="en-US" w:eastAsia="zh-CN"/>
        </w:rPr>
        <w:t>（1）</w:t>
      </w:r>
      <w:r>
        <w:rPr>
          <w:rFonts w:hint="default"/>
          <w:lang w:val="en-US" w:eastAsia="zh-CN"/>
        </w:rPr>
        <w:t>日常巡检与故障处置</w:t>
      </w:r>
    </w:p>
    <w:p w14:paraId="4159E549">
      <w:pPr>
        <w:pStyle w:val="11"/>
        <w:rPr>
          <w:rFonts w:hint="default"/>
          <w:lang w:val="en-US" w:eastAsia="zh-CN"/>
        </w:rPr>
      </w:pPr>
      <w:r>
        <w:rPr>
          <w:rFonts w:hint="default"/>
          <w:lang w:val="en-US" w:eastAsia="zh-CN"/>
        </w:rPr>
        <w:t>对前端设备外观、运行状态及安全工况开展全面检查，及时排查各类安全隐患并处置已发生故障；定期对设备、杆件、机箱进行清洁养护，道路监控等视频类设备按需清洗防雨罩及防雨镜片；维保期内按需更换易损耗材，所换配件规格及质量须等同或高于原设备标准，确保设备全程正常运行；对自然老化严重、影响使用安全的设备及构件，及时向采购人提交更换申请。</w:t>
      </w:r>
    </w:p>
    <w:p w14:paraId="4A5B6182">
      <w:pPr>
        <w:pStyle w:val="11"/>
        <w:rPr>
          <w:rFonts w:hint="default"/>
          <w:lang w:val="en-US" w:eastAsia="zh-CN"/>
        </w:rPr>
      </w:pPr>
      <w:r>
        <w:rPr>
          <w:rFonts w:hint="eastAsia"/>
          <w:lang w:val="en-US" w:eastAsia="zh-CN"/>
        </w:rPr>
        <w:t>（2）</w:t>
      </w:r>
      <w:r>
        <w:rPr>
          <w:rFonts w:hint="default"/>
          <w:lang w:val="en-US" w:eastAsia="zh-CN"/>
        </w:rPr>
        <w:t>管线井室与设备管控</w:t>
      </w:r>
    </w:p>
    <w:p w14:paraId="4C06475F">
      <w:pPr>
        <w:pStyle w:val="11"/>
        <w:rPr>
          <w:rFonts w:hint="default"/>
          <w:lang w:val="en-US" w:eastAsia="zh-CN"/>
        </w:rPr>
      </w:pPr>
      <w:r>
        <w:rPr>
          <w:rFonts w:hint="default"/>
          <w:lang w:val="en-US" w:eastAsia="zh-CN"/>
        </w:rPr>
        <w:t>定期排查管线、通讯井运行状况，及时发现并消除安全隐患；核查并优化设备运行参数，保障设备处于最优工作状态；同步检查设备口令、隐藏账户及系统漏洞，完善安全防护机制，防范安全风险。</w:t>
      </w:r>
    </w:p>
    <w:p w14:paraId="449B7062">
      <w:pPr>
        <w:pStyle w:val="11"/>
        <w:rPr>
          <w:rFonts w:hint="default"/>
          <w:lang w:val="en-US" w:eastAsia="zh-CN"/>
        </w:rPr>
      </w:pPr>
      <w:r>
        <w:rPr>
          <w:rFonts w:hint="eastAsia"/>
          <w:lang w:val="en-US" w:eastAsia="zh-CN"/>
        </w:rPr>
        <w:t>（3）</w:t>
      </w:r>
      <w:r>
        <w:rPr>
          <w:rFonts w:hint="default"/>
          <w:lang w:val="en-US" w:eastAsia="zh-CN"/>
        </w:rPr>
        <w:t>档案与登记管理</w:t>
      </w:r>
    </w:p>
    <w:p w14:paraId="723ABBC1">
      <w:pPr>
        <w:pStyle w:val="11"/>
        <w:rPr>
          <w:rFonts w:hint="default"/>
          <w:lang w:val="en-US" w:eastAsia="zh-CN"/>
        </w:rPr>
      </w:pPr>
      <w:r>
        <w:rPr>
          <w:rFonts w:hint="default"/>
          <w:lang w:val="en-US" w:eastAsia="zh-CN"/>
        </w:rPr>
        <w:t>建立并动态更新前端设备保养电子及纸质档案，完善各类运维记录台账</w:t>
      </w:r>
      <w:r>
        <w:rPr>
          <w:rFonts w:hint="eastAsia"/>
          <w:lang w:val="en-US" w:eastAsia="zh-CN"/>
        </w:rPr>
        <w:t>，</w:t>
      </w:r>
      <w:r>
        <w:rPr>
          <w:rFonts w:hint="default"/>
          <w:lang w:val="en-US" w:eastAsia="zh-CN"/>
        </w:rPr>
        <w:t>接受采购人日常检查核验，确保运维过程可追溯。</w:t>
      </w:r>
    </w:p>
    <w:p w14:paraId="4897A72B">
      <w:pPr>
        <w:pStyle w:val="11"/>
        <w:rPr>
          <w:rFonts w:hint="default"/>
          <w:lang w:val="en-US" w:eastAsia="zh-CN"/>
        </w:rPr>
      </w:pPr>
      <w:r>
        <w:rPr>
          <w:rFonts w:hint="eastAsia"/>
          <w:lang w:val="en-US" w:eastAsia="zh-CN"/>
        </w:rPr>
        <w:t>（4）</w:t>
      </w:r>
      <w:r>
        <w:rPr>
          <w:rFonts w:hint="default"/>
          <w:lang w:val="en-US" w:eastAsia="zh-CN"/>
        </w:rPr>
        <w:t>设备移位与责任认定</w:t>
      </w:r>
    </w:p>
    <w:p w14:paraId="7F983933">
      <w:pPr>
        <w:pStyle w:val="11"/>
        <w:rPr>
          <w:rFonts w:hint="default"/>
          <w:lang w:val="en-US" w:eastAsia="zh-CN"/>
        </w:rPr>
      </w:pPr>
      <w:r>
        <w:rPr>
          <w:rFonts w:hint="default"/>
          <w:lang w:val="en-US" w:eastAsia="zh-CN"/>
        </w:rPr>
        <w:t>按采购人需求完成杆件上设备的拆除、入库、清洗、移机、复位等相关作业；维保期内，维护范围内所有设备、设施、杆件及附属构件发生丢失、损毁等情况，由中标人承担全部责任及经济损失，并妥善处置后续相关事宜。</w:t>
      </w:r>
    </w:p>
    <w:p w14:paraId="3EE4C9FF">
      <w:pPr>
        <w:pStyle w:val="11"/>
        <w:rPr>
          <w:rFonts w:hint="default"/>
          <w:lang w:val="en-US" w:eastAsia="zh-CN"/>
        </w:rPr>
      </w:pPr>
      <w:r>
        <w:rPr>
          <w:rFonts w:hint="eastAsia"/>
          <w:lang w:val="en-US" w:eastAsia="zh-CN"/>
        </w:rPr>
        <w:t>（5）</w:t>
      </w:r>
      <w:r>
        <w:rPr>
          <w:rFonts w:hint="default"/>
          <w:lang w:val="en-US" w:eastAsia="zh-CN"/>
        </w:rPr>
        <w:t>旧设备管理与安装调试</w:t>
      </w:r>
    </w:p>
    <w:p w14:paraId="1A209476">
      <w:pPr>
        <w:pStyle w:val="11"/>
        <w:rPr>
          <w:rFonts w:hint="default"/>
          <w:lang w:val="en-US" w:eastAsia="zh-CN"/>
        </w:rPr>
      </w:pPr>
      <w:r>
        <w:rPr>
          <w:rFonts w:hint="default"/>
          <w:lang w:val="en-US" w:eastAsia="zh-CN"/>
        </w:rPr>
        <w:t>所有更换的旧设备须登记入库，详实备注更换时间、设备状态、品牌型号等关键信息，严格按照固定资产管理规定履行相关手续，以备办理固定资产报废流程；同时完成采购人非现场执法设备升级项目采购设备的安装调试工作，确保新增设备顺利投运。</w:t>
      </w:r>
    </w:p>
    <w:p w14:paraId="69DCF4AA">
      <w:pPr>
        <w:spacing w:line="400" w:lineRule="exact"/>
        <w:ind w:firstLine="480"/>
        <w:rPr>
          <w:rFonts w:hint="default" w:hAnsi="宋体" w:eastAsia="宋体"/>
          <w:highlight w:val="none"/>
          <w:lang w:val="en-US" w:eastAsia="zh-CN"/>
        </w:rPr>
      </w:pPr>
      <w:r>
        <w:rPr>
          <w:rFonts w:hint="eastAsia" w:hAnsi="宋体"/>
          <w:highlight w:val="none"/>
          <w:lang w:val="en-US" w:eastAsia="zh-CN"/>
        </w:rPr>
        <w:t>2</w:t>
      </w:r>
      <w:r>
        <w:rPr>
          <w:rFonts w:hint="eastAsia" w:hAnsi="宋体"/>
          <w:highlight w:val="none"/>
        </w:rPr>
        <w:t>、非现场执法设备</w:t>
      </w:r>
      <w:r>
        <w:rPr>
          <w:rFonts w:hint="eastAsia" w:hAnsi="宋体"/>
          <w:highlight w:val="none"/>
          <w:lang w:val="en-US" w:eastAsia="zh-CN"/>
        </w:rPr>
        <w:t>后台巡检内容</w:t>
      </w:r>
    </w:p>
    <w:p w14:paraId="4878C1B6">
      <w:pPr>
        <w:spacing w:line="400" w:lineRule="exact"/>
        <w:ind w:firstLine="480"/>
        <w:rPr>
          <w:rFonts w:hint="eastAsia" w:hAnsi="宋体"/>
        </w:rPr>
      </w:pPr>
      <w:r>
        <w:rPr>
          <w:rFonts w:hint="eastAsia" w:hAnsi="宋体"/>
        </w:rPr>
        <w:t>（1）视频图像数据质量考核保障服务</w:t>
      </w:r>
    </w:p>
    <w:p w14:paraId="3B71F60E">
      <w:pPr>
        <w:ind w:firstLine="480"/>
      </w:pPr>
      <w:r>
        <w:rPr>
          <w:rFonts w:hint="eastAsia"/>
        </w:rPr>
        <w:t>中标单位需通过视频图像数据质量运维保障服务，梳理系统现状，遵循《关于规范推进GA视频图像智能化应用建设的通知》、《2021年全国GA视频图像数据治理专项行动工作方案》要求，通过设备基础信息管理服务、视频诊断服务、数据监测服务、联网监测服务、考核指标量化服务、可视化展现优化服务、告警提醒优化服务、系统管理服务等八类服务。</w:t>
      </w:r>
    </w:p>
    <w:p w14:paraId="55EF4CFB">
      <w:pPr>
        <w:spacing w:line="400" w:lineRule="exact"/>
        <w:ind w:firstLine="480"/>
        <w:rPr>
          <w:rFonts w:hint="eastAsia" w:hAnsi="宋体"/>
        </w:rPr>
      </w:pPr>
      <w:r>
        <w:rPr>
          <w:rFonts w:hint="eastAsia" w:hAnsi="宋体"/>
        </w:rPr>
        <w:t>（2）设备基础信息管理服务</w:t>
      </w:r>
    </w:p>
    <w:p w14:paraId="2287A902">
      <w:pPr>
        <w:ind w:firstLine="480"/>
      </w:pPr>
      <w:r>
        <w:rPr>
          <w:rFonts w:hint="eastAsia"/>
        </w:rPr>
        <w:t>提供汇聚本县区的车辆卡口、人员卡口、一体化卡口、视频监控等各类视频图像设备的基础信息，包括设备编码、设备名称、功能类型、设备厂家、型号、行政区域、监控点位类型、设备经纬度、设备IP地址等，建立一台设备一个档案服务。</w:t>
      </w:r>
    </w:p>
    <w:p w14:paraId="691EA73C">
      <w:pPr>
        <w:ind w:firstLine="480"/>
      </w:pPr>
      <w:r>
        <w:rPr>
          <w:rFonts w:hint="eastAsia"/>
        </w:rPr>
        <w:t>提供非现场执法设备管理服务，实时显示设备在线状态、网络状态、位置信息、设备型号、序列号、所属终端等必要信息，依据上述信息形成设备性能评分。</w:t>
      </w:r>
    </w:p>
    <w:p w14:paraId="0070EC0F">
      <w:pPr>
        <w:spacing w:line="400" w:lineRule="exact"/>
        <w:ind w:firstLine="480"/>
        <w:rPr>
          <w:rFonts w:hint="eastAsia" w:hAnsi="宋体"/>
        </w:rPr>
      </w:pPr>
      <w:r>
        <w:rPr>
          <w:rFonts w:hint="eastAsia" w:hAnsi="宋体"/>
        </w:rPr>
        <w:t>（3）视频诊断服务</w:t>
      </w:r>
    </w:p>
    <w:p w14:paraId="2FF85F96">
      <w:pPr>
        <w:ind w:firstLine="480"/>
      </w:pPr>
      <w:r>
        <w:rPr>
          <w:rFonts w:hint="eastAsia"/>
        </w:rPr>
        <w:t>提供各类状态监控类的应用，主要包括：联网点位运行状态监控、图像质量、编码设备运行状态监控、解码设备运行状态监控、存储设备运行状态监控。</w:t>
      </w:r>
    </w:p>
    <w:p w14:paraId="2F519BDA">
      <w:pPr>
        <w:spacing w:line="400" w:lineRule="exact"/>
        <w:ind w:firstLine="480"/>
        <w:rPr>
          <w:rFonts w:hint="eastAsia" w:hAnsi="宋体"/>
        </w:rPr>
      </w:pPr>
      <w:r>
        <w:rPr>
          <w:rFonts w:hint="eastAsia" w:hAnsi="宋体"/>
        </w:rPr>
        <w:t>（4）数据监测总览</w:t>
      </w:r>
    </w:p>
    <w:p w14:paraId="31177CB2">
      <w:pPr>
        <w:ind w:firstLine="480"/>
      </w:pPr>
      <w:r>
        <w:rPr>
          <w:rFonts w:hint="eastAsia"/>
        </w:rPr>
        <w:t>提供以组织的维度展示卡口总数、抓拍数据总量、无抓拍数据卡口数、平均识别率、识别率过低卡口数、昼夜识别率突变卡口数、图片访问异常占比、数据倒挂率、数据延迟率。点击统计结果能跳转到对应的检测页面。提供全局报表和具体异常数据的导出。</w:t>
      </w:r>
    </w:p>
    <w:p w14:paraId="619E69AE">
      <w:pPr>
        <w:spacing w:line="400" w:lineRule="exact"/>
        <w:ind w:firstLine="480"/>
        <w:rPr>
          <w:rFonts w:hint="eastAsia" w:hAnsi="宋体"/>
        </w:rPr>
      </w:pPr>
      <w:r>
        <w:rPr>
          <w:rFonts w:hint="eastAsia" w:hAnsi="宋体"/>
        </w:rPr>
        <w:t>（5）数据量监测</w:t>
      </w:r>
    </w:p>
    <w:p w14:paraId="1443F442">
      <w:pPr>
        <w:ind w:firstLine="480"/>
      </w:pPr>
      <w:r>
        <w:rPr>
          <w:rFonts w:hint="eastAsia"/>
        </w:rPr>
        <w:t>提供对卡口的数据量进行监测，找出无抓拍数据、抓拍数据突降和抓拍数据量过少的卡口。</w:t>
      </w:r>
    </w:p>
    <w:p w14:paraId="355A9EE4">
      <w:pPr>
        <w:ind w:firstLine="480"/>
      </w:pPr>
      <w:r>
        <w:rPr>
          <w:rFonts w:hint="eastAsia"/>
        </w:rPr>
        <w:t>提供按设备名称、异常类型筛选，提供筛选数据的导出。提供展示持续无数据的天数和近七天抓拍数据量。</w:t>
      </w:r>
    </w:p>
    <w:p w14:paraId="3DE4972F">
      <w:pPr>
        <w:spacing w:line="400" w:lineRule="exact"/>
        <w:ind w:firstLine="480"/>
        <w:rPr>
          <w:rFonts w:hint="eastAsia" w:hAnsi="宋体"/>
        </w:rPr>
      </w:pPr>
      <w:r>
        <w:rPr>
          <w:rFonts w:hint="eastAsia" w:hAnsi="宋体"/>
        </w:rPr>
        <w:t>（6）图片访问监测</w:t>
      </w:r>
    </w:p>
    <w:p w14:paraId="6916D64F">
      <w:pPr>
        <w:ind w:firstLine="480"/>
      </w:pPr>
      <w:r>
        <w:rPr>
          <w:rFonts w:hint="eastAsia"/>
        </w:rPr>
        <w:t>提供对卡口抓拍的车牌图片和背景图片进行抽检，看其图片能否访问。提供按组织统计抽检占比、图片访问异常占比等。提供按异常占比、监测资源筛选，提供筛选数据的导出。</w:t>
      </w:r>
    </w:p>
    <w:p w14:paraId="604E2762">
      <w:pPr>
        <w:spacing w:line="400" w:lineRule="exact"/>
        <w:ind w:firstLine="480"/>
        <w:rPr>
          <w:rFonts w:hint="eastAsia" w:hAnsi="宋体"/>
        </w:rPr>
      </w:pPr>
      <w:r>
        <w:rPr>
          <w:rFonts w:hint="eastAsia" w:hAnsi="宋体"/>
        </w:rPr>
        <w:t>（7）车牌识别监测</w:t>
      </w:r>
    </w:p>
    <w:p w14:paraId="234315E7">
      <w:pPr>
        <w:ind w:firstLine="480"/>
      </w:pPr>
      <w:r>
        <w:rPr>
          <w:rFonts w:hint="eastAsia"/>
        </w:rPr>
        <w:t>提供对车牌识别率的分析，找出异常的卡口。</w:t>
      </w:r>
    </w:p>
    <w:p w14:paraId="24727F2F">
      <w:pPr>
        <w:ind w:firstLine="480"/>
      </w:pPr>
      <w:r>
        <w:rPr>
          <w:rFonts w:hint="eastAsia"/>
        </w:rPr>
        <w:t>提供按组织展示低识别率卡口数和昼夜识别率突变卡口数，并以饼图整体展示识别率的占比情况。提供按异常类型、识别率对卡口进行筛选，提供按识别率排序。并可以跳转到相应卡口，查看实际抓拍数据。</w:t>
      </w:r>
    </w:p>
    <w:p w14:paraId="7972A481">
      <w:pPr>
        <w:spacing w:line="400" w:lineRule="exact"/>
        <w:ind w:firstLine="480"/>
        <w:rPr>
          <w:rFonts w:hint="eastAsia" w:hAnsi="宋体"/>
        </w:rPr>
      </w:pPr>
      <w:r>
        <w:rPr>
          <w:rFonts w:hint="eastAsia" w:hAnsi="宋体"/>
        </w:rPr>
        <w:t>（8）数据时效性监测</w:t>
      </w:r>
    </w:p>
    <w:p w14:paraId="354B578E">
      <w:pPr>
        <w:ind w:firstLine="480"/>
      </w:pPr>
      <w:r>
        <w:rPr>
          <w:rFonts w:hint="eastAsia"/>
        </w:rPr>
        <w:t>提供对每条抓拍数据的抓拍时间和接收时间进行检测，找出时效异常的数据，再通过统计每个卡口异常数据的分布，来找出异常的卡口。</w:t>
      </w:r>
    </w:p>
    <w:p w14:paraId="79C23D14">
      <w:pPr>
        <w:ind w:firstLine="480"/>
      </w:pPr>
      <w:r>
        <w:rPr>
          <w:rFonts w:hint="eastAsia"/>
        </w:rPr>
        <w:t>提供按组织展示延迟倒挂数据的比例，并以饼图整体数据时效的占比情况，从宏观了解数据的时延情况。提供按设备名称、延迟率、倒挂率进行筛选，提供按抓拍数据量、延迟率、倒挂率等进行排序。</w:t>
      </w:r>
    </w:p>
    <w:p w14:paraId="6C9B07FC">
      <w:pPr>
        <w:spacing w:line="400" w:lineRule="exact"/>
        <w:ind w:firstLine="480"/>
        <w:rPr>
          <w:rFonts w:hint="eastAsia" w:hAnsi="宋体"/>
        </w:rPr>
      </w:pPr>
      <w:r>
        <w:rPr>
          <w:rFonts w:hint="eastAsia" w:hAnsi="宋体"/>
        </w:rPr>
        <w:t>（9）数据一致性</w:t>
      </w:r>
    </w:p>
    <w:p w14:paraId="24E65469">
      <w:pPr>
        <w:ind w:firstLine="480"/>
      </w:pPr>
      <w:r>
        <w:rPr>
          <w:rFonts w:hint="eastAsia"/>
        </w:rPr>
        <w:t>提供设备未上报的监测功能，从而找出有抓拍数据，无设备信息的卡口。</w:t>
      </w:r>
    </w:p>
    <w:p w14:paraId="15EF7770">
      <w:pPr>
        <w:spacing w:line="400" w:lineRule="exact"/>
        <w:ind w:firstLine="480"/>
        <w:rPr>
          <w:rFonts w:hint="eastAsia" w:hAnsi="宋体"/>
        </w:rPr>
      </w:pPr>
      <w:r>
        <w:rPr>
          <w:rFonts w:hint="eastAsia" w:hAnsi="宋体"/>
        </w:rPr>
        <w:t>（10）非现场执法设备备案工作</w:t>
      </w:r>
    </w:p>
    <w:p w14:paraId="120C0D4E">
      <w:pPr>
        <w:pStyle w:val="11"/>
      </w:pPr>
      <w:r>
        <w:rPr>
          <w:rFonts w:hint="eastAsia" w:cs="宋体"/>
          <w:sz w:val="24"/>
          <w:szCs w:val="24"/>
          <w:lang w:eastAsia="zh-CN"/>
        </w:rPr>
        <w:t>中标人</w:t>
      </w:r>
      <w:r>
        <w:rPr>
          <w:rFonts w:ascii="宋体" w:hAnsi="宋体" w:eastAsia="宋体" w:cs="宋体"/>
          <w:sz w:val="24"/>
          <w:szCs w:val="24"/>
        </w:rPr>
        <w:t>在合同期内，需按照采购人要求协助开展非现场执法设备备案材料制作工作，配合完成非现场执法设备备案相关流程</w:t>
      </w:r>
      <w:r>
        <w:rPr>
          <w:rFonts w:hint="eastAsia"/>
        </w:rPr>
        <w:t>。</w:t>
      </w:r>
    </w:p>
    <w:p w14:paraId="5914C204">
      <w:pPr>
        <w:pStyle w:val="5"/>
        <w:numPr>
          <w:ilvl w:val="2"/>
          <w:numId w:val="0"/>
        </w:numPr>
        <w:rPr>
          <w:rFonts w:hint="eastAsia"/>
          <w:lang w:val="en-US" w:eastAsia="zh-CN"/>
        </w:rPr>
      </w:pPr>
      <w:r>
        <w:rPr>
          <w:rFonts w:hint="eastAsia"/>
        </w:rPr>
        <w:t>（三）维护</w:t>
      </w:r>
      <w:r>
        <w:rPr>
          <w:rFonts w:hint="eastAsia"/>
          <w:lang w:val="en-US" w:eastAsia="zh-CN"/>
        </w:rPr>
        <w:t>要求</w:t>
      </w:r>
    </w:p>
    <w:p w14:paraId="55782D72">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1</w:t>
      </w:r>
      <w:r>
        <w:rPr>
          <w:rFonts w:hint="eastAsia" w:asciiTheme="minorEastAsia" w:hAnsiTheme="minorEastAsia" w:eastAsiaTheme="minorEastAsia" w:cstheme="minorEastAsia"/>
          <w:bCs/>
        </w:rPr>
        <w:t>、</w:t>
      </w:r>
      <w:r>
        <w:rPr>
          <w:rFonts w:hint="eastAsia" w:hAnsi="宋体" w:cs="宋体"/>
          <w:sz w:val="24"/>
          <w:szCs w:val="24"/>
          <w:lang w:eastAsia="zh-CN"/>
        </w:rPr>
        <w:t>中标人</w:t>
      </w:r>
      <w:r>
        <w:rPr>
          <w:rFonts w:ascii="宋体" w:hAnsi="宋体" w:eastAsia="宋体" w:cs="宋体"/>
          <w:sz w:val="24"/>
          <w:szCs w:val="24"/>
        </w:rPr>
        <w:t>应对前后端系统开展每日巡检，及时排查可能引发故障的安全隐患、修复已存在的系统及设备故障，做好每日巡检详细记录。每周汇总巡检情况、隐患处置结果及故障修复详情，形成《周巡检工作报告》（一式两份），经采购人确认后存档</w:t>
      </w:r>
      <w:r>
        <w:rPr>
          <w:rFonts w:hint="eastAsia" w:asciiTheme="minorEastAsia" w:hAnsiTheme="minorEastAsia" w:eastAsiaTheme="minorEastAsia" w:cstheme="minorEastAsia"/>
          <w:bCs/>
        </w:rPr>
        <w:t>。</w:t>
      </w:r>
    </w:p>
    <w:p w14:paraId="68054DCF">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每日巡检内容包括但不限于前后端系统在线状态、资产在位状态、各类视频图像和数据质量、各类数据数量波动情况、后端环境供配电系统运行状态、消防系统运行状态、系统内各服务保活状态、内部系统与外部系统数据交互服务保活状态，其他需要巡检的事项和异常信息。</w:t>
      </w:r>
    </w:p>
    <w:p w14:paraId="6E346806">
      <w:pPr>
        <w:spacing w:line="440" w:lineRule="exact"/>
        <w:ind w:firstLine="480"/>
        <w:contextualSpacing/>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2</w:t>
      </w:r>
      <w:r>
        <w:rPr>
          <w:rFonts w:hint="eastAsia" w:asciiTheme="minorEastAsia" w:hAnsiTheme="minorEastAsia" w:eastAsiaTheme="minorEastAsia" w:cstheme="minorEastAsia"/>
          <w:bCs/>
        </w:rPr>
        <w:t>、</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应</w:t>
      </w:r>
      <w:r>
        <w:rPr>
          <w:rFonts w:hint="eastAsia" w:asciiTheme="minorEastAsia" w:hAnsiTheme="minorEastAsia" w:eastAsiaTheme="minorEastAsia" w:cstheme="minorEastAsia"/>
          <w:bCs/>
          <w:lang w:val="en-US" w:eastAsia="zh-CN"/>
        </w:rPr>
        <w:t>开展</w:t>
      </w:r>
      <w:r>
        <w:rPr>
          <w:rFonts w:hint="eastAsia" w:asciiTheme="minorEastAsia" w:hAnsiTheme="minorEastAsia" w:eastAsiaTheme="minorEastAsia" w:cstheme="minorEastAsia"/>
          <w:bCs/>
        </w:rPr>
        <w:t>月度例行巡检，对前端设施安全性、可用性进行检查，对发现的问题及时处理；对全部补光灯进行无遗漏检查，对发现的故障灯具及时更换；对前端设备箱及箱内设备进行检查和清洁，确保箱内整洁、环境可控、设备稳定运行。</w:t>
      </w:r>
    </w:p>
    <w:p w14:paraId="753FFB95">
      <w:pPr>
        <w:pStyle w:val="3"/>
      </w:pPr>
      <w:r>
        <w:rPr>
          <w:rFonts w:hint="eastAsia"/>
        </w:rPr>
        <w:t>机房系统维护</w:t>
      </w:r>
    </w:p>
    <w:p w14:paraId="65FFFDD1">
      <w:pPr>
        <w:pStyle w:val="5"/>
        <w:numPr>
          <w:ilvl w:val="2"/>
          <w:numId w:val="0"/>
        </w:numPr>
      </w:pPr>
      <w:r>
        <w:rPr>
          <w:rFonts w:hint="eastAsia"/>
        </w:rPr>
        <w:t>（一）维护范围</w:t>
      </w:r>
    </w:p>
    <w:p w14:paraId="2030A04D">
      <w:pPr>
        <w:ind w:firstLine="480"/>
        <w:rPr>
          <w:rFonts w:hint="eastAsia" w:asciiTheme="minorEastAsia" w:hAnsiTheme="minorEastAsia" w:eastAsiaTheme="minorEastAsia" w:cstheme="minorEastAsia"/>
          <w:bCs/>
        </w:rPr>
      </w:pPr>
      <w:r>
        <w:rPr>
          <w:rFonts w:hint="eastAsia"/>
        </w:rPr>
        <w:t>沛县公安局交管大队的机房服务器、存储、电源等</w:t>
      </w:r>
      <w:r>
        <w:rPr>
          <w:rFonts w:hint="eastAsia"/>
          <w:lang w:val="en-US" w:eastAsia="zh-CN"/>
        </w:rPr>
        <w:t>后台</w:t>
      </w:r>
      <w:r>
        <w:rPr>
          <w:rFonts w:hint="eastAsia"/>
        </w:rPr>
        <w:t>设备，信号控制系统软件、非现场执法设备软件的维护、升级、优化、以及</w:t>
      </w:r>
      <w:r>
        <w:rPr>
          <w:rFonts w:hint="eastAsia" w:asciiTheme="minorEastAsia" w:hAnsiTheme="minorEastAsia" w:eastAsiaTheme="minorEastAsia" w:cstheme="minorEastAsia"/>
          <w:bCs/>
        </w:rPr>
        <w:t>发生故障时（含效果优化、参数调整）进行维修。</w:t>
      </w:r>
    </w:p>
    <w:p w14:paraId="69AE803C">
      <w:pPr>
        <w:ind w:firstLine="480"/>
        <w:rPr>
          <w:bCs/>
        </w:rPr>
      </w:pPr>
      <w:r>
        <w:rPr>
          <w:rFonts w:hint="eastAsia"/>
          <w:bCs/>
          <w:lang w:eastAsia="zh-CN"/>
        </w:rPr>
        <w:t>中标人</w:t>
      </w:r>
      <w:r>
        <w:rPr>
          <w:rFonts w:hint="eastAsia"/>
          <w:bCs/>
        </w:rPr>
        <w:t>需</w:t>
      </w:r>
      <w:r>
        <w:rPr>
          <w:rFonts w:hint="eastAsia"/>
        </w:rPr>
        <w:t>对采购人指定的机房内相关的视频专网服务器、应用平台、视频分析、核心交换机等设备实施安全巡查、故障处置、有效运行、系统优化调试等工作；进行视频专网的网络路由、交换调整优化，IP地址规划管理，网络安全管理，安全防护，视频专网图像的接入推送、存储规划配置</w:t>
      </w:r>
      <w:r>
        <w:rPr>
          <w:rFonts w:hint="eastAsia"/>
          <w:bCs/>
        </w:rPr>
        <w:t>。</w:t>
      </w:r>
    </w:p>
    <w:p w14:paraId="59E58AD8">
      <w:pPr>
        <w:pStyle w:val="5"/>
        <w:numPr>
          <w:ilvl w:val="2"/>
          <w:numId w:val="0"/>
        </w:numPr>
      </w:pPr>
      <w:r>
        <w:rPr>
          <w:rFonts w:hint="eastAsia"/>
        </w:rPr>
        <w:t>（二）维护内容</w:t>
      </w:r>
    </w:p>
    <w:p w14:paraId="68C658E9">
      <w:pPr>
        <w:ind w:firstLine="480"/>
        <w:rPr>
          <w:rFonts w:eastAsiaTheme="minorEastAsia"/>
        </w:rPr>
      </w:pPr>
      <w:r>
        <w:rPr>
          <w:rFonts w:hint="eastAsia" w:asciiTheme="minorEastAsia" w:hAnsiTheme="minorEastAsia" w:eastAsiaTheme="minorEastAsia" w:cstheme="minorEastAsia"/>
          <w:bCs/>
        </w:rPr>
        <w:t>1、</w:t>
      </w:r>
      <w:r>
        <w:rPr>
          <w:rFonts w:hint="eastAsia" w:asciiTheme="minorEastAsia" w:hAnsiTheme="minorEastAsia" w:eastAsiaTheme="minorEastAsia" w:cstheme="minorEastAsia"/>
          <w:bCs/>
          <w:lang w:eastAsia="zh-CN"/>
        </w:rPr>
        <w:t>中标人</w:t>
      </w:r>
      <w:r>
        <w:rPr>
          <w:rFonts w:hint="eastAsia" w:asciiTheme="minorEastAsia" w:hAnsiTheme="minorEastAsia" w:eastAsiaTheme="minorEastAsia" w:cstheme="minorEastAsia"/>
          <w:bCs/>
        </w:rPr>
        <w:t>对维护范围内的</w:t>
      </w:r>
      <w:r>
        <w:rPr>
          <w:rFonts w:hint="eastAsia"/>
        </w:rPr>
        <w:t>机房服务器、存储、电源等后端设备，</w:t>
      </w:r>
      <w:r>
        <w:rPr>
          <w:rFonts w:hint="eastAsia" w:hAnsi="宋体"/>
        </w:rPr>
        <w:t>集成指挥管理平台、</w:t>
      </w:r>
      <w:r>
        <w:rPr>
          <w:rFonts w:hint="eastAsia"/>
        </w:rPr>
        <w:t>非现场执法设备软件及相关辅助系统应用软件的维护、升级、优化、以及</w:t>
      </w:r>
      <w:r>
        <w:rPr>
          <w:rFonts w:hint="eastAsia" w:asciiTheme="minorEastAsia" w:hAnsiTheme="minorEastAsia" w:eastAsiaTheme="minorEastAsia" w:cstheme="minorEastAsia"/>
          <w:bCs/>
        </w:rPr>
        <w:t>发生故障时（含效果优化、参数调整）进行维修。登录相关系统软件、检查功能及应用情况。</w:t>
      </w:r>
    </w:p>
    <w:p w14:paraId="74BB335C">
      <w:pPr>
        <w:spacing w:line="400" w:lineRule="exact"/>
        <w:ind w:firstLine="480"/>
      </w:pPr>
      <w:r>
        <w:rPr>
          <w:rFonts w:hint="eastAsia" w:hAnsi="宋体"/>
        </w:rPr>
        <w:t>2、协助对服务器硬件设备、操作系统、存储设备、非现场处罚类设备集成管理平台、非现场处罚证据录入平台、辅助应用软件以及各种链路和接口的故障进行诊断和排除</w:t>
      </w:r>
      <w:r>
        <w:rPr>
          <w:rFonts w:hint="eastAsia" w:hAnsi="宋体"/>
          <w:lang w:eastAsia="zh-CN"/>
        </w:rPr>
        <w:t>。</w:t>
      </w:r>
    </w:p>
    <w:p w14:paraId="5C3ED05C">
      <w:pPr>
        <w:pStyle w:val="5"/>
        <w:numPr>
          <w:ilvl w:val="2"/>
          <w:numId w:val="0"/>
        </w:numPr>
      </w:pPr>
      <w:r>
        <w:rPr>
          <w:rFonts w:hint="eastAsia"/>
        </w:rPr>
        <w:t>（三）维护要求</w:t>
      </w:r>
    </w:p>
    <w:p w14:paraId="5C93DC13">
      <w:pPr>
        <w:spacing w:line="400" w:lineRule="exact"/>
        <w:ind w:firstLine="480"/>
        <w:rPr>
          <w:rFonts w:hint="eastAsia" w:hAnsi="宋体"/>
        </w:rPr>
      </w:pPr>
      <w:r>
        <w:rPr>
          <w:rFonts w:hint="eastAsia" w:hAnsi="宋体"/>
        </w:rPr>
        <w:t>1、对服务器设备、操作系统、存储设备、非现场处罚类设备集成管理平台、非现场处罚证据录入平台、辅助应用软件以及各种链路和接口的运行进行日常检查；</w:t>
      </w:r>
    </w:p>
    <w:p w14:paraId="75BB04B3">
      <w:pPr>
        <w:spacing w:line="400" w:lineRule="exact"/>
        <w:ind w:firstLine="480"/>
        <w:rPr>
          <w:rFonts w:hint="eastAsia" w:hAnsi="宋体"/>
        </w:rPr>
      </w:pPr>
      <w:r>
        <w:rPr>
          <w:rFonts w:hint="eastAsia" w:hAnsi="宋体"/>
        </w:rPr>
        <w:t>2、按采购人需求提供对数据的查询、统计、分析和数据交换；</w:t>
      </w:r>
    </w:p>
    <w:p w14:paraId="6C468EBB">
      <w:pPr>
        <w:spacing w:line="400" w:lineRule="exact"/>
        <w:ind w:firstLine="480"/>
        <w:rPr>
          <w:rFonts w:hint="eastAsia" w:hAnsi="宋体"/>
        </w:rPr>
      </w:pPr>
      <w:r>
        <w:rPr>
          <w:rFonts w:hint="eastAsia" w:hAnsi="宋体"/>
        </w:rPr>
        <w:t>3、投标人提供7×24小时响应服务，对于不影响采购人业务工作的一般性故障，投标人工程师将首先向业主提供故障热线电话支持服务或现场响应服务；对于已导致或影响业务工作不能正常进行的系统故障，投标人工作人员应在1小时内响应，提交故障解决措施，并协助完成故障的诊断和排除。</w:t>
      </w:r>
    </w:p>
    <w:p w14:paraId="39D3DF8A">
      <w:pPr>
        <w:spacing w:line="400" w:lineRule="exact"/>
        <w:ind w:firstLine="480"/>
        <w:rPr>
          <w:rFonts w:hint="eastAsia" w:hAnsi="宋体"/>
        </w:rPr>
      </w:pPr>
      <w:r>
        <w:rPr>
          <w:rFonts w:hint="eastAsia" w:hAnsi="宋体"/>
        </w:rPr>
        <w:t>4、投标人应根据业主要求和系统运行情况，向采购人提供有关系统使用管理、性能优化等方面的技术咨询。</w:t>
      </w:r>
    </w:p>
    <w:p w14:paraId="385FA1B0">
      <w:pPr>
        <w:spacing w:line="400" w:lineRule="exact"/>
        <w:ind w:firstLine="480"/>
        <w:rPr>
          <w:rFonts w:hint="eastAsia" w:hAnsi="宋体"/>
        </w:rPr>
      </w:pPr>
      <w:r>
        <w:rPr>
          <w:rFonts w:hint="eastAsia" w:hAnsi="宋体"/>
        </w:rPr>
        <w:t>5、投标人提供7×24小时服务热线电话，在采购人发现系统故障或遇到疑难问题时给予立即响应。</w:t>
      </w:r>
    </w:p>
    <w:p w14:paraId="22E3FCB1">
      <w:pPr>
        <w:ind w:firstLine="480"/>
      </w:pPr>
    </w:p>
    <w:p w14:paraId="371C4335">
      <w:pPr>
        <w:pStyle w:val="3"/>
      </w:pPr>
      <w:r>
        <w:rPr>
          <w:rFonts w:hint="eastAsia"/>
        </w:rPr>
        <w:t>信号调优</w:t>
      </w:r>
    </w:p>
    <w:p w14:paraId="524B1DD2">
      <w:pPr>
        <w:ind w:firstLine="480"/>
      </w:pPr>
      <w:r>
        <w:rPr>
          <w:rFonts w:hint="eastAsia"/>
          <w:bCs/>
        </w:rPr>
        <w:t>根据《全省城市道路交通信号灯设置和配时优化工作方案》（苏公交[2020]155号）精神，制订本项目。</w:t>
      </w:r>
    </w:p>
    <w:p w14:paraId="7C95A019">
      <w:pPr>
        <w:pStyle w:val="4"/>
        <w:ind w:firstLine="0" w:firstLineChars="0"/>
        <w:outlineLvl w:val="1"/>
        <w:rPr>
          <w:rFonts w:hAnsi="Times New Roman"/>
        </w:rPr>
      </w:pPr>
      <w:r>
        <w:rPr>
          <w:rFonts w:hint="eastAsia" w:hAnsi="Times New Roman"/>
          <w:b/>
          <w:bCs/>
          <w:sz w:val="32"/>
          <w:szCs w:val="32"/>
        </w:rPr>
        <w:t>（一）服务范围</w:t>
      </w:r>
    </w:p>
    <w:p w14:paraId="453875F3">
      <w:pPr>
        <w:ind w:firstLine="480"/>
      </w:pPr>
      <w:r>
        <w:rPr>
          <w:rFonts w:hint="eastAsia"/>
        </w:rPr>
        <w:t>收集沛县交通信号灯控路口基础信息（信息包括交叉口渠化情况、车道分配情况、检测器、灯具类型、人行横道宽度、路口设施配置等）及运行方案（主要包括信号控制类型、相位、相序、配时方案等），建立档案。</w:t>
      </w:r>
    </w:p>
    <w:p w14:paraId="2211CA83">
      <w:pPr>
        <w:pStyle w:val="4"/>
        <w:ind w:firstLine="0" w:firstLineChars="0"/>
        <w:outlineLvl w:val="1"/>
        <w:rPr>
          <w:rFonts w:hAnsi="Times New Roman"/>
          <w:b/>
          <w:bCs/>
          <w:sz w:val="32"/>
          <w:szCs w:val="32"/>
        </w:rPr>
      </w:pPr>
      <w:r>
        <w:rPr>
          <w:rFonts w:hint="eastAsia" w:hAnsi="Times New Roman"/>
          <w:b/>
          <w:bCs/>
          <w:sz w:val="32"/>
          <w:szCs w:val="32"/>
        </w:rPr>
        <w:t>（二）服务内容</w:t>
      </w:r>
    </w:p>
    <w:p w14:paraId="7F3CAA5C">
      <w:pPr>
        <w:ind w:firstLine="480"/>
      </w:pPr>
      <w:r>
        <w:rPr>
          <w:rFonts w:hint="eastAsia"/>
        </w:rPr>
        <w:t>1、交通信号</w:t>
      </w:r>
      <w:r>
        <w:rPr>
          <w:rFonts w:hint="eastAsia"/>
          <w:lang w:val="en-US" w:eastAsia="zh-CN"/>
        </w:rPr>
        <w:t>配时</w:t>
      </w:r>
      <w:r>
        <w:rPr>
          <w:rFonts w:hint="eastAsia"/>
        </w:rPr>
        <w:t>优化服务</w:t>
      </w:r>
    </w:p>
    <w:p w14:paraId="5F7F3F8E">
      <w:pPr>
        <w:ind w:firstLine="480"/>
      </w:pPr>
      <w:r>
        <w:rPr>
          <w:rFonts w:hint="eastAsia"/>
        </w:rPr>
        <w:t>交通信号配时优化及调整通过现场巡查、系统巡查、视频巡查、舆情收集、问卷调查等方式，及时发现、处置信号灯配时不合理、信号灯设置与交通标志标线矛盾、与交通组织不匹配等问题，优化、调整信号配时方案，并对优化效果进行跟踪。信号配时优化及调整分为单交叉口配时优化、路段绿波协调优化、重点路口信号配时优化、区域交通控制优化。</w:t>
      </w:r>
    </w:p>
    <w:p w14:paraId="78475B94">
      <w:pPr>
        <w:ind w:firstLine="480"/>
      </w:pPr>
      <w:r>
        <w:rPr>
          <w:rFonts w:hint="eastAsia"/>
        </w:rPr>
        <w:t>路口基础资料全面采集、信息化建档和滚动更新等基础工作，当前交通状态的评价：从多个方面对路口的交通状态进行综合评价；路段基础资料全面采集、信息化建档和滚动更新等基础工作，当前路段交通状态的评价：行程时间、停车次数、控制方案。对路口或路段制定针对性的改进方案，并通过技术评审，实施、优化，达到预定的目标，并对实施后的改善效果进行评价、对比，形成分析报告；每次方案建立完善的档案管理体系，定期对优化过程中形成的文件进行归档整理、备份。</w:t>
      </w:r>
    </w:p>
    <w:p w14:paraId="2FB613C9">
      <w:pPr>
        <w:ind w:firstLine="480"/>
      </w:pPr>
      <w:r>
        <w:rPr>
          <w:rFonts w:hint="eastAsia"/>
        </w:rPr>
        <w:t>对日常巡查中发现的不合理路口，道路施工、修缮等引起的交通组织发生变化的路口，以及市民、媒体等反映的问题路口，进行必要的补充调查，并根据实际情况对路口信号控制方案进行优化。主要工作包括现状调查、配时方案设计、仿真分析及优化、实施、跟踪、再优化等。</w:t>
      </w:r>
    </w:p>
    <w:p w14:paraId="69B84B0A">
      <w:pPr>
        <w:ind w:firstLine="480"/>
      </w:pPr>
      <w:r>
        <w:rPr>
          <w:rFonts w:hint="eastAsia"/>
        </w:rPr>
        <w:t>重点路口信号配时方案优化需采集优化前后各流向流量、排队长度变化情况，并形成专项分析报告报招标方备档。</w:t>
      </w:r>
    </w:p>
    <w:p w14:paraId="26C170E4">
      <w:pPr>
        <w:ind w:firstLine="480"/>
      </w:pPr>
      <w:r>
        <w:rPr>
          <w:rFonts w:hint="eastAsia"/>
        </w:rPr>
        <w:t>2、交通组织设计服务</w:t>
      </w:r>
    </w:p>
    <w:p w14:paraId="47C20EB5">
      <w:pPr>
        <w:ind w:firstLine="480"/>
      </w:pPr>
      <w:r>
        <w:rPr>
          <w:rFonts w:hint="eastAsia"/>
        </w:rPr>
        <w:t>根据信号配时优化需到的实际交通问题，选取交通关键节点路口，开展信号主导下的新技术交通组织设计工作，充分利用时空资源深度挖掘等多元交通组织技术，同时，配合改造的方案公示宣传、实施后的运行效果宣传以及技术科普宣传等手段，让交通参与者能够更快的了解、应用潮汐车道、可变车道、借道通行、交替通行等多种先进交通组织措施，深入挖掘时空资源，减少交叉口交通冲突，保障交通安全。</w:t>
      </w:r>
    </w:p>
    <w:p w14:paraId="1AA7FD13">
      <w:pPr>
        <w:pStyle w:val="4"/>
        <w:ind w:firstLine="0" w:firstLineChars="0"/>
        <w:outlineLvl w:val="1"/>
        <w:rPr>
          <w:rFonts w:hAnsi="Times New Roman"/>
          <w:b/>
          <w:bCs/>
          <w:sz w:val="32"/>
          <w:szCs w:val="32"/>
        </w:rPr>
      </w:pPr>
      <w:r>
        <w:rPr>
          <w:rFonts w:hint="eastAsia" w:hAnsi="Times New Roman"/>
          <w:b/>
          <w:bCs/>
          <w:sz w:val="32"/>
          <w:szCs w:val="32"/>
        </w:rPr>
        <w:t>（三）</w:t>
      </w:r>
      <w:r>
        <w:rPr>
          <w:rFonts w:hint="eastAsia" w:hAnsi="Times New Roman"/>
          <w:b/>
          <w:bCs/>
          <w:sz w:val="32"/>
          <w:szCs w:val="32"/>
          <w:lang w:val="en-US" w:eastAsia="zh-CN"/>
        </w:rPr>
        <w:t>服务</w:t>
      </w:r>
      <w:r>
        <w:rPr>
          <w:rFonts w:hint="eastAsia" w:hAnsi="Times New Roman"/>
          <w:b/>
          <w:bCs/>
          <w:sz w:val="32"/>
          <w:szCs w:val="32"/>
        </w:rPr>
        <w:t>要求</w:t>
      </w:r>
    </w:p>
    <w:p w14:paraId="78EA99A9">
      <w:pPr>
        <w:ind w:firstLine="480"/>
        <w:rPr>
          <w:rFonts w:hint="eastAsia" w:eastAsia="宋体"/>
          <w:lang w:val="en-US" w:eastAsia="zh-CN"/>
        </w:rPr>
      </w:pPr>
      <w:r>
        <w:rPr>
          <w:rFonts w:hint="eastAsia"/>
        </w:rPr>
        <w:t>1、交通信号配时优化</w:t>
      </w:r>
      <w:r>
        <w:rPr>
          <w:rFonts w:hint="eastAsia"/>
          <w:lang w:val="en-US" w:eastAsia="zh-CN"/>
        </w:rPr>
        <w:t>服务</w:t>
      </w:r>
    </w:p>
    <w:p w14:paraId="5B15EBBE">
      <w:pPr>
        <w:ind w:firstLine="480"/>
      </w:pPr>
      <w:r>
        <w:rPr>
          <w:rFonts w:hint="eastAsia"/>
        </w:rPr>
        <w:t>（1）单路口配时，信号灯配时应与流量相匹配，拥堵路口排队次数（除特殊情况外）不得超过两次，单路口方案数不少于五时段三方案；</w:t>
      </w:r>
    </w:p>
    <w:p w14:paraId="7301C1E5">
      <w:pPr>
        <w:ind w:firstLine="480"/>
      </w:pPr>
      <w:r>
        <w:rPr>
          <w:rFonts w:hint="eastAsia"/>
        </w:rPr>
        <w:t>（2）信号灯放行方式规范化整改（按国标）；</w:t>
      </w:r>
    </w:p>
    <w:p w14:paraId="25786149">
      <w:pPr>
        <w:ind w:firstLine="480"/>
      </w:pPr>
      <w:r>
        <w:rPr>
          <w:rFonts w:hint="eastAsia"/>
        </w:rPr>
        <w:t>（3）交通优化策略设计，每条路，每片区域；</w:t>
      </w:r>
    </w:p>
    <w:p w14:paraId="1638E100">
      <w:pPr>
        <w:ind w:firstLine="480"/>
      </w:pPr>
      <w:r>
        <w:rPr>
          <w:rFonts w:hint="eastAsia"/>
        </w:rPr>
        <w:t>（4）绿波方案，提供绿波方案设计，包括前期调研、方案设计、效果优化等内容，并提供优化报告。主干道覆盖率不低于90%，其他路段覆盖率不低于70%。</w:t>
      </w:r>
    </w:p>
    <w:p w14:paraId="1F1C6850">
      <w:pPr>
        <w:ind w:firstLine="480"/>
        <w:rPr>
          <w:rFonts w:hint="eastAsia" w:eastAsia="宋体"/>
          <w:lang w:val="en-US" w:eastAsia="zh-CN"/>
        </w:rPr>
      </w:pPr>
      <w:r>
        <w:rPr>
          <w:rFonts w:hint="eastAsia"/>
        </w:rPr>
        <w:t>2、路口日常运行巡查</w:t>
      </w:r>
      <w:r>
        <w:rPr>
          <w:rFonts w:hint="eastAsia"/>
          <w:lang w:val="en-US" w:eastAsia="zh-CN"/>
        </w:rPr>
        <w:t>服务</w:t>
      </w:r>
    </w:p>
    <w:p w14:paraId="1FDA7817">
      <w:pPr>
        <w:ind w:firstLine="480"/>
      </w:pPr>
      <w:r>
        <w:rPr>
          <w:rFonts w:hint="eastAsia"/>
        </w:rPr>
        <w:t>在不能通过信号配时或交通组织解决交通问题时，能够提供利用信号配时和交通安全设备设施组合应用的设计方案，如利用诱导屏、非机动车信号灯、交通检测器、行人触摸按钮等设备来辅助优化。</w:t>
      </w:r>
    </w:p>
    <w:p w14:paraId="1B3DD895">
      <w:pPr>
        <w:ind w:firstLine="480"/>
        <w:rPr>
          <w:rFonts w:hint="eastAsia" w:eastAsia="宋体"/>
          <w:lang w:val="en-US" w:eastAsia="zh-CN"/>
        </w:rPr>
      </w:pPr>
      <w:r>
        <w:rPr>
          <w:rFonts w:hint="eastAsia"/>
        </w:rPr>
        <w:t>3、交通信号运行状况巡查</w:t>
      </w:r>
      <w:r>
        <w:rPr>
          <w:rFonts w:hint="eastAsia"/>
          <w:lang w:val="en-US" w:eastAsia="zh-CN"/>
        </w:rPr>
        <w:t>服务</w:t>
      </w:r>
    </w:p>
    <w:p w14:paraId="2EAA97E2">
      <w:pPr>
        <w:ind w:firstLine="480"/>
      </w:pPr>
      <w:r>
        <w:rPr>
          <w:rFonts w:hint="eastAsia"/>
        </w:rPr>
        <w:t>为提高对信号控制系统运行状态的动态把握和快速反应，需定期对所有路口进行巡查，及时发现责任区域内信号配时存在的问题，为信号配时参数优化调整提供依据。</w:t>
      </w:r>
    </w:p>
    <w:p w14:paraId="42BF15D2">
      <w:pPr>
        <w:ind w:firstLine="480"/>
        <w:rPr>
          <w:rFonts w:hint="eastAsia" w:eastAsia="宋体"/>
          <w:lang w:val="en-US" w:eastAsia="zh-CN"/>
        </w:rPr>
      </w:pPr>
      <w:r>
        <w:rPr>
          <w:rFonts w:hint="eastAsia"/>
        </w:rPr>
        <w:t>4、优化方案</w:t>
      </w:r>
      <w:r>
        <w:rPr>
          <w:rFonts w:hint="eastAsia"/>
          <w:lang w:val="en-US" w:eastAsia="zh-CN"/>
        </w:rPr>
        <w:t>服务</w:t>
      </w:r>
    </w:p>
    <w:p w14:paraId="37B4E75D">
      <w:pPr>
        <w:ind w:firstLine="480"/>
      </w:pPr>
      <w:r>
        <w:rPr>
          <w:rFonts w:hint="eastAsia"/>
        </w:rPr>
        <w:t>对日常巡查中发现的不合理路口，道路施工、修缮等引起的交通组织发生变化的路口，以及市民、媒体等反映的问题路口，进行必要的补充调查，并根据实际情况对路口信号控制方案进行优化。对交通信号实现精准控制，开展撤灯熄屏、简化相位、缩短周期措施优化夜间、流量较小时段信号控制。主要工作包括现状调查、配时方案设计、仿真分析及优化、实施、跟踪、再优化等。</w:t>
      </w:r>
    </w:p>
    <w:p w14:paraId="321CBEF7">
      <w:pPr>
        <w:ind w:firstLine="480"/>
        <w:rPr>
          <w:rFonts w:hint="eastAsia" w:eastAsia="宋体"/>
          <w:lang w:eastAsia="zh-CN"/>
        </w:rPr>
      </w:pPr>
      <w:r>
        <w:rPr>
          <w:rFonts w:hint="eastAsia"/>
        </w:rPr>
        <w:t>5、信号优化其他</w:t>
      </w:r>
      <w:r>
        <w:rPr>
          <w:rFonts w:hint="eastAsia"/>
          <w:lang w:val="en-US" w:eastAsia="zh-CN"/>
        </w:rPr>
        <w:t>服务</w:t>
      </w:r>
    </w:p>
    <w:p w14:paraId="13D6DDF4">
      <w:pPr>
        <w:ind w:firstLine="480"/>
      </w:pPr>
      <w:r>
        <w:rPr>
          <w:rFonts w:hint="eastAsia"/>
        </w:rPr>
        <w:t>（1）信号配时可根据路口需求及时调整，相位更改需报招标方批准，并现场观察确保路口运行正常、合理；</w:t>
      </w:r>
    </w:p>
    <w:p w14:paraId="350D9369">
      <w:pPr>
        <w:ind w:firstLine="480"/>
      </w:pPr>
      <w:r>
        <w:rPr>
          <w:rFonts w:hint="eastAsia"/>
        </w:rPr>
        <w:t>（2）重点路口信号配时方案优化需采集优化前后各流向流量、排队长度变化情况，并形成专项分析报告报招标方备档；</w:t>
      </w:r>
    </w:p>
    <w:p w14:paraId="64DCFEB4">
      <w:pPr>
        <w:ind w:firstLine="480"/>
      </w:pPr>
      <w:r>
        <w:rPr>
          <w:rFonts w:hint="eastAsia"/>
        </w:rPr>
        <w:t>（3）每周一提交上周信号配时优化小结报告。报告内容需含上周配时优化概况、交办任务、路口主要优化情况以及下周工作计划，内容尽量简洁，格式规范统一。</w:t>
      </w:r>
    </w:p>
    <w:p w14:paraId="0D243E3F">
      <w:pPr>
        <w:ind w:firstLine="480"/>
      </w:pPr>
      <w:r>
        <w:rPr>
          <w:rFonts w:hint="eastAsia"/>
        </w:rPr>
        <w:t>（4）每月提交上月度信号配时优化小结报告。报告内容需含上月配时优化概况、交办任务及计划完成情况、路口主要优化情况以及本月工作计划，报告以图表为主，内容尽量简洁，格式规范统一。</w:t>
      </w:r>
    </w:p>
    <w:p w14:paraId="78333D26">
      <w:pPr>
        <w:ind w:firstLine="480"/>
        <w:rPr>
          <w:rFonts w:hint="eastAsia" w:eastAsia="宋体"/>
          <w:lang w:val="en-US" w:eastAsia="zh-CN"/>
        </w:rPr>
      </w:pPr>
      <w:r>
        <w:rPr>
          <w:rFonts w:hint="eastAsia"/>
        </w:rPr>
        <w:t>6、交通组织方案设计</w:t>
      </w:r>
      <w:r>
        <w:rPr>
          <w:rFonts w:hint="eastAsia"/>
          <w:lang w:val="en-US" w:eastAsia="zh-CN"/>
        </w:rPr>
        <w:t>服务</w:t>
      </w:r>
    </w:p>
    <w:p w14:paraId="60BDC068">
      <w:pPr>
        <w:ind w:firstLine="480"/>
      </w:pPr>
      <w:r>
        <w:rPr>
          <w:rFonts w:hint="eastAsia"/>
        </w:rPr>
        <w:t>（1）交通组织优化提升示范设计必须在详实的交通调查基础上进行，需调研各时段的方向流量，方案必须切合实地实际。</w:t>
      </w:r>
    </w:p>
    <w:p w14:paraId="6A8B3B4F">
      <w:pPr>
        <w:ind w:firstLine="480"/>
      </w:pPr>
      <w:r>
        <w:rPr>
          <w:rFonts w:hint="eastAsia"/>
        </w:rPr>
        <w:t>（2）交通组织优化提升示范设计必须包含交通标志设计方案，实现禁停、减速、让行、出入口等交通标志的连续性。</w:t>
      </w:r>
    </w:p>
    <w:p w14:paraId="6C7C4F7E">
      <w:pPr>
        <w:ind w:firstLine="480"/>
        <w:rPr>
          <w:rFonts w:hint="eastAsia"/>
        </w:rPr>
      </w:pPr>
      <w:r>
        <w:rPr>
          <w:rFonts w:hint="eastAsia"/>
        </w:rPr>
        <w:t>（3）交通组织优化提升示范设计必须包含重要交叉口的交通组织改造设计方案，交通组织改造设计方案应至少包含标准方案、实用方案、动土方案的一种或几种，必须能够有效解决原交叉口的交通问题。</w:t>
      </w:r>
    </w:p>
    <w:p w14:paraId="1C2449B0">
      <w:pPr>
        <w:pStyle w:val="11"/>
      </w:pPr>
    </w:p>
    <w:p w14:paraId="00701D59">
      <w:pPr>
        <w:pStyle w:val="3"/>
      </w:pPr>
      <w:r>
        <w:rPr>
          <w:rFonts w:hint="eastAsia"/>
          <w:lang w:val="en-US" w:eastAsia="zh-CN"/>
        </w:rPr>
        <w:t>维保金额组成及结算</w:t>
      </w:r>
    </w:p>
    <w:p w14:paraId="47D02086">
      <w:pPr>
        <w:pStyle w:val="4"/>
        <w:outlineLvl w:val="1"/>
        <w:rPr>
          <w:rFonts w:hint="eastAsia"/>
          <w:highlight w:val="none"/>
          <w:lang w:val="en-US" w:eastAsia="zh-CN"/>
        </w:rPr>
      </w:pPr>
      <w:r>
        <w:rPr>
          <w:rFonts w:hint="eastAsia"/>
          <w:highlight w:val="none"/>
          <w:lang w:val="en-US" w:eastAsia="zh-CN"/>
        </w:rPr>
        <w:t>（一）维保金额组成</w:t>
      </w:r>
    </w:p>
    <w:p w14:paraId="39A7BE81">
      <w:pPr>
        <w:ind w:firstLine="480"/>
        <w:rPr>
          <w:lang w:val="zh-CN"/>
        </w:rPr>
      </w:pPr>
      <w:r>
        <w:rPr>
          <w:rFonts w:hint="eastAsia"/>
          <w:lang w:val="en-US" w:eastAsia="zh-CN"/>
        </w:rPr>
        <w:t>1、</w:t>
      </w:r>
      <w:r>
        <w:rPr>
          <w:rFonts w:hint="eastAsia"/>
          <w:lang w:val="zh-CN"/>
        </w:rPr>
        <w:t>日常</w:t>
      </w:r>
      <w:r>
        <w:rPr>
          <w:rFonts w:hint="eastAsia"/>
          <w:lang w:val="en-US" w:eastAsia="zh-CN"/>
        </w:rPr>
        <w:t>基本</w:t>
      </w:r>
      <w:r>
        <w:rPr>
          <w:rFonts w:hint="eastAsia"/>
          <w:lang w:val="zh-CN"/>
        </w:rPr>
        <w:t>巡检维护费用</w:t>
      </w:r>
    </w:p>
    <w:p w14:paraId="5E60F2D4">
      <w:pPr>
        <w:pStyle w:val="4"/>
        <w:rPr>
          <w:rFonts w:hint="eastAsia"/>
          <w:lang w:val="zh-CN"/>
        </w:rPr>
      </w:pPr>
      <w:r>
        <w:rPr>
          <w:rFonts w:hint="eastAsia"/>
          <w:lang w:val="zh-CN"/>
        </w:rPr>
        <w:t>根据日常维护工作的内容、要求和范围进行</w:t>
      </w:r>
      <w:r>
        <w:rPr>
          <w:rFonts w:hint="eastAsia"/>
        </w:rPr>
        <w:t>带电类及相关软硬件</w:t>
      </w:r>
      <w:r>
        <w:rPr>
          <w:rFonts w:hint="eastAsia"/>
          <w:lang w:val="zh-CN"/>
        </w:rPr>
        <w:t>巡检维保及信号优化</w:t>
      </w:r>
      <w:r>
        <w:rPr>
          <w:rFonts w:hint="eastAsia"/>
          <w:lang w:val="en-US" w:eastAsia="zh-CN"/>
        </w:rPr>
        <w:t>服务</w:t>
      </w:r>
      <w:r>
        <w:rPr>
          <w:rFonts w:hint="eastAsia"/>
          <w:lang w:val="zh-CN"/>
        </w:rPr>
        <w:t>，日常维保费用包含：</w:t>
      </w:r>
      <w:r>
        <w:rPr>
          <w:rFonts w:hint="eastAsia"/>
          <w:lang w:val="en-US" w:eastAsia="zh-CN"/>
        </w:rPr>
        <w:t>人工</w:t>
      </w:r>
      <w:r>
        <w:rPr>
          <w:rFonts w:hint="eastAsia"/>
          <w:lang w:val="zh-CN"/>
        </w:rPr>
        <w:t>、设备巡检、点位迁移、旧设备拆除运输、调试、修剪绿化、</w:t>
      </w:r>
      <w:r>
        <w:rPr>
          <w:rFonts w:hint="eastAsia"/>
          <w:lang w:val="en-US" w:eastAsia="zh-CN"/>
        </w:rPr>
        <w:t>车辆、</w:t>
      </w:r>
      <w:r>
        <w:rPr>
          <w:rFonts w:hint="eastAsia"/>
          <w:lang w:val="zh-CN"/>
        </w:rPr>
        <w:t>机具费用（设备清单以外的所有费用）等，费用总额实行年度包干制，以百分制考核计算（</w:t>
      </w:r>
      <w:r>
        <w:rPr>
          <w:rFonts w:hint="eastAsia"/>
          <w:lang w:val="en-US" w:eastAsia="zh-CN"/>
        </w:rPr>
        <w:t>详见考核办法</w:t>
      </w:r>
      <w:r>
        <w:rPr>
          <w:rFonts w:hint="eastAsia"/>
          <w:lang w:val="zh-CN"/>
        </w:rPr>
        <w:t>）。</w:t>
      </w:r>
    </w:p>
    <w:p w14:paraId="35DB8C64">
      <w:pPr>
        <w:ind w:firstLine="480"/>
        <w:rPr>
          <w:lang w:val="zh-CN"/>
        </w:rPr>
      </w:pPr>
      <w:r>
        <w:rPr>
          <w:rFonts w:hint="eastAsia"/>
          <w:lang w:val="en-US" w:eastAsia="zh-CN"/>
        </w:rPr>
        <w:t>2、维修配件更换</w:t>
      </w:r>
      <w:r>
        <w:rPr>
          <w:rFonts w:hint="eastAsia"/>
          <w:lang w:val="zh-CN"/>
        </w:rPr>
        <w:t>费用</w:t>
      </w:r>
    </w:p>
    <w:p w14:paraId="7945C694">
      <w:pPr>
        <w:ind w:firstLine="480"/>
        <w:rPr>
          <w:rFonts w:hint="default" w:ascii="宋体" w:hAnsi="Courier New" w:eastAsia="宋体" w:cs="Times New Roman"/>
          <w:kern w:val="2"/>
          <w:sz w:val="24"/>
          <w:szCs w:val="20"/>
          <w:lang w:val="en-US" w:eastAsia="zh-CN" w:bidi="ar-SA"/>
        </w:rPr>
      </w:pPr>
      <w:r>
        <w:rPr>
          <w:rFonts w:hint="eastAsia" w:hAnsi="Courier New" w:cs="Times New Roman"/>
          <w:kern w:val="2"/>
          <w:sz w:val="24"/>
          <w:szCs w:val="20"/>
          <w:lang w:val="en-US" w:eastAsia="zh-CN" w:bidi="ar-SA"/>
        </w:rPr>
        <w:t>设备更换相关费用按附件《设备更换清单》约定单价执行，结算金额按照对应清单单价乘以实际更换数量据实核算，最终依据实际发生工程量办理项目结算。</w:t>
      </w:r>
    </w:p>
    <w:p w14:paraId="08DDFBCB">
      <w:pPr>
        <w:pStyle w:val="4"/>
        <w:outlineLvl w:val="1"/>
        <w:rPr>
          <w:rFonts w:hint="eastAsia"/>
          <w:highlight w:val="none"/>
          <w:lang w:val="en-US" w:eastAsia="zh-CN"/>
        </w:rPr>
      </w:pPr>
      <w:r>
        <w:rPr>
          <w:rFonts w:hint="eastAsia"/>
          <w:highlight w:val="none"/>
          <w:lang w:val="en-US" w:eastAsia="zh-CN"/>
        </w:rPr>
        <w:t>（二）维保金额结算</w:t>
      </w:r>
    </w:p>
    <w:p w14:paraId="58F73C1B">
      <w:pPr>
        <w:ind w:firstLine="480"/>
        <w:rPr>
          <w:highlight w:val="yellow"/>
        </w:rPr>
      </w:pPr>
      <w:r>
        <w:rPr>
          <w:rFonts w:hint="eastAsia"/>
        </w:rPr>
        <w:t>1、对“（</w:t>
      </w:r>
      <w:r>
        <w:rPr>
          <w:rFonts w:hint="eastAsia"/>
          <w:lang w:val="en-US" w:eastAsia="zh-CN"/>
        </w:rPr>
        <w:t>1</w:t>
      </w:r>
      <w:r>
        <w:rPr>
          <w:rFonts w:hint="eastAsia"/>
        </w:rPr>
        <w:t>）</w:t>
      </w:r>
      <w:r>
        <w:rPr>
          <w:rFonts w:hint="eastAsia" w:cs="仿宋"/>
          <w:szCs w:val="24"/>
          <w:lang w:val="zh-CN"/>
        </w:rPr>
        <w:t>日常</w:t>
      </w:r>
      <w:r>
        <w:rPr>
          <w:rFonts w:hint="eastAsia" w:cs="仿宋"/>
          <w:szCs w:val="24"/>
          <w:lang w:val="en-US" w:eastAsia="zh-CN"/>
        </w:rPr>
        <w:t>基本</w:t>
      </w:r>
      <w:r>
        <w:rPr>
          <w:rFonts w:hint="eastAsia" w:cs="仿宋"/>
          <w:szCs w:val="24"/>
          <w:lang w:val="zh-CN"/>
        </w:rPr>
        <w:t>巡检维护费用</w:t>
      </w:r>
      <w:r>
        <w:rPr>
          <w:rFonts w:hint="eastAsia"/>
        </w:rPr>
        <w:t>”以月为单位进行考核，月考评总分为100分，月得分90分以上为合格，89-70分的按照的百分比支付维护费，70分以下为不合格</w:t>
      </w:r>
      <w:r>
        <w:rPr>
          <w:rFonts w:hint="eastAsia"/>
          <w:lang w:eastAsia="zh-CN"/>
        </w:rPr>
        <w:t>，</w:t>
      </w:r>
      <w:r>
        <w:rPr>
          <w:rFonts w:hint="eastAsia"/>
        </w:rPr>
        <w:t>扣除当月维护费用</w:t>
      </w:r>
      <w:r>
        <w:rPr>
          <w:rFonts w:hint="eastAsia"/>
          <w:lang w:eastAsia="zh-CN"/>
        </w:rPr>
        <w:t>，</w:t>
      </w:r>
      <w:r>
        <w:rPr>
          <w:rFonts w:hint="eastAsia"/>
        </w:rPr>
        <w:t>月考核次月按照考核结果进行结算；</w:t>
      </w:r>
      <w:r>
        <w:rPr>
          <w:rFonts w:hint="eastAsia"/>
          <w:lang w:val="en-US" w:eastAsia="zh-CN"/>
        </w:rPr>
        <w:t>设备</w:t>
      </w:r>
      <w:r>
        <w:rPr>
          <w:rFonts w:hint="eastAsia"/>
        </w:rPr>
        <w:t>更换</w:t>
      </w:r>
      <w:r>
        <w:rPr>
          <w:rFonts w:hint="eastAsia"/>
          <w:lang w:val="en-US" w:eastAsia="zh-CN"/>
        </w:rPr>
        <w:t>费用</w:t>
      </w:r>
      <w:r>
        <w:rPr>
          <w:rFonts w:hint="eastAsia"/>
        </w:rPr>
        <w:t>依据相关清单进行结算。</w:t>
      </w:r>
    </w:p>
    <w:p w14:paraId="1FC9BADE">
      <w:pPr>
        <w:ind w:firstLine="480"/>
      </w:pPr>
      <w:r>
        <w:rPr>
          <w:rFonts w:hint="eastAsia"/>
        </w:rPr>
        <w:t>2、维护工作中，维保备件清单以外的所有辅件辅材、土建等支出包括在日常巡检维护费中，采购人不再</w:t>
      </w:r>
      <w:r>
        <w:rPr>
          <w:rFonts w:hint="eastAsia"/>
          <w:lang w:val="en-US" w:eastAsia="zh-CN"/>
        </w:rPr>
        <w:t>另行</w:t>
      </w:r>
      <w:r>
        <w:rPr>
          <w:rFonts w:hint="eastAsia"/>
        </w:rPr>
        <w:t>支付费用；设备因人为损坏或被盗、遗失的，查不到责任人的，中标人在及时抢修后制作抢修工程量确认清单（含照片）报采购人，费用由采购人按合同内容承担。有责任人的，中标人在及时抢修后（含照片、清单）向责任人追偿（追偿价设备部分不得高于投标报价），采购人不再支付费用。无法追偿或追偿不到的报采购人确认后计量；</w:t>
      </w:r>
    </w:p>
    <w:p w14:paraId="19128F12">
      <w:pPr>
        <w:ind w:firstLine="480"/>
      </w:pPr>
      <w:r>
        <w:rPr>
          <w:rFonts w:hint="eastAsia"/>
        </w:rPr>
        <w:t>3、信号优化工作验收需提供验收报告，验收报告包括按月提交的月度总结报告、阶段报告及综合成果。月度总结报告包括：配时数据库建档、交通信号巡查、单个路口优化、协调路段巡查及优化工作的工作内容及进度，以及其它当月开展的信号优化工作等，以word格式呈现，需装订成册。阶段成果报告以汇报ppt的形式呈现，分年中汇报、年终汇报两次，内容包括阶段工作成果、总体任务完成进度等。</w:t>
      </w:r>
    </w:p>
    <w:p w14:paraId="780776C2">
      <w:pPr>
        <w:ind w:firstLine="480"/>
      </w:pPr>
      <w:r>
        <w:rPr>
          <w:rFonts w:hint="eastAsia"/>
        </w:rPr>
        <w:t>4、在验收前，中标人应对已施工的工程质量、规格、数量等进行详细而全面的自行检验，汇总施工量确认单、累计施工量清单、打印施工照片。施工量确认单、施工量累计清单、照片等作为采购人验收、审计的基础资料，但不能作为最终验收结果。</w:t>
      </w:r>
    </w:p>
    <w:p w14:paraId="5163ECC8">
      <w:pPr>
        <w:ind w:firstLine="480"/>
      </w:pPr>
      <w:r>
        <w:rPr>
          <w:rFonts w:hint="eastAsia"/>
        </w:rPr>
        <w:t>5、采购人在收到中标人验收申请、汇总施工量确认单、累计施工量清单、打印施工照片等结算资料后，5日内组织有关人员、单位开始按程序进行质量验收，验收不合格的部分，中标人需重新提供符合标准的施工内容，质保期为验收合格后的12个月。</w:t>
      </w:r>
    </w:p>
    <w:p w14:paraId="2FB9756F">
      <w:pPr>
        <w:ind w:firstLine="480"/>
      </w:pPr>
      <w:r>
        <w:rPr>
          <w:rFonts w:hint="eastAsia"/>
        </w:rPr>
        <w:t>6、</w:t>
      </w:r>
      <w:r>
        <w:rPr>
          <w:rFonts w:hint="eastAsia"/>
          <w:lang w:val="en-US" w:eastAsia="zh-CN"/>
        </w:rPr>
        <w:t>工程量决算以</w:t>
      </w:r>
      <w:r>
        <w:rPr>
          <w:rFonts w:hint="eastAsia"/>
          <w:lang w:eastAsia="zh-CN"/>
        </w:rPr>
        <w:t>沛县公安局</w:t>
      </w:r>
      <w:r>
        <w:rPr>
          <w:rFonts w:hint="eastAsia"/>
          <w:lang w:val="en-US" w:eastAsia="zh-CN"/>
        </w:rPr>
        <w:t>交通管理大队</w:t>
      </w:r>
      <w:r>
        <w:rPr>
          <w:rFonts w:hint="eastAsia"/>
        </w:rPr>
        <w:t>会同</w:t>
      </w:r>
      <w:r>
        <w:rPr>
          <w:rFonts w:hint="eastAsia"/>
          <w:lang w:eastAsia="zh-CN"/>
        </w:rPr>
        <w:t>沛县公安局</w:t>
      </w:r>
      <w:r>
        <w:rPr>
          <w:rFonts w:hint="eastAsia"/>
        </w:rPr>
        <w:t>委托的</w:t>
      </w:r>
      <w:r>
        <w:rPr>
          <w:rFonts w:hint="eastAsia"/>
          <w:lang w:val="en-US" w:eastAsia="zh-CN"/>
        </w:rPr>
        <w:t>监理机构和县审计局委托的</w:t>
      </w:r>
      <w:r>
        <w:rPr>
          <w:rFonts w:hint="eastAsia"/>
        </w:rPr>
        <w:t>第三方审计</w:t>
      </w:r>
      <w:r>
        <w:rPr>
          <w:rFonts w:hint="eastAsia"/>
          <w:lang w:val="en-US"/>
        </w:rPr>
        <w:t>机构</w:t>
      </w:r>
      <w:r>
        <w:rPr>
          <w:rFonts w:hint="eastAsia"/>
          <w:lang w:val="en-US" w:eastAsia="zh-CN"/>
        </w:rPr>
        <w:t>决算为准</w:t>
      </w:r>
      <w:r>
        <w:rPr>
          <w:rFonts w:hint="eastAsia"/>
        </w:rPr>
        <w:t>，审计开始时间在质量验收合格后进行。</w:t>
      </w:r>
    </w:p>
    <w:p w14:paraId="1784590D">
      <w:pPr>
        <w:ind w:firstLine="480"/>
      </w:pPr>
      <w:r>
        <w:rPr>
          <w:rFonts w:hint="eastAsia"/>
        </w:rPr>
        <w:t>7、如双方对项目验收结果存在争议，以沛县相关行业主管监督部门的检验鉴定结论为最终依据，所产生的检验检测费用由责任过失方承担。</w:t>
      </w:r>
    </w:p>
    <w:p w14:paraId="4B58FE59">
      <w:pPr>
        <w:ind w:firstLine="480"/>
        <w:rPr>
          <w:rFonts w:hint="eastAsia"/>
        </w:rPr>
      </w:pPr>
      <w:r>
        <w:rPr>
          <w:rFonts w:hint="eastAsia"/>
        </w:rPr>
        <w:t>8、验收合格后签署“验收报告”，采购人将验收单上交本单位财务部门，同发票一起入帐，作为采购人执行了政府采购的凭证。</w:t>
      </w:r>
    </w:p>
    <w:p w14:paraId="1C787F17">
      <w:pPr>
        <w:pStyle w:val="11"/>
        <w:rPr>
          <w:rFonts w:hint="eastAsia"/>
        </w:rPr>
      </w:pPr>
    </w:p>
    <w:p w14:paraId="30226B45">
      <w:pPr>
        <w:pStyle w:val="3"/>
      </w:pPr>
      <w:r>
        <w:rPr>
          <w:rFonts w:hint="eastAsia"/>
        </w:rPr>
        <w:t>考核办法</w:t>
      </w:r>
    </w:p>
    <w:p w14:paraId="337A0A70">
      <w:pPr>
        <w:ind w:firstLine="0" w:firstLineChars="0"/>
        <w:jc w:val="center"/>
        <w:rPr>
          <w:b/>
          <w:sz w:val="32"/>
          <w:szCs w:val="36"/>
        </w:rPr>
      </w:pPr>
      <w:r>
        <w:rPr>
          <w:rFonts w:hint="eastAsia"/>
          <w:b/>
          <w:sz w:val="32"/>
          <w:szCs w:val="36"/>
        </w:rPr>
        <w:t>维护考核方案</w:t>
      </w:r>
    </w:p>
    <w:p w14:paraId="6BEF3264">
      <w:pPr>
        <w:ind w:firstLine="480"/>
        <w:rPr>
          <w:bCs/>
        </w:rPr>
      </w:pPr>
      <w:r>
        <w:rPr>
          <w:rFonts w:hint="eastAsia"/>
          <w:bCs/>
        </w:rPr>
        <w:t>一、考核主体</w:t>
      </w:r>
    </w:p>
    <w:p w14:paraId="65C836B6">
      <w:pPr>
        <w:pStyle w:val="11"/>
        <w:rPr>
          <w:rFonts w:hint="eastAsia" w:eastAsia="宋体"/>
          <w:lang w:eastAsia="zh-CN"/>
        </w:rPr>
      </w:pPr>
      <w:r>
        <w:rPr>
          <w:rFonts w:hint="eastAsia"/>
        </w:rPr>
        <w:t>考核</w:t>
      </w:r>
      <w:r>
        <w:rPr>
          <w:rFonts w:hint="eastAsia"/>
          <w:lang w:val="en-US" w:eastAsia="zh-CN"/>
        </w:rPr>
        <w:t>主体为</w:t>
      </w:r>
      <w:r>
        <w:rPr>
          <w:rFonts w:hint="eastAsia"/>
          <w:lang w:eastAsia="zh-CN"/>
        </w:rPr>
        <w:t>沛县公安局</w:t>
      </w:r>
      <w:r>
        <w:rPr>
          <w:rFonts w:hint="eastAsia"/>
          <w:lang w:val="en-US" w:eastAsia="zh-CN"/>
        </w:rPr>
        <w:t>交通管理大队</w:t>
      </w:r>
      <w:r>
        <w:rPr>
          <w:rFonts w:hint="eastAsia"/>
          <w:lang w:eastAsia="zh-CN"/>
        </w:rPr>
        <w:t>。</w:t>
      </w:r>
    </w:p>
    <w:p w14:paraId="3F71EC54">
      <w:pPr>
        <w:ind w:firstLine="480"/>
        <w:rPr>
          <w:bCs/>
        </w:rPr>
      </w:pPr>
      <w:r>
        <w:rPr>
          <w:rFonts w:hint="eastAsia"/>
          <w:bCs/>
        </w:rPr>
        <w:t>二、考核内容</w:t>
      </w:r>
    </w:p>
    <w:p w14:paraId="1084392C">
      <w:pPr>
        <w:ind w:firstLine="480"/>
        <w:rPr>
          <w:bCs/>
        </w:rPr>
      </w:pPr>
      <w:r>
        <w:rPr>
          <w:rFonts w:hint="eastAsia"/>
          <w:bCs/>
        </w:rPr>
        <w:t>1、人员车辆在岗情况。按规定配备车辆人员巡查轨迹，巡查记录，值班人员到位，通讯联络，任务响应，接任务派遣后的到场、处置效率。</w:t>
      </w:r>
    </w:p>
    <w:p w14:paraId="3B91FA9E">
      <w:pPr>
        <w:ind w:firstLine="480"/>
        <w:rPr>
          <w:bCs/>
        </w:rPr>
      </w:pPr>
      <w:r>
        <w:rPr>
          <w:rFonts w:hint="eastAsia"/>
          <w:bCs/>
        </w:rPr>
        <w:t>2、维修、更换备品仓储情况</w:t>
      </w:r>
    </w:p>
    <w:p w14:paraId="6A484AA0">
      <w:pPr>
        <w:ind w:firstLine="480"/>
        <w:rPr>
          <w:bCs/>
        </w:rPr>
      </w:pPr>
      <w:r>
        <w:rPr>
          <w:rFonts w:hint="eastAsia"/>
          <w:bCs/>
        </w:rPr>
        <w:t>3、工作确认单填写、计算的规范性。</w:t>
      </w:r>
    </w:p>
    <w:p w14:paraId="7263C40C">
      <w:pPr>
        <w:ind w:firstLine="480"/>
        <w:rPr>
          <w:bCs/>
        </w:rPr>
      </w:pPr>
      <w:r>
        <w:rPr>
          <w:rFonts w:hint="eastAsia"/>
          <w:bCs/>
        </w:rPr>
        <w:t>4、工作任务的完成效率，维保、施工质量和时效。</w:t>
      </w:r>
    </w:p>
    <w:p w14:paraId="7864FE16">
      <w:pPr>
        <w:ind w:firstLine="480"/>
        <w:rPr>
          <w:bCs/>
        </w:rPr>
      </w:pPr>
      <w:r>
        <w:rPr>
          <w:rFonts w:hint="eastAsia"/>
          <w:bCs/>
        </w:rPr>
        <w:t>5、投诉情况。如涉信号灯维保方面引起的采购人不满和市（网）民投诉、新闻媒体曝光。</w:t>
      </w:r>
    </w:p>
    <w:p w14:paraId="55748A67">
      <w:pPr>
        <w:ind w:firstLine="480"/>
        <w:rPr>
          <w:bCs/>
        </w:rPr>
      </w:pPr>
      <w:r>
        <w:rPr>
          <w:rFonts w:hint="eastAsia"/>
          <w:bCs/>
        </w:rPr>
        <w:t>6、服从采购人指挥的情况</w:t>
      </w:r>
    </w:p>
    <w:p w14:paraId="72EE675C">
      <w:pPr>
        <w:ind w:firstLine="480"/>
        <w:rPr>
          <w:bCs/>
        </w:rPr>
      </w:pPr>
      <w:r>
        <w:rPr>
          <w:rFonts w:hint="eastAsia"/>
          <w:bCs/>
        </w:rPr>
        <w:t>7、文明施工及安全防护等情况。</w:t>
      </w:r>
    </w:p>
    <w:p w14:paraId="3F001B60">
      <w:pPr>
        <w:ind w:firstLine="480"/>
        <w:rPr>
          <w:bCs/>
        </w:rPr>
      </w:pPr>
      <w:r>
        <w:rPr>
          <w:rFonts w:hint="eastAsia"/>
          <w:bCs/>
        </w:rPr>
        <w:t>8、落实节假日及恶劣天气应急处置措施的加强和完成情况。</w:t>
      </w:r>
    </w:p>
    <w:p w14:paraId="0226FB89">
      <w:pPr>
        <w:ind w:firstLine="480"/>
        <w:rPr>
          <w:bCs/>
        </w:rPr>
      </w:pPr>
      <w:r>
        <w:rPr>
          <w:rFonts w:hint="eastAsia"/>
          <w:bCs/>
        </w:rPr>
        <w:t>三、考核方式</w:t>
      </w:r>
    </w:p>
    <w:p w14:paraId="2C8C5917">
      <w:pPr>
        <w:ind w:firstLine="480"/>
        <w:rPr>
          <w:bCs/>
        </w:rPr>
      </w:pPr>
      <w:r>
        <w:rPr>
          <w:rFonts w:hint="eastAsia"/>
          <w:bCs/>
        </w:rPr>
        <w:t>1、上路实地检查。交通信号设备完好率，维护修复情况，以上路巡查实地抽检记录为主，同时收集整理社会不同渠道对信号灯管理、使用、维护的反映和投诉。</w:t>
      </w:r>
    </w:p>
    <w:p w14:paraId="1F42822E">
      <w:pPr>
        <w:ind w:firstLine="480"/>
        <w:rPr>
          <w:bCs/>
        </w:rPr>
      </w:pPr>
      <w:r>
        <w:rPr>
          <w:rFonts w:hint="eastAsia"/>
          <w:bCs/>
        </w:rPr>
        <w:t>2、收集整理对维护工作的意见。</w:t>
      </w:r>
    </w:p>
    <w:p w14:paraId="5588D961">
      <w:pPr>
        <w:ind w:firstLine="480"/>
        <w:rPr>
          <w:bCs/>
        </w:rPr>
      </w:pPr>
      <w:r>
        <w:rPr>
          <w:rFonts w:hint="eastAsia"/>
          <w:bCs/>
        </w:rPr>
        <w:t>3、核对中标人需要报送的各种资料、报表记录。</w:t>
      </w:r>
    </w:p>
    <w:p w14:paraId="7E0840B1">
      <w:pPr>
        <w:ind w:firstLine="480"/>
        <w:rPr>
          <w:bCs/>
        </w:rPr>
      </w:pPr>
      <w:r>
        <w:rPr>
          <w:rFonts w:hint="eastAsia"/>
          <w:bCs/>
        </w:rPr>
        <w:t>4、核对工作任务完成记录。</w:t>
      </w:r>
    </w:p>
    <w:p w14:paraId="1DA6BA11">
      <w:pPr>
        <w:ind w:firstLine="480"/>
        <w:rPr>
          <w:bCs/>
        </w:rPr>
      </w:pPr>
      <w:r>
        <w:rPr>
          <w:rFonts w:hint="eastAsia"/>
          <w:bCs/>
        </w:rPr>
        <w:t>四、考核周期</w:t>
      </w:r>
    </w:p>
    <w:p w14:paraId="203CEA15">
      <w:pPr>
        <w:ind w:firstLine="480"/>
        <w:rPr>
          <w:bCs/>
        </w:rPr>
      </w:pPr>
      <w:r>
        <w:rPr>
          <w:rFonts w:hint="eastAsia"/>
          <w:bCs/>
          <w:lang w:val="en-US" w:eastAsia="zh-CN"/>
        </w:rPr>
        <w:t>采购人</w:t>
      </w:r>
      <w:r>
        <w:rPr>
          <w:rFonts w:hint="eastAsia"/>
          <w:bCs/>
        </w:rPr>
        <w:t>对</w:t>
      </w:r>
      <w:r>
        <w:rPr>
          <w:rFonts w:hint="eastAsia"/>
          <w:bCs/>
          <w:lang w:val="en-US" w:eastAsia="zh-CN"/>
        </w:rPr>
        <w:t>中标人</w:t>
      </w:r>
      <w:r>
        <w:rPr>
          <w:rFonts w:hint="eastAsia"/>
          <w:bCs/>
        </w:rPr>
        <w:t>的</w:t>
      </w:r>
      <w:r>
        <w:rPr>
          <w:rFonts w:hint="eastAsia"/>
          <w:bCs/>
          <w:lang w:val="en-US" w:eastAsia="zh-CN"/>
        </w:rPr>
        <w:t>考核</w:t>
      </w:r>
      <w:r>
        <w:rPr>
          <w:rFonts w:hint="eastAsia"/>
          <w:bCs/>
        </w:rPr>
        <w:t>按月进行。</w:t>
      </w:r>
    </w:p>
    <w:p w14:paraId="5BECDB2E">
      <w:pPr>
        <w:ind w:firstLine="480"/>
        <w:rPr>
          <w:bCs/>
        </w:rPr>
      </w:pPr>
      <w:r>
        <w:rPr>
          <w:rFonts w:hint="eastAsia"/>
          <w:bCs/>
        </w:rPr>
        <w:t>若完成任务差，绩效考核综合评价低，招标方将视情况保留采取扣减服务费、通报公司、终止合同</w:t>
      </w:r>
      <w:r>
        <w:rPr>
          <w:rFonts w:hint="eastAsia"/>
          <w:bCs/>
          <w:lang w:val="en-US" w:eastAsia="zh-CN"/>
        </w:rPr>
        <w:t>等措施</w:t>
      </w:r>
      <w:r>
        <w:rPr>
          <w:rFonts w:hint="eastAsia"/>
          <w:bCs/>
        </w:rPr>
        <w:t>并要求赔偿。</w:t>
      </w:r>
    </w:p>
    <w:p w14:paraId="28A14C5A">
      <w:pPr>
        <w:ind w:firstLine="480"/>
      </w:pPr>
      <w:r>
        <w:rPr>
          <w:rFonts w:hint="eastAsia"/>
          <w:bCs/>
        </w:rPr>
        <w:t>五、考核扣、加分值</w:t>
      </w:r>
    </w:p>
    <w:p w14:paraId="4EFAEDF7">
      <w:pPr>
        <w:ind w:firstLine="480"/>
      </w:pPr>
      <w:r>
        <w:rPr>
          <w:rFonts w:hint="eastAsia"/>
        </w:rPr>
        <w:t>1、考核扣分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421"/>
        <w:gridCol w:w="4745"/>
        <w:gridCol w:w="692"/>
        <w:gridCol w:w="906"/>
      </w:tblGrid>
      <w:tr w14:paraId="0EE8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0B87EB55">
            <w:pPr>
              <w:spacing w:line="240" w:lineRule="auto"/>
              <w:ind w:firstLine="0" w:firstLineChars="0"/>
              <w:jc w:val="center"/>
              <w:rPr>
                <w:b/>
                <w:bCs/>
                <w:sz w:val="21"/>
                <w:szCs w:val="21"/>
              </w:rPr>
            </w:pPr>
            <w:r>
              <w:rPr>
                <w:rFonts w:hint="eastAsia"/>
                <w:b/>
                <w:bCs/>
                <w:sz w:val="21"/>
                <w:szCs w:val="21"/>
              </w:rPr>
              <w:t>序号</w:t>
            </w:r>
          </w:p>
        </w:tc>
        <w:tc>
          <w:tcPr>
            <w:tcW w:w="834" w:type="pct"/>
            <w:tcBorders>
              <w:top w:val="single" w:color="auto" w:sz="4" w:space="0"/>
              <w:left w:val="single" w:color="auto" w:sz="4" w:space="0"/>
              <w:bottom w:val="single" w:color="auto" w:sz="4" w:space="0"/>
              <w:right w:val="single" w:color="auto" w:sz="4" w:space="0"/>
            </w:tcBorders>
            <w:vAlign w:val="center"/>
          </w:tcPr>
          <w:p w14:paraId="785BE41B">
            <w:pPr>
              <w:spacing w:line="240" w:lineRule="auto"/>
              <w:ind w:firstLine="0" w:firstLineChars="0"/>
              <w:jc w:val="center"/>
              <w:rPr>
                <w:b/>
                <w:bCs/>
                <w:sz w:val="21"/>
                <w:szCs w:val="21"/>
              </w:rPr>
            </w:pPr>
            <w:r>
              <w:rPr>
                <w:rFonts w:hint="eastAsia"/>
                <w:b/>
                <w:bCs/>
                <w:sz w:val="21"/>
                <w:szCs w:val="21"/>
              </w:rPr>
              <w:t>指标</w:t>
            </w:r>
          </w:p>
        </w:tc>
        <w:tc>
          <w:tcPr>
            <w:tcW w:w="2784" w:type="pct"/>
            <w:tcBorders>
              <w:top w:val="single" w:color="auto" w:sz="4" w:space="0"/>
              <w:left w:val="single" w:color="auto" w:sz="4" w:space="0"/>
              <w:bottom w:val="single" w:color="auto" w:sz="4" w:space="0"/>
              <w:right w:val="single" w:color="auto" w:sz="4" w:space="0"/>
            </w:tcBorders>
            <w:vAlign w:val="center"/>
          </w:tcPr>
          <w:p w14:paraId="784AE3E7">
            <w:pPr>
              <w:spacing w:line="240" w:lineRule="auto"/>
              <w:ind w:firstLine="0" w:firstLineChars="0"/>
              <w:jc w:val="center"/>
              <w:rPr>
                <w:b/>
                <w:bCs/>
                <w:sz w:val="21"/>
                <w:szCs w:val="21"/>
              </w:rPr>
            </w:pPr>
            <w:r>
              <w:rPr>
                <w:rFonts w:hint="eastAsia"/>
                <w:b/>
                <w:bCs/>
                <w:sz w:val="21"/>
                <w:szCs w:val="21"/>
              </w:rPr>
              <w:t>检查、考核情况</w:t>
            </w:r>
          </w:p>
        </w:tc>
        <w:tc>
          <w:tcPr>
            <w:tcW w:w="406" w:type="pct"/>
            <w:tcBorders>
              <w:top w:val="single" w:color="auto" w:sz="4" w:space="0"/>
              <w:left w:val="single" w:color="auto" w:sz="4" w:space="0"/>
              <w:bottom w:val="single" w:color="auto" w:sz="4" w:space="0"/>
              <w:right w:val="single" w:color="auto" w:sz="4" w:space="0"/>
            </w:tcBorders>
            <w:vAlign w:val="center"/>
          </w:tcPr>
          <w:p w14:paraId="6C161E1C">
            <w:pPr>
              <w:spacing w:line="240" w:lineRule="auto"/>
              <w:ind w:firstLine="0" w:firstLineChars="0"/>
              <w:jc w:val="center"/>
              <w:rPr>
                <w:b/>
                <w:bCs/>
                <w:sz w:val="21"/>
                <w:szCs w:val="21"/>
              </w:rPr>
            </w:pPr>
            <w:r>
              <w:rPr>
                <w:rFonts w:hint="eastAsia"/>
                <w:b/>
                <w:bCs/>
                <w:sz w:val="21"/>
                <w:szCs w:val="21"/>
              </w:rPr>
              <w:t>单位</w:t>
            </w:r>
          </w:p>
        </w:tc>
        <w:tc>
          <w:tcPr>
            <w:tcW w:w="531" w:type="pct"/>
            <w:tcBorders>
              <w:top w:val="single" w:color="auto" w:sz="4" w:space="0"/>
              <w:left w:val="single" w:color="auto" w:sz="4" w:space="0"/>
              <w:bottom w:val="single" w:color="auto" w:sz="4" w:space="0"/>
              <w:right w:val="single" w:color="auto" w:sz="4" w:space="0"/>
            </w:tcBorders>
            <w:vAlign w:val="center"/>
          </w:tcPr>
          <w:p w14:paraId="278E087E">
            <w:pPr>
              <w:spacing w:line="240" w:lineRule="auto"/>
              <w:ind w:firstLine="0" w:firstLineChars="0"/>
              <w:jc w:val="center"/>
              <w:rPr>
                <w:b/>
                <w:bCs/>
                <w:sz w:val="21"/>
                <w:szCs w:val="21"/>
              </w:rPr>
            </w:pPr>
            <w:r>
              <w:rPr>
                <w:rFonts w:hint="eastAsia"/>
                <w:b/>
                <w:bCs/>
                <w:sz w:val="21"/>
                <w:szCs w:val="21"/>
              </w:rPr>
              <w:t>扣分</w:t>
            </w:r>
          </w:p>
        </w:tc>
      </w:tr>
      <w:tr w14:paraId="5437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09B7BF4D">
            <w:pPr>
              <w:spacing w:line="240" w:lineRule="auto"/>
              <w:ind w:firstLine="0" w:firstLineChars="0"/>
              <w:jc w:val="center"/>
              <w:rPr>
                <w:sz w:val="21"/>
                <w:szCs w:val="21"/>
              </w:rPr>
            </w:pPr>
            <w:r>
              <w:rPr>
                <w:rFonts w:hint="eastAsia"/>
                <w:sz w:val="21"/>
                <w:szCs w:val="21"/>
              </w:rPr>
              <w:t>1</w:t>
            </w:r>
          </w:p>
        </w:tc>
        <w:tc>
          <w:tcPr>
            <w:tcW w:w="834" w:type="pct"/>
            <w:vMerge w:val="restart"/>
            <w:tcBorders>
              <w:top w:val="nil"/>
              <w:left w:val="single" w:color="auto" w:sz="4" w:space="0"/>
              <w:bottom w:val="single" w:color="auto" w:sz="4" w:space="0"/>
              <w:right w:val="single" w:color="auto" w:sz="4" w:space="0"/>
            </w:tcBorders>
            <w:vAlign w:val="center"/>
          </w:tcPr>
          <w:p w14:paraId="6932B461">
            <w:pPr>
              <w:spacing w:line="240" w:lineRule="auto"/>
              <w:ind w:firstLine="0" w:firstLineChars="0"/>
              <w:jc w:val="center"/>
              <w:rPr>
                <w:sz w:val="21"/>
                <w:szCs w:val="21"/>
              </w:rPr>
            </w:pPr>
            <w:r>
              <w:rPr>
                <w:rFonts w:hint="eastAsia"/>
                <w:bCs/>
                <w:sz w:val="21"/>
                <w:szCs w:val="21"/>
              </w:rPr>
              <w:t>人员车辆在岗情况</w:t>
            </w:r>
          </w:p>
        </w:tc>
        <w:tc>
          <w:tcPr>
            <w:tcW w:w="2784" w:type="pct"/>
            <w:tcBorders>
              <w:top w:val="single" w:color="auto" w:sz="4" w:space="0"/>
              <w:left w:val="single" w:color="auto" w:sz="4" w:space="0"/>
              <w:bottom w:val="single" w:color="auto" w:sz="4" w:space="0"/>
              <w:right w:val="single" w:color="auto" w:sz="4" w:space="0"/>
            </w:tcBorders>
            <w:vAlign w:val="center"/>
          </w:tcPr>
          <w:p w14:paraId="593ECB0C">
            <w:pPr>
              <w:spacing w:line="240" w:lineRule="auto"/>
              <w:ind w:firstLine="0" w:firstLineChars="0"/>
              <w:jc w:val="left"/>
              <w:rPr>
                <w:sz w:val="21"/>
                <w:szCs w:val="21"/>
              </w:rPr>
            </w:pPr>
            <w:r>
              <w:rPr>
                <w:rFonts w:hint="eastAsia"/>
                <w:sz w:val="21"/>
                <w:szCs w:val="21"/>
              </w:rPr>
              <w:t>维护人员不在岗</w:t>
            </w:r>
          </w:p>
        </w:tc>
        <w:tc>
          <w:tcPr>
            <w:tcW w:w="406" w:type="pct"/>
            <w:tcBorders>
              <w:top w:val="single" w:color="auto" w:sz="4" w:space="0"/>
              <w:left w:val="single" w:color="auto" w:sz="4" w:space="0"/>
              <w:bottom w:val="single" w:color="auto" w:sz="4" w:space="0"/>
              <w:right w:val="single" w:color="auto" w:sz="4" w:space="0"/>
            </w:tcBorders>
            <w:vAlign w:val="center"/>
          </w:tcPr>
          <w:p w14:paraId="59007515">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01988BC9">
            <w:pPr>
              <w:spacing w:line="240" w:lineRule="auto"/>
              <w:ind w:firstLine="0" w:firstLineChars="0"/>
              <w:jc w:val="center"/>
              <w:rPr>
                <w:sz w:val="21"/>
                <w:szCs w:val="21"/>
              </w:rPr>
            </w:pPr>
            <w:r>
              <w:rPr>
                <w:rFonts w:hint="eastAsia"/>
                <w:sz w:val="21"/>
                <w:szCs w:val="21"/>
              </w:rPr>
              <w:t>0.3</w:t>
            </w:r>
          </w:p>
        </w:tc>
      </w:tr>
      <w:tr w14:paraId="29BD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6A7A7895">
            <w:pPr>
              <w:spacing w:line="240" w:lineRule="auto"/>
              <w:ind w:firstLine="0" w:firstLineChars="0"/>
              <w:jc w:val="center"/>
              <w:rPr>
                <w:sz w:val="21"/>
                <w:szCs w:val="21"/>
              </w:rPr>
            </w:pPr>
            <w:r>
              <w:rPr>
                <w:rFonts w:hint="eastAsia"/>
                <w:sz w:val="21"/>
                <w:szCs w:val="21"/>
              </w:rPr>
              <w:t>2</w:t>
            </w:r>
          </w:p>
        </w:tc>
        <w:tc>
          <w:tcPr>
            <w:tcW w:w="834" w:type="pct"/>
            <w:vMerge w:val="continue"/>
            <w:tcBorders>
              <w:top w:val="nil"/>
              <w:left w:val="single" w:color="auto" w:sz="4" w:space="0"/>
              <w:bottom w:val="single" w:color="auto" w:sz="4" w:space="0"/>
              <w:right w:val="single" w:color="auto" w:sz="4" w:space="0"/>
            </w:tcBorders>
            <w:vAlign w:val="center"/>
          </w:tcPr>
          <w:p w14:paraId="7770D806">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3F1C4D99">
            <w:pPr>
              <w:spacing w:line="240" w:lineRule="auto"/>
              <w:ind w:firstLine="0" w:firstLineChars="0"/>
              <w:jc w:val="left"/>
              <w:rPr>
                <w:sz w:val="21"/>
                <w:szCs w:val="21"/>
              </w:rPr>
            </w:pPr>
            <w:r>
              <w:rPr>
                <w:rFonts w:hint="eastAsia"/>
                <w:sz w:val="21"/>
                <w:szCs w:val="21"/>
              </w:rPr>
              <w:t>巡检车辆运行轨迹不完整或缺失</w:t>
            </w:r>
          </w:p>
        </w:tc>
        <w:tc>
          <w:tcPr>
            <w:tcW w:w="406" w:type="pct"/>
            <w:tcBorders>
              <w:top w:val="single" w:color="auto" w:sz="4" w:space="0"/>
              <w:left w:val="single" w:color="auto" w:sz="4" w:space="0"/>
              <w:bottom w:val="single" w:color="auto" w:sz="4" w:space="0"/>
              <w:right w:val="single" w:color="auto" w:sz="4" w:space="0"/>
            </w:tcBorders>
            <w:vAlign w:val="center"/>
          </w:tcPr>
          <w:p w14:paraId="3BD9C451">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2C4D3A2F">
            <w:pPr>
              <w:spacing w:line="240" w:lineRule="auto"/>
              <w:ind w:firstLine="0" w:firstLineChars="0"/>
              <w:jc w:val="center"/>
              <w:rPr>
                <w:sz w:val="21"/>
                <w:szCs w:val="21"/>
              </w:rPr>
            </w:pPr>
            <w:r>
              <w:rPr>
                <w:rFonts w:hint="eastAsia"/>
                <w:sz w:val="21"/>
                <w:szCs w:val="21"/>
              </w:rPr>
              <w:t>0.1</w:t>
            </w:r>
          </w:p>
        </w:tc>
      </w:tr>
      <w:tr w14:paraId="3C0E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7446A840">
            <w:pPr>
              <w:spacing w:line="240" w:lineRule="auto"/>
              <w:ind w:firstLine="0" w:firstLineChars="0"/>
              <w:jc w:val="center"/>
              <w:rPr>
                <w:sz w:val="21"/>
                <w:szCs w:val="21"/>
              </w:rPr>
            </w:pPr>
            <w:r>
              <w:rPr>
                <w:rFonts w:hint="eastAsia"/>
                <w:sz w:val="21"/>
                <w:szCs w:val="21"/>
              </w:rPr>
              <w:t>3</w:t>
            </w:r>
          </w:p>
        </w:tc>
        <w:tc>
          <w:tcPr>
            <w:tcW w:w="834" w:type="pct"/>
            <w:vMerge w:val="continue"/>
            <w:tcBorders>
              <w:top w:val="nil"/>
              <w:left w:val="single" w:color="auto" w:sz="4" w:space="0"/>
              <w:bottom w:val="single" w:color="auto" w:sz="4" w:space="0"/>
              <w:right w:val="single" w:color="auto" w:sz="4" w:space="0"/>
            </w:tcBorders>
            <w:vAlign w:val="center"/>
          </w:tcPr>
          <w:p w14:paraId="55B19A0E">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19700034">
            <w:pPr>
              <w:spacing w:line="240" w:lineRule="auto"/>
              <w:ind w:firstLine="0" w:firstLineChars="0"/>
              <w:jc w:val="left"/>
              <w:rPr>
                <w:sz w:val="21"/>
                <w:szCs w:val="21"/>
              </w:rPr>
            </w:pPr>
            <w:r>
              <w:rPr>
                <w:rFonts w:hint="eastAsia"/>
                <w:sz w:val="21"/>
                <w:szCs w:val="21"/>
              </w:rPr>
              <w:t>路口巡检频次不达标的</w:t>
            </w:r>
          </w:p>
        </w:tc>
        <w:tc>
          <w:tcPr>
            <w:tcW w:w="406" w:type="pct"/>
            <w:tcBorders>
              <w:top w:val="single" w:color="auto" w:sz="4" w:space="0"/>
              <w:left w:val="single" w:color="auto" w:sz="4" w:space="0"/>
              <w:bottom w:val="single" w:color="auto" w:sz="4" w:space="0"/>
              <w:right w:val="single" w:color="auto" w:sz="4" w:space="0"/>
            </w:tcBorders>
            <w:vAlign w:val="center"/>
          </w:tcPr>
          <w:p w14:paraId="78C47AB1">
            <w:pPr>
              <w:spacing w:line="240" w:lineRule="auto"/>
              <w:ind w:firstLine="0" w:firstLineChars="0"/>
              <w:jc w:val="center"/>
              <w:rPr>
                <w:sz w:val="21"/>
                <w:szCs w:val="21"/>
              </w:rPr>
            </w:pPr>
            <w:r>
              <w:rPr>
                <w:rFonts w:hint="eastAsia"/>
                <w:sz w:val="21"/>
                <w:szCs w:val="21"/>
              </w:rPr>
              <w:t>天</w:t>
            </w:r>
          </w:p>
        </w:tc>
        <w:tc>
          <w:tcPr>
            <w:tcW w:w="531" w:type="pct"/>
            <w:tcBorders>
              <w:top w:val="single" w:color="auto" w:sz="4" w:space="0"/>
              <w:left w:val="single" w:color="auto" w:sz="4" w:space="0"/>
              <w:bottom w:val="single" w:color="auto" w:sz="4" w:space="0"/>
              <w:right w:val="single" w:color="auto" w:sz="4" w:space="0"/>
            </w:tcBorders>
            <w:vAlign w:val="center"/>
          </w:tcPr>
          <w:p w14:paraId="24A3D429">
            <w:pPr>
              <w:spacing w:line="240" w:lineRule="auto"/>
              <w:ind w:firstLine="0" w:firstLineChars="0"/>
              <w:jc w:val="center"/>
              <w:rPr>
                <w:sz w:val="21"/>
                <w:szCs w:val="21"/>
              </w:rPr>
            </w:pPr>
            <w:r>
              <w:rPr>
                <w:rFonts w:hint="eastAsia"/>
                <w:sz w:val="21"/>
                <w:szCs w:val="21"/>
              </w:rPr>
              <w:t>0.1</w:t>
            </w:r>
          </w:p>
        </w:tc>
      </w:tr>
      <w:tr w14:paraId="4E3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229EA960">
            <w:pPr>
              <w:spacing w:line="240" w:lineRule="auto"/>
              <w:ind w:firstLine="0" w:firstLineChars="0"/>
              <w:jc w:val="center"/>
              <w:rPr>
                <w:sz w:val="21"/>
                <w:szCs w:val="21"/>
              </w:rPr>
            </w:pPr>
            <w:r>
              <w:rPr>
                <w:rFonts w:hint="eastAsia"/>
                <w:sz w:val="21"/>
                <w:szCs w:val="21"/>
              </w:rPr>
              <w:t>4</w:t>
            </w:r>
          </w:p>
        </w:tc>
        <w:tc>
          <w:tcPr>
            <w:tcW w:w="834" w:type="pct"/>
            <w:vMerge w:val="continue"/>
            <w:tcBorders>
              <w:top w:val="nil"/>
              <w:left w:val="single" w:color="auto" w:sz="4" w:space="0"/>
              <w:bottom w:val="single" w:color="auto" w:sz="4" w:space="0"/>
              <w:right w:val="single" w:color="auto" w:sz="4" w:space="0"/>
            </w:tcBorders>
            <w:vAlign w:val="center"/>
          </w:tcPr>
          <w:p w14:paraId="3BD47C40">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61AF7BD0">
            <w:pPr>
              <w:spacing w:line="240" w:lineRule="auto"/>
              <w:ind w:firstLine="0" w:firstLineChars="0"/>
              <w:jc w:val="left"/>
              <w:rPr>
                <w:sz w:val="21"/>
                <w:szCs w:val="21"/>
              </w:rPr>
            </w:pPr>
            <w:r>
              <w:rPr>
                <w:rFonts w:hint="eastAsia"/>
                <w:sz w:val="21"/>
                <w:szCs w:val="21"/>
              </w:rPr>
              <w:t>巡检车辆无故驶离服务范围</w:t>
            </w:r>
          </w:p>
        </w:tc>
        <w:tc>
          <w:tcPr>
            <w:tcW w:w="406" w:type="pct"/>
            <w:tcBorders>
              <w:top w:val="single" w:color="auto" w:sz="4" w:space="0"/>
              <w:left w:val="single" w:color="auto" w:sz="4" w:space="0"/>
              <w:bottom w:val="single" w:color="auto" w:sz="4" w:space="0"/>
              <w:right w:val="single" w:color="auto" w:sz="4" w:space="0"/>
            </w:tcBorders>
            <w:vAlign w:val="center"/>
          </w:tcPr>
          <w:p w14:paraId="242DCF3A">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0C73B6CB">
            <w:pPr>
              <w:spacing w:line="240" w:lineRule="auto"/>
              <w:ind w:firstLine="0" w:firstLineChars="0"/>
              <w:jc w:val="center"/>
              <w:rPr>
                <w:sz w:val="21"/>
                <w:szCs w:val="21"/>
              </w:rPr>
            </w:pPr>
            <w:r>
              <w:rPr>
                <w:rFonts w:hint="eastAsia"/>
                <w:sz w:val="21"/>
                <w:szCs w:val="21"/>
              </w:rPr>
              <w:t>0.2</w:t>
            </w:r>
          </w:p>
        </w:tc>
      </w:tr>
      <w:tr w14:paraId="01BB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619F6233">
            <w:pPr>
              <w:spacing w:line="240" w:lineRule="auto"/>
              <w:ind w:firstLine="0" w:firstLineChars="0"/>
              <w:jc w:val="center"/>
              <w:rPr>
                <w:sz w:val="21"/>
                <w:szCs w:val="21"/>
              </w:rPr>
            </w:pPr>
            <w:r>
              <w:rPr>
                <w:rFonts w:hint="eastAsia"/>
                <w:sz w:val="21"/>
                <w:szCs w:val="21"/>
              </w:rPr>
              <w:t>5</w:t>
            </w:r>
          </w:p>
        </w:tc>
        <w:tc>
          <w:tcPr>
            <w:tcW w:w="834" w:type="pct"/>
            <w:vMerge w:val="continue"/>
            <w:tcBorders>
              <w:top w:val="nil"/>
              <w:left w:val="single" w:color="auto" w:sz="4" w:space="0"/>
              <w:bottom w:val="single" w:color="auto" w:sz="4" w:space="0"/>
              <w:right w:val="single" w:color="auto" w:sz="4" w:space="0"/>
            </w:tcBorders>
            <w:vAlign w:val="center"/>
          </w:tcPr>
          <w:p w14:paraId="3A8735E4">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702B2CDD">
            <w:pPr>
              <w:spacing w:line="240" w:lineRule="auto"/>
              <w:ind w:firstLine="0" w:firstLineChars="0"/>
              <w:jc w:val="left"/>
              <w:rPr>
                <w:sz w:val="21"/>
                <w:szCs w:val="21"/>
              </w:rPr>
            </w:pPr>
            <w:r>
              <w:rPr>
                <w:rFonts w:hint="eastAsia"/>
                <w:sz w:val="21"/>
                <w:szCs w:val="21"/>
              </w:rPr>
              <w:t>巡检车辆从事与本项目无关的业务</w:t>
            </w:r>
          </w:p>
        </w:tc>
        <w:tc>
          <w:tcPr>
            <w:tcW w:w="406" w:type="pct"/>
            <w:tcBorders>
              <w:top w:val="single" w:color="auto" w:sz="4" w:space="0"/>
              <w:left w:val="single" w:color="auto" w:sz="4" w:space="0"/>
              <w:bottom w:val="single" w:color="auto" w:sz="4" w:space="0"/>
              <w:right w:val="single" w:color="auto" w:sz="4" w:space="0"/>
            </w:tcBorders>
            <w:vAlign w:val="center"/>
          </w:tcPr>
          <w:p w14:paraId="43650D9A">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16C79567">
            <w:pPr>
              <w:spacing w:line="240" w:lineRule="auto"/>
              <w:ind w:firstLine="0" w:firstLineChars="0"/>
              <w:jc w:val="center"/>
              <w:rPr>
                <w:sz w:val="21"/>
                <w:szCs w:val="21"/>
              </w:rPr>
            </w:pPr>
            <w:r>
              <w:rPr>
                <w:rFonts w:hint="eastAsia"/>
                <w:sz w:val="21"/>
                <w:szCs w:val="21"/>
              </w:rPr>
              <w:t>0.1</w:t>
            </w:r>
          </w:p>
        </w:tc>
      </w:tr>
      <w:tr w14:paraId="15F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0BDFEF0F">
            <w:pPr>
              <w:spacing w:line="240" w:lineRule="auto"/>
              <w:ind w:firstLine="0" w:firstLineChars="0"/>
              <w:jc w:val="center"/>
              <w:rPr>
                <w:sz w:val="21"/>
                <w:szCs w:val="21"/>
              </w:rPr>
            </w:pPr>
            <w:r>
              <w:rPr>
                <w:rFonts w:hint="eastAsia"/>
                <w:sz w:val="21"/>
                <w:szCs w:val="21"/>
              </w:rPr>
              <w:t>6</w:t>
            </w:r>
          </w:p>
        </w:tc>
        <w:tc>
          <w:tcPr>
            <w:tcW w:w="834" w:type="pct"/>
            <w:vMerge w:val="continue"/>
            <w:tcBorders>
              <w:top w:val="nil"/>
              <w:left w:val="single" w:color="auto" w:sz="4" w:space="0"/>
              <w:bottom w:val="single" w:color="auto" w:sz="4" w:space="0"/>
              <w:right w:val="single" w:color="auto" w:sz="4" w:space="0"/>
            </w:tcBorders>
            <w:vAlign w:val="center"/>
          </w:tcPr>
          <w:p w14:paraId="28E2D67D">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214B412F">
            <w:pPr>
              <w:spacing w:line="240" w:lineRule="auto"/>
              <w:ind w:firstLine="0" w:firstLineChars="0"/>
              <w:jc w:val="left"/>
              <w:rPr>
                <w:sz w:val="21"/>
                <w:szCs w:val="21"/>
              </w:rPr>
            </w:pPr>
            <w:r>
              <w:rPr>
                <w:rFonts w:hint="eastAsia"/>
                <w:sz w:val="21"/>
                <w:szCs w:val="21"/>
              </w:rPr>
              <w:t>维保团队人员通讯失联超过5分钟</w:t>
            </w:r>
          </w:p>
        </w:tc>
        <w:tc>
          <w:tcPr>
            <w:tcW w:w="406" w:type="pct"/>
            <w:tcBorders>
              <w:top w:val="single" w:color="auto" w:sz="4" w:space="0"/>
              <w:left w:val="single" w:color="auto" w:sz="4" w:space="0"/>
              <w:bottom w:val="single" w:color="auto" w:sz="4" w:space="0"/>
              <w:right w:val="single" w:color="auto" w:sz="4" w:space="0"/>
            </w:tcBorders>
            <w:vAlign w:val="center"/>
          </w:tcPr>
          <w:p w14:paraId="5F10731D">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151D0939">
            <w:pPr>
              <w:spacing w:line="240" w:lineRule="auto"/>
              <w:ind w:firstLine="0" w:firstLineChars="0"/>
              <w:jc w:val="center"/>
              <w:rPr>
                <w:sz w:val="21"/>
                <w:szCs w:val="21"/>
              </w:rPr>
            </w:pPr>
            <w:r>
              <w:rPr>
                <w:rFonts w:hint="eastAsia"/>
                <w:sz w:val="21"/>
                <w:szCs w:val="21"/>
              </w:rPr>
              <w:t>0.1</w:t>
            </w:r>
          </w:p>
        </w:tc>
      </w:tr>
      <w:tr w14:paraId="1742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577E250F">
            <w:pPr>
              <w:spacing w:line="240" w:lineRule="auto"/>
              <w:ind w:firstLine="0" w:firstLineChars="0"/>
              <w:jc w:val="center"/>
              <w:rPr>
                <w:sz w:val="21"/>
                <w:szCs w:val="21"/>
              </w:rPr>
            </w:pPr>
            <w:r>
              <w:rPr>
                <w:rFonts w:hint="eastAsia"/>
                <w:sz w:val="21"/>
                <w:szCs w:val="21"/>
              </w:rPr>
              <w:t>7</w:t>
            </w:r>
          </w:p>
        </w:tc>
        <w:tc>
          <w:tcPr>
            <w:tcW w:w="834" w:type="pct"/>
            <w:vMerge w:val="continue"/>
            <w:tcBorders>
              <w:top w:val="nil"/>
              <w:left w:val="single" w:color="auto" w:sz="4" w:space="0"/>
              <w:bottom w:val="single" w:color="auto" w:sz="4" w:space="0"/>
              <w:right w:val="single" w:color="auto" w:sz="4" w:space="0"/>
            </w:tcBorders>
            <w:vAlign w:val="center"/>
          </w:tcPr>
          <w:p w14:paraId="1D60924F">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1CD99CB8">
            <w:pPr>
              <w:spacing w:line="240" w:lineRule="auto"/>
              <w:ind w:firstLine="0" w:firstLineChars="0"/>
              <w:jc w:val="left"/>
              <w:rPr>
                <w:sz w:val="21"/>
                <w:szCs w:val="21"/>
              </w:rPr>
            </w:pPr>
            <w:r>
              <w:rPr>
                <w:rFonts w:hint="eastAsia"/>
                <w:sz w:val="21"/>
                <w:szCs w:val="21"/>
              </w:rPr>
              <w:t>接任务后超过规定时间到达现场的</w:t>
            </w:r>
          </w:p>
        </w:tc>
        <w:tc>
          <w:tcPr>
            <w:tcW w:w="406" w:type="pct"/>
            <w:tcBorders>
              <w:top w:val="single" w:color="auto" w:sz="4" w:space="0"/>
              <w:left w:val="single" w:color="auto" w:sz="4" w:space="0"/>
              <w:bottom w:val="single" w:color="auto" w:sz="4" w:space="0"/>
              <w:right w:val="single" w:color="auto" w:sz="4" w:space="0"/>
            </w:tcBorders>
            <w:vAlign w:val="center"/>
          </w:tcPr>
          <w:p w14:paraId="635E0546">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28FD44BE">
            <w:pPr>
              <w:spacing w:line="240" w:lineRule="auto"/>
              <w:ind w:firstLine="0" w:firstLineChars="0"/>
              <w:jc w:val="center"/>
              <w:rPr>
                <w:sz w:val="21"/>
                <w:szCs w:val="21"/>
              </w:rPr>
            </w:pPr>
            <w:r>
              <w:rPr>
                <w:rFonts w:hint="eastAsia"/>
                <w:sz w:val="21"/>
                <w:szCs w:val="21"/>
              </w:rPr>
              <w:t>0.2</w:t>
            </w:r>
          </w:p>
        </w:tc>
      </w:tr>
      <w:tr w14:paraId="25BB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00544A81">
            <w:pPr>
              <w:spacing w:line="240" w:lineRule="auto"/>
              <w:ind w:firstLine="0" w:firstLineChars="0"/>
              <w:jc w:val="center"/>
              <w:rPr>
                <w:sz w:val="21"/>
                <w:szCs w:val="21"/>
              </w:rPr>
            </w:pPr>
            <w:r>
              <w:rPr>
                <w:rFonts w:hint="eastAsia"/>
                <w:sz w:val="21"/>
                <w:szCs w:val="21"/>
              </w:rPr>
              <w:t>8</w:t>
            </w:r>
          </w:p>
        </w:tc>
        <w:tc>
          <w:tcPr>
            <w:tcW w:w="834" w:type="pct"/>
            <w:vMerge w:val="continue"/>
            <w:tcBorders>
              <w:top w:val="nil"/>
              <w:left w:val="single" w:color="auto" w:sz="4" w:space="0"/>
              <w:bottom w:val="single" w:color="auto" w:sz="4" w:space="0"/>
              <w:right w:val="single" w:color="auto" w:sz="4" w:space="0"/>
            </w:tcBorders>
            <w:vAlign w:val="center"/>
          </w:tcPr>
          <w:p w14:paraId="3CBAFA00">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6C15A23F">
            <w:pPr>
              <w:spacing w:line="240" w:lineRule="auto"/>
              <w:ind w:firstLine="0" w:firstLineChars="0"/>
              <w:jc w:val="left"/>
              <w:rPr>
                <w:sz w:val="21"/>
                <w:szCs w:val="21"/>
              </w:rPr>
            </w:pPr>
            <w:r>
              <w:rPr>
                <w:rFonts w:hint="eastAsia"/>
                <w:sz w:val="21"/>
                <w:szCs w:val="21"/>
              </w:rPr>
              <w:t>维修不当、不及时、又无其他处置措施，造成交通堵塞或事故发生的</w:t>
            </w:r>
          </w:p>
        </w:tc>
        <w:tc>
          <w:tcPr>
            <w:tcW w:w="406" w:type="pct"/>
            <w:tcBorders>
              <w:top w:val="single" w:color="auto" w:sz="4" w:space="0"/>
              <w:left w:val="single" w:color="auto" w:sz="4" w:space="0"/>
              <w:bottom w:val="single" w:color="auto" w:sz="4" w:space="0"/>
              <w:right w:val="single" w:color="auto" w:sz="4" w:space="0"/>
            </w:tcBorders>
            <w:vAlign w:val="center"/>
          </w:tcPr>
          <w:p w14:paraId="14FE47B8">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7A1228FE">
            <w:pPr>
              <w:spacing w:line="240" w:lineRule="auto"/>
              <w:ind w:firstLine="0" w:firstLineChars="0"/>
              <w:jc w:val="center"/>
              <w:rPr>
                <w:sz w:val="21"/>
                <w:szCs w:val="21"/>
              </w:rPr>
            </w:pPr>
            <w:r>
              <w:rPr>
                <w:rFonts w:hint="eastAsia"/>
                <w:sz w:val="21"/>
                <w:szCs w:val="21"/>
              </w:rPr>
              <w:t>2</w:t>
            </w:r>
          </w:p>
        </w:tc>
      </w:tr>
      <w:tr w14:paraId="73E9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29E665DC">
            <w:pPr>
              <w:spacing w:line="240" w:lineRule="auto"/>
              <w:ind w:firstLine="0" w:firstLineChars="0"/>
              <w:jc w:val="center"/>
              <w:rPr>
                <w:sz w:val="21"/>
                <w:szCs w:val="21"/>
              </w:rPr>
            </w:pPr>
            <w:r>
              <w:rPr>
                <w:rFonts w:hint="eastAsia"/>
                <w:sz w:val="21"/>
                <w:szCs w:val="21"/>
              </w:rPr>
              <w:t>9</w:t>
            </w:r>
          </w:p>
        </w:tc>
        <w:tc>
          <w:tcPr>
            <w:tcW w:w="834" w:type="pct"/>
            <w:vMerge w:val="restart"/>
            <w:tcBorders>
              <w:top w:val="nil"/>
              <w:left w:val="single" w:color="auto" w:sz="4" w:space="0"/>
              <w:bottom w:val="single" w:color="auto" w:sz="4" w:space="0"/>
              <w:right w:val="single" w:color="auto" w:sz="4" w:space="0"/>
            </w:tcBorders>
            <w:vAlign w:val="center"/>
          </w:tcPr>
          <w:p w14:paraId="06DE6205">
            <w:pPr>
              <w:spacing w:line="240" w:lineRule="auto"/>
              <w:ind w:firstLine="0" w:firstLineChars="0"/>
              <w:jc w:val="center"/>
              <w:rPr>
                <w:sz w:val="21"/>
                <w:szCs w:val="21"/>
              </w:rPr>
            </w:pPr>
            <w:r>
              <w:rPr>
                <w:rFonts w:hint="eastAsia"/>
                <w:bCs/>
                <w:sz w:val="21"/>
                <w:szCs w:val="21"/>
              </w:rPr>
              <w:t>应急设备或维修、更换备品仓储情况</w:t>
            </w:r>
          </w:p>
        </w:tc>
        <w:tc>
          <w:tcPr>
            <w:tcW w:w="2784" w:type="pct"/>
            <w:tcBorders>
              <w:top w:val="single" w:color="auto" w:sz="4" w:space="0"/>
              <w:left w:val="single" w:color="auto" w:sz="4" w:space="0"/>
              <w:bottom w:val="single" w:color="auto" w:sz="4" w:space="0"/>
              <w:right w:val="single" w:color="auto" w:sz="4" w:space="0"/>
            </w:tcBorders>
            <w:vAlign w:val="center"/>
          </w:tcPr>
          <w:p w14:paraId="1C631D08">
            <w:pPr>
              <w:spacing w:line="240" w:lineRule="auto"/>
              <w:ind w:firstLine="0" w:firstLineChars="0"/>
              <w:jc w:val="left"/>
              <w:rPr>
                <w:sz w:val="21"/>
                <w:szCs w:val="21"/>
              </w:rPr>
            </w:pPr>
            <w:r>
              <w:rPr>
                <w:rFonts w:hint="eastAsia"/>
                <w:sz w:val="21"/>
                <w:szCs w:val="21"/>
              </w:rPr>
              <w:t>没有按规定配备应急处置设备或设备不能正常工作的</w:t>
            </w:r>
          </w:p>
        </w:tc>
        <w:tc>
          <w:tcPr>
            <w:tcW w:w="406" w:type="pct"/>
            <w:tcBorders>
              <w:top w:val="single" w:color="auto" w:sz="4" w:space="0"/>
              <w:left w:val="single" w:color="auto" w:sz="4" w:space="0"/>
              <w:bottom w:val="single" w:color="auto" w:sz="4" w:space="0"/>
              <w:right w:val="single" w:color="auto" w:sz="4" w:space="0"/>
            </w:tcBorders>
            <w:vAlign w:val="center"/>
          </w:tcPr>
          <w:p w14:paraId="215D6CC3">
            <w:pPr>
              <w:spacing w:line="240" w:lineRule="auto"/>
              <w:ind w:firstLine="0" w:firstLineChars="0"/>
              <w:jc w:val="center"/>
              <w:rPr>
                <w:sz w:val="21"/>
                <w:szCs w:val="21"/>
              </w:rPr>
            </w:pPr>
            <w:r>
              <w:rPr>
                <w:rFonts w:hint="eastAsia"/>
                <w:sz w:val="21"/>
                <w:szCs w:val="21"/>
              </w:rPr>
              <w:t>批次</w:t>
            </w:r>
          </w:p>
        </w:tc>
        <w:tc>
          <w:tcPr>
            <w:tcW w:w="531" w:type="pct"/>
            <w:tcBorders>
              <w:top w:val="single" w:color="auto" w:sz="4" w:space="0"/>
              <w:left w:val="single" w:color="auto" w:sz="4" w:space="0"/>
              <w:bottom w:val="single" w:color="auto" w:sz="4" w:space="0"/>
              <w:right w:val="single" w:color="auto" w:sz="4" w:space="0"/>
            </w:tcBorders>
            <w:vAlign w:val="center"/>
          </w:tcPr>
          <w:p w14:paraId="182238CD">
            <w:pPr>
              <w:spacing w:line="240" w:lineRule="auto"/>
              <w:ind w:firstLine="0" w:firstLineChars="0"/>
              <w:jc w:val="center"/>
              <w:rPr>
                <w:sz w:val="21"/>
                <w:szCs w:val="21"/>
              </w:rPr>
            </w:pPr>
            <w:r>
              <w:rPr>
                <w:rFonts w:hint="eastAsia"/>
                <w:sz w:val="21"/>
                <w:szCs w:val="21"/>
              </w:rPr>
              <w:t>0.3</w:t>
            </w:r>
          </w:p>
        </w:tc>
      </w:tr>
      <w:tr w14:paraId="0C14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6E5C016A">
            <w:pPr>
              <w:spacing w:line="240" w:lineRule="auto"/>
              <w:ind w:firstLine="0" w:firstLineChars="0"/>
              <w:jc w:val="center"/>
              <w:rPr>
                <w:sz w:val="21"/>
                <w:szCs w:val="21"/>
              </w:rPr>
            </w:pPr>
            <w:r>
              <w:rPr>
                <w:rFonts w:hint="eastAsia"/>
                <w:sz w:val="21"/>
                <w:szCs w:val="21"/>
              </w:rPr>
              <w:t>10</w:t>
            </w:r>
          </w:p>
        </w:tc>
        <w:tc>
          <w:tcPr>
            <w:tcW w:w="834" w:type="pct"/>
            <w:vMerge w:val="continue"/>
            <w:tcBorders>
              <w:top w:val="nil"/>
              <w:left w:val="single" w:color="auto" w:sz="4" w:space="0"/>
              <w:bottom w:val="single" w:color="auto" w:sz="4" w:space="0"/>
              <w:right w:val="single" w:color="auto" w:sz="4" w:space="0"/>
            </w:tcBorders>
            <w:vAlign w:val="center"/>
          </w:tcPr>
          <w:p w14:paraId="5AAF39DD">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0F4BC4F4">
            <w:pPr>
              <w:spacing w:line="240" w:lineRule="auto"/>
              <w:ind w:firstLine="0" w:firstLineChars="0"/>
              <w:jc w:val="left"/>
              <w:rPr>
                <w:sz w:val="21"/>
                <w:szCs w:val="21"/>
              </w:rPr>
            </w:pPr>
            <w:r>
              <w:rPr>
                <w:rFonts w:hint="eastAsia"/>
                <w:sz w:val="21"/>
                <w:szCs w:val="21"/>
              </w:rPr>
              <w:t>没有按规定库存维修、更换的备品的</w:t>
            </w:r>
          </w:p>
        </w:tc>
        <w:tc>
          <w:tcPr>
            <w:tcW w:w="406" w:type="pct"/>
            <w:tcBorders>
              <w:top w:val="single" w:color="auto" w:sz="4" w:space="0"/>
              <w:left w:val="single" w:color="auto" w:sz="4" w:space="0"/>
              <w:bottom w:val="single" w:color="auto" w:sz="4" w:space="0"/>
              <w:right w:val="single" w:color="auto" w:sz="4" w:space="0"/>
            </w:tcBorders>
            <w:vAlign w:val="center"/>
          </w:tcPr>
          <w:p w14:paraId="68CF8D2B">
            <w:pPr>
              <w:spacing w:line="240" w:lineRule="auto"/>
              <w:ind w:firstLine="0" w:firstLineChars="0"/>
              <w:jc w:val="center"/>
              <w:rPr>
                <w:sz w:val="21"/>
                <w:szCs w:val="21"/>
              </w:rPr>
            </w:pPr>
            <w:r>
              <w:rPr>
                <w:rFonts w:hint="eastAsia"/>
                <w:sz w:val="21"/>
                <w:szCs w:val="21"/>
              </w:rPr>
              <w:t>批次</w:t>
            </w:r>
          </w:p>
        </w:tc>
        <w:tc>
          <w:tcPr>
            <w:tcW w:w="531" w:type="pct"/>
            <w:tcBorders>
              <w:top w:val="single" w:color="auto" w:sz="4" w:space="0"/>
              <w:left w:val="single" w:color="auto" w:sz="4" w:space="0"/>
              <w:bottom w:val="single" w:color="auto" w:sz="4" w:space="0"/>
              <w:right w:val="single" w:color="auto" w:sz="4" w:space="0"/>
            </w:tcBorders>
            <w:vAlign w:val="center"/>
          </w:tcPr>
          <w:p w14:paraId="7D67A43A">
            <w:pPr>
              <w:spacing w:line="240" w:lineRule="auto"/>
              <w:ind w:firstLine="0" w:firstLineChars="0"/>
              <w:jc w:val="center"/>
              <w:rPr>
                <w:sz w:val="21"/>
                <w:szCs w:val="21"/>
              </w:rPr>
            </w:pPr>
            <w:r>
              <w:rPr>
                <w:rFonts w:hint="eastAsia"/>
                <w:sz w:val="21"/>
                <w:szCs w:val="21"/>
              </w:rPr>
              <w:t>0.5</w:t>
            </w:r>
          </w:p>
        </w:tc>
      </w:tr>
      <w:tr w14:paraId="1FA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7F900D4F">
            <w:pPr>
              <w:spacing w:line="240" w:lineRule="auto"/>
              <w:ind w:firstLine="0" w:firstLineChars="0"/>
              <w:jc w:val="center"/>
              <w:rPr>
                <w:sz w:val="21"/>
                <w:szCs w:val="21"/>
              </w:rPr>
            </w:pPr>
            <w:r>
              <w:rPr>
                <w:rFonts w:hint="eastAsia"/>
                <w:sz w:val="21"/>
                <w:szCs w:val="21"/>
              </w:rPr>
              <w:t>11</w:t>
            </w:r>
          </w:p>
        </w:tc>
        <w:tc>
          <w:tcPr>
            <w:tcW w:w="834" w:type="pct"/>
            <w:vMerge w:val="continue"/>
            <w:tcBorders>
              <w:top w:val="nil"/>
              <w:left w:val="single" w:color="auto" w:sz="4" w:space="0"/>
              <w:bottom w:val="single" w:color="auto" w:sz="4" w:space="0"/>
              <w:right w:val="single" w:color="auto" w:sz="4" w:space="0"/>
            </w:tcBorders>
            <w:vAlign w:val="center"/>
          </w:tcPr>
          <w:p w14:paraId="545B979E">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58D4756B">
            <w:pPr>
              <w:spacing w:line="240" w:lineRule="auto"/>
              <w:ind w:firstLine="0" w:firstLineChars="0"/>
              <w:jc w:val="left"/>
              <w:rPr>
                <w:sz w:val="21"/>
                <w:szCs w:val="21"/>
              </w:rPr>
            </w:pPr>
            <w:r>
              <w:rPr>
                <w:rFonts w:hint="eastAsia"/>
                <w:sz w:val="21"/>
                <w:szCs w:val="21"/>
              </w:rPr>
              <w:t>未经甲方许可擅自更换设备的</w:t>
            </w:r>
          </w:p>
        </w:tc>
        <w:tc>
          <w:tcPr>
            <w:tcW w:w="406" w:type="pct"/>
            <w:tcBorders>
              <w:top w:val="single" w:color="auto" w:sz="4" w:space="0"/>
              <w:left w:val="single" w:color="auto" w:sz="4" w:space="0"/>
              <w:bottom w:val="single" w:color="auto" w:sz="4" w:space="0"/>
              <w:right w:val="single" w:color="auto" w:sz="4" w:space="0"/>
            </w:tcBorders>
            <w:vAlign w:val="center"/>
          </w:tcPr>
          <w:p w14:paraId="69A96EB9">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24099BC8">
            <w:pPr>
              <w:spacing w:line="240" w:lineRule="auto"/>
              <w:ind w:firstLine="0" w:firstLineChars="0"/>
              <w:jc w:val="center"/>
              <w:rPr>
                <w:sz w:val="21"/>
                <w:szCs w:val="21"/>
              </w:rPr>
            </w:pPr>
            <w:r>
              <w:rPr>
                <w:rFonts w:hint="eastAsia"/>
                <w:sz w:val="21"/>
                <w:szCs w:val="21"/>
              </w:rPr>
              <w:t>1</w:t>
            </w:r>
          </w:p>
        </w:tc>
      </w:tr>
      <w:tr w14:paraId="7F51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58366BF6">
            <w:pPr>
              <w:spacing w:line="240" w:lineRule="auto"/>
              <w:ind w:firstLine="0" w:firstLineChars="0"/>
              <w:jc w:val="center"/>
              <w:rPr>
                <w:sz w:val="21"/>
                <w:szCs w:val="21"/>
              </w:rPr>
            </w:pPr>
            <w:r>
              <w:rPr>
                <w:rFonts w:hint="eastAsia"/>
                <w:sz w:val="21"/>
                <w:szCs w:val="21"/>
              </w:rPr>
              <w:t>12</w:t>
            </w:r>
          </w:p>
        </w:tc>
        <w:tc>
          <w:tcPr>
            <w:tcW w:w="834" w:type="pct"/>
            <w:vMerge w:val="restart"/>
            <w:tcBorders>
              <w:top w:val="nil"/>
              <w:left w:val="single" w:color="auto" w:sz="4" w:space="0"/>
              <w:bottom w:val="single" w:color="auto" w:sz="4" w:space="0"/>
              <w:right w:val="single" w:color="auto" w:sz="4" w:space="0"/>
            </w:tcBorders>
            <w:vAlign w:val="center"/>
          </w:tcPr>
          <w:p w14:paraId="3AD89B87">
            <w:pPr>
              <w:spacing w:line="240" w:lineRule="auto"/>
              <w:ind w:firstLine="0" w:firstLineChars="0"/>
              <w:jc w:val="center"/>
              <w:rPr>
                <w:sz w:val="21"/>
                <w:szCs w:val="21"/>
              </w:rPr>
            </w:pPr>
            <w:r>
              <w:rPr>
                <w:rFonts w:hint="eastAsia"/>
                <w:bCs/>
                <w:sz w:val="21"/>
                <w:szCs w:val="21"/>
              </w:rPr>
              <w:t>工作任务的完成效率，维保、施工质量和时效。</w:t>
            </w:r>
          </w:p>
        </w:tc>
        <w:tc>
          <w:tcPr>
            <w:tcW w:w="2784" w:type="pct"/>
            <w:tcBorders>
              <w:top w:val="single" w:color="auto" w:sz="4" w:space="0"/>
              <w:left w:val="single" w:color="auto" w:sz="4" w:space="0"/>
              <w:bottom w:val="single" w:color="auto" w:sz="4" w:space="0"/>
              <w:right w:val="single" w:color="auto" w:sz="4" w:space="0"/>
            </w:tcBorders>
            <w:vAlign w:val="center"/>
          </w:tcPr>
          <w:p w14:paraId="22D357BF">
            <w:pPr>
              <w:spacing w:line="240" w:lineRule="auto"/>
              <w:ind w:firstLine="0" w:firstLineChars="0"/>
              <w:jc w:val="left"/>
              <w:rPr>
                <w:sz w:val="21"/>
                <w:szCs w:val="21"/>
              </w:rPr>
            </w:pPr>
            <w:r>
              <w:rPr>
                <w:rFonts w:hint="eastAsia"/>
                <w:sz w:val="21"/>
                <w:szCs w:val="21"/>
              </w:rPr>
              <w:t>灯杆被刮蹭、被撞，观察孔盖板松动、缺失，机箱、电源门未关好或被撬等情况接到通知未在4个小时内处理完毕的</w:t>
            </w:r>
          </w:p>
        </w:tc>
        <w:tc>
          <w:tcPr>
            <w:tcW w:w="406" w:type="pct"/>
            <w:tcBorders>
              <w:top w:val="single" w:color="auto" w:sz="4" w:space="0"/>
              <w:left w:val="single" w:color="auto" w:sz="4" w:space="0"/>
              <w:bottom w:val="single" w:color="auto" w:sz="4" w:space="0"/>
              <w:right w:val="single" w:color="auto" w:sz="4" w:space="0"/>
            </w:tcBorders>
            <w:vAlign w:val="center"/>
          </w:tcPr>
          <w:p w14:paraId="20D9FBBA">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659AD108">
            <w:pPr>
              <w:spacing w:line="240" w:lineRule="auto"/>
              <w:ind w:firstLine="0" w:firstLineChars="0"/>
              <w:jc w:val="center"/>
              <w:rPr>
                <w:sz w:val="21"/>
                <w:szCs w:val="21"/>
              </w:rPr>
            </w:pPr>
            <w:r>
              <w:rPr>
                <w:rFonts w:hint="eastAsia"/>
                <w:sz w:val="21"/>
                <w:szCs w:val="21"/>
              </w:rPr>
              <w:t>0.1</w:t>
            </w:r>
          </w:p>
        </w:tc>
      </w:tr>
      <w:tr w14:paraId="0E66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07907E6F">
            <w:pPr>
              <w:spacing w:line="240" w:lineRule="auto"/>
              <w:ind w:firstLine="0" w:firstLineChars="0"/>
              <w:jc w:val="center"/>
              <w:rPr>
                <w:sz w:val="21"/>
                <w:szCs w:val="21"/>
              </w:rPr>
            </w:pPr>
            <w:r>
              <w:rPr>
                <w:rFonts w:hint="eastAsia"/>
                <w:sz w:val="21"/>
                <w:szCs w:val="21"/>
              </w:rPr>
              <w:t>13</w:t>
            </w:r>
          </w:p>
        </w:tc>
        <w:tc>
          <w:tcPr>
            <w:tcW w:w="834" w:type="pct"/>
            <w:vMerge w:val="continue"/>
            <w:tcBorders>
              <w:top w:val="nil"/>
              <w:left w:val="single" w:color="auto" w:sz="4" w:space="0"/>
              <w:bottom w:val="single" w:color="auto" w:sz="4" w:space="0"/>
              <w:right w:val="single" w:color="auto" w:sz="4" w:space="0"/>
            </w:tcBorders>
            <w:vAlign w:val="center"/>
          </w:tcPr>
          <w:p w14:paraId="4D4F0E76">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6CEAB029">
            <w:pPr>
              <w:spacing w:line="240" w:lineRule="auto"/>
              <w:ind w:firstLine="0" w:firstLineChars="0"/>
              <w:jc w:val="left"/>
              <w:rPr>
                <w:sz w:val="21"/>
                <w:szCs w:val="21"/>
              </w:rPr>
            </w:pPr>
            <w:r>
              <w:rPr>
                <w:rFonts w:hint="eastAsia"/>
                <w:sz w:val="21"/>
                <w:szCs w:val="21"/>
              </w:rPr>
              <w:t>信号灯遮沿、面罩、裙边等歪斜吊挂或脱落的，未及时纠正的</w:t>
            </w:r>
          </w:p>
        </w:tc>
        <w:tc>
          <w:tcPr>
            <w:tcW w:w="406" w:type="pct"/>
            <w:tcBorders>
              <w:top w:val="single" w:color="auto" w:sz="4" w:space="0"/>
              <w:left w:val="single" w:color="auto" w:sz="4" w:space="0"/>
              <w:bottom w:val="single" w:color="auto" w:sz="4" w:space="0"/>
              <w:right w:val="single" w:color="auto" w:sz="4" w:space="0"/>
            </w:tcBorders>
            <w:vAlign w:val="center"/>
          </w:tcPr>
          <w:p w14:paraId="0275194C">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61582A96">
            <w:pPr>
              <w:spacing w:line="240" w:lineRule="auto"/>
              <w:ind w:firstLine="0" w:firstLineChars="0"/>
              <w:jc w:val="center"/>
              <w:rPr>
                <w:sz w:val="21"/>
                <w:szCs w:val="21"/>
              </w:rPr>
            </w:pPr>
            <w:r>
              <w:rPr>
                <w:rFonts w:hint="eastAsia"/>
                <w:sz w:val="21"/>
                <w:szCs w:val="21"/>
              </w:rPr>
              <w:t>0.1</w:t>
            </w:r>
          </w:p>
        </w:tc>
      </w:tr>
      <w:tr w14:paraId="122F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11853957">
            <w:pPr>
              <w:spacing w:line="240" w:lineRule="auto"/>
              <w:ind w:firstLine="0" w:firstLineChars="0"/>
              <w:jc w:val="center"/>
              <w:rPr>
                <w:sz w:val="21"/>
                <w:szCs w:val="21"/>
              </w:rPr>
            </w:pPr>
            <w:r>
              <w:rPr>
                <w:rFonts w:hint="eastAsia"/>
                <w:sz w:val="21"/>
                <w:szCs w:val="21"/>
              </w:rPr>
              <w:t>14</w:t>
            </w:r>
          </w:p>
        </w:tc>
        <w:tc>
          <w:tcPr>
            <w:tcW w:w="834" w:type="pct"/>
            <w:vMerge w:val="continue"/>
            <w:tcBorders>
              <w:top w:val="nil"/>
              <w:left w:val="single" w:color="auto" w:sz="4" w:space="0"/>
              <w:bottom w:val="single" w:color="auto" w:sz="4" w:space="0"/>
              <w:right w:val="single" w:color="auto" w:sz="4" w:space="0"/>
            </w:tcBorders>
            <w:vAlign w:val="center"/>
          </w:tcPr>
          <w:p w14:paraId="3EF57C46">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6AAD4FB6">
            <w:pPr>
              <w:spacing w:line="240" w:lineRule="auto"/>
              <w:ind w:firstLine="0" w:firstLineChars="0"/>
              <w:jc w:val="left"/>
              <w:rPr>
                <w:sz w:val="21"/>
                <w:szCs w:val="21"/>
              </w:rPr>
            </w:pPr>
            <w:r>
              <w:rPr>
                <w:rFonts w:hint="eastAsia"/>
                <w:sz w:val="21"/>
                <w:szCs w:val="21"/>
              </w:rPr>
              <w:t>手工井塌陷、井圈外露、井盖破碎，管线外露或因施工被拆、被损毁，架空线脱落、破损等情况接到通知未在4个小时内处理完毕的</w:t>
            </w:r>
          </w:p>
        </w:tc>
        <w:tc>
          <w:tcPr>
            <w:tcW w:w="406" w:type="pct"/>
            <w:tcBorders>
              <w:top w:val="single" w:color="auto" w:sz="4" w:space="0"/>
              <w:left w:val="single" w:color="auto" w:sz="4" w:space="0"/>
              <w:bottom w:val="single" w:color="auto" w:sz="4" w:space="0"/>
              <w:right w:val="single" w:color="auto" w:sz="4" w:space="0"/>
            </w:tcBorders>
            <w:vAlign w:val="center"/>
          </w:tcPr>
          <w:p w14:paraId="15D7E17F">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15F27997">
            <w:pPr>
              <w:spacing w:line="240" w:lineRule="auto"/>
              <w:ind w:firstLine="0" w:firstLineChars="0"/>
              <w:jc w:val="center"/>
              <w:rPr>
                <w:sz w:val="21"/>
                <w:szCs w:val="21"/>
              </w:rPr>
            </w:pPr>
            <w:r>
              <w:rPr>
                <w:rFonts w:hint="eastAsia"/>
                <w:sz w:val="21"/>
                <w:szCs w:val="21"/>
              </w:rPr>
              <w:t>0.1</w:t>
            </w:r>
          </w:p>
        </w:tc>
      </w:tr>
      <w:tr w14:paraId="3D58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3BF789B9">
            <w:pPr>
              <w:spacing w:line="240" w:lineRule="auto"/>
              <w:ind w:firstLine="0" w:firstLineChars="0"/>
              <w:jc w:val="center"/>
              <w:rPr>
                <w:sz w:val="21"/>
                <w:szCs w:val="21"/>
              </w:rPr>
            </w:pPr>
            <w:r>
              <w:rPr>
                <w:rFonts w:hint="eastAsia"/>
                <w:sz w:val="21"/>
                <w:szCs w:val="21"/>
              </w:rPr>
              <w:t>15</w:t>
            </w:r>
          </w:p>
        </w:tc>
        <w:tc>
          <w:tcPr>
            <w:tcW w:w="834" w:type="pct"/>
            <w:vMerge w:val="continue"/>
            <w:tcBorders>
              <w:top w:val="nil"/>
              <w:left w:val="single" w:color="auto" w:sz="4" w:space="0"/>
              <w:bottom w:val="single" w:color="auto" w:sz="4" w:space="0"/>
              <w:right w:val="single" w:color="auto" w:sz="4" w:space="0"/>
            </w:tcBorders>
            <w:vAlign w:val="center"/>
          </w:tcPr>
          <w:p w14:paraId="226B514E">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0A1AE1AD">
            <w:pPr>
              <w:spacing w:line="240" w:lineRule="auto"/>
              <w:ind w:firstLine="0" w:firstLineChars="0"/>
              <w:jc w:val="left"/>
              <w:rPr>
                <w:sz w:val="21"/>
                <w:szCs w:val="21"/>
              </w:rPr>
            </w:pPr>
            <w:r>
              <w:rPr>
                <w:rFonts w:hint="eastAsia"/>
                <w:sz w:val="21"/>
                <w:szCs w:val="21"/>
              </w:rPr>
              <w:t>灯具老化、发光色弱，影响识别，未能及时提出维护、更换申请的</w:t>
            </w:r>
          </w:p>
        </w:tc>
        <w:tc>
          <w:tcPr>
            <w:tcW w:w="406" w:type="pct"/>
            <w:tcBorders>
              <w:top w:val="single" w:color="auto" w:sz="4" w:space="0"/>
              <w:left w:val="single" w:color="auto" w:sz="4" w:space="0"/>
              <w:bottom w:val="single" w:color="auto" w:sz="4" w:space="0"/>
              <w:right w:val="single" w:color="auto" w:sz="4" w:space="0"/>
            </w:tcBorders>
            <w:vAlign w:val="center"/>
          </w:tcPr>
          <w:p w14:paraId="44505023">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581F2196">
            <w:pPr>
              <w:spacing w:line="240" w:lineRule="auto"/>
              <w:ind w:firstLine="0" w:firstLineChars="0"/>
              <w:jc w:val="center"/>
              <w:rPr>
                <w:sz w:val="21"/>
                <w:szCs w:val="21"/>
              </w:rPr>
            </w:pPr>
            <w:r>
              <w:rPr>
                <w:rFonts w:hint="eastAsia"/>
                <w:sz w:val="21"/>
                <w:szCs w:val="21"/>
              </w:rPr>
              <w:t>0.1</w:t>
            </w:r>
          </w:p>
        </w:tc>
      </w:tr>
      <w:tr w14:paraId="759C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7F99C288">
            <w:pPr>
              <w:spacing w:line="240" w:lineRule="auto"/>
              <w:ind w:firstLine="0" w:firstLineChars="0"/>
              <w:jc w:val="center"/>
              <w:rPr>
                <w:sz w:val="21"/>
                <w:szCs w:val="21"/>
              </w:rPr>
            </w:pPr>
            <w:r>
              <w:rPr>
                <w:rFonts w:hint="eastAsia"/>
                <w:sz w:val="21"/>
                <w:szCs w:val="21"/>
              </w:rPr>
              <w:t>16</w:t>
            </w:r>
          </w:p>
        </w:tc>
        <w:tc>
          <w:tcPr>
            <w:tcW w:w="834" w:type="pct"/>
            <w:vMerge w:val="continue"/>
            <w:tcBorders>
              <w:top w:val="nil"/>
              <w:left w:val="single" w:color="auto" w:sz="4" w:space="0"/>
              <w:bottom w:val="single" w:color="auto" w:sz="4" w:space="0"/>
              <w:right w:val="single" w:color="auto" w:sz="4" w:space="0"/>
            </w:tcBorders>
            <w:vAlign w:val="center"/>
          </w:tcPr>
          <w:p w14:paraId="48C8D384">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5B674F62">
            <w:pPr>
              <w:spacing w:line="240" w:lineRule="auto"/>
              <w:ind w:firstLine="0" w:firstLineChars="0"/>
              <w:jc w:val="left"/>
              <w:rPr>
                <w:sz w:val="21"/>
                <w:szCs w:val="21"/>
              </w:rPr>
            </w:pPr>
            <w:r>
              <w:rPr>
                <w:rFonts w:hint="eastAsia"/>
                <w:sz w:val="21"/>
                <w:szCs w:val="21"/>
              </w:rPr>
              <w:t>灯具不能正常工作，未在3个小时内修复的</w:t>
            </w:r>
          </w:p>
        </w:tc>
        <w:tc>
          <w:tcPr>
            <w:tcW w:w="406" w:type="pct"/>
            <w:tcBorders>
              <w:top w:val="single" w:color="auto" w:sz="4" w:space="0"/>
              <w:left w:val="single" w:color="auto" w:sz="4" w:space="0"/>
              <w:bottom w:val="single" w:color="auto" w:sz="4" w:space="0"/>
              <w:right w:val="single" w:color="auto" w:sz="4" w:space="0"/>
            </w:tcBorders>
            <w:vAlign w:val="center"/>
          </w:tcPr>
          <w:p w14:paraId="255D5A0A">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0953F9A4">
            <w:pPr>
              <w:spacing w:line="240" w:lineRule="auto"/>
              <w:ind w:firstLine="0" w:firstLineChars="0"/>
              <w:jc w:val="center"/>
              <w:rPr>
                <w:sz w:val="21"/>
                <w:szCs w:val="21"/>
              </w:rPr>
            </w:pPr>
            <w:r>
              <w:rPr>
                <w:rFonts w:hint="eastAsia"/>
                <w:sz w:val="21"/>
                <w:szCs w:val="21"/>
              </w:rPr>
              <w:t>0.3</w:t>
            </w:r>
          </w:p>
        </w:tc>
      </w:tr>
      <w:tr w14:paraId="68ED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1C1A71E7">
            <w:pPr>
              <w:spacing w:line="240" w:lineRule="auto"/>
              <w:ind w:firstLine="0" w:firstLineChars="0"/>
              <w:jc w:val="center"/>
              <w:rPr>
                <w:sz w:val="21"/>
                <w:szCs w:val="21"/>
              </w:rPr>
            </w:pPr>
            <w:r>
              <w:rPr>
                <w:rFonts w:hint="eastAsia"/>
                <w:sz w:val="21"/>
                <w:szCs w:val="21"/>
              </w:rPr>
              <w:t>17</w:t>
            </w:r>
          </w:p>
        </w:tc>
        <w:tc>
          <w:tcPr>
            <w:tcW w:w="834" w:type="pct"/>
            <w:vMerge w:val="continue"/>
            <w:tcBorders>
              <w:top w:val="nil"/>
              <w:left w:val="single" w:color="auto" w:sz="4" w:space="0"/>
              <w:bottom w:val="single" w:color="auto" w:sz="4" w:space="0"/>
              <w:right w:val="single" w:color="auto" w:sz="4" w:space="0"/>
            </w:tcBorders>
            <w:vAlign w:val="center"/>
          </w:tcPr>
          <w:p w14:paraId="3D906CC8">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68AA0188">
            <w:pPr>
              <w:spacing w:line="240" w:lineRule="auto"/>
              <w:ind w:firstLine="0" w:firstLineChars="0"/>
              <w:jc w:val="left"/>
              <w:rPr>
                <w:sz w:val="21"/>
                <w:szCs w:val="21"/>
              </w:rPr>
            </w:pPr>
            <w:r>
              <w:rPr>
                <w:rFonts w:hint="eastAsia"/>
                <w:sz w:val="21"/>
                <w:szCs w:val="21"/>
              </w:rPr>
              <w:t>树木或其他设施影响、遮挡信号设备，未及时纠正、清除的</w:t>
            </w:r>
          </w:p>
        </w:tc>
        <w:tc>
          <w:tcPr>
            <w:tcW w:w="406" w:type="pct"/>
            <w:tcBorders>
              <w:top w:val="single" w:color="auto" w:sz="4" w:space="0"/>
              <w:left w:val="single" w:color="auto" w:sz="4" w:space="0"/>
              <w:bottom w:val="single" w:color="auto" w:sz="4" w:space="0"/>
              <w:right w:val="single" w:color="auto" w:sz="4" w:space="0"/>
            </w:tcBorders>
            <w:vAlign w:val="center"/>
          </w:tcPr>
          <w:p w14:paraId="5D09A62E">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56392281">
            <w:pPr>
              <w:spacing w:line="240" w:lineRule="auto"/>
              <w:ind w:firstLine="0" w:firstLineChars="0"/>
              <w:jc w:val="center"/>
              <w:rPr>
                <w:sz w:val="21"/>
                <w:szCs w:val="21"/>
              </w:rPr>
            </w:pPr>
            <w:r>
              <w:rPr>
                <w:rFonts w:hint="eastAsia"/>
                <w:sz w:val="21"/>
                <w:szCs w:val="21"/>
              </w:rPr>
              <w:t>0.1</w:t>
            </w:r>
          </w:p>
        </w:tc>
      </w:tr>
      <w:tr w14:paraId="4F3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7BADB28B">
            <w:pPr>
              <w:spacing w:line="240" w:lineRule="auto"/>
              <w:ind w:firstLine="0" w:firstLineChars="0"/>
              <w:jc w:val="center"/>
              <w:rPr>
                <w:sz w:val="21"/>
                <w:szCs w:val="21"/>
              </w:rPr>
            </w:pPr>
            <w:r>
              <w:rPr>
                <w:rFonts w:hint="eastAsia"/>
                <w:sz w:val="21"/>
                <w:szCs w:val="21"/>
              </w:rPr>
              <w:t>18</w:t>
            </w:r>
          </w:p>
        </w:tc>
        <w:tc>
          <w:tcPr>
            <w:tcW w:w="834" w:type="pct"/>
            <w:vMerge w:val="continue"/>
            <w:tcBorders>
              <w:top w:val="nil"/>
              <w:left w:val="single" w:color="auto" w:sz="4" w:space="0"/>
              <w:bottom w:val="single" w:color="auto" w:sz="4" w:space="0"/>
              <w:right w:val="single" w:color="auto" w:sz="4" w:space="0"/>
            </w:tcBorders>
            <w:vAlign w:val="center"/>
          </w:tcPr>
          <w:p w14:paraId="51A76DC4">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1F2AC801">
            <w:pPr>
              <w:spacing w:line="240" w:lineRule="auto"/>
              <w:ind w:firstLine="0" w:firstLineChars="0"/>
              <w:jc w:val="left"/>
              <w:rPr>
                <w:sz w:val="21"/>
                <w:szCs w:val="21"/>
              </w:rPr>
            </w:pPr>
            <w:r>
              <w:rPr>
                <w:rFonts w:hint="eastAsia"/>
                <w:sz w:val="21"/>
                <w:szCs w:val="21"/>
              </w:rPr>
              <w:t>一个月内同一地点、故障维修超过三次以上的</w:t>
            </w:r>
          </w:p>
        </w:tc>
        <w:tc>
          <w:tcPr>
            <w:tcW w:w="406" w:type="pct"/>
            <w:tcBorders>
              <w:top w:val="single" w:color="auto" w:sz="4" w:space="0"/>
              <w:left w:val="single" w:color="auto" w:sz="4" w:space="0"/>
              <w:bottom w:val="single" w:color="auto" w:sz="4" w:space="0"/>
              <w:right w:val="single" w:color="auto" w:sz="4" w:space="0"/>
            </w:tcBorders>
            <w:vAlign w:val="center"/>
          </w:tcPr>
          <w:p w14:paraId="474792FF">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1FDF292A">
            <w:pPr>
              <w:spacing w:line="240" w:lineRule="auto"/>
              <w:ind w:firstLine="0" w:firstLineChars="0"/>
              <w:jc w:val="center"/>
              <w:rPr>
                <w:sz w:val="21"/>
                <w:szCs w:val="21"/>
              </w:rPr>
            </w:pPr>
            <w:r>
              <w:rPr>
                <w:rFonts w:hint="eastAsia"/>
                <w:sz w:val="21"/>
                <w:szCs w:val="21"/>
              </w:rPr>
              <w:t>0.5</w:t>
            </w:r>
          </w:p>
        </w:tc>
      </w:tr>
      <w:tr w14:paraId="0F6F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237B7B3C">
            <w:pPr>
              <w:spacing w:line="240" w:lineRule="auto"/>
              <w:ind w:firstLine="0" w:firstLineChars="0"/>
              <w:jc w:val="center"/>
              <w:rPr>
                <w:sz w:val="21"/>
                <w:szCs w:val="21"/>
              </w:rPr>
            </w:pPr>
            <w:r>
              <w:rPr>
                <w:rFonts w:hint="eastAsia"/>
                <w:sz w:val="21"/>
                <w:szCs w:val="21"/>
              </w:rPr>
              <w:t>19</w:t>
            </w:r>
          </w:p>
        </w:tc>
        <w:tc>
          <w:tcPr>
            <w:tcW w:w="834" w:type="pct"/>
            <w:vMerge w:val="continue"/>
            <w:tcBorders>
              <w:top w:val="nil"/>
              <w:left w:val="single" w:color="auto" w:sz="4" w:space="0"/>
              <w:bottom w:val="single" w:color="auto" w:sz="4" w:space="0"/>
              <w:right w:val="single" w:color="auto" w:sz="4" w:space="0"/>
            </w:tcBorders>
            <w:vAlign w:val="center"/>
          </w:tcPr>
          <w:p w14:paraId="533377B9">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7884E69F">
            <w:pPr>
              <w:spacing w:line="240" w:lineRule="auto"/>
              <w:ind w:firstLine="0" w:firstLineChars="0"/>
              <w:jc w:val="left"/>
              <w:rPr>
                <w:sz w:val="21"/>
                <w:szCs w:val="21"/>
              </w:rPr>
            </w:pPr>
            <w:r>
              <w:rPr>
                <w:rFonts w:hint="eastAsia"/>
                <w:sz w:val="21"/>
                <w:szCs w:val="21"/>
              </w:rPr>
              <w:t>未按时完成采购人下达的维修或施工任务的</w:t>
            </w:r>
          </w:p>
        </w:tc>
        <w:tc>
          <w:tcPr>
            <w:tcW w:w="406" w:type="pct"/>
            <w:tcBorders>
              <w:top w:val="single" w:color="auto" w:sz="4" w:space="0"/>
              <w:left w:val="single" w:color="auto" w:sz="4" w:space="0"/>
              <w:bottom w:val="single" w:color="auto" w:sz="4" w:space="0"/>
              <w:right w:val="single" w:color="auto" w:sz="4" w:space="0"/>
            </w:tcBorders>
            <w:vAlign w:val="center"/>
          </w:tcPr>
          <w:p w14:paraId="1D90499D">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4364DC95">
            <w:pPr>
              <w:spacing w:line="240" w:lineRule="auto"/>
              <w:ind w:firstLine="0" w:firstLineChars="0"/>
              <w:jc w:val="center"/>
              <w:rPr>
                <w:sz w:val="21"/>
                <w:szCs w:val="21"/>
              </w:rPr>
            </w:pPr>
            <w:r>
              <w:rPr>
                <w:rFonts w:hint="eastAsia"/>
                <w:sz w:val="21"/>
                <w:szCs w:val="21"/>
              </w:rPr>
              <w:t>1</w:t>
            </w:r>
          </w:p>
        </w:tc>
      </w:tr>
      <w:tr w14:paraId="788F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35C81F4F">
            <w:pPr>
              <w:spacing w:line="240" w:lineRule="auto"/>
              <w:ind w:firstLine="0" w:firstLineChars="0"/>
              <w:jc w:val="center"/>
              <w:rPr>
                <w:sz w:val="21"/>
                <w:szCs w:val="21"/>
              </w:rPr>
            </w:pPr>
            <w:r>
              <w:rPr>
                <w:rFonts w:hint="eastAsia"/>
                <w:sz w:val="21"/>
                <w:szCs w:val="21"/>
              </w:rPr>
              <w:t>20</w:t>
            </w:r>
          </w:p>
        </w:tc>
        <w:tc>
          <w:tcPr>
            <w:tcW w:w="834" w:type="pct"/>
            <w:vMerge w:val="continue"/>
            <w:tcBorders>
              <w:top w:val="nil"/>
              <w:left w:val="single" w:color="auto" w:sz="4" w:space="0"/>
              <w:bottom w:val="single" w:color="auto" w:sz="4" w:space="0"/>
              <w:right w:val="single" w:color="auto" w:sz="4" w:space="0"/>
            </w:tcBorders>
            <w:vAlign w:val="center"/>
          </w:tcPr>
          <w:p w14:paraId="5965DFD5">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3448C8D2">
            <w:pPr>
              <w:spacing w:line="240" w:lineRule="auto"/>
              <w:ind w:firstLine="0" w:firstLineChars="0"/>
              <w:jc w:val="left"/>
              <w:rPr>
                <w:sz w:val="21"/>
                <w:szCs w:val="21"/>
              </w:rPr>
            </w:pPr>
            <w:r>
              <w:rPr>
                <w:rFonts w:hint="eastAsia"/>
                <w:sz w:val="21"/>
                <w:szCs w:val="21"/>
              </w:rPr>
              <w:t>路口信号系统故障不能正常运转、电力缺失等，未及时投放移动信号灯和使用应急电源的</w:t>
            </w:r>
          </w:p>
        </w:tc>
        <w:tc>
          <w:tcPr>
            <w:tcW w:w="406" w:type="pct"/>
            <w:tcBorders>
              <w:top w:val="single" w:color="auto" w:sz="4" w:space="0"/>
              <w:left w:val="single" w:color="auto" w:sz="4" w:space="0"/>
              <w:bottom w:val="single" w:color="auto" w:sz="4" w:space="0"/>
              <w:right w:val="single" w:color="auto" w:sz="4" w:space="0"/>
            </w:tcBorders>
            <w:vAlign w:val="center"/>
          </w:tcPr>
          <w:p w14:paraId="674CDCFB">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0AC667F9">
            <w:pPr>
              <w:spacing w:line="240" w:lineRule="auto"/>
              <w:ind w:firstLine="0" w:firstLineChars="0"/>
              <w:jc w:val="center"/>
              <w:rPr>
                <w:sz w:val="21"/>
                <w:szCs w:val="21"/>
              </w:rPr>
            </w:pPr>
            <w:r>
              <w:rPr>
                <w:rFonts w:hint="eastAsia"/>
                <w:sz w:val="21"/>
                <w:szCs w:val="21"/>
              </w:rPr>
              <w:t>0.5</w:t>
            </w:r>
          </w:p>
        </w:tc>
      </w:tr>
      <w:tr w14:paraId="4E70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3055075F">
            <w:pPr>
              <w:spacing w:line="240" w:lineRule="auto"/>
              <w:ind w:firstLine="0" w:firstLineChars="0"/>
              <w:jc w:val="center"/>
              <w:rPr>
                <w:sz w:val="21"/>
                <w:szCs w:val="21"/>
              </w:rPr>
            </w:pPr>
            <w:r>
              <w:rPr>
                <w:rFonts w:hint="eastAsia"/>
                <w:sz w:val="21"/>
                <w:szCs w:val="21"/>
              </w:rPr>
              <w:t>21</w:t>
            </w:r>
          </w:p>
        </w:tc>
        <w:tc>
          <w:tcPr>
            <w:tcW w:w="834" w:type="pct"/>
            <w:vMerge w:val="continue"/>
            <w:tcBorders>
              <w:top w:val="nil"/>
              <w:left w:val="single" w:color="auto" w:sz="4" w:space="0"/>
              <w:bottom w:val="single" w:color="auto" w:sz="4" w:space="0"/>
              <w:right w:val="single" w:color="auto" w:sz="4" w:space="0"/>
            </w:tcBorders>
            <w:vAlign w:val="center"/>
          </w:tcPr>
          <w:p w14:paraId="4908882D">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675CF6D2">
            <w:pPr>
              <w:spacing w:line="240" w:lineRule="auto"/>
              <w:ind w:firstLine="0" w:firstLineChars="0"/>
              <w:jc w:val="left"/>
              <w:rPr>
                <w:sz w:val="21"/>
                <w:szCs w:val="21"/>
              </w:rPr>
            </w:pPr>
            <w:r>
              <w:rPr>
                <w:rFonts w:hint="eastAsia"/>
                <w:sz w:val="21"/>
                <w:szCs w:val="21"/>
              </w:rPr>
              <w:t>接采购人通知协助执行特勤任务，未按时达到指定地点或执行不力的</w:t>
            </w:r>
          </w:p>
        </w:tc>
        <w:tc>
          <w:tcPr>
            <w:tcW w:w="406" w:type="pct"/>
            <w:tcBorders>
              <w:top w:val="single" w:color="auto" w:sz="4" w:space="0"/>
              <w:left w:val="single" w:color="auto" w:sz="4" w:space="0"/>
              <w:bottom w:val="single" w:color="auto" w:sz="4" w:space="0"/>
              <w:right w:val="single" w:color="auto" w:sz="4" w:space="0"/>
            </w:tcBorders>
            <w:vAlign w:val="center"/>
          </w:tcPr>
          <w:p w14:paraId="7475B346">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626B6E3A">
            <w:pPr>
              <w:spacing w:line="240" w:lineRule="auto"/>
              <w:ind w:firstLine="0" w:firstLineChars="0"/>
              <w:jc w:val="center"/>
              <w:rPr>
                <w:sz w:val="21"/>
                <w:szCs w:val="21"/>
              </w:rPr>
            </w:pPr>
            <w:r>
              <w:rPr>
                <w:rFonts w:hint="eastAsia"/>
                <w:sz w:val="21"/>
                <w:szCs w:val="21"/>
              </w:rPr>
              <w:t>1</w:t>
            </w:r>
          </w:p>
        </w:tc>
      </w:tr>
      <w:tr w14:paraId="3261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4FCB9CC3">
            <w:pPr>
              <w:spacing w:line="240" w:lineRule="auto"/>
              <w:ind w:firstLine="0" w:firstLineChars="0"/>
              <w:jc w:val="center"/>
              <w:rPr>
                <w:sz w:val="21"/>
                <w:szCs w:val="21"/>
              </w:rPr>
            </w:pPr>
            <w:r>
              <w:rPr>
                <w:rFonts w:hint="eastAsia"/>
                <w:sz w:val="21"/>
                <w:szCs w:val="21"/>
              </w:rPr>
              <w:t>22</w:t>
            </w:r>
          </w:p>
        </w:tc>
        <w:tc>
          <w:tcPr>
            <w:tcW w:w="834" w:type="pct"/>
            <w:vMerge w:val="continue"/>
            <w:tcBorders>
              <w:top w:val="nil"/>
              <w:left w:val="single" w:color="auto" w:sz="4" w:space="0"/>
              <w:bottom w:val="single" w:color="auto" w:sz="4" w:space="0"/>
              <w:right w:val="single" w:color="auto" w:sz="4" w:space="0"/>
            </w:tcBorders>
            <w:vAlign w:val="center"/>
          </w:tcPr>
          <w:p w14:paraId="5149B623">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13DD39A1">
            <w:pPr>
              <w:spacing w:line="240" w:lineRule="auto"/>
              <w:ind w:firstLine="0" w:firstLineChars="0"/>
              <w:jc w:val="left"/>
              <w:rPr>
                <w:sz w:val="21"/>
                <w:szCs w:val="21"/>
              </w:rPr>
            </w:pPr>
            <w:r>
              <w:rPr>
                <w:rFonts w:hint="eastAsia"/>
                <w:sz w:val="21"/>
                <w:szCs w:val="21"/>
              </w:rPr>
              <w:t>因维修不及时、不科学，被采购人发现或被</w:t>
            </w:r>
            <w:r>
              <w:rPr>
                <w:rFonts w:hint="eastAsia"/>
                <w:bCs/>
                <w:sz w:val="21"/>
                <w:szCs w:val="21"/>
              </w:rPr>
              <w:t>市（网）民投诉的</w:t>
            </w:r>
          </w:p>
        </w:tc>
        <w:tc>
          <w:tcPr>
            <w:tcW w:w="406" w:type="pct"/>
            <w:tcBorders>
              <w:top w:val="single" w:color="auto" w:sz="4" w:space="0"/>
              <w:left w:val="single" w:color="auto" w:sz="4" w:space="0"/>
              <w:bottom w:val="single" w:color="auto" w:sz="4" w:space="0"/>
              <w:right w:val="single" w:color="auto" w:sz="4" w:space="0"/>
            </w:tcBorders>
            <w:vAlign w:val="center"/>
          </w:tcPr>
          <w:p w14:paraId="28F891F5">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63042DE2">
            <w:pPr>
              <w:spacing w:line="240" w:lineRule="auto"/>
              <w:ind w:firstLine="0" w:firstLineChars="0"/>
              <w:jc w:val="center"/>
              <w:rPr>
                <w:sz w:val="21"/>
                <w:szCs w:val="21"/>
              </w:rPr>
            </w:pPr>
            <w:r>
              <w:rPr>
                <w:rFonts w:hint="eastAsia"/>
                <w:sz w:val="21"/>
                <w:szCs w:val="21"/>
              </w:rPr>
              <w:t>0.5</w:t>
            </w:r>
          </w:p>
        </w:tc>
      </w:tr>
      <w:tr w14:paraId="34E0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516378C1">
            <w:pPr>
              <w:spacing w:line="240" w:lineRule="auto"/>
              <w:ind w:firstLine="0" w:firstLineChars="0"/>
              <w:jc w:val="center"/>
              <w:rPr>
                <w:sz w:val="21"/>
                <w:szCs w:val="21"/>
              </w:rPr>
            </w:pPr>
            <w:r>
              <w:rPr>
                <w:rFonts w:hint="eastAsia"/>
                <w:sz w:val="21"/>
                <w:szCs w:val="21"/>
              </w:rPr>
              <w:t>23</w:t>
            </w:r>
          </w:p>
        </w:tc>
        <w:tc>
          <w:tcPr>
            <w:tcW w:w="834" w:type="pct"/>
            <w:vMerge w:val="continue"/>
            <w:tcBorders>
              <w:top w:val="nil"/>
              <w:left w:val="single" w:color="auto" w:sz="4" w:space="0"/>
              <w:bottom w:val="single" w:color="auto" w:sz="4" w:space="0"/>
              <w:right w:val="single" w:color="auto" w:sz="4" w:space="0"/>
            </w:tcBorders>
            <w:vAlign w:val="center"/>
          </w:tcPr>
          <w:p w14:paraId="701C75A1">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0ED98273">
            <w:pPr>
              <w:spacing w:line="240" w:lineRule="auto"/>
              <w:ind w:firstLine="0" w:firstLineChars="0"/>
              <w:jc w:val="left"/>
              <w:rPr>
                <w:sz w:val="21"/>
                <w:szCs w:val="21"/>
              </w:rPr>
            </w:pPr>
            <w:r>
              <w:rPr>
                <w:rFonts w:hint="eastAsia"/>
                <w:sz w:val="21"/>
                <w:szCs w:val="21"/>
              </w:rPr>
              <w:t>因维修不及时</w:t>
            </w:r>
            <w:r>
              <w:rPr>
                <w:rFonts w:hint="eastAsia"/>
                <w:bCs/>
                <w:sz w:val="21"/>
                <w:szCs w:val="21"/>
              </w:rPr>
              <w:t>被新闻媒体曝光。</w:t>
            </w:r>
          </w:p>
        </w:tc>
        <w:tc>
          <w:tcPr>
            <w:tcW w:w="406" w:type="pct"/>
            <w:tcBorders>
              <w:top w:val="single" w:color="auto" w:sz="4" w:space="0"/>
              <w:left w:val="single" w:color="auto" w:sz="4" w:space="0"/>
              <w:bottom w:val="single" w:color="auto" w:sz="4" w:space="0"/>
              <w:right w:val="single" w:color="auto" w:sz="4" w:space="0"/>
            </w:tcBorders>
            <w:vAlign w:val="center"/>
          </w:tcPr>
          <w:p w14:paraId="496E2B0D">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2276712F">
            <w:pPr>
              <w:spacing w:line="240" w:lineRule="auto"/>
              <w:ind w:firstLine="0" w:firstLineChars="0"/>
              <w:jc w:val="center"/>
              <w:rPr>
                <w:sz w:val="21"/>
                <w:szCs w:val="21"/>
              </w:rPr>
            </w:pPr>
            <w:r>
              <w:rPr>
                <w:rFonts w:hint="eastAsia"/>
                <w:sz w:val="21"/>
                <w:szCs w:val="21"/>
              </w:rPr>
              <w:t>1</w:t>
            </w:r>
          </w:p>
        </w:tc>
      </w:tr>
      <w:tr w14:paraId="0E70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314956BD">
            <w:pPr>
              <w:spacing w:line="240" w:lineRule="auto"/>
              <w:ind w:firstLine="0" w:firstLineChars="0"/>
              <w:jc w:val="center"/>
              <w:rPr>
                <w:sz w:val="21"/>
                <w:szCs w:val="21"/>
              </w:rPr>
            </w:pPr>
            <w:r>
              <w:rPr>
                <w:rFonts w:hint="eastAsia"/>
                <w:sz w:val="21"/>
                <w:szCs w:val="21"/>
              </w:rPr>
              <w:t>24</w:t>
            </w:r>
          </w:p>
        </w:tc>
        <w:tc>
          <w:tcPr>
            <w:tcW w:w="834" w:type="pct"/>
            <w:vMerge w:val="continue"/>
            <w:tcBorders>
              <w:top w:val="nil"/>
              <w:left w:val="single" w:color="auto" w:sz="4" w:space="0"/>
              <w:bottom w:val="single" w:color="auto" w:sz="4" w:space="0"/>
              <w:right w:val="single" w:color="auto" w:sz="4" w:space="0"/>
            </w:tcBorders>
            <w:vAlign w:val="center"/>
          </w:tcPr>
          <w:p w14:paraId="6591549E">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136827F0">
            <w:pPr>
              <w:spacing w:line="240" w:lineRule="auto"/>
              <w:ind w:firstLine="0" w:firstLineChars="0"/>
              <w:jc w:val="left"/>
              <w:rPr>
                <w:sz w:val="21"/>
                <w:szCs w:val="21"/>
              </w:rPr>
            </w:pPr>
            <w:r>
              <w:rPr>
                <w:rFonts w:hint="eastAsia"/>
                <w:sz w:val="21"/>
                <w:szCs w:val="21"/>
              </w:rPr>
              <w:t>不听从采购人监督意见的</w:t>
            </w:r>
          </w:p>
        </w:tc>
        <w:tc>
          <w:tcPr>
            <w:tcW w:w="406" w:type="pct"/>
            <w:tcBorders>
              <w:top w:val="single" w:color="auto" w:sz="4" w:space="0"/>
              <w:left w:val="single" w:color="auto" w:sz="4" w:space="0"/>
              <w:bottom w:val="single" w:color="auto" w:sz="4" w:space="0"/>
              <w:right w:val="single" w:color="auto" w:sz="4" w:space="0"/>
            </w:tcBorders>
            <w:vAlign w:val="center"/>
          </w:tcPr>
          <w:p w14:paraId="1DD0E34D">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71ACD4E4">
            <w:pPr>
              <w:spacing w:line="240" w:lineRule="auto"/>
              <w:ind w:firstLine="0" w:firstLineChars="0"/>
              <w:jc w:val="center"/>
              <w:rPr>
                <w:sz w:val="21"/>
                <w:szCs w:val="21"/>
              </w:rPr>
            </w:pPr>
            <w:r>
              <w:rPr>
                <w:rFonts w:hint="eastAsia"/>
                <w:sz w:val="21"/>
                <w:szCs w:val="21"/>
              </w:rPr>
              <w:t>2</w:t>
            </w:r>
          </w:p>
        </w:tc>
      </w:tr>
      <w:tr w14:paraId="61CC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7D8D3CE5">
            <w:pPr>
              <w:spacing w:line="240" w:lineRule="auto"/>
              <w:ind w:firstLine="0" w:firstLineChars="0"/>
              <w:jc w:val="center"/>
              <w:rPr>
                <w:sz w:val="21"/>
                <w:szCs w:val="21"/>
              </w:rPr>
            </w:pPr>
            <w:r>
              <w:rPr>
                <w:rFonts w:hint="eastAsia"/>
                <w:sz w:val="21"/>
                <w:szCs w:val="21"/>
              </w:rPr>
              <w:t>25</w:t>
            </w:r>
          </w:p>
        </w:tc>
        <w:tc>
          <w:tcPr>
            <w:tcW w:w="834" w:type="pct"/>
            <w:vMerge w:val="restart"/>
            <w:tcBorders>
              <w:top w:val="nil"/>
              <w:left w:val="single" w:color="auto" w:sz="4" w:space="0"/>
              <w:bottom w:val="single" w:color="auto" w:sz="4" w:space="0"/>
              <w:right w:val="single" w:color="auto" w:sz="4" w:space="0"/>
            </w:tcBorders>
            <w:vAlign w:val="center"/>
          </w:tcPr>
          <w:p w14:paraId="2E662184">
            <w:pPr>
              <w:spacing w:line="240" w:lineRule="auto"/>
              <w:ind w:firstLine="0" w:firstLineChars="0"/>
              <w:jc w:val="center"/>
              <w:rPr>
                <w:sz w:val="21"/>
                <w:szCs w:val="21"/>
              </w:rPr>
            </w:pPr>
            <w:r>
              <w:rPr>
                <w:rFonts w:hint="eastAsia"/>
                <w:sz w:val="21"/>
                <w:szCs w:val="21"/>
              </w:rPr>
              <w:t>电警设备在线情况</w:t>
            </w:r>
          </w:p>
        </w:tc>
        <w:tc>
          <w:tcPr>
            <w:tcW w:w="2784" w:type="pct"/>
            <w:tcBorders>
              <w:top w:val="single" w:color="auto" w:sz="4" w:space="0"/>
              <w:left w:val="single" w:color="auto" w:sz="4" w:space="0"/>
              <w:bottom w:val="single" w:color="auto" w:sz="4" w:space="0"/>
              <w:right w:val="single" w:color="auto" w:sz="4" w:space="0"/>
            </w:tcBorders>
            <w:vAlign w:val="center"/>
          </w:tcPr>
          <w:p w14:paraId="1F209667">
            <w:pPr>
              <w:spacing w:line="240" w:lineRule="auto"/>
              <w:ind w:firstLine="0" w:firstLineChars="0"/>
              <w:jc w:val="left"/>
              <w:rPr>
                <w:sz w:val="21"/>
                <w:szCs w:val="21"/>
              </w:rPr>
            </w:pPr>
            <w:r>
              <w:rPr>
                <w:rFonts w:hint="eastAsia"/>
                <w:sz w:val="21"/>
                <w:szCs w:val="21"/>
              </w:rPr>
              <w:t>每季度不定期、不限次数抽查设备在线率，普通设备在线率低于95%及以上，重要设备在线率低于99%的</w:t>
            </w:r>
          </w:p>
        </w:tc>
        <w:tc>
          <w:tcPr>
            <w:tcW w:w="406" w:type="pct"/>
            <w:tcBorders>
              <w:top w:val="single" w:color="auto" w:sz="4" w:space="0"/>
              <w:left w:val="single" w:color="auto" w:sz="4" w:space="0"/>
              <w:bottom w:val="single" w:color="auto" w:sz="4" w:space="0"/>
              <w:right w:val="single" w:color="auto" w:sz="4" w:space="0"/>
            </w:tcBorders>
            <w:vAlign w:val="center"/>
          </w:tcPr>
          <w:p w14:paraId="4036B1E7">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0D53C582">
            <w:pPr>
              <w:spacing w:line="240" w:lineRule="auto"/>
              <w:ind w:firstLine="0" w:firstLineChars="0"/>
              <w:jc w:val="center"/>
              <w:rPr>
                <w:sz w:val="21"/>
                <w:szCs w:val="21"/>
              </w:rPr>
            </w:pPr>
            <w:r>
              <w:rPr>
                <w:rFonts w:hint="eastAsia"/>
                <w:sz w:val="21"/>
                <w:szCs w:val="21"/>
              </w:rPr>
              <w:t>0.2</w:t>
            </w:r>
          </w:p>
        </w:tc>
      </w:tr>
      <w:tr w14:paraId="1B6A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0A5B661B">
            <w:pPr>
              <w:spacing w:line="240" w:lineRule="auto"/>
              <w:ind w:firstLine="0" w:firstLineChars="0"/>
              <w:jc w:val="center"/>
              <w:rPr>
                <w:sz w:val="21"/>
                <w:szCs w:val="21"/>
              </w:rPr>
            </w:pPr>
            <w:r>
              <w:rPr>
                <w:rFonts w:hint="eastAsia"/>
                <w:sz w:val="21"/>
                <w:szCs w:val="21"/>
              </w:rPr>
              <w:t>26</w:t>
            </w:r>
          </w:p>
        </w:tc>
        <w:tc>
          <w:tcPr>
            <w:tcW w:w="834" w:type="pct"/>
            <w:vMerge w:val="continue"/>
            <w:tcBorders>
              <w:top w:val="nil"/>
              <w:left w:val="single" w:color="auto" w:sz="4" w:space="0"/>
              <w:bottom w:val="single" w:color="auto" w:sz="4" w:space="0"/>
              <w:right w:val="single" w:color="auto" w:sz="4" w:space="0"/>
            </w:tcBorders>
            <w:vAlign w:val="center"/>
          </w:tcPr>
          <w:p w14:paraId="6F68C56A">
            <w:pPr>
              <w:spacing w:line="240" w:lineRule="auto"/>
              <w:ind w:firstLine="0" w:firstLineChars="0"/>
              <w:jc w:val="center"/>
              <w:rPr>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216A68C6">
            <w:pPr>
              <w:spacing w:line="240" w:lineRule="auto"/>
              <w:ind w:firstLine="0" w:firstLineChars="0"/>
              <w:jc w:val="left"/>
              <w:rPr>
                <w:sz w:val="21"/>
                <w:szCs w:val="21"/>
              </w:rPr>
            </w:pPr>
            <w:r>
              <w:rPr>
                <w:rFonts w:hint="eastAsia"/>
                <w:sz w:val="21"/>
                <w:szCs w:val="21"/>
              </w:rPr>
              <w:t>重点点位单个设备离线时间单次超过8小时（网路问题除外）未处理的</w:t>
            </w:r>
          </w:p>
        </w:tc>
        <w:tc>
          <w:tcPr>
            <w:tcW w:w="406" w:type="pct"/>
            <w:tcBorders>
              <w:top w:val="single" w:color="auto" w:sz="4" w:space="0"/>
              <w:left w:val="single" w:color="auto" w:sz="4" w:space="0"/>
              <w:bottom w:val="single" w:color="auto" w:sz="4" w:space="0"/>
              <w:right w:val="single" w:color="auto" w:sz="4" w:space="0"/>
            </w:tcBorders>
            <w:vAlign w:val="center"/>
          </w:tcPr>
          <w:p w14:paraId="0A4231C0">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287B409C">
            <w:pPr>
              <w:spacing w:line="240" w:lineRule="auto"/>
              <w:ind w:firstLine="0" w:firstLineChars="0"/>
              <w:jc w:val="center"/>
              <w:rPr>
                <w:sz w:val="21"/>
                <w:szCs w:val="21"/>
              </w:rPr>
            </w:pPr>
            <w:r>
              <w:rPr>
                <w:rFonts w:hint="eastAsia"/>
                <w:sz w:val="21"/>
                <w:szCs w:val="21"/>
              </w:rPr>
              <w:t>0.2</w:t>
            </w:r>
          </w:p>
        </w:tc>
      </w:tr>
      <w:tr w14:paraId="2021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5A1C7C9D">
            <w:pPr>
              <w:spacing w:line="240" w:lineRule="auto"/>
              <w:ind w:firstLine="0" w:firstLineChars="0"/>
              <w:jc w:val="center"/>
              <w:rPr>
                <w:sz w:val="21"/>
                <w:szCs w:val="21"/>
              </w:rPr>
            </w:pPr>
            <w:r>
              <w:rPr>
                <w:rFonts w:hint="eastAsia"/>
                <w:sz w:val="21"/>
                <w:szCs w:val="21"/>
              </w:rPr>
              <w:t>27</w:t>
            </w:r>
          </w:p>
        </w:tc>
        <w:tc>
          <w:tcPr>
            <w:tcW w:w="834" w:type="pct"/>
            <w:vMerge w:val="restart"/>
            <w:tcBorders>
              <w:top w:val="nil"/>
              <w:left w:val="single" w:color="auto" w:sz="4" w:space="0"/>
              <w:bottom w:val="single" w:color="auto" w:sz="4" w:space="0"/>
              <w:right w:val="single" w:color="auto" w:sz="4" w:space="0"/>
            </w:tcBorders>
            <w:vAlign w:val="center"/>
          </w:tcPr>
          <w:p w14:paraId="11E56B87">
            <w:pPr>
              <w:spacing w:line="240" w:lineRule="auto"/>
              <w:ind w:firstLine="0" w:firstLineChars="0"/>
              <w:jc w:val="center"/>
              <w:rPr>
                <w:bCs/>
                <w:sz w:val="21"/>
                <w:szCs w:val="21"/>
              </w:rPr>
            </w:pPr>
            <w:r>
              <w:rPr>
                <w:rFonts w:hint="eastAsia"/>
                <w:bCs/>
                <w:sz w:val="21"/>
                <w:szCs w:val="21"/>
              </w:rPr>
              <w:t>服从采购人监督的情况投诉情况</w:t>
            </w:r>
          </w:p>
        </w:tc>
        <w:tc>
          <w:tcPr>
            <w:tcW w:w="2784" w:type="pct"/>
            <w:tcBorders>
              <w:top w:val="single" w:color="auto" w:sz="4" w:space="0"/>
              <w:left w:val="single" w:color="auto" w:sz="4" w:space="0"/>
              <w:bottom w:val="single" w:color="auto" w:sz="4" w:space="0"/>
              <w:right w:val="single" w:color="auto" w:sz="4" w:space="0"/>
            </w:tcBorders>
            <w:vAlign w:val="center"/>
          </w:tcPr>
          <w:p w14:paraId="295AE160">
            <w:pPr>
              <w:spacing w:line="240" w:lineRule="auto"/>
              <w:ind w:firstLine="0" w:firstLineChars="0"/>
              <w:jc w:val="left"/>
              <w:rPr>
                <w:sz w:val="21"/>
                <w:szCs w:val="21"/>
              </w:rPr>
            </w:pPr>
            <w:r>
              <w:rPr>
                <w:rFonts w:hint="eastAsia"/>
                <w:sz w:val="21"/>
                <w:szCs w:val="21"/>
              </w:rPr>
              <w:t>不执行采购人安排的施工或维保顺序的</w:t>
            </w:r>
          </w:p>
        </w:tc>
        <w:tc>
          <w:tcPr>
            <w:tcW w:w="406" w:type="pct"/>
            <w:tcBorders>
              <w:top w:val="single" w:color="auto" w:sz="4" w:space="0"/>
              <w:left w:val="single" w:color="auto" w:sz="4" w:space="0"/>
              <w:bottom w:val="single" w:color="auto" w:sz="4" w:space="0"/>
              <w:right w:val="single" w:color="auto" w:sz="4" w:space="0"/>
            </w:tcBorders>
            <w:vAlign w:val="center"/>
          </w:tcPr>
          <w:p w14:paraId="1E84F6B8">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6DF9B853">
            <w:pPr>
              <w:spacing w:line="240" w:lineRule="auto"/>
              <w:ind w:firstLine="0" w:firstLineChars="0"/>
              <w:jc w:val="center"/>
              <w:rPr>
                <w:sz w:val="21"/>
                <w:szCs w:val="21"/>
              </w:rPr>
            </w:pPr>
            <w:r>
              <w:rPr>
                <w:rFonts w:hint="eastAsia"/>
                <w:sz w:val="21"/>
                <w:szCs w:val="21"/>
              </w:rPr>
              <w:t>0.2</w:t>
            </w:r>
          </w:p>
        </w:tc>
      </w:tr>
      <w:tr w14:paraId="45DF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33C58C24">
            <w:pPr>
              <w:spacing w:line="240" w:lineRule="auto"/>
              <w:ind w:firstLine="0" w:firstLineChars="0"/>
              <w:jc w:val="center"/>
              <w:rPr>
                <w:sz w:val="21"/>
                <w:szCs w:val="21"/>
              </w:rPr>
            </w:pPr>
            <w:r>
              <w:rPr>
                <w:rFonts w:hint="eastAsia"/>
                <w:sz w:val="21"/>
                <w:szCs w:val="21"/>
              </w:rPr>
              <w:t>28</w:t>
            </w:r>
          </w:p>
        </w:tc>
        <w:tc>
          <w:tcPr>
            <w:tcW w:w="834" w:type="pct"/>
            <w:vMerge w:val="continue"/>
            <w:tcBorders>
              <w:top w:val="nil"/>
              <w:left w:val="single" w:color="auto" w:sz="4" w:space="0"/>
              <w:bottom w:val="single" w:color="auto" w:sz="4" w:space="0"/>
              <w:right w:val="single" w:color="auto" w:sz="4" w:space="0"/>
            </w:tcBorders>
            <w:vAlign w:val="center"/>
          </w:tcPr>
          <w:p w14:paraId="3C9E0736">
            <w:pPr>
              <w:spacing w:line="240" w:lineRule="auto"/>
              <w:ind w:firstLine="0" w:firstLineChars="0"/>
              <w:jc w:val="center"/>
              <w:rPr>
                <w:bCs/>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15877D0F">
            <w:pPr>
              <w:spacing w:line="240" w:lineRule="auto"/>
              <w:ind w:firstLine="0" w:firstLineChars="0"/>
              <w:jc w:val="left"/>
              <w:rPr>
                <w:sz w:val="21"/>
                <w:szCs w:val="21"/>
              </w:rPr>
            </w:pPr>
            <w:r>
              <w:rPr>
                <w:rFonts w:hint="eastAsia"/>
                <w:sz w:val="21"/>
                <w:szCs w:val="21"/>
              </w:rPr>
              <w:t>发生涉交安信号的交通事故及认为损坏，超中标价向责任人索赔的</w:t>
            </w:r>
          </w:p>
        </w:tc>
        <w:tc>
          <w:tcPr>
            <w:tcW w:w="406" w:type="pct"/>
            <w:tcBorders>
              <w:top w:val="single" w:color="auto" w:sz="4" w:space="0"/>
              <w:left w:val="single" w:color="auto" w:sz="4" w:space="0"/>
              <w:bottom w:val="single" w:color="auto" w:sz="4" w:space="0"/>
              <w:right w:val="single" w:color="auto" w:sz="4" w:space="0"/>
            </w:tcBorders>
            <w:vAlign w:val="center"/>
          </w:tcPr>
          <w:p w14:paraId="09D56525">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5A95F4DC">
            <w:pPr>
              <w:spacing w:line="240" w:lineRule="auto"/>
              <w:ind w:firstLine="0" w:firstLineChars="0"/>
              <w:jc w:val="center"/>
              <w:rPr>
                <w:sz w:val="21"/>
                <w:szCs w:val="21"/>
              </w:rPr>
            </w:pPr>
            <w:r>
              <w:rPr>
                <w:rFonts w:hint="eastAsia"/>
                <w:sz w:val="21"/>
                <w:szCs w:val="21"/>
              </w:rPr>
              <w:t>0.3</w:t>
            </w:r>
          </w:p>
        </w:tc>
      </w:tr>
      <w:tr w14:paraId="7FD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2D2AB82C">
            <w:pPr>
              <w:spacing w:line="240" w:lineRule="auto"/>
              <w:ind w:firstLine="0" w:firstLineChars="0"/>
              <w:jc w:val="center"/>
              <w:rPr>
                <w:sz w:val="21"/>
                <w:szCs w:val="21"/>
              </w:rPr>
            </w:pPr>
            <w:r>
              <w:rPr>
                <w:rFonts w:hint="eastAsia"/>
                <w:sz w:val="21"/>
                <w:szCs w:val="21"/>
              </w:rPr>
              <w:t>29</w:t>
            </w:r>
          </w:p>
        </w:tc>
        <w:tc>
          <w:tcPr>
            <w:tcW w:w="834" w:type="pct"/>
            <w:vMerge w:val="restart"/>
            <w:tcBorders>
              <w:top w:val="nil"/>
              <w:left w:val="single" w:color="auto" w:sz="4" w:space="0"/>
              <w:bottom w:val="single" w:color="auto" w:sz="4" w:space="0"/>
              <w:right w:val="single" w:color="auto" w:sz="4" w:space="0"/>
            </w:tcBorders>
            <w:vAlign w:val="center"/>
          </w:tcPr>
          <w:p w14:paraId="5AE83092">
            <w:pPr>
              <w:spacing w:line="240" w:lineRule="auto"/>
              <w:ind w:firstLine="0" w:firstLineChars="0"/>
              <w:jc w:val="center"/>
              <w:rPr>
                <w:bCs/>
                <w:sz w:val="21"/>
                <w:szCs w:val="21"/>
              </w:rPr>
            </w:pPr>
            <w:r>
              <w:rPr>
                <w:rFonts w:hint="eastAsia"/>
                <w:bCs/>
                <w:sz w:val="21"/>
                <w:szCs w:val="21"/>
              </w:rPr>
              <w:t>文明施工及安全防护等情况</w:t>
            </w:r>
          </w:p>
        </w:tc>
        <w:tc>
          <w:tcPr>
            <w:tcW w:w="2784" w:type="pct"/>
            <w:tcBorders>
              <w:top w:val="single" w:color="auto" w:sz="4" w:space="0"/>
              <w:left w:val="single" w:color="auto" w:sz="4" w:space="0"/>
              <w:bottom w:val="single" w:color="auto" w:sz="4" w:space="0"/>
              <w:right w:val="single" w:color="auto" w:sz="4" w:space="0"/>
            </w:tcBorders>
            <w:vAlign w:val="center"/>
          </w:tcPr>
          <w:p w14:paraId="189C40E9">
            <w:pPr>
              <w:spacing w:line="240" w:lineRule="auto"/>
              <w:ind w:firstLine="0" w:firstLineChars="0"/>
              <w:jc w:val="left"/>
              <w:rPr>
                <w:sz w:val="21"/>
                <w:szCs w:val="21"/>
              </w:rPr>
            </w:pPr>
            <w:r>
              <w:rPr>
                <w:rFonts w:hint="eastAsia"/>
                <w:sz w:val="21"/>
                <w:szCs w:val="21"/>
              </w:rPr>
              <w:t>施工及车辆停放未做好安全防护的</w:t>
            </w:r>
          </w:p>
        </w:tc>
        <w:tc>
          <w:tcPr>
            <w:tcW w:w="406" w:type="pct"/>
            <w:tcBorders>
              <w:top w:val="single" w:color="auto" w:sz="4" w:space="0"/>
              <w:left w:val="single" w:color="auto" w:sz="4" w:space="0"/>
              <w:bottom w:val="single" w:color="auto" w:sz="4" w:space="0"/>
              <w:right w:val="single" w:color="auto" w:sz="4" w:space="0"/>
            </w:tcBorders>
            <w:vAlign w:val="center"/>
          </w:tcPr>
          <w:p w14:paraId="3D72E564">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7BD6F063">
            <w:pPr>
              <w:spacing w:line="240" w:lineRule="auto"/>
              <w:ind w:firstLine="0" w:firstLineChars="0"/>
              <w:jc w:val="center"/>
              <w:rPr>
                <w:sz w:val="21"/>
                <w:szCs w:val="21"/>
              </w:rPr>
            </w:pPr>
            <w:r>
              <w:rPr>
                <w:rFonts w:hint="eastAsia"/>
                <w:sz w:val="21"/>
                <w:szCs w:val="21"/>
              </w:rPr>
              <w:t>0.1</w:t>
            </w:r>
          </w:p>
        </w:tc>
      </w:tr>
      <w:tr w14:paraId="4B1A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0E6B2E07">
            <w:pPr>
              <w:spacing w:line="240" w:lineRule="auto"/>
              <w:ind w:firstLine="0" w:firstLineChars="0"/>
              <w:jc w:val="center"/>
              <w:rPr>
                <w:sz w:val="21"/>
                <w:szCs w:val="21"/>
              </w:rPr>
            </w:pPr>
            <w:r>
              <w:rPr>
                <w:rFonts w:hint="eastAsia"/>
                <w:sz w:val="21"/>
                <w:szCs w:val="21"/>
              </w:rPr>
              <w:t>30</w:t>
            </w:r>
          </w:p>
        </w:tc>
        <w:tc>
          <w:tcPr>
            <w:tcW w:w="834" w:type="pct"/>
            <w:vMerge w:val="continue"/>
            <w:tcBorders>
              <w:top w:val="nil"/>
              <w:left w:val="single" w:color="auto" w:sz="4" w:space="0"/>
              <w:bottom w:val="single" w:color="auto" w:sz="4" w:space="0"/>
              <w:right w:val="single" w:color="auto" w:sz="4" w:space="0"/>
            </w:tcBorders>
            <w:vAlign w:val="center"/>
          </w:tcPr>
          <w:p w14:paraId="40D1799E">
            <w:pPr>
              <w:spacing w:line="240" w:lineRule="auto"/>
              <w:ind w:firstLine="0" w:firstLineChars="0"/>
              <w:jc w:val="center"/>
              <w:rPr>
                <w:bCs/>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3F336948">
            <w:pPr>
              <w:spacing w:line="240" w:lineRule="auto"/>
              <w:ind w:firstLine="0" w:firstLineChars="0"/>
              <w:jc w:val="left"/>
              <w:rPr>
                <w:sz w:val="21"/>
                <w:szCs w:val="21"/>
              </w:rPr>
            </w:pPr>
            <w:r>
              <w:rPr>
                <w:rFonts w:hint="eastAsia"/>
                <w:sz w:val="21"/>
                <w:szCs w:val="21"/>
              </w:rPr>
              <w:t>因施工不当造成交通堵塞或引起交通事故的</w:t>
            </w:r>
          </w:p>
        </w:tc>
        <w:tc>
          <w:tcPr>
            <w:tcW w:w="406" w:type="pct"/>
            <w:tcBorders>
              <w:top w:val="single" w:color="auto" w:sz="4" w:space="0"/>
              <w:left w:val="single" w:color="auto" w:sz="4" w:space="0"/>
              <w:bottom w:val="single" w:color="auto" w:sz="4" w:space="0"/>
              <w:right w:val="single" w:color="auto" w:sz="4" w:space="0"/>
            </w:tcBorders>
            <w:vAlign w:val="center"/>
          </w:tcPr>
          <w:p w14:paraId="325AC28D">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5EE67B6E">
            <w:pPr>
              <w:spacing w:line="240" w:lineRule="auto"/>
              <w:ind w:firstLine="0" w:firstLineChars="0"/>
              <w:jc w:val="center"/>
              <w:rPr>
                <w:sz w:val="21"/>
                <w:szCs w:val="21"/>
              </w:rPr>
            </w:pPr>
            <w:r>
              <w:rPr>
                <w:rFonts w:hint="eastAsia"/>
                <w:sz w:val="21"/>
                <w:szCs w:val="21"/>
              </w:rPr>
              <w:t>1</w:t>
            </w:r>
          </w:p>
        </w:tc>
      </w:tr>
      <w:tr w14:paraId="452C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41846F25">
            <w:pPr>
              <w:spacing w:line="240" w:lineRule="auto"/>
              <w:ind w:firstLine="0" w:firstLineChars="0"/>
              <w:jc w:val="center"/>
              <w:rPr>
                <w:sz w:val="21"/>
                <w:szCs w:val="21"/>
              </w:rPr>
            </w:pPr>
            <w:r>
              <w:rPr>
                <w:rFonts w:hint="eastAsia"/>
                <w:sz w:val="21"/>
                <w:szCs w:val="21"/>
              </w:rPr>
              <w:t>31</w:t>
            </w:r>
          </w:p>
        </w:tc>
        <w:tc>
          <w:tcPr>
            <w:tcW w:w="834" w:type="pct"/>
            <w:vMerge w:val="restart"/>
            <w:tcBorders>
              <w:top w:val="nil"/>
              <w:left w:val="single" w:color="auto" w:sz="4" w:space="0"/>
              <w:bottom w:val="single" w:color="auto" w:sz="4" w:space="0"/>
              <w:right w:val="single" w:color="auto" w:sz="4" w:space="0"/>
            </w:tcBorders>
            <w:vAlign w:val="center"/>
          </w:tcPr>
          <w:p w14:paraId="10A8A627">
            <w:pPr>
              <w:spacing w:line="240" w:lineRule="auto"/>
              <w:ind w:firstLine="0" w:firstLineChars="0"/>
              <w:jc w:val="center"/>
              <w:rPr>
                <w:bCs/>
                <w:sz w:val="21"/>
                <w:szCs w:val="21"/>
              </w:rPr>
            </w:pPr>
            <w:r>
              <w:rPr>
                <w:rFonts w:hint="eastAsia"/>
                <w:bCs/>
                <w:sz w:val="21"/>
                <w:szCs w:val="21"/>
              </w:rPr>
              <w:t>落实节假日及恶劣天气应急处置措施的加强和完成情况</w:t>
            </w:r>
          </w:p>
        </w:tc>
        <w:tc>
          <w:tcPr>
            <w:tcW w:w="2784" w:type="pct"/>
            <w:tcBorders>
              <w:top w:val="single" w:color="auto" w:sz="4" w:space="0"/>
              <w:left w:val="single" w:color="auto" w:sz="4" w:space="0"/>
              <w:bottom w:val="single" w:color="auto" w:sz="4" w:space="0"/>
              <w:right w:val="single" w:color="auto" w:sz="4" w:space="0"/>
            </w:tcBorders>
            <w:vAlign w:val="center"/>
          </w:tcPr>
          <w:p w14:paraId="30FAD320">
            <w:pPr>
              <w:spacing w:line="240" w:lineRule="auto"/>
              <w:ind w:firstLine="0" w:firstLineChars="0"/>
              <w:jc w:val="left"/>
              <w:rPr>
                <w:sz w:val="21"/>
                <w:szCs w:val="21"/>
              </w:rPr>
            </w:pPr>
            <w:r>
              <w:rPr>
                <w:rFonts w:hint="eastAsia"/>
                <w:sz w:val="21"/>
                <w:szCs w:val="21"/>
              </w:rPr>
              <w:t>未能加大巡检频次和范围的</w:t>
            </w:r>
          </w:p>
        </w:tc>
        <w:tc>
          <w:tcPr>
            <w:tcW w:w="406" w:type="pct"/>
            <w:tcBorders>
              <w:top w:val="single" w:color="auto" w:sz="4" w:space="0"/>
              <w:left w:val="single" w:color="auto" w:sz="4" w:space="0"/>
              <w:bottom w:val="single" w:color="auto" w:sz="4" w:space="0"/>
              <w:right w:val="single" w:color="auto" w:sz="4" w:space="0"/>
            </w:tcBorders>
            <w:vAlign w:val="center"/>
          </w:tcPr>
          <w:p w14:paraId="21824BDE">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1EA543F0">
            <w:pPr>
              <w:spacing w:line="240" w:lineRule="auto"/>
              <w:ind w:firstLine="0" w:firstLineChars="0"/>
              <w:jc w:val="center"/>
              <w:rPr>
                <w:sz w:val="21"/>
                <w:szCs w:val="21"/>
              </w:rPr>
            </w:pPr>
            <w:r>
              <w:rPr>
                <w:rFonts w:hint="eastAsia"/>
                <w:sz w:val="21"/>
                <w:szCs w:val="21"/>
              </w:rPr>
              <w:t>0.2</w:t>
            </w:r>
          </w:p>
        </w:tc>
      </w:tr>
      <w:tr w14:paraId="2CFB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4928304D">
            <w:pPr>
              <w:spacing w:line="240" w:lineRule="auto"/>
              <w:ind w:firstLine="0" w:firstLineChars="0"/>
              <w:jc w:val="center"/>
              <w:rPr>
                <w:sz w:val="21"/>
                <w:szCs w:val="21"/>
              </w:rPr>
            </w:pPr>
            <w:r>
              <w:rPr>
                <w:rFonts w:hint="eastAsia"/>
                <w:sz w:val="21"/>
                <w:szCs w:val="21"/>
              </w:rPr>
              <w:t>32</w:t>
            </w:r>
          </w:p>
        </w:tc>
        <w:tc>
          <w:tcPr>
            <w:tcW w:w="834" w:type="pct"/>
            <w:vMerge w:val="continue"/>
            <w:tcBorders>
              <w:top w:val="nil"/>
              <w:left w:val="single" w:color="auto" w:sz="4" w:space="0"/>
              <w:bottom w:val="single" w:color="auto" w:sz="4" w:space="0"/>
              <w:right w:val="single" w:color="auto" w:sz="4" w:space="0"/>
            </w:tcBorders>
            <w:vAlign w:val="center"/>
          </w:tcPr>
          <w:p w14:paraId="25D1E1E6">
            <w:pPr>
              <w:spacing w:line="240" w:lineRule="auto"/>
              <w:ind w:firstLine="0" w:firstLineChars="0"/>
              <w:jc w:val="center"/>
              <w:rPr>
                <w:bCs/>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7FD40BEB">
            <w:pPr>
              <w:spacing w:line="240" w:lineRule="auto"/>
              <w:ind w:firstLine="0" w:firstLineChars="0"/>
              <w:jc w:val="left"/>
              <w:rPr>
                <w:sz w:val="21"/>
                <w:szCs w:val="21"/>
              </w:rPr>
            </w:pPr>
            <w:r>
              <w:rPr>
                <w:rFonts w:hint="eastAsia"/>
                <w:sz w:val="21"/>
                <w:szCs w:val="21"/>
              </w:rPr>
              <w:t>未能制定应急处置预案和增强应急处置力量的</w:t>
            </w:r>
          </w:p>
        </w:tc>
        <w:tc>
          <w:tcPr>
            <w:tcW w:w="406" w:type="pct"/>
            <w:tcBorders>
              <w:top w:val="single" w:color="auto" w:sz="4" w:space="0"/>
              <w:left w:val="single" w:color="auto" w:sz="4" w:space="0"/>
              <w:bottom w:val="single" w:color="auto" w:sz="4" w:space="0"/>
              <w:right w:val="single" w:color="auto" w:sz="4" w:space="0"/>
            </w:tcBorders>
            <w:vAlign w:val="center"/>
          </w:tcPr>
          <w:p w14:paraId="04DA2EA3">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413BC4DC">
            <w:pPr>
              <w:spacing w:line="240" w:lineRule="auto"/>
              <w:ind w:firstLine="0" w:firstLineChars="0"/>
              <w:jc w:val="center"/>
              <w:rPr>
                <w:sz w:val="21"/>
                <w:szCs w:val="21"/>
              </w:rPr>
            </w:pPr>
            <w:r>
              <w:rPr>
                <w:rFonts w:hint="eastAsia"/>
                <w:sz w:val="21"/>
                <w:szCs w:val="21"/>
              </w:rPr>
              <w:t>0.2</w:t>
            </w:r>
          </w:p>
        </w:tc>
      </w:tr>
      <w:tr w14:paraId="1406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58E958DE">
            <w:pPr>
              <w:spacing w:line="240" w:lineRule="auto"/>
              <w:ind w:firstLine="0" w:firstLineChars="0"/>
              <w:jc w:val="center"/>
              <w:rPr>
                <w:sz w:val="21"/>
                <w:szCs w:val="21"/>
              </w:rPr>
            </w:pPr>
            <w:r>
              <w:rPr>
                <w:rFonts w:hint="eastAsia"/>
                <w:sz w:val="21"/>
                <w:szCs w:val="21"/>
              </w:rPr>
              <w:t>33</w:t>
            </w:r>
          </w:p>
        </w:tc>
        <w:tc>
          <w:tcPr>
            <w:tcW w:w="834" w:type="pct"/>
            <w:vMerge w:val="restart"/>
            <w:tcBorders>
              <w:top w:val="nil"/>
              <w:left w:val="single" w:color="auto" w:sz="4" w:space="0"/>
              <w:bottom w:val="single" w:color="auto" w:sz="4" w:space="0"/>
              <w:right w:val="single" w:color="auto" w:sz="4" w:space="0"/>
            </w:tcBorders>
            <w:vAlign w:val="center"/>
          </w:tcPr>
          <w:p w14:paraId="0B0324CD">
            <w:pPr>
              <w:spacing w:line="240" w:lineRule="auto"/>
              <w:ind w:firstLine="0" w:firstLineChars="0"/>
              <w:jc w:val="center"/>
              <w:rPr>
                <w:bCs/>
                <w:sz w:val="21"/>
                <w:szCs w:val="21"/>
              </w:rPr>
            </w:pPr>
            <w:r>
              <w:rPr>
                <w:rFonts w:hint="eastAsia"/>
                <w:bCs/>
                <w:sz w:val="21"/>
                <w:szCs w:val="21"/>
              </w:rPr>
              <w:t>交通优化情况</w:t>
            </w:r>
          </w:p>
        </w:tc>
        <w:tc>
          <w:tcPr>
            <w:tcW w:w="2784" w:type="pct"/>
            <w:tcBorders>
              <w:top w:val="single" w:color="auto" w:sz="4" w:space="0"/>
              <w:left w:val="single" w:color="auto" w:sz="4" w:space="0"/>
              <w:bottom w:val="single" w:color="auto" w:sz="4" w:space="0"/>
              <w:right w:val="single" w:color="auto" w:sz="4" w:space="0"/>
            </w:tcBorders>
            <w:vAlign w:val="center"/>
          </w:tcPr>
          <w:p w14:paraId="12A79262">
            <w:pPr>
              <w:spacing w:line="240" w:lineRule="auto"/>
              <w:ind w:firstLine="0" w:firstLineChars="0"/>
              <w:jc w:val="left"/>
              <w:rPr>
                <w:sz w:val="21"/>
                <w:szCs w:val="21"/>
              </w:rPr>
            </w:pPr>
            <w:r>
              <w:rPr>
                <w:rFonts w:hint="eastAsia"/>
                <w:sz w:val="21"/>
                <w:szCs w:val="21"/>
              </w:rPr>
              <w:t>配时方案精细程度不够，导致出现严重拥堵或不良影响。</w:t>
            </w:r>
          </w:p>
        </w:tc>
        <w:tc>
          <w:tcPr>
            <w:tcW w:w="406" w:type="pct"/>
            <w:tcBorders>
              <w:top w:val="single" w:color="auto" w:sz="4" w:space="0"/>
              <w:left w:val="single" w:color="auto" w:sz="4" w:space="0"/>
              <w:bottom w:val="single" w:color="auto" w:sz="4" w:space="0"/>
              <w:right w:val="single" w:color="auto" w:sz="4" w:space="0"/>
            </w:tcBorders>
            <w:vAlign w:val="center"/>
          </w:tcPr>
          <w:p w14:paraId="41A77F23">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51C52AC5">
            <w:pPr>
              <w:spacing w:line="240" w:lineRule="auto"/>
              <w:ind w:firstLine="0" w:firstLineChars="0"/>
              <w:jc w:val="center"/>
              <w:rPr>
                <w:sz w:val="21"/>
                <w:szCs w:val="21"/>
              </w:rPr>
            </w:pPr>
            <w:r>
              <w:rPr>
                <w:rFonts w:hint="eastAsia"/>
                <w:sz w:val="21"/>
                <w:szCs w:val="21"/>
              </w:rPr>
              <w:t>1</w:t>
            </w:r>
          </w:p>
        </w:tc>
      </w:tr>
      <w:tr w14:paraId="43CD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5DFD7DDB">
            <w:pPr>
              <w:spacing w:line="240" w:lineRule="auto"/>
              <w:ind w:firstLine="0" w:firstLineChars="0"/>
              <w:jc w:val="center"/>
              <w:rPr>
                <w:sz w:val="21"/>
                <w:szCs w:val="21"/>
              </w:rPr>
            </w:pPr>
            <w:r>
              <w:rPr>
                <w:rFonts w:hint="eastAsia"/>
                <w:sz w:val="21"/>
                <w:szCs w:val="21"/>
              </w:rPr>
              <w:t>34</w:t>
            </w:r>
          </w:p>
        </w:tc>
        <w:tc>
          <w:tcPr>
            <w:tcW w:w="834" w:type="pct"/>
            <w:vMerge w:val="continue"/>
            <w:tcBorders>
              <w:top w:val="nil"/>
              <w:left w:val="single" w:color="auto" w:sz="4" w:space="0"/>
              <w:bottom w:val="single" w:color="auto" w:sz="4" w:space="0"/>
              <w:right w:val="single" w:color="auto" w:sz="4" w:space="0"/>
            </w:tcBorders>
            <w:vAlign w:val="center"/>
          </w:tcPr>
          <w:p w14:paraId="60D227F4">
            <w:pPr>
              <w:spacing w:line="240" w:lineRule="auto"/>
              <w:ind w:firstLine="0" w:firstLineChars="0"/>
              <w:jc w:val="center"/>
              <w:rPr>
                <w:bCs/>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79539CF8">
            <w:pPr>
              <w:spacing w:line="240" w:lineRule="auto"/>
              <w:ind w:firstLine="0" w:firstLineChars="0"/>
              <w:jc w:val="left"/>
              <w:rPr>
                <w:sz w:val="21"/>
                <w:szCs w:val="21"/>
              </w:rPr>
            </w:pPr>
            <w:r>
              <w:rPr>
                <w:rFonts w:hint="eastAsia"/>
                <w:sz w:val="21"/>
                <w:szCs w:val="21"/>
              </w:rPr>
              <w:t>在当月信号优化道路中，方案不能保证停车一次平均连续通过三处交叉口。</w:t>
            </w:r>
          </w:p>
        </w:tc>
        <w:tc>
          <w:tcPr>
            <w:tcW w:w="406" w:type="pct"/>
            <w:tcBorders>
              <w:top w:val="single" w:color="auto" w:sz="4" w:space="0"/>
              <w:left w:val="single" w:color="auto" w:sz="4" w:space="0"/>
              <w:bottom w:val="single" w:color="auto" w:sz="4" w:space="0"/>
              <w:right w:val="single" w:color="auto" w:sz="4" w:space="0"/>
            </w:tcBorders>
            <w:vAlign w:val="center"/>
          </w:tcPr>
          <w:p w14:paraId="17B9D46D">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4F1716AA">
            <w:pPr>
              <w:spacing w:line="240" w:lineRule="auto"/>
              <w:ind w:firstLine="0" w:firstLineChars="0"/>
              <w:jc w:val="center"/>
              <w:rPr>
                <w:sz w:val="21"/>
                <w:szCs w:val="21"/>
              </w:rPr>
            </w:pPr>
            <w:r>
              <w:rPr>
                <w:rFonts w:hint="eastAsia"/>
                <w:sz w:val="21"/>
                <w:szCs w:val="21"/>
              </w:rPr>
              <w:t>1</w:t>
            </w:r>
          </w:p>
        </w:tc>
      </w:tr>
      <w:tr w14:paraId="1033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36F6C9CC">
            <w:pPr>
              <w:spacing w:line="240" w:lineRule="auto"/>
              <w:ind w:firstLine="0" w:firstLineChars="0"/>
              <w:jc w:val="center"/>
              <w:rPr>
                <w:sz w:val="21"/>
                <w:szCs w:val="21"/>
              </w:rPr>
            </w:pPr>
            <w:r>
              <w:rPr>
                <w:rFonts w:hint="eastAsia"/>
                <w:sz w:val="21"/>
                <w:szCs w:val="21"/>
              </w:rPr>
              <w:t>35</w:t>
            </w:r>
          </w:p>
        </w:tc>
        <w:tc>
          <w:tcPr>
            <w:tcW w:w="834" w:type="pct"/>
            <w:vMerge w:val="continue"/>
            <w:tcBorders>
              <w:top w:val="nil"/>
              <w:left w:val="single" w:color="auto" w:sz="4" w:space="0"/>
              <w:bottom w:val="single" w:color="auto" w:sz="4" w:space="0"/>
              <w:right w:val="single" w:color="auto" w:sz="4" w:space="0"/>
            </w:tcBorders>
            <w:vAlign w:val="center"/>
          </w:tcPr>
          <w:p w14:paraId="34A86EED">
            <w:pPr>
              <w:spacing w:line="240" w:lineRule="auto"/>
              <w:ind w:firstLine="0" w:firstLineChars="0"/>
              <w:jc w:val="center"/>
              <w:rPr>
                <w:bCs/>
                <w:sz w:val="21"/>
                <w:szCs w:val="21"/>
              </w:rPr>
            </w:pPr>
          </w:p>
        </w:tc>
        <w:tc>
          <w:tcPr>
            <w:tcW w:w="2784" w:type="pct"/>
            <w:tcBorders>
              <w:top w:val="single" w:color="auto" w:sz="4" w:space="0"/>
              <w:left w:val="single" w:color="auto" w:sz="4" w:space="0"/>
              <w:bottom w:val="single" w:color="auto" w:sz="4" w:space="0"/>
              <w:right w:val="single" w:color="auto" w:sz="4" w:space="0"/>
            </w:tcBorders>
            <w:vAlign w:val="center"/>
          </w:tcPr>
          <w:p w14:paraId="3CB44F71">
            <w:pPr>
              <w:spacing w:line="240" w:lineRule="auto"/>
              <w:ind w:firstLine="0" w:firstLineChars="0"/>
              <w:jc w:val="left"/>
              <w:rPr>
                <w:sz w:val="21"/>
                <w:szCs w:val="21"/>
              </w:rPr>
            </w:pPr>
            <w:r>
              <w:rPr>
                <w:rFonts w:hint="eastAsia"/>
                <w:sz w:val="21"/>
                <w:szCs w:val="21"/>
              </w:rPr>
              <w:t>信号配时方案出现明显错误可能会存在安全隐患。</w:t>
            </w:r>
          </w:p>
        </w:tc>
        <w:tc>
          <w:tcPr>
            <w:tcW w:w="406" w:type="pct"/>
            <w:tcBorders>
              <w:top w:val="single" w:color="auto" w:sz="4" w:space="0"/>
              <w:left w:val="single" w:color="auto" w:sz="4" w:space="0"/>
              <w:bottom w:val="single" w:color="auto" w:sz="4" w:space="0"/>
              <w:right w:val="single" w:color="auto" w:sz="4" w:space="0"/>
            </w:tcBorders>
            <w:vAlign w:val="center"/>
          </w:tcPr>
          <w:p w14:paraId="6C58779E">
            <w:pPr>
              <w:spacing w:line="240" w:lineRule="auto"/>
              <w:ind w:firstLine="0" w:firstLineChars="0"/>
              <w:jc w:val="center"/>
              <w:rPr>
                <w:sz w:val="21"/>
                <w:szCs w:val="21"/>
              </w:rPr>
            </w:pPr>
            <w:r>
              <w:rPr>
                <w:rFonts w:hint="eastAsia"/>
                <w:sz w:val="21"/>
                <w:szCs w:val="21"/>
              </w:rPr>
              <w:t>次</w:t>
            </w:r>
          </w:p>
        </w:tc>
        <w:tc>
          <w:tcPr>
            <w:tcW w:w="531" w:type="pct"/>
            <w:tcBorders>
              <w:top w:val="single" w:color="auto" w:sz="4" w:space="0"/>
              <w:left w:val="single" w:color="auto" w:sz="4" w:space="0"/>
              <w:bottom w:val="single" w:color="auto" w:sz="4" w:space="0"/>
              <w:right w:val="single" w:color="auto" w:sz="4" w:space="0"/>
            </w:tcBorders>
            <w:vAlign w:val="center"/>
          </w:tcPr>
          <w:p w14:paraId="18F1D2E0">
            <w:pPr>
              <w:spacing w:line="240" w:lineRule="auto"/>
              <w:ind w:firstLine="0" w:firstLineChars="0"/>
              <w:jc w:val="center"/>
              <w:rPr>
                <w:sz w:val="21"/>
                <w:szCs w:val="21"/>
              </w:rPr>
            </w:pPr>
            <w:r>
              <w:rPr>
                <w:rFonts w:hint="eastAsia"/>
                <w:sz w:val="21"/>
                <w:szCs w:val="21"/>
              </w:rPr>
              <w:t>1</w:t>
            </w:r>
          </w:p>
        </w:tc>
      </w:tr>
    </w:tbl>
    <w:p w14:paraId="25A2CB5E">
      <w:pPr>
        <w:ind w:firstLine="480"/>
      </w:pPr>
    </w:p>
    <w:p w14:paraId="1948EF7E">
      <w:pPr>
        <w:pStyle w:val="11"/>
      </w:pPr>
    </w:p>
    <w:p w14:paraId="23C1819F">
      <w:pPr>
        <w:ind w:firstLine="480"/>
      </w:pPr>
      <w:r>
        <w:rPr>
          <w:rFonts w:hint="eastAsia"/>
        </w:rPr>
        <w:t>2、考核加分</w:t>
      </w:r>
    </w:p>
    <w:tbl>
      <w:tblPr>
        <w:tblStyle w:val="12"/>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997"/>
        <w:gridCol w:w="4975"/>
        <w:gridCol w:w="816"/>
        <w:gridCol w:w="987"/>
      </w:tblGrid>
      <w:tr w14:paraId="3593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8" w:type="pct"/>
            <w:tcBorders>
              <w:top w:val="single" w:color="auto" w:sz="4" w:space="0"/>
              <w:left w:val="single" w:color="auto" w:sz="4" w:space="0"/>
              <w:bottom w:val="single" w:color="auto" w:sz="4" w:space="0"/>
              <w:right w:val="single" w:color="auto" w:sz="4" w:space="0"/>
            </w:tcBorders>
            <w:vAlign w:val="center"/>
          </w:tcPr>
          <w:p w14:paraId="5196703A">
            <w:pPr>
              <w:spacing w:line="240" w:lineRule="auto"/>
              <w:ind w:firstLine="0" w:firstLineChars="0"/>
              <w:jc w:val="center"/>
              <w:rPr>
                <w:b/>
                <w:sz w:val="21"/>
                <w:szCs w:val="22"/>
              </w:rPr>
            </w:pPr>
            <w:r>
              <w:rPr>
                <w:rFonts w:hint="eastAsia"/>
                <w:b/>
                <w:sz w:val="21"/>
                <w:szCs w:val="22"/>
              </w:rPr>
              <w:t>序号</w:t>
            </w:r>
          </w:p>
        </w:tc>
        <w:tc>
          <w:tcPr>
            <w:tcW w:w="585" w:type="pct"/>
            <w:tcBorders>
              <w:top w:val="single" w:color="auto" w:sz="4" w:space="0"/>
              <w:left w:val="single" w:color="auto" w:sz="4" w:space="0"/>
              <w:bottom w:val="single" w:color="auto" w:sz="4" w:space="0"/>
              <w:right w:val="single" w:color="auto" w:sz="4" w:space="0"/>
            </w:tcBorders>
            <w:vAlign w:val="center"/>
          </w:tcPr>
          <w:p w14:paraId="135C3525">
            <w:pPr>
              <w:spacing w:line="240" w:lineRule="auto"/>
              <w:ind w:firstLine="0" w:firstLineChars="0"/>
              <w:jc w:val="center"/>
              <w:rPr>
                <w:b/>
                <w:sz w:val="21"/>
                <w:szCs w:val="22"/>
              </w:rPr>
            </w:pPr>
            <w:r>
              <w:rPr>
                <w:rFonts w:hint="eastAsia"/>
                <w:b/>
                <w:sz w:val="21"/>
                <w:szCs w:val="22"/>
              </w:rPr>
              <w:t>指标</w:t>
            </w:r>
          </w:p>
        </w:tc>
        <w:tc>
          <w:tcPr>
            <w:tcW w:w="2919" w:type="pct"/>
            <w:tcBorders>
              <w:top w:val="single" w:color="auto" w:sz="4" w:space="0"/>
              <w:left w:val="single" w:color="auto" w:sz="4" w:space="0"/>
              <w:bottom w:val="single" w:color="auto" w:sz="4" w:space="0"/>
              <w:right w:val="single" w:color="auto" w:sz="4" w:space="0"/>
            </w:tcBorders>
            <w:vAlign w:val="center"/>
          </w:tcPr>
          <w:p w14:paraId="536F7846">
            <w:pPr>
              <w:spacing w:line="240" w:lineRule="auto"/>
              <w:ind w:firstLine="0" w:firstLineChars="0"/>
              <w:jc w:val="center"/>
              <w:rPr>
                <w:b/>
                <w:sz w:val="21"/>
                <w:szCs w:val="22"/>
              </w:rPr>
            </w:pPr>
            <w:r>
              <w:rPr>
                <w:rFonts w:hint="eastAsia"/>
                <w:b/>
                <w:sz w:val="21"/>
                <w:szCs w:val="22"/>
              </w:rPr>
              <w:t>检查、考核情况</w:t>
            </w:r>
          </w:p>
        </w:tc>
        <w:tc>
          <w:tcPr>
            <w:tcW w:w="479" w:type="pct"/>
            <w:tcBorders>
              <w:top w:val="single" w:color="auto" w:sz="4" w:space="0"/>
              <w:left w:val="single" w:color="auto" w:sz="4" w:space="0"/>
              <w:bottom w:val="single" w:color="auto" w:sz="4" w:space="0"/>
              <w:right w:val="single" w:color="auto" w:sz="4" w:space="0"/>
            </w:tcBorders>
            <w:vAlign w:val="center"/>
          </w:tcPr>
          <w:p w14:paraId="7665F93B">
            <w:pPr>
              <w:spacing w:line="240" w:lineRule="auto"/>
              <w:ind w:firstLine="0" w:firstLineChars="0"/>
              <w:jc w:val="center"/>
              <w:rPr>
                <w:b/>
                <w:sz w:val="21"/>
                <w:szCs w:val="22"/>
              </w:rPr>
            </w:pPr>
            <w:r>
              <w:rPr>
                <w:rFonts w:hint="eastAsia"/>
                <w:b/>
                <w:sz w:val="21"/>
                <w:szCs w:val="22"/>
              </w:rPr>
              <w:t>单位</w:t>
            </w:r>
          </w:p>
        </w:tc>
        <w:tc>
          <w:tcPr>
            <w:tcW w:w="579" w:type="pct"/>
            <w:tcBorders>
              <w:top w:val="single" w:color="auto" w:sz="4" w:space="0"/>
              <w:left w:val="single" w:color="auto" w:sz="4" w:space="0"/>
              <w:bottom w:val="single" w:color="auto" w:sz="4" w:space="0"/>
              <w:right w:val="single" w:color="auto" w:sz="4" w:space="0"/>
            </w:tcBorders>
            <w:vAlign w:val="center"/>
          </w:tcPr>
          <w:p w14:paraId="41174A8A">
            <w:pPr>
              <w:spacing w:line="240" w:lineRule="auto"/>
              <w:ind w:firstLine="0" w:firstLineChars="0"/>
              <w:jc w:val="center"/>
              <w:rPr>
                <w:b/>
                <w:sz w:val="21"/>
                <w:szCs w:val="22"/>
              </w:rPr>
            </w:pPr>
            <w:r>
              <w:rPr>
                <w:rFonts w:hint="eastAsia"/>
                <w:b/>
                <w:sz w:val="21"/>
                <w:szCs w:val="22"/>
              </w:rPr>
              <w:t>加分</w:t>
            </w:r>
          </w:p>
        </w:tc>
      </w:tr>
      <w:tr w14:paraId="16A9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438" w:type="pct"/>
            <w:tcBorders>
              <w:top w:val="single" w:color="auto" w:sz="4" w:space="0"/>
              <w:left w:val="single" w:color="auto" w:sz="4" w:space="0"/>
              <w:bottom w:val="single" w:color="auto" w:sz="4" w:space="0"/>
              <w:right w:val="single" w:color="auto" w:sz="4" w:space="0"/>
            </w:tcBorders>
            <w:vAlign w:val="center"/>
          </w:tcPr>
          <w:p w14:paraId="71A05AC9">
            <w:pPr>
              <w:spacing w:line="240" w:lineRule="auto"/>
              <w:ind w:firstLine="0" w:firstLineChars="0"/>
              <w:jc w:val="center"/>
              <w:rPr>
                <w:sz w:val="21"/>
                <w:szCs w:val="22"/>
              </w:rPr>
            </w:pPr>
            <w:r>
              <w:rPr>
                <w:rFonts w:hint="eastAsia"/>
                <w:sz w:val="21"/>
                <w:szCs w:val="22"/>
              </w:rPr>
              <w:t>1</w:t>
            </w:r>
          </w:p>
        </w:tc>
        <w:tc>
          <w:tcPr>
            <w:tcW w:w="585" w:type="pct"/>
            <w:vMerge w:val="restart"/>
            <w:tcBorders>
              <w:top w:val="nil"/>
              <w:left w:val="single" w:color="auto" w:sz="4" w:space="0"/>
              <w:bottom w:val="single" w:color="auto" w:sz="4" w:space="0"/>
              <w:right w:val="single" w:color="auto" w:sz="4" w:space="0"/>
            </w:tcBorders>
            <w:vAlign w:val="center"/>
          </w:tcPr>
          <w:p w14:paraId="2FC7B700">
            <w:pPr>
              <w:spacing w:line="240" w:lineRule="auto"/>
              <w:ind w:firstLine="0" w:firstLineChars="0"/>
              <w:jc w:val="center"/>
              <w:rPr>
                <w:sz w:val="21"/>
                <w:szCs w:val="22"/>
              </w:rPr>
            </w:pPr>
            <w:r>
              <w:rPr>
                <w:rFonts w:hint="eastAsia"/>
                <w:sz w:val="21"/>
                <w:szCs w:val="22"/>
              </w:rPr>
              <w:t>综合类</w:t>
            </w:r>
          </w:p>
        </w:tc>
        <w:tc>
          <w:tcPr>
            <w:tcW w:w="2919" w:type="pct"/>
            <w:tcBorders>
              <w:top w:val="single" w:color="auto" w:sz="4" w:space="0"/>
              <w:left w:val="single" w:color="auto" w:sz="4" w:space="0"/>
              <w:bottom w:val="single" w:color="auto" w:sz="4" w:space="0"/>
              <w:right w:val="single" w:color="auto" w:sz="4" w:space="0"/>
            </w:tcBorders>
            <w:vAlign w:val="center"/>
          </w:tcPr>
          <w:p w14:paraId="1BC436B8">
            <w:pPr>
              <w:spacing w:line="240" w:lineRule="auto"/>
              <w:ind w:firstLine="0" w:firstLineChars="0"/>
              <w:rPr>
                <w:sz w:val="21"/>
                <w:szCs w:val="22"/>
              </w:rPr>
            </w:pPr>
            <w:r>
              <w:rPr>
                <w:rFonts w:hint="eastAsia"/>
                <w:sz w:val="21"/>
                <w:szCs w:val="22"/>
              </w:rPr>
              <w:t>维护区域内道路交通信号设备完好率连续一个月保持良好，杆件、信号灯没有发现明显污损、破损、移位、缺失的情况。</w:t>
            </w:r>
          </w:p>
        </w:tc>
        <w:tc>
          <w:tcPr>
            <w:tcW w:w="479" w:type="pct"/>
            <w:tcBorders>
              <w:top w:val="single" w:color="auto" w:sz="4" w:space="0"/>
              <w:left w:val="single" w:color="auto" w:sz="4" w:space="0"/>
              <w:bottom w:val="single" w:color="auto" w:sz="4" w:space="0"/>
              <w:right w:val="single" w:color="auto" w:sz="4" w:space="0"/>
            </w:tcBorders>
            <w:vAlign w:val="center"/>
          </w:tcPr>
          <w:p w14:paraId="517401C4">
            <w:pPr>
              <w:spacing w:line="240" w:lineRule="auto"/>
              <w:ind w:firstLine="0" w:firstLineChars="0"/>
              <w:jc w:val="center"/>
              <w:rPr>
                <w:sz w:val="21"/>
                <w:szCs w:val="22"/>
              </w:rPr>
            </w:pPr>
            <w:r>
              <w:rPr>
                <w:rFonts w:hint="eastAsia"/>
                <w:sz w:val="21"/>
                <w:szCs w:val="22"/>
              </w:rPr>
              <w:t>次</w:t>
            </w:r>
          </w:p>
        </w:tc>
        <w:tc>
          <w:tcPr>
            <w:tcW w:w="579" w:type="pct"/>
            <w:tcBorders>
              <w:top w:val="single" w:color="auto" w:sz="4" w:space="0"/>
              <w:left w:val="single" w:color="auto" w:sz="4" w:space="0"/>
              <w:bottom w:val="single" w:color="auto" w:sz="4" w:space="0"/>
              <w:right w:val="single" w:color="auto" w:sz="4" w:space="0"/>
            </w:tcBorders>
            <w:vAlign w:val="center"/>
          </w:tcPr>
          <w:p w14:paraId="6A749CA2">
            <w:pPr>
              <w:spacing w:line="240" w:lineRule="auto"/>
              <w:ind w:firstLine="0" w:firstLineChars="0"/>
              <w:jc w:val="center"/>
              <w:rPr>
                <w:sz w:val="21"/>
                <w:szCs w:val="22"/>
              </w:rPr>
            </w:pPr>
            <w:r>
              <w:rPr>
                <w:rFonts w:hint="eastAsia"/>
                <w:sz w:val="21"/>
                <w:szCs w:val="22"/>
              </w:rPr>
              <w:t>1</w:t>
            </w:r>
          </w:p>
        </w:tc>
      </w:tr>
      <w:tr w14:paraId="25B1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right"/>
        </w:trPr>
        <w:tc>
          <w:tcPr>
            <w:tcW w:w="438" w:type="pct"/>
            <w:tcBorders>
              <w:top w:val="single" w:color="auto" w:sz="4" w:space="0"/>
              <w:left w:val="single" w:color="auto" w:sz="4" w:space="0"/>
              <w:bottom w:val="single" w:color="auto" w:sz="4" w:space="0"/>
              <w:right w:val="single" w:color="auto" w:sz="4" w:space="0"/>
            </w:tcBorders>
            <w:vAlign w:val="center"/>
          </w:tcPr>
          <w:p w14:paraId="0F8DE0E4">
            <w:pPr>
              <w:spacing w:line="240" w:lineRule="auto"/>
              <w:ind w:firstLine="0" w:firstLineChars="0"/>
              <w:jc w:val="center"/>
              <w:rPr>
                <w:sz w:val="21"/>
                <w:szCs w:val="22"/>
              </w:rPr>
            </w:pPr>
            <w:r>
              <w:rPr>
                <w:rFonts w:hint="eastAsia"/>
                <w:sz w:val="21"/>
                <w:szCs w:val="22"/>
              </w:rPr>
              <w:t>2</w:t>
            </w:r>
          </w:p>
        </w:tc>
        <w:tc>
          <w:tcPr>
            <w:tcW w:w="585" w:type="pct"/>
            <w:vMerge w:val="continue"/>
            <w:tcBorders>
              <w:top w:val="nil"/>
              <w:left w:val="single" w:color="auto" w:sz="4" w:space="0"/>
              <w:bottom w:val="single" w:color="auto" w:sz="4" w:space="0"/>
              <w:right w:val="single" w:color="auto" w:sz="4" w:space="0"/>
            </w:tcBorders>
            <w:vAlign w:val="center"/>
          </w:tcPr>
          <w:p w14:paraId="50F953A8">
            <w:pPr>
              <w:spacing w:line="240" w:lineRule="auto"/>
              <w:ind w:firstLine="0" w:firstLineChars="0"/>
              <w:jc w:val="center"/>
              <w:rPr>
                <w:sz w:val="21"/>
                <w:szCs w:val="22"/>
              </w:rPr>
            </w:pPr>
          </w:p>
        </w:tc>
        <w:tc>
          <w:tcPr>
            <w:tcW w:w="2919" w:type="pct"/>
            <w:tcBorders>
              <w:top w:val="single" w:color="auto" w:sz="4" w:space="0"/>
              <w:left w:val="single" w:color="auto" w:sz="4" w:space="0"/>
              <w:bottom w:val="single" w:color="auto" w:sz="4" w:space="0"/>
              <w:right w:val="single" w:color="auto" w:sz="4" w:space="0"/>
            </w:tcBorders>
            <w:vAlign w:val="center"/>
          </w:tcPr>
          <w:p w14:paraId="080B4327">
            <w:pPr>
              <w:spacing w:line="240" w:lineRule="auto"/>
              <w:ind w:firstLine="0" w:firstLineChars="0"/>
              <w:rPr>
                <w:sz w:val="21"/>
                <w:szCs w:val="22"/>
              </w:rPr>
            </w:pPr>
            <w:r>
              <w:rPr>
                <w:rFonts w:hint="eastAsia"/>
                <w:sz w:val="21"/>
                <w:szCs w:val="22"/>
              </w:rPr>
              <w:t>在日常巡查维护施工中比较主动，工作完成出色，受到县局和大队主要领导、县级以上媒体表扬的。</w:t>
            </w:r>
          </w:p>
        </w:tc>
        <w:tc>
          <w:tcPr>
            <w:tcW w:w="479" w:type="pct"/>
            <w:tcBorders>
              <w:top w:val="single" w:color="auto" w:sz="4" w:space="0"/>
              <w:left w:val="single" w:color="auto" w:sz="4" w:space="0"/>
              <w:bottom w:val="single" w:color="auto" w:sz="4" w:space="0"/>
              <w:right w:val="single" w:color="auto" w:sz="4" w:space="0"/>
            </w:tcBorders>
            <w:vAlign w:val="center"/>
          </w:tcPr>
          <w:p w14:paraId="331BF0F5">
            <w:pPr>
              <w:spacing w:line="240" w:lineRule="auto"/>
              <w:ind w:firstLine="0" w:firstLineChars="0"/>
              <w:jc w:val="center"/>
              <w:rPr>
                <w:sz w:val="21"/>
                <w:szCs w:val="22"/>
              </w:rPr>
            </w:pPr>
            <w:r>
              <w:rPr>
                <w:rFonts w:hint="eastAsia"/>
                <w:sz w:val="21"/>
                <w:szCs w:val="22"/>
              </w:rPr>
              <w:t>次</w:t>
            </w:r>
          </w:p>
        </w:tc>
        <w:tc>
          <w:tcPr>
            <w:tcW w:w="579" w:type="pct"/>
            <w:tcBorders>
              <w:top w:val="single" w:color="auto" w:sz="4" w:space="0"/>
              <w:left w:val="single" w:color="auto" w:sz="4" w:space="0"/>
              <w:bottom w:val="single" w:color="auto" w:sz="4" w:space="0"/>
              <w:right w:val="single" w:color="auto" w:sz="4" w:space="0"/>
            </w:tcBorders>
            <w:vAlign w:val="center"/>
          </w:tcPr>
          <w:p w14:paraId="51F7ACE9">
            <w:pPr>
              <w:spacing w:line="240" w:lineRule="auto"/>
              <w:ind w:firstLine="0" w:firstLineChars="0"/>
              <w:jc w:val="center"/>
              <w:rPr>
                <w:sz w:val="21"/>
                <w:szCs w:val="22"/>
              </w:rPr>
            </w:pPr>
            <w:r>
              <w:rPr>
                <w:rFonts w:hint="eastAsia"/>
                <w:sz w:val="21"/>
                <w:szCs w:val="22"/>
              </w:rPr>
              <w:t>0.5</w:t>
            </w:r>
          </w:p>
        </w:tc>
      </w:tr>
      <w:tr w14:paraId="0D7B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right"/>
        </w:trPr>
        <w:tc>
          <w:tcPr>
            <w:tcW w:w="438" w:type="pct"/>
            <w:tcBorders>
              <w:top w:val="single" w:color="auto" w:sz="4" w:space="0"/>
              <w:left w:val="single" w:color="auto" w:sz="4" w:space="0"/>
              <w:bottom w:val="single" w:color="auto" w:sz="4" w:space="0"/>
              <w:right w:val="single" w:color="auto" w:sz="4" w:space="0"/>
            </w:tcBorders>
            <w:vAlign w:val="center"/>
          </w:tcPr>
          <w:p w14:paraId="1EB8678E">
            <w:pPr>
              <w:spacing w:line="240" w:lineRule="auto"/>
              <w:ind w:firstLine="0" w:firstLineChars="0"/>
              <w:jc w:val="center"/>
              <w:rPr>
                <w:sz w:val="21"/>
                <w:szCs w:val="22"/>
              </w:rPr>
            </w:pPr>
            <w:r>
              <w:rPr>
                <w:rFonts w:hint="eastAsia"/>
                <w:sz w:val="21"/>
                <w:szCs w:val="22"/>
              </w:rPr>
              <w:t>3</w:t>
            </w:r>
          </w:p>
        </w:tc>
        <w:tc>
          <w:tcPr>
            <w:tcW w:w="585" w:type="pct"/>
            <w:vMerge w:val="continue"/>
            <w:tcBorders>
              <w:top w:val="nil"/>
              <w:left w:val="single" w:color="auto" w:sz="4" w:space="0"/>
              <w:bottom w:val="single" w:color="auto" w:sz="4" w:space="0"/>
              <w:right w:val="single" w:color="auto" w:sz="4" w:space="0"/>
            </w:tcBorders>
            <w:vAlign w:val="center"/>
          </w:tcPr>
          <w:p w14:paraId="236969E3">
            <w:pPr>
              <w:spacing w:line="240" w:lineRule="auto"/>
              <w:ind w:firstLine="0" w:firstLineChars="0"/>
              <w:jc w:val="center"/>
              <w:rPr>
                <w:sz w:val="21"/>
                <w:szCs w:val="22"/>
              </w:rPr>
            </w:pPr>
          </w:p>
        </w:tc>
        <w:tc>
          <w:tcPr>
            <w:tcW w:w="2919" w:type="pct"/>
            <w:tcBorders>
              <w:top w:val="single" w:color="auto" w:sz="4" w:space="0"/>
              <w:left w:val="single" w:color="auto" w:sz="4" w:space="0"/>
              <w:bottom w:val="single" w:color="auto" w:sz="4" w:space="0"/>
              <w:right w:val="single" w:color="auto" w:sz="4" w:space="0"/>
            </w:tcBorders>
            <w:vAlign w:val="center"/>
          </w:tcPr>
          <w:p w14:paraId="1E0FDEE4">
            <w:pPr>
              <w:spacing w:line="240" w:lineRule="auto"/>
              <w:ind w:firstLine="0" w:firstLineChars="0"/>
              <w:rPr>
                <w:sz w:val="21"/>
                <w:szCs w:val="22"/>
              </w:rPr>
            </w:pPr>
            <w:r>
              <w:rPr>
                <w:rFonts w:hint="eastAsia"/>
                <w:sz w:val="21"/>
                <w:szCs w:val="22"/>
              </w:rPr>
              <w:t>能结合交通管理需求提出有价值的交通信号优化举措，被业主采纳的</w:t>
            </w:r>
          </w:p>
        </w:tc>
        <w:tc>
          <w:tcPr>
            <w:tcW w:w="479" w:type="pct"/>
            <w:tcBorders>
              <w:top w:val="single" w:color="auto" w:sz="4" w:space="0"/>
              <w:left w:val="single" w:color="auto" w:sz="4" w:space="0"/>
              <w:bottom w:val="single" w:color="auto" w:sz="4" w:space="0"/>
              <w:right w:val="single" w:color="auto" w:sz="4" w:space="0"/>
            </w:tcBorders>
            <w:vAlign w:val="center"/>
          </w:tcPr>
          <w:p w14:paraId="61E697DC">
            <w:pPr>
              <w:spacing w:line="240" w:lineRule="auto"/>
              <w:ind w:firstLine="0" w:firstLineChars="0"/>
              <w:jc w:val="center"/>
              <w:rPr>
                <w:sz w:val="21"/>
                <w:szCs w:val="22"/>
              </w:rPr>
            </w:pPr>
            <w:r>
              <w:rPr>
                <w:rFonts w:hint="eastAsia"/>
                <w:sz w:val="21"/>
                <w:szCs w:val="22"/>
              </w:rPr>
              <w:t>次</w:t>
            </w:r>
          </w:p>
        </w:tc>
        <w:tc>
          <w:tcPr>
            <w:tcW w:w="579" w:type="pct"/>
            <w:tcBorders>
              <w:top w:val="single" w:color="auto" w:sz="4" w:space="0"/>
              <w:left w:val="single" w:color="auto" w:sz="4" w:space="0"/>
              <w:bottom w:val="single" w:color="auto" w:sz="4" w:space="0"/>
              <w:right w:val="single" w:color="auto" w:sz="4" w:space="0"/>
            </w:tcBorders>
            <w:vAlign w:val="center"/>
          </w:tcPr>
          <w:p w14:paraId="665CB440">
            <w:pPr>
              <w:spacing w:line="240" w:lineRule="auto"/>
              <w:ind w:firstLine="0" w:firstLineChars="0"/>
              <w:jc w:val="center"/>
              <w:rPr>
                <w:sz w:val="21"/>
                <w:szCs w:val="22"/>
              </w:rPr>
            </w:pPr>
            <w:r>
              <w:rPr>
                <w:rFonts w:hint="eastAsia"/>
                <w:sz w:val="21"/>
                <w:szCs w:val="22"/>
              </w:rPr>
              <w:t>1</w:t>
            </w:r>
          </w:p>
        </w:tc>
      </w:tr>
      <w:tr w14:paraId="477A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8" w:type="pct"/>
            <w:tcBorders>
              <w:top w:val="single" w:color="auto" w:sz="4" w:space="0"/>
              <w:left w:val="single" w:color="auto" w:sz="4" w:space="0"/>
              <w:bottom w:val="single" w:color="auto" w:sz="4" w:space="0"/>
              <w:right w:val="single" w:color="auto" w:sz="4" w:space="0"/>
            </w:tcBorders>
            <w:vAlign w:val="center"/>
          </w:tcPr>
          <w:p w14:paraId="6822860B">
            <w:pPr>
              <w:spacing w:line="240" w:lineRule="auto"/>
              <w:ind w:firstLine="0" w:firstLineChars="0"/>
              <w:jc w:val="center"/>
              <w:rPr>
                <w:sz w:val="21"/>
                <w:szCs w:val="22"/>
              </w:rPr>
            </w:pPr>
            <w:r>
              <w:rPr>
                <w:rFonts w:hint="eastAsia"/>
                <w:sz w:val="21"/>
                <w:szCs w:val="22"/>
              </w:rPr>
              <w:t>4</w:t>
            </w:r>
          </w:p>
        </w:tc>
        <w:tc>
          <w:tcPr>
            <w:tcW w:w="585" w:type="pct"/>
            <w:vMerge w:val="continue"/>
            <w:tcBorders>
              <w:top w:val="nil"/>
              <w:left w:val="single" w:color="auto" w:sz="4" w:space="0"/>
              <w:bottom w:val="single" w:color="auto" w:sz="4" w:space="0"/>
              <w:right w:val="single" w:color="auto" w:sz="4" w:space="0"/>
            </w:tcBorders>
            <w:vAlign w:val="center"/>
          </w:tcPr>
          <w:p w14:paraId="0F7D47B0">
            <w:pPr>
              <w:spacing w:line="240" w:lineRule="auto"/>
              <w:ind w:firstLine="0" w:firstLineChars="0"/>
              <w:jc w:val="center"/>
              <w:rPr>
                <w:sz w:val="21"/>
                <w:szCs w:val="22"/>
              </w:rPr>
            </w:pPr>
          </w:p>
        </w:tc>
        <w:tc>
          <w:tcPr>
            <w:tcW w:w="2919" w:type="pct"/>
            <w:tcBorders>
              <w:top w:val="single" w:color="auto" w:sz="4" w:space="0"/>
              <w:left w:val="single" w:color="auto" w:sz="4" w:space="0"/>
              <w:bottom w:val="single" w:color="auto" w:sz="4" w:space="0"/>
              <w:right w:val="single" w:color="auto" w:sz="4" w:space="0"/>
            </w:tcBorders>
            <w:vAlign w:val="center"/>
          </w:tcPr>
          <w:p w14:paraId="5433EFCC">
            <w:pPr>
              <w:spacing w:line="240" w:lineRule="auto"/>
              <w:ind w:firstLine="0" w:firstLineChars="0"/>
              <w:rPr>
                <w:sz w:val="21"/>
                <w:szCs w:val="22"/>
              </w:rPr>
            </w:pPr>
            <w:r>
              <w:rPr>
                <w:rFonts w:hint="eastAsia"/>
                <w:sz w:val="21"/>
                <w:szCs w:val="22"/>
              </w:rPr>
              <w:t>工作中发现有其它突出表现的行为</w:t>
            </w:r>
          </w:p>
        </w:tc>
        <w:tc>
          <w:tcPr>
            <w:tcW w:w="479" w:type="pct"/>
            <w:tcBorders>
              <w:top w:val="single" w:color="auto" w:sz="4" w:space="0"/>
              <w:left w:val="single" w:color="auto" w:sz="4" w:space="0"/>
              <w:bottom w:val="single" w:color="auto" w:sz="4" w:space="0"/>
              <w:right w:val="single" w:color="auto" w:sz="4" w:space="0"/>
            </w:tcBorders>
            <w:vAlign w:val="center"/>
          </w:tcPr>
          <w:p w14:paraId="67833C2D">
            <w:pPr>
              <w:spacing w:line="240" w:lineRule="auto"/>
              <w:ind w:firstLine="0" w:firstLineChars="0"/>
              <w:jc w:val="center"/>
              <w:rPr>
                <w:sz w:val="21"/>
                <w:szCs w:val="22"/>
              </w:rPr>
            </w:pPr>
            <w:r>
              <w:rPr>
                <w:rFonts w:hint="eastAsia"/>
                <w:sz w:val="21"/>
                <w:szCs w:val="22"/>
              </w:rPr>
              <w:t>次</w:t>
            </w:r>
          </w:p>
        </w:tc>
        <w:tc>
          <w:tcPr>
            <w:tcW w:w="579" w:type="pct"/>
            <w:tcBorders>
              <w:top w:val="single" w:color="auto" w:sz="4" w:space="0"/>
              <w:left w:val="single" w:color="auto" w:sz="4" w:space="0"/>
              <w:bottom w:val="single" w:color="auto" w:sz="4" w:space="0"/>
              <w:right w:val="single" w:color="auto" w:sz="4" w:space="0"/>
            </w:tcBorders>
            <w:vAlign w:val="center"/>
          </w:tcPr>
          <w:p w14:paraId="30A866BC">
            <w:pPr>
              <w:spacing w:line="240" w:lineRule="auto"/>
              <w:ind w:firstLine="0" w:firstLineChars="0"/>
              <w:jc w:val="center"/>
              <w:rPr>
                <w:sz w:val="21"/>
                <w:szCs w:val="22"/>
              </w:rPr>
            </w:pPr>
            <w:r>
              <w:rPr>
                <w:rFonts w:hint="eastAsia"/>
                <w:sz w:val="21"/>
                <w:szCs w:val="22"/>
              </w:rPr>
              <w:t>1</w:t>
            </w:r>
          </w:p>
        </w:tc>
      </w:tr>
    </w:tbl>
    <w:p w14:paraId="312CB6D8">
      <w:pPr>
        <w:ind w:firstLine="480"/>
      </w:pPr>
      <w:r>
        <w:rPr>
          <w:rFonts w:hint="eastAsia"/>
        </w:rPr>
        <w:t xml:space="preserve"> </w:t>
      </w:r>
    </w:p>
    <w:p w14:paraId="1B6F576F">
      <w:pPr>
        <w:pStyle w:val="3"/>
      </w:pPr>
      <w:r>
        <w:rPr>
          <w:rFonts w:hint="eastAsia"/>
        </w:rPr>
        <w:t xml:space="preserve"> 清单</w:t>
      </w:r>
    </w:p>
    <w:tbl>
      <w:tblPr>
        <w:tblStyle w:val="12"/>
        <w:tblW w:w="8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218"/>
        <w:gridCol w:w="4493"/>
        <w:gridCol w:w="788"/>
        <w:gridCol w:w="604"/>
        <w:gridCol w:w="1052"/>
      </w:tblGrid>
      <w:tr w14:paraId="594D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CA8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9CB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036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DE0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C16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A3B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最高限价单价（元）</w:t>
            </w:r>
          </w:p>
        </w:tc>
      </w:tr>
      <w:tr w14:paraId="316E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87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56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一、日常基本巡检维护</w:t>
            </w:r>
          </w:p>
        </w:tc>
      </w:tr>
      <w:tr w14:paraId="0F27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5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2A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9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按采购需求核算平均每人服务费用</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96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人/季度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F0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2A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36000</w:t>
            </w:r>
          </w:p>
        </w:tc>
      </w:tr>
      <w:tr w14:paraId="6BB0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7D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DA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前端维护人员</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D0A1">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7C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人/季度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20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0F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22000</w:t>
            </w:r>
          </w:p>
        </w:tc>
      </w:tr>
      <w:tr w14:paraId="3501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AE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13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技术支持人员</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308C">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35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人/季度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B5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85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25000</w:t>
            </w:r>
          </w:p>
        </w:tc>
      </w:tr>
      <w:tr w14:paraId="1348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04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F9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维修升降车</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F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作业高度不低于6米(含燃油费用、保养费用)</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08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台/季度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5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9F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13000</w:t>
            </w:r>
          </w:p>
        </w:tc>
      </w:tr>
      <w:tr w14:paraId="4290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36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6B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巡视车辆</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E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含燃油费用、保养费用</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44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台/季度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2E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BA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0DCD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E9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62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调优车辆</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E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含燃油费用、保养费用</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DE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台/季度</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0D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BB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0E1C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78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FA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小计</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8967">
            <w:pPr>
              <w:jc w:val="center"/>
              <w:rPr>
                <w:rFonts w:hint="eastAsia" w:ascii="宋体" w:hAnsi="宋体" w:eastAsia="宋体" w:cs="宋体"/>
                <w:i w:val="0"/>
                <w:iCs w:val="0"/>
                <w:color w:val="000000"/>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7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3F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7F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114000</w:t>
            </w:r>
          </w:p>
        </w:tc>
      </w:tr>
      <w:tr w14:paraId="3628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87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CC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二、维修配件更换</w:t>
            </w:r>
          </w:p>
        </w:tc>
      </w:tr>
      <w:tr w14:paraId="79F8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B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5BC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信号机电源模块（维修）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FFE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无缝插入现有信号机导轨，做到设备兼容、数据互通</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94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87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55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2691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35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F32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信号机主控模块（维修）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6A2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无缝插入现有信号机导轨，做到设备兼容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5A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F9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0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r>
      <w:tr w14:paraId="64CB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05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101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信号机检测模块（维修）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83F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无缝插入现有信号机导轨，做到设备兼容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91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2E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3E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r>
      <w:tr w14:paraId="291A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9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9A4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信号机输出模块（维修）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99C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无缝插入现有信号机导轨，做到设备兼容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61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5B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ED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r>
      <w:tr w14:paraId="168F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76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D2DE">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信号机侧门控制按钮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189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适配本地现用信号机主机，原厂配件 1 路手/自动切换、1 路下一步、1 路黄闪控制、1 路灭灯。</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78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AD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7E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r>
      <w:tr w14:paraId="7720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F1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3AD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信号机校时定位模块</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788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适配本地现用信号机主机，原厂配件 定位模块：电源 DC5V、通信串口 RS232、支持 BD 定位与授时。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45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D7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D9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078A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F4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16F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信号机触摸控制面板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732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适配本地现用信号机主机，原厂配件 电源 DC24V、通信串口 RS232、7 寸 TFT 屏、800*480 分辨率。</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FE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EB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98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50E2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7E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E87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信号机机柜</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C79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1.包括整套机柜柜体及其附件（含柜体内部布线及电器元件、空开、连接卡槽等，不含信号主机及控制主板）机柜的运输及安装、信号机接线、调试、底部封堵等；2.符合 GB25280-2016 的相关要求，机柜采用的材料应当坚固耐用，并具备良好的防锈蚀性能，正常使用的情况下五年内不得发生锈蚀现象；信号机柜外观须与现有机柜保持一致，标准机柜。</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53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9B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D2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6500</w:t>
            </w:r>
          </w:p>
        </w:tc>
      </w:tr>
      <w:tr w14:paraId="3BCD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F8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9B7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信号机机柜普通门锁</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E75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 GB 联网信号机主机，原厂配件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C4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51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5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r>
      <w:tr w14:paraId="5313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10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43F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接线端子</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2BB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 GB 联网信号机主机，原厂配件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C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5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1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r>
      <w:tr w14:paraId="5DC6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0E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2F5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电源插线板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B22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220V，功率≥3000W</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8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FA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5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36A0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DD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39A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电源浪涌保护器</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12B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 GB 联网信号机主机，原厂配件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98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34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78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7949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F5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4B1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网线防雷器</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7D6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 GB 联网信号机主机，原厂配件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4D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71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FE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6C25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E4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D77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黄闪控制器</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07B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 GB 联网信号机主机，原厂配件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C1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D4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A9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r>
      <w:tr w14:paraId="66B1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B6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E00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空开</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149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1．周围空气温度：-5℃- +70℃，24 小时内其平均值不超过+35℃：安全性能好，导电部件不外露；主触头系统结构独特，触头磨损小，电寿命增加；电磁铁工作可靠，损耗少，噪音小，且具很高的机械强度</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75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25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8F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r>
      <w:tr w14:paraId="6895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1A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6BA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万兆光模块</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1677">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SFP10G多模光模块</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0F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24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1D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14:paraId="35CE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2"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54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AC7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灯盘（400直径）（含辅材）</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734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黄绿机动车、箭头、特殊定制灯盘。符合《GB14887-2011道路交通信号灯》等国标。采用高亮度发光二极管，使用寿命超过50000小时，发光强度≥150cd；LED可靠性：≥50000小时；平均无故障时间MTBF&gt;20000小时；工作湿度：5%-95%（无冷凝）；工作温度：-40-+80℃；灯具发光条框架为聚碳酸脂材料，外壳、支臂应采用优质铝合金型材，机械强度高，外型美观，密封性能好，灯具表面应作亚光喷涂处理,不生锈，防尘，防水；信号灯图案符合国标附图的相关要求。</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86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3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9B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w:t>
            </w:r>
          </w:p>
        </w:tc>
      </w:tr>
      <w:tr w14:paraId="552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C4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463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一体化人行灯单文字面板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620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适配现有板式人行灯；板式人行灯下方行人提示文字，要求与灯色颜色一致；采用高亮度发光二极管，使用寿命超过50000小时，发光强度≥150cd；</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12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AD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CA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2300</w:t>
            </w:r>
          </w:p>
        </w:tc>
      </w:tr>
      <w:tr w14:paraId="3185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EC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11A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人行灯灯盘（含辅材）</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108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灯静态行人或绿灯动态行人；采用高亮度发光二极管，使用寿命超过50000小时，发光强度≥150cd；倒计时参数：300圆形倒计时；具有通讯式、触发式、跟随式三种工作模式自主切换功能；LED可靠性：≥50000小时；平均无故障时间MTBF&gt;20000小时；工作湿度：5%-95%（无冷凝）；工作温度：-40-+80℃；独立发光单元设计，拆卸维修方便，灯具发光条框架为聚碳酸脂材料，外壳、支臂应采用优质铝合金型材，机械强度高，外型美观，密封性能好，灯具表面应作亚光喷涂处理,不生锈，防尘，防水；信号灯图案符合国标附图的相关要求。</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6E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0F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B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14:paraId="08C2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8A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C26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太阳能黄闪灯（含辅材）</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020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直径400mm，太阳能板+黄闪灯，铝合金外壳，二层防护。</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6E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F5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D1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r>
      <w:tr w14:paraId="0EB2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F4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413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倒计时主控板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F217">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产品符合GA/T508-2014《道路交通信号倒计时显示器》标准的相关要求，支持通讯、跟随、触发模式控制，与现有倒计时器匹配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B4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9F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86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r>
      <w:tr w14:paraId="1505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0C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097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信号灯发光单元帽沿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B12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根据现有进行定制、颜色与样式与现有一致。</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E7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F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01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016D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4F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8A57">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信号灯支架</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9F6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3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0F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57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14DC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25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3D6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信号灯抱箍</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C3A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D7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82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35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2DFD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B5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3A6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柱式人行灯抱箍</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65C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DE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D1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A0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5E43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63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291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杆件检修口盖板（定制）</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057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B0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DD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22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r>
      <w:tr w14:paraId="6776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9A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F66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移动信号灯</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0AB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双头移动信号灯：2灯盘（方向指示信号灯+满屏信号灯），发光面直径：300m；太阳能电池板 ：功率100W，双太阳能板，正常工作寿命 大于8年，太阳能锂电池： 12V80AH；阴雨天可持续工作5天以上；发光体颜色:红，黄，绿。可视距离大于800m   产品材质：铁型材+高透光性聚碳酸酯PC(工艺：喷塑处理)     尺寸：2.4m-3.1m可调</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22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0C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02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4CF0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1A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CB6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1200万电警抓拍单元</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0B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1200万电子警察抓拍单元由防护罩组件及高清智能摄像机组成，抓拍单元防护罩前面板具有防尘、防水功能，单元内置LED暖光灯，单元支持网络防雷、防浪涌，宽温宽压等。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内置摄像机采用1.1英寸高帧率全局曝光CMOS传感器，分辨率可达4112 × 3072，帧率高达25帧，具有清晰度高、照度低、帧率高、色彩还原度好等特点。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视频采用H.265、H.264或MJPEG编码，低延时，低码率，压缩比高，处理灵活。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支持LED频闪灯同步补光，防护罩内置LED车牌补光灯。支持机动车辆、非机动车、行人抓拍。支持车牌、车型、车身颜色（环境光有要求）、车标、子品牌等信息识别功能，支持压线、逆行、闯红灯、不按导向行驶等违法检测功能。红绿灯信号检测方式支持：IO信号，红绿灯检测器，视频检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支持远程数据上传，GB/T 28181视频联网标准、GA/T 1400视图库标准、FTP协议，可将抓拍的图片上传给终端服务器、FTP服务器或者后端平台。可支持TF插卡本地存储，可支持至256G，抓拍图片可断网续传。</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A0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EC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67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14000</w:t>
            </w:r>
          </w:p>
        </w:tc>
      </w:tr>
      <w:tr w14:paraId="747B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AB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105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900万电警抓拍单元</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8FF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包含摄像机、高清镜头、室外防护罩、风扇、内置补光灯、电源适配器、相机内置防雷模块、安装万向节等。像素：900W；分辨率：最大支持4096*2160；帧率：25fps；感光器件：4/3" GMOS                                                                                                                                      镜头：16mm镜头；照度：彩色:0.005Lux ；视频压缩标准：H.265/H.264/MJPEG；图像输出格式：JPEG；输出：电平量信号。通讯接口：2个RJ45 100M/1000M自适应网口，3个RS485接口，1个RS232接口。外部接口：4路外部触发输入，6路(5V TTL电平量)输出，可作为闪光灯同步输出控制，SYNC信号灯电源同步输入。存储支持：最大支持128G TF卡；自动光圈镜头：支持；工作电压：220VAC±20%；频率：50HZ±2%；；功耗：＜20W；支持智能识别功能：内置视频识别功能，支持车牌识别、视频触发、车身颜色识别、车型识别，通行车辆信息捕获和违章检测功能。</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04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16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2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9500</w:t>
            </w:r>
          </w:p>
        </w:tc>
      </w:tr>
      <w:tr w14:paraId="5401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AE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C69E">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500万电警抓拍单元</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763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2/3英寸500万像素高帧率彩色全局曝光CMOS高清智能摄像机，最大分辨率可达2448*2048，帧率高达25帧；输出图片格式：JPEG；支持LED频闪灯同步补光，防护罩内置LED车牌补光灯；支持车牌、车型、车身颜色等信息识别功能，支持压线、逆行、闯红灯、不按导向行驶等违法检测功能</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99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DD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CA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7953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A8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435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频闪灯</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15B7">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集成数字式照度传感器，具备自动光感功能；光照角度：25°；有效补光距离：16m～21m；频闪亮度等级可调；频闪频率可选；触发方式：电平，+5VDC；工作温度-30℃~+70℃；防护等级IP66；外壳材质：金属铝</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C2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85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85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1900</w:t>
            </w:r>
          </w:p>
        </w:tc>
      </w:tr>
      <w:tr w14:paraId="3E79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C3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FCA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环保爆闪灯</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A27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环保型，光源采用氙气灯；色温：≥4000K。在正常工作条件下，机壳的温升不超过40℃；回电时间≤80ms。闪光次数≥300万次；功耗：平均＜100W(@1闪/s)，瞬间最大＜300W。防眩目处理：可内置光栅，进行光污染处理。工作温度-30℃~+70℃；防护等级IP65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CD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5E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D2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r>
      <w:tr w14:paraId="140F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1E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66D2">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电子警察前端控制主机</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A8F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采用高性能嵌入式处理芯片，不得使用X86计算机架构（包括：工控机、嵌入式工控机等），内存容量≥2G，嵌入式Linux操作系统，操作界面以WEB方式；最大支持4个3.5〃或2.5〃硬盘；集成8个RJ45 10M/100M自适应以太网口；2个RJ45 1000M接口；可接入12路高清网络摄像机（支持视频和图片同时接入）和2路高清BNC接口模拟高清摄像机；支持12路图片、12路录像实时预览及存储功能；具备DC12V输出接口，可方便现场外围设备供电。</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B6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62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47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r>
      <w:tr w14:paraId="6EAB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DB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FBE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环保900万卡口抓拍单元</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6C9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环保车辆人脸卡口抓拍单元由防护罩组件及高清智能摄像机组成，抓拍单元防护罩前面板具有防尘、防水功能，单元内置LED暖光灯，单元支持网络防雷、防浪涌，宽温宽压等。内置摄像机采用2个1英寸高帧率全局曝光CMOS传感器，分辨率可达4096 × 2160，帧率高达25帧，具有清晰度高、照度低、帧率高、色彩还原度好等特点。支持白天用白光爆闪，晚上用内置灯或外置LED灯加红外爆闪同步补光。支持视频触发等多种触发模式并实现全结构化：支持深度学习算法，支持多目标混合场景应用，实时提取机动车、非机动车、行人、人脸等目标全结构化信息，为大数据业务提供全方位的特征数据基础。</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51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24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29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12800</w:t>
            </w:r>
          </w:p>
        </w:tc>
      </w:tr>
      <w:tr w14:paraId="0592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2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860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电警/卡口设备维修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F7A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设备过质保期维修，更换的部件与现有的设备兼容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9B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00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2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r>
      <w:tr w14:paraId="1017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62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E7E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频闪灯/爆闪灯维修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686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设备过质保期维修，更换的部件与现有的设备兼容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A0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DE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2F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r>
      <w:tr w14:paraId="672F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2A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726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智能终端维修</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F64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设备过质保期维修，更换的部件与现有的设备兼容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5C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38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9B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r>
      <w:tr w14:paraId="2858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03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330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400万高清监控球机</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97C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低于400万像素；采用1/1.8英寸CMOS（GMOS）图像传感器；视频输出支持2560×1440@25fps；超低照度：彩色0.001Lux，黑白0.0001Lux；不低于30倍光学变焦；支持1路音频输入和1路音频输出；支持7路报警输入和2路报警输出；支持车型识别、车身颜色识别，车辆品牌识别；支持300个预置位；压缩格式：H.264/MJPEG；压缩格式：H.264/MJPEG；</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99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14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E1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t>
            </w:r>
          </w:p>
        </w:tc>
      </w:tr>
      <w:tr w14:paraId="4800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84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0B8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违停抓拍球机</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CF2">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支持32倍光学变倍，16倍数字变倍。道路违章取证：违停、逆行、压线、变道、机占非、掉头。多场景巡航下，违停有效检测距离300 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支持多场景巡航检测，并可配置场景巡航自适应功能；支持对静止或运动车辆的手动取证功能。 ；支持违法数据的断点续传功能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A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A0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53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8500</w:t>
            </w:r>
          </w:p>
        </w:tc>
      </w:tr>
      <w:tr w14:paraId="08E3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0F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C08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高空监控球机</w:t>
            </w:r>
          </w:p>
        </w:tc>
        <w:tc>
          <w:tcPr>
            <w:tcW w:w="4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A6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采用800万像素1/1.8英寸 CMOS；内置GPU芯片，支持深度学习算法，有效提升检测准确率。支持视频结构化功能：支持机动车抓拍、机动车属性提取，支持非机动车抓拍、非机动车属性提取，支持人体抓拍、人体属性提取，支持人脸抓拍、人脸属性提取，支持机非人数量统计；支持绊线入侵、区域入侵、穿越围栏、徘徊、物品遗留、物品搬移、快速移动、停车、人员聚集检测；支持人车分类报警；支持联动跟踪。支持人脸检测；支持人脸优选抓拍；支持人脸增强；支持人脸属性提取；支持6种属性8种表情：性别，年龄，眼镜，表情，口罩，，胡子；支持多种人脸抠图方案设置：单寸照，人脸；支持人脸识别（前端支持导入1万张人脸库）。支持48倍光学变倍，16倍数字变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F2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A5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E5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18500</w:t>
            </w:r>
          </w:p>
        </w:tc>
      </w:tr>
      <w:tr w14:paraId="758A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5"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34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B7C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智能终端</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014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采用高性能嵌入式处理芯片，不得使用X86计算机架构（包括：工控机、嵌入式工控机等）；内存容量≥2G；嵌入式Linux操作系统，操作界面以WEB方式；最大支持4个3.5〃或2.5〃硬盘；集成8个RJ45 10M/100M自适应以太网口；2个RJ45 1000M接口；可接入12路高清网络摄像机（支持视频和图片同时接入）和4路标清BNC接口模拟摄像机；支持12路图片、16路录像实时预览及存储功能；支持违章图片合成，支持合成顺序及特写位置选择；支持故障自动恢复功能，故障前的信息不丢失；支持车辆查询，支持按时间、通道、违章类型、车牌、车速、车道查询；工作电源DC 12V；功耗： ＜20W；全机身散热，内部不得含有风扇；工作温度：-40℃～+70℃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F4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95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A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r>
      <w:tr w14:paraId="6C53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03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95F2">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万象支架</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D9D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与现有设备无缝对接</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30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8D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F1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r>
      <w:tr w14:paraId="7AE4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6F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A6B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相机电源</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4B4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与现有设备无缝对接</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60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4B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4F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r>
      <w:tr w14:paraId="5582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79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562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车辆检测器</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8CC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能与现有信号控制机通过协议无缝对接；视频流量检测器，覆盖三车道及以上；支持分车道统计车流量等交通数据。</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0C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B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30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12000</w:t>
            </w:r>
          </w:p>
        </w:tc>
      </w:tr>
      <w:tr w14:paraId="4063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B9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631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车辆检测器电源适配器</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045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适配本地现用视频车辆检测器，原厂配件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1A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12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7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r>
      <w:tr w14:paraId="1EF6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39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D1D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抱杆机箱</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BD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产品尺寸不小于600mm*400mm*400mm，防护等级IP54，工作温度范围为-40到85℃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33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73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E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14:paraId="4E66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B7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E55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492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KVV2*6mm2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E1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37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A2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r>
      <w:tr w14:paraId="4170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4B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772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E507">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KVV2*8mm2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D0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04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B7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r w14:paraId="533D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39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EE2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电源线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E71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KVV2*4mm2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87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48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F2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r>
      <w:tr w14:paraId="0D1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BA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EF9E">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16芯控制线缆</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DB6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控制线缆KVV16×1mm2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F5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7B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4F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r>
      <w:tr w14:paraId="18FC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DA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BE2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4芯控制线缆</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997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控制线缆KVV4×1mm2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02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63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BC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r>
      <w:tr w14:paraId="0DB4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07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29B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4芯光缆</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187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单模1310nm 4芯光缆</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05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14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D2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38B3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15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4DE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2芯控制线缆</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21E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控制线缆KVV2×1mm2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13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18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9A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33FC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97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A82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室外六类网线</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2BC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符合国标</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E4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E2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C3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05AF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AA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EC1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杆件1</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EA5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八角杆，立柱6.8米，横臂5米，杆件壁厚、外观与现有设备保持一致，整体热镀锌、喷塑，颜色依据路口需求。法兰盘与现有设备保持一致，如为新增设备，需提供钢筋笼。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6D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52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AC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5800</w:t>
            </w:r>
          </w:p>
        </w:tc>
      </w:tr>
      <w:tr w14:paraId="2922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55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D45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杆件2</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D0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八角杆，立柱6.8米，横臂6米，杆件壁厚与现有设备保持一致，整体热镀锌、喷塑，颜色依据路口需求。法兰盘与现有设备保持一致，如为新增设备，需提供钢筋笼。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BB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4F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B1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6500</w:t>
            </w:r>
          </w:p>
        </w:tc>
      </w:tr>
      <w:tr w14:paraId="326B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5B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54B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杆件3</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C2D7">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八角杆，立柱6.8米，横臂7米，杆件壁厚、外观与现有设备保持一致，整体热镀锌、喷塑，颜色依据路口需求。法兰盘与现有设备保持一致，如为新增设备，需提供钢筋笼。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48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E3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AE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7500</w:t>
            </w:r>
          </w:p>
        </w:tc>
      </w:tr>
      <w:tr w14:paraId="1DBA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31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8F6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杆件4</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763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八角杆，立柱6.8米，横臂8米，杆件壁厚、外观与现有设备保持一致，整体热镀锌、喷塑，颜色依据路口需求。法兰盘与现有设备保持一致，如为新增设备，需提供钢筋笼。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30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54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17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8500</w:t>
            </w:r>
          </w:p>
        </w:tc>
      </w:tr>
      <w:tr w14:paraId="00A1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2C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15C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杆件5</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AE76">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八角杆，立柱6.8米，横臂10米，杆件壁厚、外观与现有设备保持一致，整体热镀锌、喷塑，颜色依据路口需求。法兰盘与现有设备保持一致，如为新增设备，需提供钢筋笼。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69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58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8A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11500</w:t>
            </w:r>
          </w:p>
        </w:tc>
      </w:tr>
      <w:tr w14:paraId="1604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C5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825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杆件6</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F7E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八角杆，立柱6.8米，横臂12米，杆件壁厚、外观与现有设备保持一致，整体热镀锌、喷塑，颜色依据路口需求。法兰盘与现有设备保持一致，如为新增设备，需提供钢筋笼。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2A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CC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F3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14500</w:t>
            </w:r>
          </w:p>
        </w:tc>
      </w:tr>
      <w:tr w14:paraId="61B3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A9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EB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T型杆1</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4C0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主臂220/280，壁厚8mm，横臂（5米）180/90，壁厚5mm，横臂（3米）160/90，壁厚5mm，、整体热镀锌、喷塑，地笼8*M27，H1.5对角450/法兰550，法兰腰形孔。</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8E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A2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35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8800</w:t>
            </w:r>
          </w:p>
        </w:tc>
      </w:tr>
      <w:tr w14:paraId="465D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7F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8C0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T型杆2</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35E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主臂280/340，壁厚10mm，横臂（12米）110/240，壁厚8mm、横臂（3米）160/90，壁厚4.0mm。整体热镀锌、喷塑，地笼8*M30，H1.5对角450/法兰550，法兰腰形孔。</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4B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FB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33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15000</w:t>
            </w:r>
          </w:p>
        </w:tc>
      </w:tr>
      <w:tr w14:paraId="097F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0B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7D1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违停抓拍球机杆件</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817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立柱高9米，横臂规格:φ60X4X2500、φ60X4X215，锥型杆厚5mm</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18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36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38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t>
            </w:r>
          </w:p>
        </w:tc>
      </w:tr>
      <w:tr w14:paraId="1103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EB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BB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光缆成端设备</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A12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含分线盒、熔纤盘、尾纤</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A6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83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BD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5BAA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90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461E">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熔纤盘</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B93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定制8芯</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E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3E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7898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1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1B2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室外工业8口交换机</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BE8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1、具有 8 个 10/100Base-TX 自适应电口，支持自动 MDI/MDI-X连接；2、低功耗无风扇设计，提供包括壁挂、导轨和集中式在内的多种结构形式，铝合金单肋形机箱表面散热；3、端子式双电源冗余供电，支持冗余电源间的无缝切换。</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00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AC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A1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r>
      <w:tr w14:paraId="0E0E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32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32A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光纤收发器</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726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工业级光纤收发器提供≥1个千兆光接口，≥8个千兆自适应以太网口；</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AE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5B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C8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r w14:paraId="140C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C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163A">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沥青路面开挖</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5833">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沥青路面开挖埋管及管道保护，槽道深度不低于40CM，宽度不低于20CM，含回填、养护</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F0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4D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1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r>
      <w:tr w14:paraId="318F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5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8E3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绿化路面开挖</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D26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绿化路面开挖埋管及管道保护，槽道深度不低于40CM，宽度不低于30CM，含回填、养护</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74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67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59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r>
      <w:tr w14:paraId="2556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9A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AD01">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彩砖路面开挖</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148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人行道彩砖开挖埋管及管道保护，槽道深度不低于40CM，宽度不低于30CM，含回填、养护</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82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B6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69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r>
      <w:tr w14:paraId="0771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4F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E1D">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手井</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393C">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（1）砌筑材料品种、规格、强度等级:红机砖.240*115*53；100号（2）勾缝、抹面要求:水泥砂浆抹灰（3）井深:600mm（4）井尺寸:600*600mm（5）井盖、井圈材质及规格:井蓋为市政统一.五防井</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7B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B4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7D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r>
      <w:tr w14:paraId="7DA0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73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9FE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手井盖</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662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井尺寸:500*500mm ，盖板材质、规格:树脂材料500*500mm ，井盖、井圈材质及规格:井蓋为市政统一.五防井</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24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48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98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r>
      <w:tr w14:paraId="7325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28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6D3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手井盖</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4EC7">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井尺寸:500*500mm ，盖板材质、规格:铸铁材料500*500mm ，井盖、井圈材质及规格:井蓋为市政统一.五防井</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0A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8C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5D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r>
      <w:tr w14:paraId="421E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12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D772">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接地系统</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2315">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A3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点位</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34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11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r>
      <w:tr w14:paraId="4EDD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3C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C5C2">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管线警示柱</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1FF4">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定制，交警线缆指示</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66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3D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7D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r>
      <w:tr w14:paraId="0BAD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92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65FF">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管线铭牌</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C11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定制</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CB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9B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AB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63FE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22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2FD0">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混凝土基础</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E3E9">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C25信号机基础结构件混凝土基础浇筑（包括不锈钢地脚螺栓预埋件的制作及安装、穿线管埋设、C25商品混凝土的浇筑养护、基础回填、渣土清运、螺栓混凝土包封）。</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29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4F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E4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1300</w:t>
            </w:r>
          </w:p>
        </w:tc>
      </w:tr>
      <w:tr w14:paraId="75FC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B6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CD18">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过路顶管</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43BB">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过路顶管施工，直径110mmPE管</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99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99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09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r>
      <w:tr w14:paraId="1BBD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1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98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小计</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30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C2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92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43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238118</w:t>
            </w:r>
          </w:p>
        </w:tc>
      </w:tr>
      <w:tr w14:paraId="7ECD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1A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5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3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43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6B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C3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352118</w:t>
            </w:r>
          </w:p>
        </w:tc>
      </w:tr>
      <w:tr w14:paraId="17C8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jc w:val="center"/>
        </w:trPr>
        <w:tc>
          <w:tcPr>
            <w:tcW w:w="87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9D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注：维修配件更换依据由于不可抗力的因素或历史原因造成的设备更新费用按合同设备更新，清单报价以实际发生量进行审计计算；如更新设备不在清单中，由审计单位依据市场价格进行审价。</w:t>
            </w:r>
          </w:p>
        </w:tc>
      </w:tr>
    </w:tbl>
    <w:p w14:paraId="285121AF">
      <w:pPr>
        <w:ind w:firstLine="0" w:firstLineChars="0"/>
        <w:rPr>
          <w:b/>
          <w:bCs/>
        </w:rPr>
      </w:pPr>
    </w:p>
    <w:p w14:paraId="5D50D88C"/>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sdtPr>
    <w:sdtContent>
      <w:p w14:paraId="0F4CDE5E">
        <w:pPr>
          <w:pStyle w:val="9"/>
          <w:spacing w:before="48" w:after="72"/>
          <w:ind w:firstLine="0" w:firstLineChars="0"/>
          <w:jc w:val="center"/>
        </w:pPr>
        <w:r>
          <w:rPr>
            <w:rFonts w:hint="eastAsia"/>
          </w:rPr>
          <w:t xml:space="preserve"> </w:t>
        </w:r>
        <w:r>
          <w:rPr>
            <w:rFonts w:hint="eastAsia"/>
            <w:lang w:val="zh-CN"/>
          </w:rPr>
          <w:t xml:space="preserve">第 </w:t>
        </w:r>
        <w:r>
          <w:fldChar w:fldCharType="begin"/>
        </w:r>
        <w:r>
          <w:instrText xml:space="preserve">PAGE</w:instrText>
        </w:r>
        <w:r>
          <w:fldChar w:fldCharType="separate"/>
        </w:r>
        <w:r>
          <w:t>1</w:t>
        </w:r>
        <w:r>
          <w:fldChar w:fldCharType="end"/>
        </w:r>
        <w:r>
          <w:rPr>
            <w:lang w:val="zh-CN"/>
          </w:rPr>
          <w:t xml:space="preserve"> </w:t>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56BD">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93E6">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555C">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E24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03E5">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BE789"/>
    <w:multiLevelType w:val="singleLevel"/>
    <w:tmpl w:val="95BBE789"/>
    <w:lvl w:ilvl="0" w:tentative="0">
      <w:start w:val="1"/>
      <w:numFmt w:val="chineseCounting"/>
      <w:suff w:val="nothing"/>
      <w:lvlText w:val="（%1）"/>
      <w:lvlJc w:val="left"/>
      <w:rPr>
        <w:rFonts w:hint="eastAsia"/>
      </w:rPr>
    </w:lvl>
  </w:abstractNum>
  <w:abstractNum w:abstractNumId="1">
    <w:nsid w:val="75AC1539"/>
    <w:multiLevelType w:val="multilevel"/>
    <w:tmpl w:val="75AC1539"/>
    <w:lvl w:ilvl="0" w:tentative="0">
      <w:start w:val="1"/>
      <w:numFmt w:val="chineseCountingThousand"/>
      <w:pStyle w:val="3"/>
      <w:lvlText w:val="%1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tentative="0">
      <w:start w:val="1"/>
      <w:numFmt w:val="decimal"/>
      <w:pStyle w:val="5"/>
      <w:lvlText w:val="%2 "/>
      <w:lvlJc w:val="left"/>
      <w:pPr>
        <w:ind w:left="0" w:firstLine="0"/>
      </w:pPr>
      <w:rPr>
        <w:rFonts w:hint="eastAsia"/>
      </w:rPr>
    </w:lvl>
    <w:lvl w:ilvl="2" w:tentative="0">
      <w:start w:val="1"/>
      <w:numFmt w:val="decimal"/>
      <w:lvlText w:val="%2.%3 "/>
      <w:lvlJc w:val="left"/>
      <w:pPr>
        <w:ind w:left="0" w:firstLine="0"/>
      </w:pPr>
      <w:rPr>
        <w:rFonts w:hint="eastAsia"/>
      </w:rPr>
    </w:lvl>
    <w:lvl w:ilvl="3" w:tentative="0">
      <w:start w:val="1"/>
      <w:numFmt w:val="decimal"/>
      <w:lvlText w:val="%2.%3.%4 "/>
      <w:lvlJc w:val="left"/>
      <w:pPr>
        <w:ind w:left="426" w:firstLine="0"/>
      </w:pPr>
      <w:rPr>
        <w:rFonts w:hint="eastAsia"/>
      </w:rPr>
    </w:lvl>
    <w:lvl w:ilvl="4" w:tentative="0">
      <w:start w:val="1"/>
      <w:numFmt w:val="decimal"/>
      <w:lvlText w:val="%2.%3.%4.%5 "/>
      <w:lvlJc w:val="left"/>
      <w:pPr>
        <w:ind w:left="0" w:firstLine="0"/>
      </w:pPr>
      <w:rPr>
        <w:rFonts w:hint="eastAsia"/>
      </w:rPr>
    </w:lvl>
    <w:lvl w:ilvl="5" w:tentative="0">
      <w:start w:val="1"/>
      <w:numFmt w:val="decimal"/>
      <w:lvlText w:val="%2.%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94D58"/>
    <w:rsid w:val="107F04D7"/>
    <w:rsid w:val="11852919"/>
    <w:rsid w:val="15BD1974"/>
    <w:rsid w:val="18365A0D"/>
    <w:rsid w:val="21E833EF"/>
    <w:rsid w:val="2D412A32"/>
    <w:rsid w:val="2DD94D58"/>
    <w:rsid w:val="4278084D"/>
    <w:rsid w:val="591D6AE0"/>
    <w:rsid w:val="66D6776C"/>
    <w:rsid w:val="7E50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3">
    <w:name w:val="heading 1"/>
    <w:next w:val="4"/>
    <w:qFormat/>
    <w:uiPriority w:val="9"/>
    <w:pPr>
      <w:keepNext/>
      <w:keepLines/>
      <w:numPr>
        <w:ilvl w:val="0"/>
        <w:numId w:val="1"/>
      </w:numPr>
      <w:outlineLvl w:val="0"/>
    </w:pPr>
    <w:rPr>
      <w:rFonts w:ascii="宋体" w:hAnsi="Times New Roman" w:eastAsia="宋体" w:cs="Times New Roman"/>
      <w:b/>
      <w:bCs/>
      <w:kern w:val="44"/>
      <w:sz w:val="32"/>
      <w:szCs w:val="44"/>
      <w:lang w:val="en-US" w:eastAsia="zh-CN" w:bidi="ar-SA"/>
    </w:rPr>
  </w:style>
  <w:style w:type="paragraph" w:styleId="5">
    <w:name w:val="heading 2"/>
    <w:next w:val="1"/>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ind w:left="-216" w:leftChars="-104" w:right="2" w:rightChars="1" w:hanging="2"/>
      <w:jc w:val="center"/>
    </w:pPr>
    <w:rPr>
      <w:rFonts w:ascii="楷体_GB2312" w:eastAsia="楷体_GB2312"/>
      <w:sz w:val="24"/>
    </w:rPr>
  </w:style>
  <w:style w:type="paragraph" w:styleId="4">
    <w:name w:val="Plain Text"/>
    <w:basedOn w:val="1"/>
    <w:qFormat/>
    <w:uiPriority w:val="0"/>
    <w:rPr>
      <w:rFonts w:hAnsi="Courier New"/>
      <w:szCs w:val="20"/>
    </w:rPr>
  </w:style>
  <w:style w:type="paragraph" w:styleId="6">
    <w:name w:val="Normal Indent"/>
    <w:basedOn w:val="1"/>
    <w:next w:val="1"/>
    <w:unhideWhenUsed/>
    <w:qFormat/>
    <w:uiPriority w:val="99"/>
    <w:pPr>
      <w:widowControl/>
      <w:spacing w:line="312" w:lineRule="auto"/>
      <w:ind w:firstLine="420" w:firstLineChars="0"/>
      <w:jc w:val="left"/>
    </w:pPr>
    <w:rPr>
      <w:rFonts w:ascii="Times New Roman"/>
      <w:kern w:val="0"/>
      <w:szCs w:val="24"/>
    </w:rPr>
  </w:style>
  <w:style w:type="paragraph" w:styleId="7">
    <w:name w:val="Body Text Indent"/>
    <w:basedOn w:val="1"/>
    <w:next w:val="8"/>
    <w:qFormat/>
    <w:uiPriority w:val="99"/>
    <w:pPr>
      <w:spacing w:after="120"/>
      <w:ind w:left="420"/>
    </w:pPr>
  </w:style>
  <w:style w:type="paragraph" w:styleId="8">
    <w:name w:val="envelope return"/>
    <w:basedOn w:val="1"/>
    <w:qFormat/>
    <w:uiPriority w:val="0"/>
    <w:rPr>
      <w:rFonts w:ascii="Arial" w:hAnsi="Arial"/>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1"/>
    <w:qFormat/>
    <w:uiPriority w:val="99"/>
    <w:pPr>
      <w:spacing w:after="0"/>
      <w:ind w:left="0" w:firstLine="420"/>
    </w:pPr>
    <w:rPr>
      <w:rFonts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13377</Words>
  <Characters>13463</Characters>
  <Lines>0</Lines>
  <Paragraphs>0</Paragraphs>
  <TotalTime>0</TotalTime>
  <ScaleCrop>false</ScaleCrop>
  <LinksUpToDate>false</LinksUpToDate>
  <CharactersWithSpaces>13463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2026-06-03T08:57:00Z</dcterms:created>
  <dc:creator>杨尚鹏</dc:creator>
  <cp:lastModifiedBy>✨ Grimm ✨ </cp:lastModifiedBy>
  <dcterms:modified xsi:type="dcterms:W3CDTF">2026-06-05T06:00:46Z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ADB0394774E448378B62E9F86397DA29_11</vt:lpwstr>
  </property>
  <property fmtid="{D5CDD505-2E9C-101B-9397-08002B2CF9AE}" pid="4" name="KSOTemplateDocerSaveRecord">
    <vt:lpwstr>eyJoZGlkIjoiN2U2OGM3ZGRkNGI0YzJkOGRhZDEwOTMwNTQ4NmU5ZjgiLCJ1c2VySWQiOiIyOTY0MjI3MDAifQ==</vt:lpwstr>
  </property>
</Properties>
</file>