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EED56">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如有建议或意见，请以书面形式并加盖公章、注明联系人、联系方式，于</w:t>
      </w:r>
      <w:r>
        <w:rPr>
          <w:rFonts w:hint="eastAsia" w:ascii="宋体" w:hAnsi="宋体" w:cs="宋体"/>
          <w:sz w:val="24"/>
          <w:highlight w:val="none"/>
          <w:lang w:val="en-US" w:eastAsia="zh-CN"/>
        </w:rPr>
        <w:t>2026</w:t>
      </w:r>
      <w:r>
        <w:rPr>
          <w:rFonts w:hint="eastAsia" w:ascii="宋体" w:hAnsi="宋体" w:cs="宋体"/>
          <w:sz w:val="24"/>
          <w:highlight w:val="none"/>
        </w:rPr>
        <w:t>年</w:t>
      </w:r>
      <w:r>
        <w:rPr>
          <w:rFonts w:hint="eastAsia" w:ascii="宋体" w:hAnsi="宋体" w:cs="宋体"/>
          <w:sz w:val="24"/>
          <w:highlight w:val="none"/>
          <w:lang w:val="en-US" w:eastAsia="zh-CN"/>
        </w:rPr>
        <w:t>6月23日</w:t>
      </w:r>
      <w:r>
        <w:rPr>
          <w:rFonts w:hint="eastAsia" w:ascii="宋体" w:hAnsi="宋体" w:cs="宋体"/>
          <w:sz w:val="24"/>
          <w:highlight w:val="none"/>
        </w:rPr>
        <w:t>17:00之前送至我单位，逾期不受理（如邮寄，</w:t>
      </w:r>
      <w:r>
        <w:rPr>
          <w:rFonts w:hint="eastAsia" w:ascii="宋体" w:hAnsi="宋体" w:cs="宋体"/>
          <w:sz w:val="24"/>
          <w:highlight w:val="none"/>
          <w:lang w:val="en-US" w:eastAsia="zh-CN"/>
        </w:rPr>
        <w:t>2026</w:t>
      </w:r>
      <w:r>
        <w:rPr>
          <w:rFonts w:hint="eastAsia" w:ascii="宋体" w:hAnsi="宋体" w:cs="宋体"/>
          <w:sz w:val="24"/>
          <w:highlight w:val="none"/>
        </w:rPr>
        <w:t>年</w:t>
      </w:r>
      <w:r>
        <w:rPr>
          <w:rFonts w:hint="eastAsia" w:ascii="宋体" w:hAnsi="宋体" w:cs="宋体"/>
          <w:sz w:val="24"/>
          <w:highlight w:val="none"/>
          <w:lang w:val="en-US" w:eastAsia="zh-CN"/>
        </w:rPr>
        <w:t>6月23日</w:t>
      </w:r>
      <w:r>
        <w:rPr>
          <w:rFonts w:hint="eastAsia" w:ascii="宋体" w:hAnsi="宋体" w:cs="宋体"/>
          <w:sz w:val="24"/>
          <w:highlight w:val="none"/>
        </w:rPr>
        <w:t>17:00之后到达本公司的邮件将不再受理）。</w:t>
      </w:r>
    </w:p>
    <w:p w14:paraId="0BDE2846">
      <w:pPr>
        <w:pStyle w:val="2"/>
        <w:rPr>
          <w:rFonts w:hint="eastAsia" w:ascii="宋体" w:hAnsi="宋体" w:cs="宋体"/>
          <w:sz w:val="24"/>
          <w:highlight w:val="none"/>
        </w:rPr>
      </w:pPr>
    </w:p>
    <w:p w14:paraId="5B5C8E31">
      <w:pPr>
        <w:pStyle w:val="3"/>
        <w:rPr>
          <w:rFonts w:hint="eastAsia" w:ascii="宋体" w:hAnsi="宋体" w:cs="宋体"/>
          <w:sz w:val="24"/>
          <w:highlight w:val="none"/>
        </w:rPr>
      </w:pPr>
    </w:p>
    <w:p w14:paraId="5D8F0A6D">
      <w:pPr>
        <w:rPr>
          <w:rFonts w:hint="eastAsia" w:ascii="宋体" w:hAnsi="宋体" w:cs="宋体"/>
          <w:sz w:val="24"/>
          <w:highlight w:val="none"/>
        </w:rPr>
      </w:pPr>
    </w:p>
    <w:p w14:paraId="22AD5903">
      <w:pPr>
        <w:pStyle w:val="2"/>
        <w:rPr>
          <w:rFonts w:hint="eastAsia" w:ascii="宋体" w:hAnsi="宋体" w:cs="宋体"/>
          <w:sz w:val="24"/>
          <w:highlight w:val="none"/>
        </w:rPr>
      </w:pPr>
    </w:p>
    <w:p w14:paraId="30FF1E99">
      <w:pPr>
        <w:pStyle w:val="3"/>
        <w:rPr>
          <w:rFonts w:hint="eastAsia" w:ascii="宋体" w:hAnsi="宋体" w:cs="宋体"/>
          <w:sz w:val="24"/>
          <w:highlight w:val="none"/>
        </w:rPr>
      </w:pPr>
    </w:p>
    <w:p w14:paraId="051E8557">
      <w:pPr>
        <w:rPr>
          <w:rFonts w:hint="eastAsia" w:ascii="宋体" w:hAnsi="宋体" w:cs="宋体"/>
          <w:sz w:val="24"/>
          <w:highlight w:val="none"/>
        </w:rPr>
      </w:pPr>
    </w:p>
    <w:p w14:paraId="61311496">
      <w:pPr>
        <w:pStyle w:val="2"/>
        <w:rPr>
          <w:rFonts w:hint="eastAsia" w:ascii="宋体" w:hAnsi="宋体" w:cs="宋体"/>
          <w:sz w:val="24"/>
          <w:highlight w:val="none"/>
        </w:rPr>
      </w:pPr>
    </w:p>
    <w:p w14:paraId="7DD8F48A">
      <w:pPr>
        <w:pStyle w:val="3"/>
        <w:rPr>
          <w:rFonts w:hint="eastAsia" w:ascii="宋体" w:hAnsi="宋体" w:cs="宋体"/>
          <w:sz w:val="24"/>
          <w:highlight w:val="none"/>
        </w:rPr>
      </w:pPr>
    </w:p>
    <w:p w14:paraId="2293974D">
      <w:pPr>
        <w:rPr>
          <w:rFonts w:hint="eastAsia" w:ascii="宋体" w:hAnsi="宋体" w:cs="宋体"/>
          <w:sz w:val="24"/>
          <w:highlight w:val="none"/>
        </w:rPr>
      </w:pPr>
    </w:p>
    <w:p w14:paraId="3ABF113F">
      <w:pPr>
        <w:pStyle w:val="2"/>
        <w:rPr>
          <w:rFonts w:hint="eastAsia" w:ascii="宋体" w:hAnsi="宋体" w:cs="宋体"/>
          <w:sz w:val="24"/>
          <w:highlight w:val="none"/>
        </w:rPr>
      </w:pPr>
    </w:p>
    <w:p w14:paraId="43F7013C">
      <w:pPr>
        <w:pStyle w:val="3"/>
        <w:rPr>
          <w:rFonts w:hint="eastAsia" w:ascii="宋体" w:hAnsi="宋体" w:cs="宋体"/>
          <w:sz w:val="24"/>
          <w:highlight w:val="none"/>
        </w:rPr>
      </w:pPr>
    </w:p>
    <w:p w14:paraId="7775DB56">
      <w:pPr>
        <w:rPr>
          <w:rFonts w:hint="eastAsia" w:ascii="宋体" w:hAnsi="宋体" w:cs="宋体"/>
          <w:sz w:val="24"/>
          <w:highlight w:val="none"/>
        </w:rPr>
      </w:pPr>
    </w:p>
    <w:p w14:paraId="62D02F4A">
      <w:pPr>
        <w:pStyle w:val="2"/>
        <w:rPr>
          <w:rFonts w:hint="eastAsia" w:ascii="宋体" w:hAnsi="宋体" w:cs="宋体"/>
          <w:sz w:val="24"/>
          <w:highlight w:val="none"/>
        </w:rPr>
      </w:pPr>
    </w:p>
    <w:p w14:paraId="65FF1B85">
      <w:pPr>
        <w:pStyle w:val="3"/>
        <w:rPr>
          <w:rFonts w:hint="eastAsia" w:ascii="宋体" w:hAnsi="宋体" w:cs="宋体"/>
          <w:sz w:val="24"/>
          <w:highlight w:val="none"/>
        </w:rPr>
      </w:pPr>
    </w:p>
    <w:p w14:paraId="33534531">
      <w:pPr>
        <w:rPr>
          <w:rFonts w:hint="eastAsia" w:ascii="宋体" w:hAnsi="宋体" w:cs="宋体"/>
          <w:sz w:val="24"/>
          <w:highlight w:val="none"/>
        </w:rPr>
      </w:pPr>
    </w:p>
    <w:p w14:paraId="15AC3002">
      <w:pPr>
        <w:pStyle w:val="2"/>
        <w:rPr>
          <w:rFonts w:hint="eastAsia" w:ascii="宋体" w:hAnsi="宋体" w:cs="宋体"/>
          <w:sz w:val="24"/>
          <w:highlight w:val="none"/>
        </w:rPr>
      </w:pPr>
    </w:p>
    <w:p w14:paraId="1DEED66B">
      <w:pPr>
        <w:pStyle w:val="3"/>
        <w:rPr>
          <w:rFonts w:hint="eastAsia" w:ascii="宋体" w:hAnsi="宋体" w:cs="宋体"/>
          <w:sz w:val="24"/>
          <w:highlight w:val="none"/>
        </w:rPr>
      </w:pPr>
    </w:p>
    <w:p w14:paraId="47D6E694">
      <w:pPr>
        <w:rPr>
          <w:rFonts w:hint="eastAsia"/>
        </w:rPr>
      </w:pPr>
    </w:p>
    <w:p w14:paraId="3796779D">
      <w:pPr>
        <w:pStyle w:val="4"/>
        <w:spacing w:before="0" w:after="0" w:line="240" w:lineRule="auto"/>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p>
    <w:p w14:paraId="33CA1FF7">
      <w:pPr>
        <w:pStyle w:val="4"/>
        <w:spacing w:before="0" w:after="0" w:line="240" w:lineRule="auto"/>
        <w:ind w:firstLine="562"/>
        <w:rPr>
          <w:rFonts w:hint="eastAsia" w:ascii="宋体" w:hAnsi="宋体" w:eastAsia="宋体" w:cs="宋体"/>
          <w:color w:val="000000" w:themeColor="text1"/>
          <w:sz w:val="28"/>
          <w:szCs w:val="28"/>
          <w:highlight w:val="none"/>
          <w:lang w:val="en-US" w:eastAsia="zh-CN"/>
          <w14:textFill>
            <w14:solidFill>
              <w14:schemeClr w14:val="tx1"/>
            </w14:solidFill>
          </w14:textFill>
        </w:rPr>
      </w:pPr>
    </w:p>
    <w:p w14:paraId="05B475F7">
      <w:pPr>
        <w:pStyle w:val="4"/>
        <w:spacing w:before="0" w:after="0" w:line="240" w:lineRule="auto"/>
        <w:ind w:firstLine="562"/>
        <w:rPr>
          <w:rFonts w:hint="eastAsia" w:ascii="宋体" w:hAnsi="宋体" w:eastAsia="宋体" w:cs="宋体"/>
          <w:color w:val="000000" w:themeColor="text1"/>
          <w:sz w:val="28"/>
          <w:szCs w:val="28"/>
          <w:highlight w:val="none"/>
          <w:lang w:val="en-US" w:eastAsia="zh-CN"/>
          <w14:textFill>
            <w14:solidFill>
              <w14:schemeClr w14:val="tx1"/>
            </w14:solidFill>
          </w14:textFill>
        </w:rPr>
      </w:pPr>
    </w:p>
    <w:p w14:paraId="1D0EECEE">
      <w:pPr>
        <w:pStyle w:val="4"/>
        <w:spacing w:before="0" w:after="0" w:line="240" w:lineRule="auto"/>
        <w:ind w:firstLine="562"/>
        <w:rPr>
          <w:rFonts w:hint="eastAsia" w:ascii="宋体" w:hAnsi="宋体" w:eastAsia="宋体" w:cs="宋体"/>
          <w:color w:val="000000" w:themeColor="text1"/>
          <w:sz w:val="28"/>
          <w:szCs w:val="28"/>
          <w:highlight w:val="none"/>
          <w:lang w:val="en-US" w:eastAsia="zh-CN"/>
          <w14:textFill>
            <w14:solidFill>
              <w14:schemeClr w14:val="tx1"/>
            </w14:solidFill>
          </w14:textFill>
        </w:rPr>
      </w:pPr>
    </w:p>
    <w:p w14:paraId="724698E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0"/>
        <w:textAlignment w:val="auto"/>
        <w:rPr>
          <w:rFonts w:hint="eastAsia" w:ascii="宋体" w:hAnsi="宋体" w:eastAsia="宋体" w:cs="宋体"/>
          <w:b/>
          <w:kern w:val="2"/>
          <w:sz w:val="24"/>
          <w:szCs w:val="24"/>
          <w:highlight w:val="none"/>
          <w:lang w:val="en-US" w:eastAsia="zh-CN" w:bidi="ar-SA"/>
        </w:rPr>
      </w:pPr>
    </w:p>
    <w:p w14:paraId="5460CA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0"/>
        <w:textAlignment w:val="auto"/>
        <w:rPr>
          <w:rFonts w:hint="eastAsia" w:ascii="宋体" w:hAnsi="宋体" w:eastAsia="宋体" w:cs="宋体"/>
          <w:b/>
          <w:kern w:val="2"/>
          <w:sz w:val="24"/>
          <w:szCs w:val="24"/>
          <w:highlight w:val="none"/>
          <w:lang w:val="en-US" w:eastAsia="zh-CN" w:bidi="ar-SA"/>
        </w:rPr>
      </w:pPr>
    </w:p>
    <w:p w14:paraId="486C09B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0"/>
        <w:jc w:val="center"/>
        <w:textAlignment w:val="auto"/>
        <w:rPr>
          <w:rFonts w:hint="eastAsia" w:ascii="宋体" w:hAnsi="宋体" w:eastAsia="宋体" w:cs="宋体"/>
          <w:b/>
          <w:kern w:val="2"/>
          <w:sz w:val="24"/>
          <w:szCs w:val="24"/>
          <w:highlight w:val="none"/>
          <w:lang w:val="en-US" w:eastAsia="zh-CN" w:bidi="ar-SA"/>
        </w:rPr>
      </w:pPr>
      <w:r>
        <w:rPr>
          <w:rFonts w:hint="eastAsia" w:ascii="宋体" w:hAnsi="宋体" w:eastAsia="宋体" w:cs="宋体"/>
          <w:b/>
          <w:kern w:val="2"/>
          <w:sz w:val="24"/>
          <w:szCs w:val="24"/>
          <w:highlight w:val="none"/>
          <w:lang w:val="en-US" w:eastAsia="zh-CN" w:bidi="ar-SA"/>
        </w:rPr>
        <w:t>项目要求（采购需求）</w:t>
      </w:r>
    </w:p>
    <w:p w14:paraId="645C35F4">
      <w:pPr>
        <w:widowControl w:val="0"/>
        <w:numPr>
          <w:ilvl w:val="0"/>
          <w:numId w:val="0"/>
        </w:numPr>
        <w:jc w:val="both"/>
        <w:rPr>
          <w:rFonts w:hint="eastAsia" w:ascii="宋体" w:hAnsi="宋体" w:eastAsia="宋体" w:cs="宋体"/>
          <w:color w:val="auto"/>
          <w:sz w:val="21"/>
          <w:szCs w:val="24"/>
          <w:highlight w:val="none"/>
        </w:rPr>
      </w:pPr>
    </w:p>
    <w:p w14:paraId="15129BF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0"/>
        <w:textAlignment w:val="auto"/>
        <w:rPr>
          <w:rFonts w:hint="eastAsia" w:ascii="宋体" w:hAnsi="宋体" w:eastAsia="宋体" w:cs="宋体"/>
          <w:b/>
          <w:sz w:val="24"/>
          <w:highlight w:val="none"/>
        </w:rPr>
      </w:pPr>
      <w:r>
        <w:rPr>
          <w:rFonts w:hint="eastAsia" w:ascii="宋体" w:hAnsi="宋体" w:eastAsia="宋体" w:cs="宋体"/>
          <w:b/>
          <w:kern w:val="2"/>
          <w:sz w:val="24"/>
          <w:szCs w:val="24"/>
          <w:highlight w:val="none"/>
          <w:lang w:val="en-US" w:eastAsia="zh-CN" w:bidi="ar-SA"/>
        </w:rPr>
        <w:t>一、本项目不接受超过111.45万元人民币</w:t>
      </w:r>
      <w:r>
        <w:rPr>
          <w:rFonts w:hint="eastAsia" w:ascii="宋体" w:hAnsi="宋体" w:eastAsia="宋体" w:cs="宋体"/>
          <w:b/>
          <w:bCs/>
          <w:sz w:val="24"/>
          <w:highlight w:val="none"/>
        </w:rPr>
        <w:t>（采购项目预算金额）</w:t>
      </w:r>
      <w:r>
        <w:rPr>
          <w:rFonts w:hint="eastAsia" w:ascii="宋体" w:hAnsi="宋体" w:eastAsia="宋体" w:cs="宋体"/>
          <w:b/>
          <w:kern w:val="2"/>
          <w:sz w:val="24"/>
          <w:szCs w:val="24"/>
          <w:highlight w:val="none"/>
          <w:lang w:val="en-US" w:eastAsia="zh-CN" w:bidi="ar-SA"/>
        </w:rPr>
        <w:t>的报价，</w:t>
      </w:r>
      <w:r>
        <w:rPr>
          <w:rFonts w:hint="eastAsia" w:ascii="宋体" w:hAnsi="宋体" w:eastAsia="宋体" w:cs="宋体"/>
          <w:b/>
          <w:sz w:val="24"/>
          <w:highlight w:val="none"/>
        </w:rPr>
        <w:t>报价应包括但不限于完成本项目的人工、材料、机械、</w:t>
      </w:r>
      <w:r>
        <w:rPr>
          <w:rFonts w:ascii="宋体" w:hAnsi="宋体" w:eastAsia="宋体" w:cs="宋体"/>
          <w:b/>
          <w:color w:val="000000"/>
          <w:sz w:val="24"/>
          <w:highlight w:val="none"/>
        </w:rPr>
        <w:t>措施费、规费、税金</w:t>
      </w:r>
      <w:r>
        <w:rPr>
          <w:rFonts w:hint="eastAsia" w:ascii="宋体" w:hAnsi="宋体" w:eastAsia="宋体" w:cs="宋体"/>
          <w:b/>
          <w:color w:val="000000"/>
          <w:sz w:val="24"/>
          <w:highlight w:val="none"/>
          <w:lang w:eastAsia="zh-CN"/>
        </w:rPr>
        <w:t>、代理服务费、</w:t>
      </w:r>
      <w:r>
        <w:rPr>
          <w:rFonts w:hint="eastAsia" w:ascii="宋体" w:hAnsi="宋体" w:eastAsia="宋体" w:cs="宋体"/>
          <w:b/>
          <w:sz w:val="24"/>
          <w:highlight w:val="none"/>
          <w:lang w:eastAsia="zh-CN"/>
        </w:rPr>
        <w:t>合理</w:t>
      </w:r>
      <w:r>
        <w:rPr>
          <w:rFonts w:hint="eastAsia" w:ascii="宋体" w:hAnsi="宋体" w:eastAsia="宋体" w:cs="宋体"/>
          <w:b/>
          <w:sz w:val="24"/>
          <w:highlight w:val="none"/>
        </w:rPr>
        <w:t>利润等全部费用。采购人不再支付报价以外的任何费用。</w:t>
      </w:r>
    </w:p>
    <w:p w14:paraId="4ADFD49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highlight w:val="none"/>
        </w:rPr>
      </w:pPr>
      <w:r>
        <w:rPr>
          <w:rFonts w:hint="eastAsia" w:ascii="宋体" w:hAnsi="宋体" w:eastAsia="宋体" w:cs="宋体"/>
          <w:b/>
          <w:sz w:val="24"/>
          <w:highlight w:val="none"/>
        </w:rPr>
        <w:t>二、项目范围及要求</w:t>
      </w:r>
    </w:p>
    <w:p w14:paraId="681219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1、建设地点：</w:t>
      </w:r>
      <w:r>
        <w:rPr>
          <w:rFonts w:hint="eastAsia" w:ascii="宋体" w:hAnsi="宋体" w:eastAsia="宋体" w:cs="宋体"/>
          <w:sz w:val="24"/>
          <w:szCs w:val="24"/>
          <w:lang w:eastAsia="zh-CN"/>
        </w:rPr>
        <w:t>徐州市</w:t>
      </w:r>
      <w:r>
        <w:rPr>
          <w:rFonts w:hint="eastAsia" w:ascii="宋体" w:hAnsi="宋体" w:eastAsia="宋体" w:cs="宋体"/>
          <w:sz w:val="24"/>
          <w:szCs w:val="24"/>
          <w:lang w:val="en-US" w:eastAsia="zh-CN"/>
        </w:rPr>
        <w:t>故黄河市区段</w:t>
      </w:r>
      <w:r>
        <w:rPr>
          <w:rFonts w:hint="eastAsia" w:ascii="宋体" w:hAnsi="宋体" w:eastAsia="宋体" w:cs="宋体"/>
          <w:b w:val="0"/>
          <w:bCs/>
          <w:sz w:val="24"/>
          <w:highlight w:val="none"/>
          <w:lang w:val="en-US" w:eastAsia="zh-CN"/>
        </w:rPr>
        <w:t>。</w:t>
      </w:r>
    </w:p>
    <w:p w14:paraId="335CCF2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333333"/>
          <w:kern w:val="0"/>
          <w:sz w:val="24"/>
          <w:szCs w:val="24"/>
          <w:shd w:val="clear" w:color="auto" w:fill="FFFFFF"/>
        </w:rPr>
      </w:pPr>
      <w:r>
        <w:rPr>
          <w:rFonts w:hint="eastAsia" w:ascii="宋体" w:hAnsi="宋体" w:eastAsia="宋体" w:cs="宋体"/>
          <w:b w:val="0"/>
          <w:bCs/>
          <w:sz w:val="24"/>
          <w:highlight w:val="none"/>
          <w:lang w:val="en-US" w:eastAsia="zh-CN"/>
        </w:rPr>
        <w:t>2、项目内容：</w:t>
      </w:r>
      <w:r>
        <w:rPr>
          <w:rFonts w:hint="eastAsia" w:ascii="宋体" w:hAnsi="宋体" w:eastAsia="宋体" w:cs="宋体"/>
          <w:sz w:val="24"/>
          <w:szCs w:val="24"/>
          <w:lang w:val="en-US" w:eastAsia="zh-CN"/>
        </w:rPr>
        <w:t>故黄河基础设施（堤防、岸坡、挡墙、栏杆、游步道、沿岸广场、硬铺装）和景观设施维修等</w:t>
      </w:r>
      <w:r>
        <w:rPr>
          <w:rFonts w:hint="eastAsia" w:ascii="宋体" w:hAnsi="宋体" w:eastAsia="宋体" w:cs="宋体"/>
          <w:color w:val="333333"/>
          <w:kern w:val="0"/>
          <w:sz w:val="24"/>
          <w:szCs w:val="24"/>
          <w:shd w:val="clear" w:color="auto" w:fill="FFFFFF"/>
          <w:lang w:eastAsia="zh-CN"/>
        </w:rPr>
        <w:t>。</w:t>
      </w:r>
      <w:r>
        <w:rPr>
          <w:rFonts w:hint="eastAsia" w:ascii="宋体" w:hAnsi="宋体" w:eastAsia="宋体" w:cs="宋体"/>
          <w:color w:val="333333"/>
          <w:kern w:val="0"/>
          <w:sz w:val="24"/>
          <w:szCs w:val="24"/>
          <w:shd w:val="clear" w:color="auto" w:fill="FFFFFF"/>
        </w:rPr>
        <w:t>具体详见本项目</w:t>
      </w:r>
      <w:r>
        <w:rPr>
          <w:rFonts w:hint="eastAsia" w:ascii="宋体" w:hAnsi="宋体" w:cs="宋体"/>
          <w:color w:val="333333"/>
          <w:kern w:val="0"/>
          <w:sz w:val="24"/>
          <w:szCs w:val="24"/>
          <w:shd w:val="clear" w:color="auto" w:fill="FFFFFF"/>
          <w:lang w:eastAsia="zh-CN"/>
        </w:rPr>
        <w:t>磋商</w:t>
      </w:r>
      <w:r>
        <w:rPr>
          <w:rFonts w:hint="eastAsia" w:ascii="宋体" w:hAnsi="宋体" w:eastAsia="宋体" w:cs="宋体"/>
          <w:color w:val="333333"/>
          <w:kern w:val="0"/>
          <w:sz w:val="24"/>
          <w:szCs w:val="24"/>
          <w:shd w:val="clear" w:color="auto" w:fill="FFFFFF"/>
        </w:rPr>
        <w:t>文件及工程量清单。</w:t>
      </w:r>
    </w:p>
    <w:p w14:paraId="499DCD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3、现场条件：施工现场基本平整，场外道路具备施工条件，施工用水用电自行考虑。建议供应商对项目现场和周围环境进行实地踏勘，以</w:t>
      </w:r>
      <w:r>
        <w:rPr>
          <w:rFonts w:hint="eastAsia" w:ascii="宋体" w:hAnsi="宋体" w:eastAsia="宋体" w:cs="宋体"/>
          <w:b w:val="0"/>
          <w:bCs/>
          <w:sz w:val="24"/>
          <w:highlight w:val="none"/>
          <w:lang w:val="zh-CN" w:eastAsia="zh-CN"/>
        </w:rPr>
        <w:t>了解现场的施工环境、施工范围、技术要求及相关服务，</w:t>
      </w:r>
      <w:r>
        <w:rPr>
          <w:rFonts w:hint="eastAsia" w:ascii="宋体" w:hAnsi="宋体" w:eastAsia="宋体" w:cs="宋体"/>
          <w:b w:val="0"/>
          <w:bCs/>
          <w:sz w:val="24"/>
          <w:highlight w:val="none"/>
          <w:lang w:val="en-US" w:eastAsia="zh-CN"/>
        </w:rPr>
        <w:t>供应商应承担现场踏勘的责任和风险，费用由供应商自己承担。成交</w:t>
      </w:r>
      <w:r>
        <w:rPr>
          <w:rFonts w:hint="eastAsia" w:ascii="宋体" w:hAnsi="宋体" w:eastAsia="宋体" w:cs="宋体"/>
          <w:b w:val="0"/>
          <w:bCs/>
          <w:sz w:val="24"/>
          <w:highlight w:val="none"/>
          <w:lang w:val="zh-CN" w:eastAsia="zh-CN"/>
        </w:rPr>
        <w:t>后不得以未踏勘现场或不了解现场为由提出任何增加费用的要求。</w:t>
      </w:r>
    </w:p>
    <w:p w14:paraId="13A1C12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4、承包方式：包工包料。</w:t>
      </w:r>
    </w:p>
    <w:p w14:paraId="6F0F35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 xml:space="preserve">5、要求质量标准：合格，通过相关部门验收。未达到质量要求的，供应商负责无条件返工，直至达到要求，所发生的费用由供应商承担，供应商还应赔偿因此给采购人造成的损失。 </w:t>
      </w:r>
    </w:p>
    <w:p w14:paraId="492A57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6、工期要求：60日历天。</w:t>
      </w:r>
    </w:p>
    <w:p w14:paraId="240630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7、技术标准和要求：符合现行国家技术、施工及验收规范规程，对施工工艺的特殊要求，按设计图纸及国家有关规定执行。</w:t>
      </w:r>
    </w:p>
    <w:p w14:paraId="46676D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 xml:space="preserve">8、质量保修期限：6个月。质保期内，如发生故障，采购人通知成交供应商服务人员时，相关服务人员要在24小时内到达现场配合采购人处理问题，进行更换或进行必要的维修。 </w:t>
      </w:r>
    </w:p>
    <w:p w14:paraId="4A1B25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9、验收标准：完成合同约定内容，满足质量标准，满足采购需求要求。</w:t>
      </w:r>
    </w:p>
    <w:p w14:paraId="0427EEE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val="0"/>
          <w:sz w:val="24"/>
          <w:highlight w:val="none"/>
          <w:lang w:val="en-US" w:eastAsia="zh-CN"/>
        </w:rPr>
      </w:pPr>
      <w:r>
        <w:rPr>
          <w:rFonts w:hint="eastAsia" w:ascii="宋体" w:hAnsi="宋体" w:eastAsia="宋体" w:cs="宋体"/>
          <w:b/>
          <w:bCs w:val="0"/>
          <w:sz w:val="24"/>
          <w:highlight w:val="none"/>
          <w:lang w:val="en-US" w:eastAsia="zh-CN"/>
        </w:rPr>
        <w:t>三、《已标价的工程量清单》要求</w:t>
      </w:r>
    </w:p>
    <w:p w14:paraId="52EAAF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1、本合同为固定单价合同。</w:t>
      </w:r>
    </w:p>
    <w:p w14:paraId="68B2CF2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工程量清单应与合同草案条款、项目要求等磋商文件一起参照阅读。本项目不考虑工程量增减对综合单价的影响，不因投资增减而调增或调减工程量清单中的总价措施项目（不可竞争项目除外）费用。</w:t>
      </w:r>
    </w:p>
    <w:p w14:paraId="515B7E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2、供应商必须按采购人提供的工程量清单进行报价，填写的项目名称、项目特征、计量单位、工程量必须与采购人提供的一致。否则视为对招标文件商务条款的实质性偏离。供应商不得修改工程量清单中的分部分项内容及数量，否则视为不响应招标文件。</w:t>
      </w:r>
    </w:p>
    <w:p w14:paraId="240643B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3、 除合同另有规定外，工程量清单中的单价和合价包括由承包人承担的直接费、间接费、其它费用、税金等全部费用和要求获得的利润以及应由承包人承担的义务、责任和风险所发生的一切费用。</w:t>
      </w:r>
    </w:p>
    <w:p w14:paraId="6F6CB9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4、投标人应按有关规定办理建筑工程一切险、人员工伤事故的保险、人身意外伤害险和第三者责任险，保险费用含在投标报价中，并不单独列项。</w:t>
      </w:r>
    </w:p>
    <w:p w14:paraId="21D0CD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5、符合合同规定的全部费用和利润都应包括在工程量清单所列的各项目中，合同规定应由承包人承担而在工程量清单中未详细列出的项目，其费用和利润应认为已包括在其它有关项目的单价和合价中。投标人不应在工程量清单中自行增加新的项目或修改项目名称。投标人应充分考虑与本合同实施有关的档案整理、检查、验收等的费用,亦应充分考虑因施工原因产生的矛盾协调处理费用。</w:t>
      </w:r>
    </w:p>
    <w:p w14:paraId="40B9B5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 xml:space="preserve"> 6、安全文明施工是供应商的责任，采购人不接受任何由于供应商施工而导致的扰民或民扰引起的诉讼或索赔。供应商应在其响应报价时充分考虑因扰民与民扰而造成的工期影响与费用增加，在报价予以考虑，采购人不接受任何由于供应商考虑不周为由而提出的任何索赔。</w:t>
      </w:r>
    </w:p>
    <w:p w14:paraId="07982B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7、由供应商负责办理相关建设、城管、市政、安全、环保等部门的手续，施工供应商在响应报价时应考虑这样因素，费用包含在报价中，采购人不接受供应商关于此类费用的任何诉讼或索赔。</w:t>
      </w:r>
    </w:p>
    <w:p w14:paraId="03C884B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8、垃圾外运，在报价中综合考虑。</w:t>
      </w:r>
    </w:p>
    <w:p w14:paraId="2157998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9、施工时需做好防护措施保证周边安全，因中标人保障不利对招标人或第三方造成损失的，赔偿责任全部由中标人承担，若因此会增加费用，控制价不计取，供应商自行考虑在报价中，结算时不予调整。</w:t>
      </w:r>
    </w:p>
    <w:p w14:paraId="2D5C76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val="0"/>
          <w:sz w:val="24"/>
          <w:highlight w:val="none"/>
          <w:lang w:val="en-US" w:eastAsia="zh-CN"/>
        </w:rPr>
      </w:pPr>
      <w:r>
        <w:rPr>
          <w:rFonts w:hint="eastAsia" w:ascii="宋体" w:hAnsi="宋体" w:eastAsia="宋体" w:cs="宋体"/>
          <w:b/>
          <w:bCs w:val="0"/>
          <w:sz w:val="24"/>
          <w:highlight w:val="none"/>
          <w:lang w:val="en-US" w:eastAsia="zh-CN"/>
        </w:rPr>
        <w:t>四、清单编制依据及投标报价要求：</w:t>
      </w:r>
    </w:p>
    <w:p w14:paraId="514CD7A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1、工程量清单编制依据：</w:t>
      </w:r>
    </w:p>
    <w:p w14:paraId="1CE121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现行工程量清单计价规范、江苏省现行计价定额、费用定额。</w:t>
      </w:r>
    </w:p>
    <w:p w14:paraId="63F47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 xml:space="preserve">2、不可竞争费用：执行《江苏省建设工程费用定额》（2014）的各项要求，该项费用按《江苏省建设工程费用定额》（2014）文件规定计                                                                                                                                                                                                                                                                                                                                                                                                                                                                                                                                                                                                                                                                                                                                                                                                                                                                                                                                                                                                                                                                                                                                                                                                                                                                                                                                                                                                                                                                                                                                                                                                                                                                                                                                                                                                                                                                                                                                                                                                                                                                                                                                                                                                                                                                                                                                                                                                                                                                                                                                                                                                                                                                                                                                                                                                                                                                                                                                                                                                                                                                                                                                                                                                                                                                                                                                                                                                                                                                                                                                                                                                                                                                                                                                                                                                                                                                                                                                                                                                                                                                                                                                               </w:t>
      </w:r>
      <w:r>
        <w:rPr>
          <w:rFonts w:hint="eastAsia" w:ascii="宋体" w:hAnsi="宋体" w:eastAsia="宋体" w:cs="宋体"/>
          <w:b w:val="0"/>
          <w:bCs/>
          <w:sz w:val="24"/>
          <w:highlight w:val="none"/>
          <w:lang w:val="en-US" w:eastAsia="zh-CN"/>
        </w:rPr>
        <w:t xml:space="preserve">                                                                                                                                                                                                                                                                                                               算。（不可竞争费包括：安全文明施工费、社会保险费、住房公积金、环境保护税、税金。）</w:t>
      </w:r>
    </w:p>
    <w:p w14:paraId="519761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3、投标报价一般说明：</w:t>
      </w:r>
    </w:p>
    <w:p w14:paraId="3DC8DD5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（1）投标人的材料价格根据市场行情自主报价（中标后材料价格不予调整）。</w:t>
      </w:r>
    </w:p>
    <w:p w14:paraId="7D53BC2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（2）</w:t>
      </w:r>
      <w:r>
        <w:rPr>
          <w:rFonts w:hint="eastAsia" w:ascii="宋体" w:hAnsi="宋体" w:eastAsia="宋体" w:cs="宋体"/>
          <w:sz w:val="24"/>
          <w:szCs w:val="24"/>
        </w:rPr>
        <w:t>最高投标限价人工费调整执行苏建函价【</w:t>
      </w:r>
      <w:r>
        <w:rPr>
          <w:rFonts w:hint="eastAsia" w:ascii="宋体" w:hAnsi="宋体" w:eastAsia="宋体" w:cs="宋体"/>
          <w:sz w:val="24"/>
          <w:szCs w:val="24"/>
          <w:lang w:val="en-US" w:eastAsia="zh-CN"/>
        </w:rPr>
        <w:t>2026</w:t>
      </w:r>
      <w:r>
        <w:rPr>
          <w:rFonts w:hint="eastAsia" w:ascii="宋体" w:hAnsi="宋体" w:eastAsia="宋体" w:cs="宋体"/>
          <w:sz w:val="24"/>
          <w:szCs w:val="24"/>
        </w:rPr>
        <w:t>】</w:t>
      </w:r>
      <w:r>
        <w:rPr>
          <w:rFonts w:hint="eastAsia" w:ascii="宋体" w:hAnsi="宋体" w:eastAsia="宋体" w:cs="宋体"/>
          <w:sz w:val="24"/>
          <w:szCs w:val="24"/>
          <w:lang w:val="en-US" w:eastAsia="zh-CN"/>
        </w:rPr>
        <w:t>27</w:t>
      </w:r>
      <w:r>
        <w:rPr>
          <w:rFonts w:hint="eastAsia" w:ascii="宋体" w:hAnsi="宋体" w:eastAsia="宋体" w:cs="宋体"/>
          <w:sz w:val="24"/>
          <w:szCs w:val="24"/>
        </w:rPr>
        <w:t>号文。</w:t>
      </w:r>
    </w:p>
    <w:p w14:paraId="65B8A2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（3）所有材料均由承包人负责采购安装。</w:t>
      </w:r>
    </w:p>
    <w:p w14:paraId="5B419B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4、工程造价的组成</w:t>
      </w:r>
    </w:p>
    <w:p w14:paraId="1D97787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（1）分部分项工程和单价措施项目费：执行国家标准、省市有关文件规定及招标人提供的工程量清单。</w:t>
      </w:r>
    </w:p>
    <w:p w14:paraId="7E46F7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（2）措施项目费</w:t>
      </w:r>
    </w:p>
    <w:p w14:paraId="09F453E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单价措施项目详见工程量清单。</w:t>
      </w:r>
    </w:p>
    <w:p w14:paraId="2F2C86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总价措施项目详见工程量清单，给定费率的项按清单要求费率计取，除安全文明施工费外，其它项目按照工程量清单由投标人进行自主报价。</w:t>
      </w:r>
    </w:p>
    <w:p w14:paraId="4AEEC04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上述措施项目未报价的以及为完成本项目所需的其他措施项目费用，均应分摊到综合报价中，结算时不再调整。</w:t>
      </w:r>
    </w:p>
    <w:p w14:paraId="1F69AAA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（3）其他项目费</w:t>
      </w:r>
    </w:p>
    <w:p w14:paraId="1C5490E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3.1 暂列金额：以发包人给定的标准计取，不宜超过分部分项工程费的10%。</w:t>
      </w:r>
    </w:p>
    <w:p w14:paraId="2531EF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本工程暂列金额：详见工程量清单。</w:t>
      </w:r>
    </w:p>
    <w:p w14:paraId="748EBA6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3.2 暂估价：本项包括材料暂估价和专业工程暂估价。</w:t>
      </w:r>
    </w:p>
    <w:p w14:paraId="0D85C40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①材料暂估价：暂估价材料的单价由招标人提供，材料单价组成中应包括场外运输与采购保管费。投标人根据该单价计算相应分部分项工程和措施项目的综合单价，并在材料暂估价格表中列出暂估材料的数量、单价、合价和汇总价格，该汇总价格不计入其他项目工程费合计中。</w:t>
      </w:r>
    </w:p>
    <w:p w14:paraId="2A87326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本工程暂估价：详见工程量清单 。</w:t>
      </w:r>
    </w:p>
    <w:p w14:paraId="78B23E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②专业工程暂估价项目是必然发生但暂时不能确定价格，由总承包人与专业工程分包人签订分包合同的专业工程。发包人拟单独发包的专业工程，不得以暂估价的形式列入主体工程招标文件的其他项目工程量清单中，发包人应与专业工程承包人另行签订施工合同。</w:t>
      </w:r>
    </w:p>
    <w:p w14:paraId="493778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本工程暂估价：详见工程量清单。</w:t>
      </w:r>
    </w:p>
    <w:p w14:paraId="4965CBB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3.3 计日工：由发承包双方在合同中另行约定。</w:t>
      </w:r>
    </w:p>
    <w:p w14:paraId="1CA87F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3.4 总承包服务费：无。</w:t>
      </w:r>
    </w:p>
    <w:p w14:paraId="0AB847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3.5 索赔与现场签证：无。</w:t>
      </w:r>
    </w:p>
    <w:p w14:paraId="3D20827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 xml:space="preserve">（4）规费 </w:t>
      </w:r>
    </w:p>
    <w:p w14:paraId="18D4B63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4.1环境保护税：计取规则详见工程量清单；</w:t>
      </w:r>
    </w:p>
    <w:p w14:paraId="77A7AD6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4.2社会保险费：计取规则详见工程量清单；</w:t>
      </w:r>
    </w:p>
    <w:p w14:paraId="37AF5D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4.3住房公积金：计取规则详见工程量清单。</w:t>
      </w:r>
    </w:p>
    <w:p w14:paraId="6ADD74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b/>
          <w:bCs/>
        </w:rPr>
      </w:pPr>
      <w:r>
        <w:rPr>
          <w:rFonts w:hint="eastAsia" w:ascii="宋体" w:hAnsi="宋体" w:eastAsia="宋体" w:cs="宋体"/>
          <w:b w:val="0"/>
          <w:bCs/>
          <w:sz w:val="24"/>
          <w:highlight w:val="none"/>
          <w:lang w:val="en-US" w:eastAsia="zh-CN"/>
        </w:rPr>
        <w:t>（5）税金：计取规则详见工程量清单。</w:t>
      </w:r>
    </w:p>
    <w:p w14:paraId="3A331B5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t>五、现场管理要求：</w:t>
      </w:r>
    </w:p>
    <w:p w14:paraId="36DCA1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1、符合徐州市有关部门规定的标准化施工现场要求，同时应满足市政、市容等相关主管部门的有关规定。施工工地一律实行封闭施工、防尘网覆盖、定时洒水，控制扬尘污染等安全文明施工措施。供应商违反规定所造成的损失和处罚由供应商承担。交工后一周内彻底清洁完毕撤离现场。</w:t>
      </w:r>
    </w:p>
    <w:p w14:paraId="42ACE1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2、供应商对工程建设期间扬尘治理工作负主体责任。应制定施工现场扬尘污染防治专项方案，按照承包工程范围做好扬尘污染防治措施的落实。方案必须符合我市关于扬尘管控的相关规定要求。</w:t>
      </w:r>
    </w:p>
    <w:p w14:paraId="31FD30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z w:val="24"/>
          <w:highlight w:val="none"/>
          <w:lang w:val="en-US" w:eastAsia="zh-CN"/>
        </w:rPr>
      </w:pPr>
      <w:r>
        <w:rPr>
          <w:rFonts w:hint="eastAsia" w:ascii="宋体" w:hAnsi="宋体" w:eastAsia="宋体" w:cs="宋体"/>
          <w:b w:val="0"/>
          <w:bCs/>
          <w:sz w:val="24"/>
          <w:highlight w:val="none"/>
          <w:lang w:val="en-US" w:eastAsia="zh-CN"/>
        </w:rPr>
        <w:t>3、工程质量必须达到合同约定标准，且保证相关部门验收通过；未达到质量要求的，成交供应商负责无条件返工，直至达到要求，所发生的费用由成交供应商承担，成交供应商还应赔偿因此给采购人造成的损失，工期不予顺延，同</w:t>
      </w:r>
      <w:bookmarkStart w:id="0" w:name="_GoBack"/>
      <w:bookmarkEnd w:id="0"/>
      <w:r>
        <w:rPr>
          <w:rFonts w:hint="eastAsia" w:ascii="宋体" w:hAnsi="宋体" w:eastAsia="宋体" w:cs="宋体"/>
          <w:b w:val="0"/>
          <w:bCs/>
          <w:sz w:val="24"/>
          <w:highlight w:val="none"/>
          <w:lang w:val="en-US" w:eastAsia="zh-CN"/>
        </w:rPr>
        <w:t>时采购人有权对成交供应商进行适当处罚</w:t>
      </w:r>
      <w:r>
        <w:rPr>
          <w:rFonts w:hint="eastAsia" w:ascii="宋体" w:hAnsi="宋体" w:cs="宋体"/>
          <w:b w:val="0"/>
          <w:bCs/>
          <w:sz w:val="24"/>
          <w:highlight w:val="none"/>
          <w:lang w:val="en-US" w:eastAsia="zh-CN"/>
        </w:rPr>
        <w:t>。</w:t>
      </w:r>
    </w:p>
    <w:p w14:paraId="1B8EA54F">
      <w:pPr>
        <w:ind w:firstLine="482" w:firstLineChars="200"/>
      </w:pPr>
      <w:r>
        <w:rPr>
          <w:rFonts w:hint="eastAsia" w:ascii="宋体" w:hAnsi="宋体" w:cs="宋体"/>
          <w:b/>
          <w:color w:val="auto"/>
          <w:sz w:val="24"/>
          <w:szCs w:val="24"/>
          <w:highlight w:val="none"/>
          <w:lang w:val="en-US" w:eastAsia="zh-CN" w:bidi="ar-SA"/>
        </w:rPr>
        <w:t>六、</w:t>
      </w:r>
      <w:r>
        <w:rPr>
          <w:rFonts w:hint="eastAsia" w:ascii="宋体" w:hAnsi="宋体" w:eastAsia="宋体" w:cs="宋体"/>
          <w:color w:val="auto"/>
          <w:sz w:val="24"/>
          <w:szCs w:val="18"/>
          <w:highlight w:val="none"/>
          <w:lang w:val="en-US" w:eastAsia="zh-CN" w:bidi="ar-SA"/>
        </w:rPr>
        <w:t>其他要求：</w:t>
      </w:r>
      <w:r>
        <w:rPr>
          <w:rFonts w:hint="eastAsia" w:ascii="宋体" w:hAnsi="宋体" w:eastAsia="宋体" w:cs="宋体"/>
          <w:b/>
          <w:color w:val="auto"/>
          <w:sz w:val="24"/>
          <w:highlight w:val="none"/>
          <w:lang w:val="en-US" w:eastAsia="zh-CN" w:bidi="ar-SA"/>
        </w:rPr>
        <w:t>见《磋商文件》附件：</w:t>
      </w:r>
      <w:r>
        <w:rPr>
          <w:rFonts w:hint="eastAsia" w:ascii="宋体" w:hAnsi="宋体" w:cs="宋体"/>
          <w:b/>
          <w:color w:val="auto"/>
          <w:sz w:val="24"/>
          <w:highlight w:val="none"/>
          <w:lang w:val="en-US" w:eastAsia="zh-CN" w:bidi="ar-SA"/>
        </w:rPr>
        <w:t>6</w:t>
      </w:r>
      <w:r>
        <w:rPr>
          <w:rFonts w:hint="eastAsia" w:ascii="宋体" w:hAnsi="宋体" w:eastAsia="宋体" w:cs="宋体"/>
          <w:b/>
          <w:color w:val="auto"/>
          <w:sz w:val="24"/>
          <w:highlight w:val="none"/>
          <w:lang w:val="en-US" w:eastAsia="zh-CN" w:bidi="ar-SA"/>
        </w:rPr>
        <w:t>、《合同草案条款》、《工程量清单》。</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60101010101"/>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第%1章"/>
      <w:lvlJc w:val="left"/>
      <w:pPr>
        <w:tabs>
          <w:tab w:val="left" w:pos="1080"/>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rFonts w:ascii="Times New Roman" w:hAnsi="Times New Roman"/>
      </w:rPr>
    </w:lvl>
    <w:lvl w:ilvl="3" w:tentative="0">
      <w:start w:val="1"/>
      <w:numFmt w:val="decimal"/>
      <w:pStyle w:val="16"/>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D877D4"/>
    <w:rsid w:val="0CD877D4"/>
    <w:rsid w:val="2B3A18FE"/>
    <w:rsid w:val="3C5520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4">
    <w:name w:val="heading 1"/>
    <w:basedOn w:val="1"/>
    <w:next w:val="1"/>
    <w:qFormat/>
    <w:uiPriority w:val="0"/>
    <w:pPr>
      <w:keepNext/>
      <w:keepLines/>
      <w:spacing w:before="340" w:after="330" w:line="578" w:lineRule="atLeast"/>
      <w:jc w:val="center"/>
      <w:outlineLvl w:val="0"/>
    </w:pPr>
    <w:rPr>
      <w:b/>
      <w:sz w:val="28"/>
      <w:szCs w:val="20"/>
    </w:rPr>
  </w:style>
  <w:style w:type="paragraph" w:styleId="3">
    <w:name w:val="heading 4"/>
    <w:basedOn w:val="1"/>
    <w:next w:val="1"/>
    <w:qFormat/>
    <w:uiPriority w:val="9"/>
    <w:pPr>
      <w:keepNext/>
      <w:keepLines/>
      <w:spacing w:before="320" w:after="200"/>
      <w:outlineLvl w:val="3"/>
    </w:pPr>
    <w:rPr>
      <w:rFonts w:ascii="Arial" w:hAnsi="Arial" w:eastAsia="Arial" w:cs="Arial"/>
      <w:b/>
      <w:bCs/>
      <w:sz w:val="26"/>
      <w:szCs w:val="26"/>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customStyle="1" w:styleId="2">
    <w:name w:val="Block Text1"/>
    <w:basedOn w:val="1"/>
    <w:next w:val="3"/>
    <w:qFormat/>
    <w:uiPriority w:val="0"/>
    <w:pPr>
      <w:ind w:left="256" w:right="6" w:firstLine="624"/>
    </w:pPr>
    <w:rPr>
      <w:rFonts w:eastAsia="仿宋"/>
      <w:sz w:val="28"/>
    </w:rPr>
  </w:style>
  <w:style w:type="paragraph" w:styleId="5">
    <w:name w:val="Normal Indent"/>
    <w:basedOn w:val="1"/>
    <w:next w:val="1"/>
    <w:qFormat/>
    <w:uiPriority w:val="0"/>
    <w:pPr>
      <w:ind w:firstLine="420"/>
    </w:pPr>
  </w:style>
  <w:style w:type="paragraph" w:customStyle="1" w:styleId="8">
    <w:name w:val="正文12"/>
    <w:next w:val="9"/>
    <w:qFormat/>
    <w:uiPriority w:val="0"/>
    <w:pPr>
      <w:widowControl w:val="0"/>
      <w:jc w:val="both"/>
    </w:pPr>
    <w:rPr>
      <w:rFonts w:hint="default" w:ascii="Calibri" w:hAnsi="Calibri" w:eastAsia="宋体" w:cs="Times New Roman"/>
      <w:sz w:val="21"/>
      <w:szCs w:val="24"/>
      <w:lang w:val="en-US" w:eastAsia="zh-CN" w:bidi="ar-SA"/>
    </w:rPr>
  </w:style>
  <w:style w:type="paragraph" w:customStyle="1" w:styleId="9">
    <w:name w:val="脚注文本1"/>
    <w:basedOn w:val="8"/>
    <w:next w:val="10"/>
    <w:qFormat/>
    <w:uiPriority w:val="0"/>
    <w:pPr>
      <w:spacing w:line="360" w:lineRule="auto"/>
      <w:ind w:firstLine="420"/>
      <w:jc w:val="left"/>
    </w:pPr>
    <w:rPr>
      <w:sz w:val="18"/>
      <w:szCs w:val="18"/>
    </w:rPr>
  </w:style>
  <w:style w:type="paragraph" w:customStyle="1" w:styleId="10">
    <w:name w:val="索引 51"/>
    <w:basedOn w:val="11"/>
    <w:next w:val="11"/>
    <w:qFormat/>
    <w:uiPriority w:val="0"/>
    <w:pPr>
      <w:ind w:left="798"/>
      <w:jc w:val="left"/>
    </w:pPr>
  </w:style>
  <w:style w:type="paragraph" w:customStyle="1" w:styleId="11">
    <w:name w:val="正文1"/>
    <w:basedOn w:val="12"/>
    <w:next w:val="19"/>
    <w:qFormat/>
    <w:uiPriority w:val="0"/>
    <w:pPr>
      <w:spacing w:line="360" w:lineRule="auto"/>
      <w:ind w:firstLine="482"/>
    </w:pPr>
    <w:rPr>
      <w:sz w:val="24"/>
    </w:rPr>
  </w:style>
  <w:style w:type="paragraph" w:customStyle="1" w:styleId="12">
    <w:name w:val="正文111"/>
    <w:next w:val="13"/>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3">
    <w:name w:val="脚注文本11"/>
    <w:basedOn w:val="14"/>
    <w:next w:val="18"/>
    <w:unhideWhenUsed/>
    <w:qFormat/>
    <w:uiPriority w:val="0"/>
    <w:pPr>
      <w:spacing w:after="40"/>
    </w:pPr>
    <w:rPr>
      <w:sz w:val="18"/>
    </w:rPr>
  </w:style>
  <w:style w:type="paragraph" w:customStyle="1" w:styleId="14">
    <w:name w:val="正文112"/>
    <w:next w:val="15"/>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5">
    <w:name w:val="正文文本12"/>
    <w:basedOn w:val="14"/>
    <w:next w:val="16"/>
    <w:qFormat/>
    <w:uiPriority w:val="0"/>
    <w:pPr>
      <w:spacing w:after="120"/>
    </w:pPr>
  </w:style>
  <w:style w:type="paragraph" w:customStyle="1" w:styleId="16">
    <w:name w:val="标题 41"/>
    <w:basedOn w:val="17"/>
    <w:next w:val="14"/>
    <w:qFormat/>
    <w:uiPriority w:val="0"/>
    <w:pPr>
      <w:keepNext/>
      <w:keepLines/>
      <w:numPr>
        <w:ilvl w:val="3"/>
        <w:numId w:val="1"/>
      </w:numPr>
      <w:spacing w:before="60" w:after="20" w:line="376" w:lineRule="auto"/>
      <w:outlineLvl w:val="3"/>
    </w:pPr>
    <w:rPr>
      <w:rFonts w:ascii="黑体" w:hAnsi="Arial" w:eastAsia="黑体"/>
      <w:sz w:val="24"/>
      <w:szCs w:val="20"/>
      <w:lang w:val="zh-CN"/>
    </w:rPr>
  </w:style>
  <w:style w:type="paragraph" w:customStyle="1" w:styleId="17">
    <w:name w:val="标题1"/>
    <w:basedOn w:val="8"/>
    <w:next w:val="1"/>
    <w:qFormat/>
    <w:uiPriority w:val="0"/>
    <w:rPr>
      <w:rFonts w:ascii="Arial" w:hAnsi="Arial"/>
      <w:sz w:val="18"/>
    </w:rPr>
  </w:style>
  <w:style w:type="paragraph" w:customStyle="1" w:styleId="18">
    <w:name w:val="索引 511"/>
    <w:basedOn w:val="1"/>
    <w:next w:val="12"/>
    <w:qFormat/>
    <w:uiPriority w:val="0"/>
    <w:pPr>
      <w:ind w:left="798"/>
      <w:jc w:val="left"/>
    </w:pPr>
    <w:rPr>
      <w:rFonts w:ascii="Calibri" w:hAnsi="Calibri"/>
      <w:sz w:val="21"/>
    </w:rPr>
  </w:style>
  <w:style w:type="paragraph" w:customStyle="1" w:styleId="19">
    <w:name w:val="正文文本1"/>
    <w:basedOn w:val="20"/>
    <w:next w:val="24"/>
    <w:qFormat/>
    <w:uiPriority w:val="0"/>
    <w:pPr>
      <w:keepLines/>
      <w:spacing w:after="120" w:line="220" w:lineRule="atLeast"/>
    </w:pPr>
    <w:rPr>
      <w:rFonts w:ascii="宋体" w:hAnsi="Calibri" w:eastAsia="宋体" w:cs="Times New Roman"/>
      <w:lang w:val="en-GB" w:eastAsia="zh-CN" w:bidi="ar-SA"/>
    </w:rPr>
  </w:style>
  <w:style w:type="paragraph" w:customStyle="1" w:styleId="20">
    <w:name w:val="正文13"/>
    <w:next w:val="21"/>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1">
    <w:name w:val="正文首行缩进1"/>
    <w:basedOn w:val="22"/>
    <w:next w:val="25"/>
    <w:qFormat/>
    <w:uiPriority w:val="0"/>
    <w:pPr>
      <w:ind w:firstLine="420"/>
    </w:pPr>
  </w:style>
  <w:style w:type="paragraph" w:customStyle="1" w:styleId="22">
    <w:name w:val="正文文本11"/>
    <w:basedOn w:val="14"/>
    <w:next w:val="23"/>
    <w:qFormat/>
    <w:uiPriority w:val="0"/>
    <w:pPr>
      <w:spacing w:after="120"/>
    </w:pPr>
  </w:style>
  <w:style w:type="paragraph" w:customStyle="1" w:styleId="23">
    <w:name w:val="正文11"/>
    <w:next w:val="24"/>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24">
    <w:name w:val="正文文本 21"/>
    <w:basedOn w:val="8"/>
    <w:qFormat/>
    <w:uiPriority w:val="0"/>
    <w:pPr>
      <w:widowControl/>
      <w:jc w:val="center"/>
    </w:pPr>
    <w:rPr>
      <w:rFonts w:ascii="Arial" w:hAnsi="Arial"/>
      <w:sz w:val="16"/>
      <w:szCs w:val="20"/>
    </w:rPr>
  </w:style>
  <w:style w:type="paragraph" w:customStyle="1" w:styleId="25">
    <w:name w:val="正文首行缩进 21"/>
    <w:basedOn w:val="26"/>
    <w:next w:val="12"/>
    <w:qFormat/>
    <w:uiPriority w:val="0"/>
    <w:pPr>
      <w:spacing w:after="0" w:line="360" w:lineRule="auto"/>
      <w:ind w:left="0" w:firstLine="420"/>
    </w:pPr>
    <w:rPr>
      <w:rFonts w:ascii="宋体" w:hAnsi="宋体"/>
      <w:sz w:val="20"/>
      <w:szCs w:val="20"/>
    </w:rPr>
  </w:style>
  <w:style w:type="paragraph" w:customStyle="1" w:styleId="26">
    <w:name w:val="正文文本缩进1"/>
    <w:basedOn w:val="11"/>
    <w:next w:val="27"/>
    <w:qFormat/>
    <w:uiPriority w:val="0"/>
    <w:pPr>
      <w:spacing w:after="120"/>
      <w:ind w:left="420"/>
    </w:pPr>
  </w:style>
  <w:style w:type="paragraph" w:customStyle="1" w:styleId="27">
    <w:name w:val="寄信人地址1"/>
    <w:basedOn w:val="8"/>
    <w:qFormat/>
    <w:uiPriority w:val="0"/>
    <w:pPr>
      <w:ind w:firstLine="200"/>
    </w:pPr>
    <w:rPr>
      <w:rFonts w:ascii="Arial" w:hAnsi="Arial" w:eastAsia="仿宋_GB231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2842</Words>
  <Characters>2893</Characters>
  <Lines>0</Lines>
  <Paragraphs>0</Paragraphs>
  <TotalTime>2</TotalTime>
  <ScaleCrop>false</ScaleCrop>
  <LinksUpToDate>false</LinksUpToDate>
  <CharactersWithSpaces>7190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2026-06-17T01:32:00Z</dcterms:created>
  <dc:creator>Cinderella</dc:creator>
  <cp:lastModifiedBy>Cinderella</cp:lastModifiedBy>
  <dcterms:modified xsi:type="dcterms:W3CDTF">2026-06-17T03:20:32Z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490194A10AA149BC983059CB36B07EE6_13</vt:lpwstr>
  </property>
  <property fmtid="{D5CDD505-2E9C-101B-9397-08002B2CF9AE}" pid="4" name="KSOTemplateDocerSaveRecord">
    <vt:lpwstr>eyJoZGlkIjoiMGYwYzEzODI3MTk4Yzc4YTMyY2ZkY2ZmNTE4MTlhMjAiLCJ1c2VySWQiOiIzNzY5NjQ2MDAifQ==</vt:lpwstr>
  </property>
</Properties>
</file>