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color w:val="auto"/>
          <w:highlight w:val="none"/>
        </w:rPr>
      </w:r>
    </w:p>
    <w:p>
      <w:pPr>
        <w:pStyle w:val="958"/>
        <w:ind w:firstLine="0"/>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color w:val="auto"/>
          <w:highlight w:val="none"/>
        </w:rPr>
      </w:r>
    </w:p>
    <w:p>
      <w:pPr>
        <w:pStyle w:val="958"/>
        <w:ind w:firstLine="0"/>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color w:val="auto"/>
          <w:highlight w:val="none"/>
        </w:rPr>
      </w:r>
    </w:p>
    <w:p>
      <w:pPr>
        <w:pStyle w:val="958"/>
        <w:rPr>
          <w:rFonts w:ascii="宋体" w:hAnsi="宋体" w:cs="宋体"/>
          <w:b/>
          <w:color w:val="auto"/>
          <w:spacing w:val="76"/>
          <w:sz w:val="24"/>
          <w:highlight w:val="none"/>
        </w:rPr>
      </w:pPr>
      <w:r>
        <w:rPr>
          <w:rFonts w:ascii="宋体" w:hAnsi="宋体" w:cs="宋体"/>
          <w:b/>
          <w:color w:val="auto"/>
          <w:spacing w:val="76"/>
          <w:sz w:val="24"/>
          <w:highlight w:val="none"/>
        </w:rPr>
      </w:r>
      <w:r>
        <w:rPr>
          <w:color w:val="auto"/>
          <w:highlight w:val="none"/>
        </w:rPr>
      </w:r>
      <w:r>
        <w:rPr>
          <w:color w:val="auto"/>
          <w:highlight w:val="none"/>
        </w:rPr>
      </w:r>
    </w:p>
    <w:p>
      <w:pPr>
        <w:jc w:val="center"/>
        <w:rPr>
          <w:rFonts w:ascii="宋体" w:hAnsi="宋体" w:cs="宋体"/>
          <w:b/>
          <w:color w:val="auto"/>
          <w:spacing w:val="76"/>
          <w:sz w:val="156"/>
          <w:highlight w:val="none"/>
        </w:rPr>
      </w:pPr>
      <w:r>
        <w:rPr>
          <w:rFonts w:hint="eastAsia" w:ascii="宋体" w:hAnsi="宋体" w:cs="宋体"/>
          <w:b/>
          <w:color w:val="auto"/>
          <w:spacing w:val="76"/>
          <w:sz w:val="84"/>
          <w:szCs w:val="84"/>
          <w:highlight w:val="none"/>
        </w:rPr>
        <w:t xml:space="preserve">招标文件</w:t>
      </w:r>
      <w:r>
        <w:rPr>
          <w:color w:val="auto"/>
          <w:highlight w:val="none"/>
        </w:rPr>
      </w:r>
      <w:r>
        <w:rPr>
          <w:color w:val="auto"/>
          <w:highlight w:val="none"/>
        </w:rPr>
      </w:r>
    </w:p>
    <w:p>
      <w:pPr>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color w:val="auto"/>
          <w:highlight w:val="none"/>
        </w:rPr>
      </w:r>
    </w:p>
    <w:p>
      <w:pPr>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color w:val="auto"/>
          <w:highlight w:val="none"/>
        </w:rPr>
      </w:r>
    </w:p>
    <w:p>
      <w:pPr>
        <w:spacing w:line="600" w:lineRule="exact"/>
        <w:rPr>
          <w:rFonts w:ascii="宋体" w:hAnsi="宋体" w:cs="宋体"/>
          <w:color w:val="auto"/>
          <w:sz w:val="30"/>
          <w:szCs w:val="30"/>
          <w:highlight w:val="none"/>
        </w:rPr>
      </w:pPr>
      <w:r>
        <w:rPr>
          <w:rFonts w:ascii="宋体" w:hAnsi="宋体" w:cs="宋体"/>
          <w:color w:val="auto"/>
          <w:sz w:val="30"/>
          <w:szCs w:val="30"/>
          <w:highlight w:val="none"/>
        </w:rPr>
      </w:r>
      <w:r>
        <w:rPr>
          <w:color w:val="auto"/>
          <w:highlight w:val="none"/>
        </w:rPr>
      </w:r>
      <w:r>
        <w:rPr>
          <w:color w:val="auto"/>
          <w:highlight w:val="none"/>
        </w:rPr>
      </w:r>
    </w:p>
    <w:p>
      <w:pPr>
        <w:spacing w:line="600" w:lineRule="exact"/>
        <w:rPr>
          <w:rFonts w:ascii="宋体" w:hAnsi="宋体" w:cs="宋体"/>
          <w:color w:val="auto"/>
          <w:sz w:val="30"/>
          <w:szCs w:val="30"/>
          <w:highlight w:val="none"/>
        </w:rPr>
      </w:pPr>
      <w:r>
        <w:rPr>
          <w:rFonts w:ascii="宋体" w:hAnsi="宋体" w:cs="宋体"/>
          <w:color w:val="auto"/>
          <w:sz w:val="30"/>
          <w:szCs w:val="30"/>
          <w:highlight w:val="none"/>
        </w:rPr>
      </w:r>
      <w:r>
        <w:rPr>
          <w:color w:val="auto"/>
          <w:highlight w:val="none"/>
        </w:rPr>
      </w:r>
      <w:r>
        <w:rPr>
          <w:color w:val="auto"/>
          <w:highlight w:val="none"/>
        </w:rPr>
      </w:r>
    </w:p>
    <w:p>
      <w:pPr>
        <w:ind w:firstLine="600"/>
        <w:spacing w:line="360" w:lineRule="auto"/>
        <w:rPr>
          <w:rFonts w:hint="eastAsia" w:ascii="宋体" w:hAnsi="宋体" w:cs="宋体"/>
          <w:color w:val="auto"/>
          <w:sz w:val="30"/>
          <w:szCs w:val="30"/>
          <w:highlight w:val="none"/>
        </w:rPr>
      </w:pPr>
      <w:r>
        <w:rPr>
          <w:rFonts w:hint="eastAsia" w:ascii="宋体" w:hAnsi="宋体" w:cs="宋体"/>
          <w:color w:val="auto"/>
          <w:spacing w:val="0"/>
          <w:sz w:val="30"/>
          <w:szCs w:val="30"/>
          <w:highlight w:val="none"/>
        </w:rPr>
        <w:t xml:space="preserve">项目名称：</w:t>
      </w:r>
      <w:r>
        <w:rPr>
          <w:rFonts w:hint="eastAsia" w:ascii="宋体" w:hAnsi="宋体" w:cs="宋体"/>
          <w:color w:val="auto"/>
          <w:sz w:val="30"/>
          <w:szCs w:val="30"/>
          <w:highlight w:val="none"/>
          <w:lang w:eastAsia="zh-CN"/>
        </w:rPr>
        <w:t xml:space="preserve">医用X射线摄影系统</w:t>
      </w:r>
      <w:r>
        <w:rPr>
          <w:rFonts w:hint="eastAsia" w:ascii="宋体" w:hAnsi="宋体" w:cs="宋体"/>
          <w:color w:val="auto"/>
          <w:sz w:val="30"/>
          <w:szCs w:val="30"/>
          <w:highlight w:val="none"/>
        </w:rPr>
        <w:t xml:space="preserve">采购项目</w:t>
      </w:r>
      <w:r>
        <w:rPr>
          <w:color w:val="auto"/>
          <w:highlight w:val="none"/>
        </w:rPr>
      </w:r>
      <w:r>
        <w:rPr>
          <w:color w:val="auto"/>
          <w:highlight w:val="none"/>
        </w:rPr>
      </w:r>
    </w:p>
    <w:p>
      <w:pPr>
        <w:ind w:firstLine="600"/>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：1214-26410</w:t>
      </w:r>
      <w:r>
        <w:rPr>
          <w:rFonts w:hint="eastAsia" w:ascii="宋体" w:hAnsi="宋体" w:cs="宋体"/>
          <w:color w:val="auto"/>
          <w:sz w:val="30"/>
          <w:szCs w:val="30"/>
          <w:highlight w:val="none"/>
          <w:lang w:val="en-US" w:eastAsia="zh-CN"/>
        </w:rPr>
        <w:t xml:space="preserve">6271</w:t>
      </w:r>
      <w:r>
        <w:rPr>
          <w:rFonts w:hint="eastAsia" w:ascii="宋体" w:hAnsi="宋体" w:cs="宋体"/>
          <w:color w:val="auto"/>
          <w:sz w:val="30"/>
          <w:szCs w:val="30"/>
          <w:highlight w:val="none"/>
        </w:rPr>
        <w:t xml:space="preserve">WDX</w:t>
      </w:r>
      <w:r>
        <w:rPr>
          <w:color w:val="auto"/>
          <w:highlight w:val="none"/>
        </w:rPr>
      </w:r>
      <w:r>
        <w:rPr>
          <w:color w:val="auto"/>
          <w:highlight w:val="none"/>
        </w:rPr>
      </w:r>
    </w:p>
    <w:p>
      <w:pPr>
        <w:ind w:firstLine="600"/>
        <w:spacing w:line="360" w:lineRule="auto"/>
        <w:rPr>
          <w:rFonts w:hint="eastAsia" w:ascii="宋体" w:hAnsi="宋体" w:eastAsia="宋体" w:cs="宋体"/>
          <w:color w:val="auto"/>
          <w:sz w:val="30"/>
          <w:szCs w:val="30"/>
          <w:highlight w:val="none"/>
        </w:rPr>
      </w:pPr>
      <w:r>
        <w:rPr>
          <w:rFonts w:hint="eastAsia" w:ascii="宋体" w:hAnsi="宋体" w:cs="宋体"/>
          <w:color w:val="auto"/>
          <w:sz w:val="30"/>
          <w:szCs w:val="30"/>
          <w:highlight w:val="none"/>
          <w:lang w:val="en-US" w:eastAsia="zh-CN"/>
        </w:rPr>
        <w:t xml:space="preserve">苏采云编号：</w:t>
      </w:r>
      <w:r>
        <w:rPr>
          <w:rFonts w:hint="eastAsia" w:ascii="宋体" w:hAnsi="宋体" w:cs="宋体"/>
          <w:color w:val="auto"/>
          <w:sz w:val="30"/>
          <w:szCs w:val="30"/>
          <w:highlight w:val="none"/>
          <w:lang w:eastAsia="zh-CN"/>
        </w:rPr>
        <w:t xml:space="preserve">JSZC-320300-SHGK-G2026-0051</w:t>
      </w:r>
      <w:r>
        <w:rPr>
          <w:color w:val="auto"/>
          <w:highlight w:val="none"/>
        </w:rPr>
      </w:r>
      <w:r>
        <w:rPr>
          <w:color w:val="auto"/>
          <w:highlight w:val="none"/>
        </w:rPr>
      </w:r>
    </w:p>
    <w:p>
      <w:pPr>
        <w:ind w:firstLine="635"/>
        <w:spacing w:line="360" w:lineRule="auto"/>
        <w:rPr>
          <w:rFonts w:ascii="宋体" w:hAnsi="宋体" w:cs="宋体"/>
          <w:color w:val="auto"/>
          <w:sz w:val="30"/>
          <w:szCs w:val="30"/>
          <w:highlight w:val="none"/>
        </w:rPr>
      </w:pPr>
      <w:r>
        <w:rPr>
          <w:rFonts w:hint="eastAsia" w:ascii="宋体" w:hAnsi="宋体" w:cs="宋体"/>
          <w:color w:val="auto"/>
          <w:spacing w:val="100"/>
          <w:sz w:val="30"/>
          <w:szCs w:val="30"/>
          <w:highlight w:val="none"/>
        </w:rPr>
        <w:t xml:space="preserve">采购人</w:t>
      </w:r>
      <w:r>
        <w:rPr>
          <w:rFonts w:hint="eastAsia" w:ascii="宋体" w:hAnsi="宋体" w:cs="宋体"/>
          <w:color w:val="auto"/>
          <w:spacing w:val="0"/>
          <w:sz w:val="30"/>
          <w:szCs w:val="30"/>
          <w:highlight w:val="none"/>
        </w:rPr>
        <w:t xml:space="preserve">：</w:t>
      </w:r>
      <w:r>
        <w:rPr>
          <w:rFonts w:hint="eastAsia" w:ascii="宋体" w:hAnsi="宋体" w:cs="宋体"/>
          <w:color w:val="auto"/>
          <w:sz w:val="30"/>
          <w:szCs w:val="30"/>
          <w:highlight w:val="none"/>
        </w:rPr>
        <w:t xml:space="preserve">徐州市儿童医院</w:t>
      </w:r>
      <w:r>
        <w:rPr>
          <w:color w:val="auto"/>
          <w:highlight w:val="none"/>
        </w:rPr>
      </w:r>
      <w:r>
        <w:rPr>
          <w:color w:val="auto"/>
          <w:highlight w:val="none"/>
        </w:rPr>
      </w:r>
    </w:p>
    <w:p>
      <w:pPr>
        <w:ind w:right="-159" w:firstLine="2112"/>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pStyle w:val="1036"/>
        <w:ind w:firstLine="0"/>
        <w:rPr>
          <w:rFonts w:hAnsi="宋体" w:cs="宋体"/>
          <w:color w:val="auto"/>
          <w:sz w:val="32"/>
          <w:szCs w:val="32"/>
          <w:highlight w:val="none"/>
        </w:rPr>
      </w:pPr>
      <w:r>
        <w:rPr>
          <w:rFonts w:hAnsi="宋体" w:cs="宋体"/>
          <w:color w:val="auto"/>
          <w:sz w:val="32"/>
          <w:szCs w:val="32"/>
          <w:highlight w:val="none"/>
        </w:rPr>
      </w:r>
      <w:r>
        <w:rPr>
          <w:color w:val="auto"/>
          <w:highlight w:val="none"/>
        </w:rPr>
      </w:r>
      <w:r>
        <w:rPr>
          <w:color w:val="auto"/>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pStyle w:val="966"/>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ind w:right="-159" w:firstLine="1440"/>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ind w:right="-159"/>
        <w:spacing w:line="300" w:lineRule="auto"/>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采购代理机构：江苏苏豪创新科技集团高科有限公司</w:t>
      </w:r>
      <w:r>
        <w:rPr>
          <w:color w:val="auto"/>
          <w:highlight w:val="none"/>
        </w:rPr>
      </w:r>
      <w:r>
        <w:rPr>
          <w:color w:val="auto"/>
          <w:highlight w:val="none"/>
        </w:rPr>
      </w:r>
    </w:p>
    <w:p>
      <w:pPr>
        <w:jc w:val="center"/>
        <w:spacing w:line="360" w:lineRule="auto"/>
        <w:rPr>
          <w:rFonts w:ascii="宋体" w:hAnsi="宋体" w:cs="宋体"/>
          <w:color w:val="auto"/>
          <w:sz w:val="32"/>
          <w:szCs w:val="32"/>
          <w:highlight w:val="none"/>
        </w:rPr>
      </w:pPr>
      <w:r>
        <w:rPr>
          <w:rFonts w:hint="eastAsia" w:ascii="宋体" w:hAnsi="宋体" w:cs="宋体"/>
          <w:bCs/>
          <w:color w:val="auto"/>
          <w:sz w:val="32"/>
          <w:szCs w:val="32"/>
          <w:highlight w:val="none"/>
        </w:rPr>
        <w:t xml:space="preserve">二〇二六年</w:t>
      </w:r>
      <w:r>
        <w:rPr>
          <w:rFonts w:hint="eastAsia" w:ascii="宋体" w:hAnsi="宋体" w:cs="宋体"/>
          <w:bCs/>
          <w:color w:val="auto"/>
          <w:sz w:val="32"/>
          <w:szCs w:val="32"/>
          <w:highlight w:val="none"/>
          <w:lang w:val="en-US" w:eastAsia="zh-CN"/>
        </w:rPr>
        <w:t xml:space="preserve">六</w:t>
      </w:r>
      <w:r>
        <w:rPr>
          <w:rFonts w:hint="eastAsia" w:ascii="宋体" w:hAnsi="宋体" w:cs="宋体"/>
          <w:bCs/>
          <w:color w:val="auto"/>
          <w:sz w:val="32"/>
          <w:szCs w:val="32"/>
          <w:highlight w:val="none"/>
        </w:rPr>
        <w:t xml:space="preserve">月</w:t>
      </w:r>
      <w:r>
        <w:rPr>
          <w:color w:val="auto"/>
          <w:highlight w:val="none"/>
        </w:rPr>
      </w:r>
      <w:r>
        <w:rPr>
          <w:color w:val="auto"/>
          <w:highlight w:val="none"/>
        </w:rPr>
      </w:r>
    </w:p>
    <w:p>
      <w:pPr>
        <w:jc w:val="both"/>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3"/>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auto"/>
          <w:sz w:val="44"/>
          <w:highlight w:val="none"/>
        </w:rPr>
      </w:r>
      <w:r>
        <w:rPr>
          <w:color w:val="auto"/>
          <w:highlight w:val="none"/>
        </w:rPr>
      </w:r>
      <w:r>
        <w:rPr>
          <w:color w:val="auto"/>
          <w:highlight w:val="none"/>
        </w:rPr>
      </w:r>
    </w:p>
    <w:p>
      <w:pPr>
        <w:jc w:val="cente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44"/>
          <w:highlight w:val="none"/>
        </w:rPr>
        <w:t xml:space="preserve">目 录</w:t>
      </w:r>
      <w:r>
        <w:rPr>
          <w:color w:val="auto"/>
          <w:highlight w:val="none"/>
        </w:rPr>
      </w:r>
      <w:r>
        <w:rPr>
          <w:color w:val="auto"/>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color w:val="auto"/>
          <w:highlight w:val="none"/>
        </w:rPr>
      </w:r>
    </w:p>
    <w:p>
      <w:pPr>
        <w:jc w:val="center"/>
        <w:spacing w:line="519" w:lineRule="atLeast"/>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color w:val="auto"/>
          <w:highlight w:val="none"/>
        </w:rPr>
        <w:fldChar w:fldCharType="separate"/>
      </w:r>
      <w:r>
        <w:rPr>
          <w:rStyle w:val="1008"/>
          <w:rFonts w:hint="eastAsia" w:ascii="宋体" w:hAnsi="宋体" w:cs="宋体"/>
          <w:color w:val="auto"/>
          <w:sz w:val="30"/>
          <w:szCs w:val="30"/>
          <w:highlight w:val="none"/>
        </w:rPr>
        <w:t xml:space="preserve">第一章 投标邀请</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color w:val="auto"/>
          <w:highlight w:val="none"/>
        </w:rPr>
        <w:fldChar w:fldCharType="separate"/>
      </w:r>
      <w:r>
        <w:rPr>
          <w:rStyle w:val="1008"/>
          <w:rFonts w:hint="eastAsia" w:ascii="宋体" w:hAnsi="宋体" w:cs="宋体"/>
          <w:color w:val="auto"/>
          <w:sz w:val="30"/>
          <w:szCs w:val="30"/>
          <w:highlight w:val="none"/>
        </w:rPr>
        <w:t xml:space="preserve">第二章 投标人须知</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color w:val="auto"/>
          <w:highlight w:val="none"/>
        </w:rPr>
        <w:fldChar w:fldCharType="separate"/>
      </w:r>
      <w:r>
        <w:rPr>
          <w:rStyle w:val="1008"/>
          <w:rFonts w:hint="eastAsia" w:ascii="宋体" w:hAnsi="宋体" w:cs="宋体"/>
          <w:color w:val="auto"/>
          <w:sz w:val="30"/>
          <w:szCs w:val="30"/>
          <w:highlight w:val="none"/>
        </w:rPr>
        <w:t xml:space="preserve">第三章 投标资料表</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color w:val="auto"/>
          <w:highlight w:val="none"/>
        </w:rPr>
        <w:fldChar w:fldCharType="separate"/>
      </w:r>
      <w:r>
        <w:rPr>
          <w:rStyle w:val="1008"/>
          <w:rFonts w:hint="eastAsia" w:ascii="宋体" w:hAnsi="宋体" w:cs="宋体"/>
          <w:color w:val="auto"/>
          <w:sz w:val="30"/>
          <w:szCs w:val="30"/>
          <w:highlight w:val="none"/>
        </w:rPr>
        <w:t xml:space="preserve">第四章 评标标准</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color w:val="auto"/>
          <w:highlight w:val="none"/>
        </w:rPr>
        <w:fldChar w:fldCharType="separate"/>
      </w:r>
      <w:r>
        <w:rPr>
          <w:rStyle w:val="1008"/>
          <w:rFonts w:hint="eastAsia" w:ascii="宋体" w:hAnsi="宋体" w:cs="宋体"/>
          <w:color w:val="auto"/>
          <w:sz w:val="30"/>
          <w:szCs w:val="30"/>
          <w:highlight w:val="none"/>
        </w:rPr>
        <w:t xml:space="preserve">第五章 拟签订的合同文本</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color w:val="auto"/>
          <w:highlight w:val="none"/>
        </w:rPr>
        <w:fldChar w:fldCharType="separate"/>
      </w:r>
      <w:r>
        <w:rPr>
          <w:rStyle w:val="1008"/>
          <w:rFonts w:hint="eastAsia" w:ascii="宋体" w:hAnsi="宋体" w:cs="宋体"/>
          <w:color w:val="auto"/>
          <w:sz w:val="30"/>
          <w:szCs w:val="30"/>
          <w:highlight w:val="none"/>
        </w:rPr>
        <w:t xml:space="preserve">第六章 采购需求</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szCs w:val="30"/>
          <w:highlight w:val="none"/>
        </w:rPr>
      </w:r>
      <w:r>
        <w:rPr>
          <w:color w:val="auto"/>
          <w:highlight w:val="none"/>
        </w:rPr>
      </w:r>
      <w:r>
        <w:rPr>
          <w:color w:val="auto"/>
          <w:highlight w:val="none"/>
        </w:rPr>
      </w:r>
    </w:p>
    <w:p>
      <w:pPr>
        <w:ind w:firstLine="210"/>
        <w:rPr>
          <w:rFonts w:ascii="宋体" w:hAnsi="宋体" w:cs="宋体"/>
          <w:color w:val="auto"/>
          <w:sz w:val="30"/>
          <w:szCs w:val="30"/>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"http://jszfcg.jsczt.cn/jszc/onlyoffice/6.4.2-6/web-apps/apps/documenteditor/main/index.html?_dc=6.4.2-6&amp;lang=zh&amp;customer=ONLYOFFICE&amp;frameEditorId=iframePage&amp;parentOrigin</w:instrText>
      </w:r>
      <w:r>
        <w:rPr>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color w:val="auto"/>
          <w:highlight w:val="none"/>
        </w:rPr>
        <w:fldChar w:fldCharType="separate"/>
      </w:r>
      <w:r>
        <w:rPr>
          <w:rStyle w:val="1008"/>
          <w:rFonts w:hint="eastAsia" w:ascii="宋体" w:hAnsi="宋体" w:cs="宋体"/>
          <w:color w:val="auto"/>
          <w:sz w:val="30"/>
          <w:szCs w:val="30"/>
          <w:highlight w:val="none"/>
        </w:rPr>
        <w:t xml:space="preserve">第七章 投标文件相关格式</w:t>
      </w:r>
      <w:r>
        <w:rPr>
          <w:rStyle w:val="1008"/>
          <w:rFonts w:hint="eastAsia" w:ascii="宋体" w:hAnsi="宋体" w:cs="宋体"/>
          <w:color w:val="auto"/>
          <w:sz w:val="30"/>
          <w:szCs w:val="30"/>
          <w:highlight w:val="none"/>
        </w:rPr>
        <w:fldChar w:fldCharType="end"/>
      </w:r>
      <w:r>
        <w:rPr>
          <w:color w:val="auto"/>
          <w:highlight w:val="none"/>
        </w:rPr>
      </w:r>
      <w:r>
        <w:rPr>
          <w:color w:val="auto"/>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color w:val="auto"/>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color w:val="auto"/>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color w:val="auto"/>
          <w:highlight w:val="none"/>
        </w:rPr>
      </w:r>
    </w:p>
    <w:p>
      <w:pPr>
        <w:jc w:val="center"/>
        <w:spacing w:line="51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color w:val="auto"/>
          <w:highlight w:val="none"/>
        </w:rPr>
      </w:r>
    </w:p>
    <w:p>
      <w:pPr>
        <w:jc w:val="center"/>
        <w:spacing w:line="519" w:lineRule="atLeast"/>
        <w:rPr>
          <w:rFonts w:ascii="宋体" w:hAnsi="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color w:val="auto"/>
          <w:sz w:val="44"/>
          <w:highlight w:val="none"/>
        </w:rPr>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徐州市儿童医院</w:t>
      </w:r>
      <w:r>
        <w:rPr>
          <w:color w:val="auto"/>
          <w:highlight w:val="none"/>
        </w:rPr>
      </w:r>
      <w:r>
        <w:rPr>
          <w:color w:val="auto"/>
          <w:highlight w:val="none"/>
        </w:rPr>
      </w:r>
    </w:p>
    <w:p>
      <w:pPr>
        <w:jc w:val="center"/>
        <w:spacing w:line="360" w:lineRule="auto"/>
        <w:rPr>
          <w:rFonts w:hint="eastAsia" w:ascii="微软雅黑" w:hAnsi="微软雅黑" w:eastAsia="微软雅黑" w:cs="微软雅黑"/>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auto"/>
          <w:sz w:val="32"/>
          <w:szCs w:val="32"/>
          <w:highlight w:val="none"/>
        </w:rPr>
        <w:t xml:space="preserve">医用X射线摄影系统</w:t>
      </w:r>
      <w:r>
        <w:rPr>
          <w:color w:val="auto"/>
          <w:highlight w:val="none"/>
        </w:rPr>
      </w:r>
      <w:r>
        <w:rPr>
          <w:color w:val="auto"/>
          <w:highlight w:val="none"/>
        </w:rPr>
      </w:r>
    </w:p>
    <w:p>
      <w:pPr>
        <w:jc w:val="cente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6"/>
          <w:szCs w:val="36"/>
          <w:highlight w:val="none"/>
        </w:rPr>
        <w:t xml:space="preserve">招标文件</w:t>
      </w:r>
      <w:r>
        <w:rPr>
          <w:color w:val="auto"/>
          <w:highlight w:val="none"/>
        </w:rPr>
      </w:r>
      <w:r>
        <w:rPr>
          <w:color w:val="auto"/>
          <w:highlight w:val="none"/>
        </w:rPr>
      </w:r>
    </w:p>
    <w:p>
      <w:pPr>
        <w:ind w:firstLine="600"/>
        <w:spacing w:line="360" w:lineRule="auto"/>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color w:val="auto"/>
          <w:highlight w:val="none"/>
        </w:rPr>
      </w:r>
      <w:r>
        <w:rPr>
          <w:color w:val="auto"/>
          <w:highlight w:val="none"/>
        </w:rPr>
      </w:r>
    </w:p>
    <w:p>
      <w:pPr>
        <w:jc w:val="center"/>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rPr>
          <w:color w:val="auto"/>
          <w:highlight w:val="none"/>
        </w:rPr>
      </w:r>
      <w:r>
        <w:rPr>
          <w:color w:val="auto"/>
          <w:highlight w:val="none"/>
        </w:rPr>
      </w:r>
    </w:p>
    <w:p>
      <w:pPr>
        <w:jc w:val="center"/>
        <w:spacing w:line="360" w:lineRule="auto"/>
        <w:rPr>
          <w:rFonts w:ascii="宋体" w:hAnsi="宋体" w:cs="宋体"/>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第一章 投标邀请</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u w:val="single"/>
        </w:rPr>
        <w:t xml:space="preserve">江苏苏豪创新科技集团高科有限公司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医用X射线摄影系统</w:t>
      </w:r>
      <w:r>
        <w:rPr>
          <w:rFonts w:hint="eastAsia" w:ascii="宋体" w:hAnsi="宋体" w:cs="宋体"/>
          <w:color w:val="auto"/>
          <w:sz w:val="24"/>
          <w:highlight w:val="none"/>
        </w:rPr>
        <w:t xml:space="preserve">项目进行公开招标采购，现邀请符合相关条件的供应商投标。</w:t>
      </w:r>
      <w:r>
        <w:rPr>
          <w:color w:val="auto"/>
          <w:highlight w:val="none"/>
        </w:rPr>
      </w:r>
      <w:r>
        <w:rPr>
          <w:color w:val="auto"/>
          <w:highlight w:val="none"/>
        </w:rPr>
      </w:r>
    </w:p>
    <w:p>
      <w:pPr>
        <w:ind w:firstLine="482"/>
        <w:spacing w:before="120" w:line="360" w:lineRule="auto"/>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一、项目名称和</w:t>
      </w:r>
      <w:r>
        <w:rPr>
          <w:rFonts w:hint="eastAsia" w:ascii="宋体" w:hAnsi="宋体" w:cs="宋体"/>
          <w:b/>
          <w:bCs/>
          <w:color w:val="auto"/>
          <w:sz w:val="24"/>
          <w:highlight w:val="none"/>
          <w:lang w:eastAsia="zh-CN"/>
        </w:rPr>
        <w:t xml:space="preserve">苏采云编号</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医用X射线摄影系统</w:t>
      </w:r>
      <w:r>
        <w:rPr>
          <w:rFonts w:hint="eastAsia" w:ascii="宋体" w:hAnsi="宋体" w:cs="宋体"/>
          <w:color w:val="auto"/>
          <w:sz w:val="24"/>
          <w:highlight w:val="none"/>
        </w:rPr>
        <w:t xml:space="preserve">。</w:t>
      </w:r>
      <w:r>
        <w:rPr>
          <w:color w:val="auto"/>
          <w:highlight w:val="none"/>
        </w:rPr>
      </w:r>
      <w:r>
        <w:rPr>
          <w:color w:val="auto"/>
          <w:highlight w:val="none"/>
        </w:rPr>
      </w:r>
    </w:p>
    <w:p>
      <w:pPr>
        <w:ind w:firstLine="480"/>
        <w:spacing w:line="360" w:lineRule="auto"/>
        <w:rPr>
          <w:rFonts w:hint="default" w:eastAsia="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JSZC-320300-SHGK-G2026-0051</w:t>
      </w:r>
      <w:r>
        <w:rPr>
          <w:rFonts w:hint="eastAsia" w:ascii="宋体" w:hAnsi="宋体" w:cs="宋体"/>
          <w:color w:val="auto"/>
          <w:sz w:val="24"/>
          <w:highlight w:val="none"/>
        </w:rPr>
        <w:t xml:space="preserve">。</w:t>
      </w:r>
      <w:r>
        <w:rPr>
          <w:color w:val="auto"/>
          <w:highlight w:val="none"/>
        </w:rPr>
      </w:r>
      <w:r>
        <w:rPr>
          <w:color w:val="auto"/>
          <w:highlight w:val="none"/>
        </w:rP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：1214-26410</w:t>
      </w:r>
      <w:r>
        <w:rPr>
          <w:rFonts w:hint="eastAsia" w:ascii="宋体" w:hAnsi="宋体" w:cs="宋体"/>
          <w:color w:val="auto"/>
          <w:sz w:val="24"/>
          <w:szCs w:val="24"/>
          <w:highlight w:val="none"/>
          <w:lang w:val="en-US" w:eastAsia="zh-CN"/>
        </w:rPr>
        <w:t xml:space="preserve">6271</w:t>
      </w:r>
      <w:r>
        <w:rPr>
          <w:rFonts w:hint="eastAsia" w:ascii="宋体" w:hAnsi="宋体" w:cs="宋体"/>
          <w:color w:val="auto"/>
          <w:sz w:val="24"/>
          <w:szCs w:val="24"/>
          <w:highlight w:val="none"/>
        </w:rPr>
        <w:t xml:space="preserve">WDX</w:t>
      </w:r>
      <w:r>
        <w:rPr>
          <w:color w:val="auto"/>
          <w:highlight w:val="none"/>
        </w:rPr>
      </w:r>
      <w:r>
        <w:rPr>
          <w:color w:val="auto"/>
          <w:highlight w:val="none"/>
        </w:rPr>
      </w:r>
    </w:p>
    <w:p>
      <w:pPr>
        <w:ind w:firstLine="480"/>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）数量：1套</w:t>
      </w:r>
      <w:r>
        <w:rPr>
          <w:color w:val="auto"/>
          <w:highlight w:val="none"/>
        </w:rPr>
      </w:r>
      <w:r>
        <w:rPr>
          <w:color w:val="auto"/>
          <w:highlight w:val="none"/>
        </w:rPr>
      </w:r>
    </w:p>
    <w:p>
      <w:pPr>
        <w:pStyle w:val="931"/>
        <w:ind w:left="0" w:firstLine="480"/>
        <w:rPr>
          <w:rFonts w:hint="default" w:eastAsia="宋体"/>
          <w:color w:val="auto"/>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质保期：</w:t>
      </w:r>
      <w:r>
        <w:rPr>
          <w:rFonts w:hint="eastAsia" w:ascii="宋体" w:hAnsi="宋体" w:eastAsia="宋体" w:cs="微软雅黑"/>
          <w:color w:val="auto"/>
          <w:szCs w:val="21"/>
          <w:highlight w:val="none"/>
        </w:rPr>
        <w:t xml:space="preserve">≧</w:t>
      </w:r>
      <w:r>
        <w:rPr>
          <w:rFonts w:hint="eastAsia" w:ascii="微软雅黑" w:hAnsi="微软雅黑" w:eastAsia="微软雅黑" w:cs="微软雅黑"/>
          <w:color w:val="auto"/>
          <w:szCs w:val="21"/>
          <w:highlight w:val="none"/>
        </w:rPr>
        <w:t xml:space="preserve">5年</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）预算/最高限价：</w:t>
      </w:r>
      <w:r>
        <w:rPr>
          <w:rFonts w:hint="eastAsia" w:ascii="宋体" w:hAnsi="宋体" w:cs="宋体"/>
          <w:color w:val="auto"/>
          <w:sz w:val="24"/>
          <w:highlight w:val="none"/>
          <w:lang w:val="en-US" w:eastAsia="zh-CN"/>
        </w:rPr>
        <w:t xml:space="preserve">280</w:t>
      </w:r>
      <w:r>
        <w:rPr>
          <w:rFonts w:hint="eastAsia" w:ascii="宋体" w:hAnsi="宋体" w:cs="宋体"/>
          <w:color w:val="auto"/>
          <w:sz w:val="24"/>
          <w:highlight w:val="none"/>
        </w:rPr>
        <w:t xml:space="preserve">万元人民币</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）本项目</w:t>
      </w:r>
      <w:r>
        <w:rPr>
          <w:rFonts w:hint="eastAsia" w:ascii="宋体" w:hAnsi="宋体" w:cs="宋体"/>
          <w:b/>
          <w:bCs/>
          <w:color w:val="auto"/>
          <w:sz w:val="24"/>
          <w:highlight w:val="none"/>
        </w:rPr>
        <w:t xml:space="preserve">不接受</w:t>
      </w:r>
      <w:r>
        <w:rPr>
          <w:rFonts w:hint="eastAsia" w:ascii="宋体" w:hAnsi="宋体" w:cs="宋体"/>
          <w:color w:val="auto"/>
          <w:sz w:val="24"/>
          <w:highlight w:val="none"/>
        </w:rPr>
        <w:t xml:space="preserve">进口产品投标</w:t>
      </w:r>
      <w:r>
        <w:rPr>
          <w:color w:val="auto"/>
          <w:highlight w:val="none"/>
        </w:rPr>
      </w:r>
      <w:r>
        <w:rPr>
          <w:color w:val="auto"/>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二、对投标人的资格要求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详见本项目公开招标公告。</w:t>
      </w:r>
      <w:r>
        <w:rPr>
          <w:color w:val="auto"/>
          <w:highlight w:val="none"/>
        </w:rPr>
      </w:r>
      <w:r>
        <w:rPr>
          <w:color w:val="auto"/>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三、获取招标文件</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（1）潜在投标人访问电子招标投标交易平台的网络地址和方法：</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1.2）潜在供应商访问“苏采云”系统的网络地址和方法：“苏采云”系统的网址：http://jszfcg.jsczt.cn/；或进入徐州政府采购网（网址：https://czj.xz.gov.cn/zfcg/index.html）--办事指南--供应商--供应商登录入口，点击“苏采云”进入系统。</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（1.3）“CA数字证书”的获取：</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1.4）采购文件（后缀名为“.kedt”）、供应商操作手册及政府采购客户端工具可通过“苏采云”系统--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（2）采购代理机构将数据电文形式的招标文件加载至电子招标投标交易平台，供潜在投标人下载或者查阅。</w:t>
      </w:r>
      <w:r>
        <w:rPr>
          <w:color w:val="auto"/>
          <w:highlight w:val="none"/>
        </w:rPr>
      </w:r>
      <w:r>
        <w:rPr>
          <w:color w:val="auto"/>
          <w:highlight w:val="none"/>
        </w:rPr>
      </w:r>
    </w:p>
    <w:p>
      <w:pPr>
        <w:ind w:firstLine="480"/>
        <w:spacing w:line="360" w:lineRule="auto"/>
        <w:rPr>
          <w:rFonts w:ascii="寰蒋闆呴粦" w:hAnsi="寰蒋闆呴粦" w:eastAsia="寰蒋闆呴粦"/>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（3）售价：免费。</w:t>
      </w:r>
      <w:r>
        <w:rPr>
          <w:color w:val="auto"/>
          <w:highlight w:val="none"/>
        </w:rPr>
      </w:r>
      <w:r>
        <w:rPr>
          <w:color w:val="auto"/>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四、投标有关信息</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（1）投标截止时间：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06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29</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日北京时间1</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：00</w:t>
      </w:r>
      <w:r>
        <w:rPr>
          <w:rFonts w:hint="eastAsia" w:ascii="宋体" w:hAnsi="宋体" w:cs="宋体"/>
          <w:color w:val="auto"/>
          <w:sz w:val="24"/>
          <w:highlight w:val="none"/>
        </w:rPr>
        <w:t xml:space="preserve">。</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（2）开标时间：</w:t>
      </w:r>
      <w:r>
        <w:rPr>
          <w:rFonts w:hint="eastAsia" w:ascii="宋体" w:hAnsi="宋体" w:cs="宋体"/>
          <w:b/>
          <w:color w:val="auto"/>
          <w:sz w:val="24"/>
          <w:highlight w:val="none"/>
        </w:rPr>
        <w:t xml:space="preserve">2026年</w:t>
      </w:r>
      <w:r>
        <w:rPr>
          <w:rFonts w:hint="eastAsia" w:ascii="宋体" w:hAnsi="宋体" w:cs="宋体"/>
          <w:b/>
          <w:color w:val="auto"/>
          <w:sz w:val="24"/>
          <w:highlight w:val="none"/>
          <w:u w:val="single"/>
        </w:rPr>
        <w:t xml:space="preserve"> 06 </w:t>
      </w:r>
      <w:r>
        <w:rPr>
          <w:rFonts w:hint="eastAsia" w:ascii="宋体" w:hAnsi="宋体" w:cs="宋体"/>
          <w:b/>
          <w:color w:val="auto"/>
          <w:sz w:val="24"/>
          <w:highlight w:val="none"/>
        </w:rPr>
        <w:t xml:space="preserve">月</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val="en-US" w:eastAsia="zh-CN"/>
        </w:rPr>
        <w:t xml:space="preserve">29</w:t>
      </w:r>
      <w:r>
        <w:rPr>
          <w:rFonts w:hint="eastAsia" w:ascii="宋体" w:hAnsi="宋体" w:cs="宋体"/>
          <w:b/>
          <w:color w:val="auto"/>
          <w:sz w:val="24"/>
          <w:highlight w:val="none"/>
        </w:rPr>
        <w:t xml:space="preserve">日北京时间1</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rPr>
        <w:t xml:space="preserve">：00</w:t>
      </w:r>
      <w:r>
        <w:rPr>
          <w:rFonts w:hint="eastAsia" w:ascii="宋体" w:hAnsi="宋体" w:cs="宋体"/>
          <w:color w:val="auto"/>
          <w:sz w:val="24"/>
          <w:highlight w:val="none"/>
        </w:rPr>
        <w:t xml:space="preserve">。</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（3）开标地点：“苏采云”系统“开标大厅”或进入徐州政府采购网--办事指南--供应商--供应商登录入口，点击“苏采云”进入系统“开标大厅”。</w:t>
      </w:r>
      <w:r>
        <w:rPr>
          <w:color w:val="auto"/>
          <w:highlight w:val="none"/>
        </w:rPr>
      </w:r>
      <w:r>
        <w:rPr>
          <w:color w:val="auto"/>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五、采购人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（1）名称：徐州市儿童医院</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（2）地址：徐州市泉山区苏堤北路18号</w:t>
      </w:r>
      <w:r>
        <w:rPr>
          <w:color w:val="auto"/>
          <w:highlight w:val="none"/>
        </w:rPr>
      </w:r>
      <w:r>
        <w:rPr>
          <w:color w:val="auto"/>
          <w:highlight w:val="none"/>
        </w:rP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（3）联系人：杜海航</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（4）联系电话：0516-85583010</w:t>
      </w:r>
      <w:r>
        <w:rPr>
          <w:color w:val="auto"/>
          <w:highlight w:val="none"/>
        </w:rPr>
      </w:r>
      <w:r>
        <w:rPr>
          <w:color w:val="auto"/>
          <w:highlight w:val="none"/>
        </w:rPr>
      </w:r>
    </w:p>
    <w:p>
      <w:pPr>
        <w:ind w:firstLine="482"/>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六、采购代理机构</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（1）名称：江苏苏豪创新科技集团高科有限公司</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（2）地址：南京市雨花台区软件大道21号苏豪国际广场（北园）C座612室</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（3）联系人：</w:t>
      </w:r>
      <w:r>
        <w:rPr>
          <w:rFonts w:hint="eastAsia" w:ascii="宋体" w:hAnsi="宋体" w:cs="宋体"/>
          <w:color w:val="auto"/>
          <w:sz w:val="24"/>
          <w:highlight w:val="none"/>
          <w:lang w:val="en-US" w:eastAsia="zh-CN"/>
        </w:rPr>
        <w:t xml:space="preserve">朱笑青</w:t>
      </w:r>
      <w:r>
        <w:rPr>
          <w:rFonts w:hint="eastAsia" w:ascii="宋体" w:hAnsi="宋体" w:cs="宋体"/>
          <w:color w:val="auto"/>
          <w:sz w:val="24"/>
          <w:highlight w:val="none"/>
        </w:rPr>
        <w:t xml:space="preserve">，吴冬晓</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（4）联系电话：025-528759</w:t>
      </w:r>
      <w:r>
        <w:rPr>
          <w:rFonts w:hint="eastAsia" w:ascii="宋体" w:hAnsi="宋体" w:cs="宋体"/>
          <w:color w:val="auto"/>
          <w:sz w:val="24"/>
          <w:highlight w:val="none"/>
          <w:lang w:val="en-US" w:eastAsia="zh-CN"/>
        </w:rPr>
        <w:t xml:space="preserve">75</w:t>
      </w:r>
      <w:r>
        <w:rPr>
          <w:rFonts w:hint="eastAsia" w:ascii="宋体" w:hAnsi="宋体" w:cs="宋体"/>
          <w:color w:val="auto"/>
          <w:sz w:val="24"/>
          <w:highlight w:val="none"/>
        </w:rPr>
        <w:t xml:space="preserve">,025-52874082</w:t>
      </w:r>
      <w:r>
        <w:rPr>
          <w:color w:val="auto"/>
          <w:highlight w:val="none"/>
        </w:rPr>
      </w:r>
      <w:r>
        <w:rPr>
          <w:color w:val="auto"/>
          <w:highlight w:val="none"/>
        </w:rPr>
      </w:r>
    </w:p>
    <w:p>
      <w:pPr>
        <w:ind w:firstLine="602"/>
        <w:spacing w:line="360" w:lineRule="auto"/>
        <w:rPr>
          <w:rFonts w:ascii="宋体" w:hAnsi="宋体" w:cs="宋体"/>
          <w:b/>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0"/>
          <w:szCs w:val="30"/>
          <w:highlight w:val="none"/>
        </w:rPr>
        <w:br w:type="page" w:clear="all"/>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第二章：投标人须知</w:t>
      </w:r>
      <w:r>
        <w:rPr>
          <w:color w:val="auto"/>
          <w:highlight w:val="none"/>
        </w:rPr>
      </w:r>
      <w:r>
        <w:rPr>
          <w:color w:val="auto"/>
          <w:highlight w:val="none"/>
        </w:rPr>
      </w:r>
    </w:p>
    <w:p>
      <w:pPr>
        <w:spacing w:before="24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一、总则</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（一）采购人。采购人即指依法进行政府采购的国家机关、事业单位和团体组织。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（二）政府招标采购方式。政府采购货物或服务（以下简称“货物服务”）的招标方式，分为公开招标和邀请招标。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（三）采购人在采购货物服务的招标投标活动中，应当贯彻落实“节约能源、保护环境、扶持不发达地区和少数民族地区和促进中小企业发展”等政府采购政策。</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（五）采购人委托采购代理机构代理招标的，采购代理机构必须在采购人委托的范围内依法开展采购活动。</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（六）投标人的资格条件：</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投标人是指响应招标、参加投标竞争的法人、其他组织或者自然人。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2.投标人授权代表系指法定代表人或受法人委托的受托人。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rPr>
          <w:color w:val="auto"/>
          <w:highlight w:val="none"/>
        </w:rPr>
      </w:r>
      <w:r>
        <w:rPr>
          <w:color w:val="auto"/>
          <w:highlight w:val="none"/>
        </w:rPr>
      </w:r>
    </w:p>
    <w:p>
      <w:pP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二、招标</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（八）</w:t>
      </w:r>
      <w:r>
        <w:rPr>
          <w:rFonts w:hint="eastAsia" w:ascii="宋体" w:hAnsi="宋体" w:cs="宋体"/>
          <w:color w:val="auto"/>
          <w:sz w:val="24"/>
          <w:szCs w:val="21"/>
          <w:highlight w:val="none"/>
        </w:rPr>
        <w:t xml:space="preserve">招标文件的内容</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（1）招标文件应包括以下内容：</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第一章，投标邀请；</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第二章，投标人须知；</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第三章，投标资料表；</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第四章，评标标准；</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第五章，拟签订的合同文本；</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第六章，采购需求；</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第七章，投标文件相关格式。</w:t>
      </w:r>
      <w:r>
        <w:rPr>
          <w:color w:val="auto"/>
          <w:highlight w:val="none"/>
        </w:rPr>
      </w:r>
      <w:r>
        <w:rPr>
          <w:color w:val="auto"/>
          <w:highlight w:val="none"/>
        </w:rPr>
      </w:r>
    </w:p>
    <w:p>
      <w:pPr>
        <w:ind w:firstLine="482"/>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color w:val="auto"/>
          <w:sz w:val="24"/>
          <w:szCs w:val="21"/>
          <w:highlight w:val="none"/>
        </w:rPr>
        <w:t xml:space="preserve">（3）“本项目对样品的要求：无</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（九）招标文件澄清或者修改：</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2.现场考察以本文件第三章《投标资料表》中的要求为准。</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3.开标前答疑会以本文件第三章《投标资料表》中的要求为准。</w:t>
      </w:r>
      <w:r>
        <w:rPr>
          <w:color w:val="auto"/>
          <w:highlight w:val="none"/>
        </w:rPr>
      </w:r>
      <w:r>
        <w:rPr>
          <w:color w:val="auto"/>
          <w:highlight w:val="none"/>
        </w:rPr>
      </w:r>
    </w:p>
    <w:p>
      <w:pP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三、投标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（十）投标人应当按照招标文件的要求编制投标文件。投标文件应对招标文件提出的要求和条件作出实质性响应。</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（十一）投标文件的语言。投标文件以及投标人与采购代理机构就有关投标的往来函电均应使用本文件第三章《投标资料表》规定的语言书写，否则无效。</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（十二）投标文件的构成：</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1.投标文件的构成以本文件第三章《投标资料表》中的要求为准。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2.投标人应当提交的资格、资信证明文件，以本文件第三章《投标资料表》中的所提要求为准。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（十三）投标函和价格表、商务条件、交货和提供服务的时间：</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1.投标函和价格表的要求见本章（十二）、（十三），格式见本文件第七章《投标文件相关格式》中《投标函》和《开标一览表》。</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2.商务条件以本文件第三章《投标资料表》中的要求为准。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3.交货和提供服务的时间，以本文件第三章《投标资料表》中所提要求为准。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（十四）投标报价要求：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1.投标人应按照招标文件的要求报出分项价格和总价。</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2.投标人应按照招标文件的要求进行报价，如投标人作出偏离，应在《偏离表》中列出。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3.采购人不支付报价以外的任何费用。</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（十五）投标货币。以本文件第三章《投标资料表》中所提要求为准。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（十六）投标有效期：</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1.投标有效期为开标之日后90天。采购人可以要求对投标有效期延长一次，但该延长期最长不得超过30天。</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3.如果采购人发出要求延长投标有效期的通知，并在投标有效期届满前，没有收到投标人同意的书面通知，则视为该投标人不接受上述延期的要求。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（十七）投标文件的编制要求和签署要求：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（1）投标人应由其法定代表人或法定代表人授权代表在规定的网上投标时间，凭CA证书登录“苏采云”系统在线编制投标文件（电子数据），并在投标截止时间之前上传投标文件。</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（2）投标人应对CA证书妥善保管，如被他人盗用投标，因此带来的结果均由投标人自行承担。</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（3）投标人应当对招标文件提出的要求和条件作出实质性响应，并在电子投标系统逐条应答。</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（4）投标人应对要求提供的资格证明文件（如资质证书、资格证书）、技术资料（如白皮书、彩页、手册、检测报告等）扫描上传至投标系统。</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（十八）投标文件的盖章要求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1.投标文件的盖章要求以招标文件第三章《投标资料表》中的要求为准。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（十九）提交投标文件的截止时间和收到投标文件后注意事项。投标人应在招标文件要求的提交投标文件的截止时间前，将投标文件提交至“苏采云”系统。</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（二十）凡在招标文件要求提交投标文件的截止时间之后送达的投标文件，均为无效投标文件，“苏采云”系统将自动拒收。各投标人应在规定时间内通过CA证书进行网上解密。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（二十二）本项目不允许分包。</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（二十四）有下列情形之一的，其投标无效。</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不同投标人的投标文件，由同一单位或者个人编制；</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不同投标人委托同一单位或者个人办理投标事宜；</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不同投标人的投标文件中，所载明的项目管理成员或联系人为同一人；</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不同投标人的投标文件相互混装；</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不同投标人投标文件内容存在非正常一致、项目组成员出现同一人、投标文件中错误（或异常）一致或雷同、电子文档信息一致或雷同的、投标报价呈规律性差异的；</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电子投标文件未按规定期限投标的；</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投标文件未按照招标文件要求加盖CA电子公章的</w:t>
      </w:r>
      <w:r>
        <w:rPr>
          <w:rFonts w:hint="eastAsia" w:ascii="宋体" w:hAnsi="宋体" w:cs="宋体"/>
          <w:color w:val="auto"/>
          <w:sz w:val="24"/>
          <w:highlight w:val="none"/>
        </w:rPr>
        <w:t xml:space="preserve">；</w:t>
      </w:r>
      <w:r>
        <w:rPr>
          <w:color w:val="auto"/>
          <w:highlight w:val="none"/>
        </w:rPr>
      </w:r>
      <w:r>
        <w:rPr>
          <w:color w:val="auto"/>
          <w:highlight w:val="none"/>
        </w:rPr>
      </w:r>
    </w:p>
    <w:p>
      <w:pPr>
        <w:numPr>
          <w:ilvl w:val="0"/>
          <w:numId w:val="2"/>
        </w:numPr>
        <w:ind w:firstLine="480"/>
        <w:spacing w:line="360" w:lineRule="auto"/>
        <w:shd w:val="clear" w:color="ffffff" w:fill="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投标人在苏采云系统规定的时间内未成功解密电子投标文件的；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投标人未按照招标文件要求上传电子投标文件的；</w:t>
      </w:r>
      <w:r>
        <w:rPr>
          <w:rFonts w:hint="eastAsia" w:ascii="宋体" w:hAnsi="宋体" w:cs="宋体"/>
          <w:color w:val="auto"/>
          <w:sz w:val="24"/>
          <w:highlight w:val="none"/>
        </w:rPr>
        <w:t xml:space="preserve">未按招标文件规定的内容和要求填写的；没有在投标系统指定位置上传对应文件、材料的。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不具备招标文件中规定的资格要求的；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报价超过招标文件中规定的预算金额或者最高限价的；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未通过符合性审查的；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提供虚假材料的；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投标文件含有采购人不能接受的附加条件的；</w:t>
      </w:r>
      <w:r>
        <w:rPr>
          <w:color w:val="auto"/>
          <w:highlight w:val="none"/>
        </w:rPr>
      </w:r>
      <w:r>
        <w:rPr>
          <w:color w:val="auto"/>
          <w:highlight w:val="none"/>
        </w:rPr>
      </w:r>
    </w:p>
    <w:p>
      <w:pPr>
        <w:numPr>
          <w:ilvl w:val="0"/>
          <w:numId w:val="2"/>
        </w:numPr>
        <w:ind w:firstLine="480"/>
        <w:spacing w:line="360" w:lineRule="auto"/>
        <w:shd w:val="clear" w:color="ffffff" w:fill="auto"/>
        <w:tabs>
          <w:tab w:val="left" w:pos="1060" w:leader="none"/>
        </w:tabs>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法律、法规和招标文件规定的其他无效情形。</w:t>
      </w:r>
      <w:r>
        <w:rPr>
          <w:color w:val="auto"/>
          <w:highlight w:val="none"/>
        </w:rPr>
      </w:r>
      <w:r>
        <w:rPr>
          <w:color w:val="auto"/>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四、开标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（二十五）开标：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1.所有投标单位凭CA证书在到达开标时间时，解密各自投标文件，由工作人员操作系统进行开标、并宣读各投标人的《开标一览表》。</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2.投标人不足3家的，不得开标。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3.投标人应充分考虑到网络环境、网络带宽等风险因素，如因投标人自身原因造成的电子投标文件上传不成功，视为无效投标。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rPr>
          <w:color w:val="auto"/>
          <w:highlight w:val="none"/>
        </w:rPr>
      </w:r>
      <w:r>
        <w:rPr>
          <w:color w:val="auto"/>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五、评标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1.评标工作由采购代理机构负责组织，并履行下列职责：</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（2）宣布评标纪律；</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（3）公布投标人名单，告知评审专家应当回避的情形；</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（4）组织评标委员会推选评标组长（采购人代表不得担任组长）；</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（5）在评标期间采取必要的通讯管理措施，保证评标活动不受外界干扰；</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（6）根据评标委员会的要求介绍政府采购相关政策法规、招标文件；</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\o "http://www.caigou2003.com/" </w:instrText>
      </w:r>
      <w:r>
        <w:rPr>
          <w:color w:val="auto"/>
          <w:highlight w:val="none"/>
        </w:rPr>
        <w:fldChar w:fldCharType="separate"/>
      </w:r>
      <w:r>
        <w:rPr>
          <w:rStyle w:val="1008"/>
          <w:rFonts w:hint="eastAsia" w:ascii="宋体" w:hAnsi="宋体" w:cs="宋体"/>
          <w:color w:val="auto"/>
          <w:sz w:val="24"/>
          <w:highlight w:val="none"/>
        </w:rPr>
        <w:t xml:space="preserve">政府采购</w:t>
      </w:r>
      <w:r>
        <w:rPr>
          <w:rStyle w:val="1008"/>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货物和服务招标投标管理办法》第六十四条规定情形的，应要求评标委员会复核或者书面说明理由，评标委员会拒绝的，应予记录并向本级财政部门报告；</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（10）处理与评标有关的其他事项。</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2.评标委员会负责具体评标事务，并独立履行下列职责：</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（1）审查、评价投标文件是否符合招标文件的商务、技术等实质性要求；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（2）要求投标人对投标文件有关事项作出澄清或者说明；</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（3）对投标文件进行比较和评价；</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（4）确定中标候选人名单，以及根据采购人委托直接确定中标人；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（5）向采购人、采购代理机构或有关部门报告评标中发现的违法行为。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（二十七）</w:t>
      </w:r>
      <w:r>
        <w:rPr>
          <w:rFonts w:hint="eastAsia" w:ascii="宋体" w:hAnsi="宋体" w:cs="宋体"/>
          <w:color w:val="auto"/>
          <w:sz w:val="24"/>
          <w:highlight w:val="none"/>
        </w:rPr>
        <w:t xml:space="preserve">评标方法分为最低评标价法和综合评分法。</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（二十八）评标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1.评标工作程序：</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（1）投标文件初审。</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①资格性审查。</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②符合性审查。</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（2）澄清有关问题。</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（3）比较与评价。</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（4）推荐中标候选供应商名单。</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（5）编写评审报告（评标报告）。</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\o "http://lilun.caigou2003.com/recijiedu/2365668.html" </w:instrText>
      </w:r>
      <w:r>
        <w:rPr>
          <w:color w:val="auto"/>
          <w:highlight w:val="none"/>
        </w:rPr>
        <w:fldChar w:fldCharType="separate"/>
      </w:r>
      <w:r>
        <w:rPr>
          <w:rStyle w:val="1008"/>
          <w:rFonts w:hint="eastAsia" w:ascii="宋体" w:hAnsi="宋体" w:cs="宋体"/>
          <w:color w:val="auto"/>
          <w:sz w:val="24"/>
          <w:highlight w:val="none"/>
        </w:rPr>
        <w:t xml:space="preserve">最低评标价法</w:t>
      </w:r>
      <w:r>
        <w:rPr>
          <w:rStyle w:val="1008"/>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\o "http://lilun.caigou2003.com/recijiedu/2365667.html" </w:instrText>
      </w:r>
      <w:r>
        <w:rPr>
          <w:color w:val="auto"/>
          <w:highlight w:val="none"/>
        </w:rPr>
        <w:fldChar w:fldCharType="separate"/>
      </w:r>
      <w:r>
        <w:rPr>
          <w:rStyle w:val="1008"/>
          <w:rFonts w:hint="eastAsia" w:ascii="宋体" w:hAnsi="宋体" w:cs="宋体"/>
          <w:color w:val="auto"/>
          <w:sz w:val="24"/>
          <w:highlight w:val="none"/>
        </w:rPr>
        <w:t xml:space="preserve">综合评分法</w:t>
      </w:r>
      <w:r>
        <w:rPr>
          <w:rStyle w:val="1008"/>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color w:val="auto"/>
          <w:highlight w:val="none"/>
        </w:rPr>
      </w:r>
      <w:r>
        <w:rPr>
          <w:color w:val="auto"/>
          <w:highlight w:val="none"/>
        </w:rPr>
      </w:r>
    </w:p>
    <w:p>
      <w:pPr>
        <w:ind w:firstLine="480"/>
        <w:spacing w:line="360" w:lineRule="auto"/>
        <w:shd w:val="clear" w:color="ffffff" w:fill="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非单一产品采购项目，多家投标人提供的核心产品品牌相同的，按前两款规定处理。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（二十九）投标文件报价出现前后不一致的，按照下列规定修正：</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1.投标文件中开标一览表（报价表）内容与投标文件中相应内容不一致的，以开标一览表（报价表）为准；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2.大写金额和小写金额不一致的，以大写金额为准；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3.单价金额小数点或者百分比有明显错位的，以开标一览表的总价为准，并修改单价；</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4.总价金额与按单价合计金额不一致的，以单价金额计算结果为准。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评标中需要投标人对投标文件澄清或者说明的，应当通过“苏采云”系统交换数据电文。在评标期间，请投标人保持在线。</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实施政府采购异常低价审查的有关要求：</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（一）评审中出现下列情形之一的，评审（评标）委员会应当启动异常低价投标（响应）审查程序：</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1.投标（响应）报价低于全部通过符合性审查供应商投标（响应）报价平均值</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，即投标（响应）报价&lt;全部通过符合性审查供应商投标（响应）报价平均值</w:t>
      </w:r>
      <w:r>
        <w:rPr>
          <w:rFonts w:hint="eastAsia" w:ascii="宋体" w:hAnsi="宋体" w:cs="宋体"/>
          <w:b/>
          <w:bCs/>
          <w:color w:val="auto"/>
          <w:sz w:val="24"/>
          <w:highlight w:val="none"/>
        </w:rPr>
        <w:t xml:space="preserve">×50%；</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2.投标（响应）报价低于通过符合性审查的次低报价供应商投标（响应）报价</w:t>
      </w:r>
      <w:r>
        <w:rPr>
          <w:rFonts w:hint="eastAsia" w:ascii="宋体" w:hAnsi="宋体" w:cs="宋体"/>
          <w:b/>
          <w:bCs/>
          <w:color w:val="auto"/>
          <w:sz w:val="24"/>
          <w:highlight w:val="none"/>
        </w:rPr>
        <w:t xml:space="preserve">50%的</w:t>
      </w:r>
      <w:r>
        <w:rPr>
          <w:rFonts w:hint="eastAsia" w:ascii="宋体" w:hAnsi="宋体" w:cs="宋体"/>
          <w:color w:val="auto"/>
          <w:sz w:val="24"/>
          <w:highlight w:val="none"/>
        </w:rPr>
        <w:t xml:space="preserve">，即投标（响应）报价&lt;通过符合性审查的次低报价供应商投标（响应）报价</w:t>
      </w:r>
      <w:r>
        <w:rPr>
          <w:rFonts w:hint="eastAsia" w:ascii="宋体" w:hAnsi="宋体" w:cs="宋体"/>
          <w:b/>
          <w:bCs/>
          <w:color w:val="auto"/>
          <w:sz w:val="24"/>
          <w:highlight w:val="none"/>
        </w:rPr>
        <w:t xml:space="preserve">×50%；</w:t>
      </w:r>
      <w:r>
        <w:rPr>
          <w:color w:val="auto"/>
          <w:highlight w:val="none"/>
        </w:rPr>
      </w:r>
      <w:r>
        <w:rPr>
          <w:color w:val="auto"/>
          <w:highlight w:val="none"/>
        </w:rPr>
      </w:r>
    </w:p>
    <w:p>
      <w:pPr>
        <w:ind w:firstLine="48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3.投标（响应）报价低于采购项目最高限价（未设定最高限价的采购项目，以采购项目预算金额作为最高限价）</w:t>
      </w:r>
      <w:r>
        <w:rPr>
          <w:rFonts w:hint="eastAsia" w:ascii="宋体" w:hAnsi="宋体" w:cs="宋体"/>
          <w:b/>
          <w:bCs/>
          <w:color w:val="auto"/>
          <w:sz w:val="24"/>
          <w:highlight w:val="none"/>
        </w:rPr>
        <w:t xml:space="preserve">45%的，</w:t>
      </w:r>
      <w:r>
        <w:rPr>
          <w:rFonts w:hint="eastAsia" w:ascii="宋体" w:hAnsi="宋体" w:cs="宋体"/>
          <w:color w:val="auto"/>
          <w:sz w:val="24"/>
          <w:highlight w:val="none"/>
        </w:rPr>
        <w:t xml:space="preserve">即投标（响应）报价&lt;采购项目最高限价</w:t>
      </w:r>
      <w:r>
        <w:rPr>
          <w:rFonts w:hint="eastAsia" w:ascii="宋体" w:hAnsi="宋体" w:cs="宋体"/>
          <w:b/>
          <w:bCs/>
          <w:color w:val="auto"/>
          <w:sz w:val="24"/>
          <w:highlight w:val="none"/>
        </w:rPr>
        <w:t xml:space="preserve">×45%；</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4.评审（评标）委员会基于专业判断，认为供应商报价过低，有可能影响产品质量或者不能诚信履约的其他情形。</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相关法律法规对供应商报价有规定的，从其规定。</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color w:val="auto"/>
          <w:sz w:val="24"/>
          <w:highlight w:val="none"/>
        </w:rPr>
        <w:t xml:space="preserve">其中，属于第3项情形，供应商已随投标（响应）文件一并提交相关书面说明及必要的证明材料的，在评审现场可不再重复提交。</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（三十二）废标条款：</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出现下列情形之一的，应予废标。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1.符合专业条件的供应商或者对招标文件作实质响应的供应商不足三家的；</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2.出现影响采购公正的违法、违规行为的；</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3.投标人的报价均超过了采购预算，采购人不能支付的；</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4.因重大变故，采购任务取消的。</w:t>
      </w:r>
      <w:r>
        <w:rPr>
          <w:color w:val="auto"/>
          <w:highlight w:val="none"/>
        </w:rPr>
      </w:r>
      <w:r>
        <w:rPr>
          <w:color w:val="auto"/>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六、定标</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（三十三）采购代理机构应当在评标结束后2个工作日内将评标报告送采购人。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color w:val="auto"/>
          <w:highlight w:val="none"/>
        </w:rPr>
      </w:r>
      <w:r>
        <w:rPr>
          <w:color w:val="auto"/>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七、政府采购合同</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（三十六）签订政府采购合同（合同签订方式）：</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采购人不得向中标人提出任何不合理的要求作为签订合同的条件。</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（三十八）履约保证金：</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1.中标人应在政府采购合同签订后，向采购人提交本文件第三章《投标资料表》中规定金额的履约保证金。</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2.如果中标人没有遵守本章（三十八）1或本章（三十九）的规定，采购代理机构有权取消该中标决定。在此情况下，采购人可以与排位在中标人之后第一位的中标候选人签订政府采购合同，以此类推。</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3.中标人凭采购人出具验收书的复印件及收款收据办理履约保证金退付手续。履约保证金在采购人处存放期间，不计利息。</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（三十九）腐败和欺诈行为：</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（1）腐败和欺诈行为的含义：</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②“欺诈行为”系指为了影响招标、采购和合同执行等过程，隐瞒事实真相，给买方、卖方、采购代理机构及他人造成损害的行为，其中包括投标人之间的串通行为。</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（2）如果被推荐的中标人有腐败和欺诈行为，将取消其中标资格。</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（3）如果投标人在任何时候，被法院及政府有关管理部门认定为有腐败和欺诈行为，采购代理机构有权拒绝其投标、取消其中标资格和撤销其已签署的合同。</w:t>
      </w:r>
      <w:r>
        <w:rPr>
          <w:color w:val="auto"/>
          <w:highlight w:val="none"/>
        </w:rPr>
      </w:r>
      <w:r>
        <w:rPr>
          <w:color w:val="auto"/>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八、询问和质疑</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（四十）询问和质疑</w:t>
      </w:r>
      <w:r>
        <w:rPr>
          <w:color w:val="auto"/>
          <w:highlight w:val="none"/>
        </w:rPr>
      </w:r>
      <w:r>
        <w:rPr>
          <w:color w:val="auto"/>
          <w:highlight w:val="none"/>
        </w:rPr>
      </w:r>
    </w:p>
    <w:p>
      <w:pPr>
        <w:ind w:firstLine="480"/>
        <w:spacing w:line="360" w:lineRule="auto"/>
        <w:shd w:val="clear" w:color="ffffff" w:fill="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color w:val="auto"/>
          <w:highlight w:val="none"/>
        </w:rPr>
      </w:r>
      <w:r>
        <w:rPr>
          <w:color w:val="auto"/>
          <w:highlight w:val="none"/>
        </w:rPr>
      </w:r>
    </w:p>
    <w:p>
      <w:pPr>
        <w:jc w:val="center"/>
        <w:spacing w:before="120"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24"/>
          <w:highlight w:val="none"/>
        </w:rPr>
        <w:t xml:space="preserve">九、电子招标投标交易平台</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（四十一）电子招标投标交易平台（即“苏采云”系统，网址：http://jszfcg.jsczt.cn/）相关要求是本招标文件的组成部分。</w:t>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2"/>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2"/>
        <w:spacing w:line="360" w:lineRule="auto"/>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第三章：投标资料表</w:t>
      </w:r>
      <w:r>
        <w:rPr>
          <w:color w:val="auto"/>
          <w:highlight w:val="none"/>
        </w:rPr>
      </w:r>
      <w:r>
        <w:rPr>
          <w:color w:val="auto"/>
          <w:highlight w:val="none"/>
        </w:rPr>
      </w:r>
    </w:p>
    <w:p>
      <w:pPr>
        <w:ind w:firstLine="600"/>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该资料表的条款项号是与《投标人须知》的条款项号相对应的，若有增加的条款，是对《投标人须知》的补充、修改和完善，如果因此而造成矛盾时，应以本资料表为准。</w:t>
      </w:r>
      <w:r>
        <w:rPr>
          <w:color w:val="auto"/>
          <w:highlight w:val="none"/>
        </w:rPr>
      </w:r>
      <w:r>
        <w:rPr>
          <w:color w:val="auto"/>
          <w:highlight w:val="none"/>
        </w:rPr>
      </w:r>
    </w:p>
    <w:tbl>
      <w:tblPr>
        <w:tblStyle w:val="998"/>
        <w:tblW w:w="488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50"/>
      </w:tblGrid>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条款项号</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内 容</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总则</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本项目采购人：徐州市儿童医院</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本次采购采用的政府采购方式：公开招标</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采购人确定的采购项目属性：货物</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本项目采购代理机构：江苏苏豪创新科技集团高科有限公司</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(六)</w:t>
            </w:r>
            <w:r>
              <w:rPr>
                <w:color w:val="auto"/>
                <w:highlight w:val="none"/>
              </w:rPr>
            </w:r>
            <w:r>
              <w:rPr>
                <w:color w:val="auto"/>
                <w:highlight w:val="none"/>
              </w:rPr>
            </w:r>
          </w:p>
        </w:tc>
        <w:tc>
          <w:tcPr>
            <w:tcMar>
              <w:left w:w="108" w:type="dxa"/>
              <w:top w:w="0" w:type="dxa"/>
              <w:right w:w="108" w:type="dxa"/>
              <w:bottom w:w="0" w:type="dxa"/>
            </w:tcMar>
            <w:tcW w:w="7423" w:type="dxa"/>
            <w:textDirection w:val="lrTb"/>
            <w:noWrap w:val="false"/>
          </w:tcPr>
          <w:p>
            <w:pPr>
              <w:spacing w:before="1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投标人的资格条件：</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一、符合《中华人民共和国政府采购法》第二十二条的规定；</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二、本项目不专门面向中小微企业采购的项目；</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三、本项目的特定资格要求</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（1）投标产品如果属于医疗设备注册范畴的；投标人须根据投标产品的类别，提供《医疗器械经营企业许可证》或者《医疗器械经营备案凭证》（复印件）；</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（2）投标产品如果属于医疗设备注册范畴的；投标人须提供投标产品的《医疗器械注册证》（复印件）；</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（3）本项目</w:t>
            </w:r>
            <w:r>
              <w:rPr>
                <w:rFonts w:hint="eastAsia" w:ascii="宋体" w:hAnsi="宋体" w:cs="宋体"/>
                <w:b/>
                <w:color w:val="auto"/>
                <w:szCs w:val="21"/>
                <w:highlight w:val="none"/>
              </w:rPr>
              <w:t xml:space="preserve">不接受</w:t>
            </w:r>
            <w:r>
              <w:rPr>
                <w:rFonts w:hint="eastAsia" w:ascii="宋体" w:hAnsi="宋体" w:cs="宋体"/>
                <w:bCs/>
                <w:color w:val="auto"/>
                <w:szCs w:val="21"/>
                <w:highlight w:val="none"/>
              </w:rPr>
              <w:t xml:space="preserve">进口产品投标；</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（4）若投标人是投标产品的制造商，必须具备《辐射安全许可证》（具体范围中必须包含可生产及销售本次所投标的产品）；</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若投标人是投标产品的代理经销商，必须具备《辐射安全许可证》（具体范围中必须包含可销售本次投标的产品），还须提供投标产品制造商的《辐射安全许可证》（具体范围中必须包含可生产本次所投标的产品）</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Cs w:val="21"/>
                <w:highlight w:val="none"/>
              </w:rPr>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同时明确相关事项如下：</w:t>
            </w:r>
            <w:r>
              <w:rPr>
                <w:color w:val="auto"/>
                <w:highlight w:val="none"/>
              </w:rPr>
            </w:r>
            <w:r>
              <w:rPr>
                <w:color w:val="auto"/>
                <w:highlight w:val="none"/>
              </w:rP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1、本项目不接受联合体参与采购活动。</w:t>
            </w:r>
            <w:r>
              <w:rPr>
                <w:color w:val="auto"/>
                <w:highlight w:val="none"/>
              </w:rPr>
            </w:r>
            <w:r>
              <w:rPr>
                <w:color w:val="auto"/>
                <w:highlight w:val="none"/>
              </w:rP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2、单位负责人为同一人或者存在直接控股、管理关系的不同供应商，不得参加同一合同项下的政府采购活动。</w:t>
            </w:r>
            <w:r>
              <w:rPr>
                <w:color w:val="auto"/>
                <w:highlight w:val="none"/>
              </w:rPr>
            </w:r>
            <w:r>
              <w:rPr>
                <w:color w:val="auto"/>
                <w:highlight w:val="none"/>
              </w:rPr>
            </w:r>
          </w:p>
          <w:p>
            <w:pPr>
              <w:ind w:firstLine="2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3、为本采购项目提供整体设计、规范编制或者项目管理、监理、检测等服务的供应商，不得再参加本采购项目的采购活动。</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查询及使用供应商信用记录：</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（一）由采购人查询信用信息。</w:t>
            </w:r>
            <w:r>
              <w:rPr>
                <w:color w:val="auto"/>
                <w:highlight w:val="none"/>
              </w:rPr>
            </w:r>
            <w:r>
              <w:rPr>
                <w:color w:val="auto"/>
                <w:highlight w:val="none"/>
              </w:rP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（二）查询渠道包括：</w:t>
            </w:r>
            <w:r>
              <w:rPr>
                <w:color w:val="auto"/>
                <w:highlight w:val="none"/>
              </w:rPr>
            </w:r>
            <w:r>
              <w:rPr>
                <w:color w:val="auto"/>
                <w:highlight w:val="none"/>
              </w:rPr>
            </w:r>
          </w:p>
          <w:p>
            <w:pPr>
              <w:ind w:firstLine="280"/>
              <w:jc w:val="lef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1、“信用中国”网（www.creditchina.gov.cn）；</w:t>
            </w:r>
            <w:r>
              <w:rPr>
                <w:color w:val="auto"/>
                <w:highlight w:val="none"/>
              </w:rPr>
            </w:r>
            <w:r>
              <w:rPr>
                <w:color w:val="auto"/>
                <w:highlight w:val="none"/>
              </w:rPr>
            </w:r>
          </w:p>
          <w:p>
            <w:pPr>
              <w:ind w:firstLine="280"/>
              <w:jc w:val="lef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2、中国政府采购网（www.ccgp.gov.cn）；</w:t>
            </w:r>
            <w:r>
              <w:rPr>
                <w:color w:val="auto"/>
                <w:highlight w:val="none"/>
              </w:rPr>
            </w:r>
            <w:r>
              <w:rPr>
                <w:color w:val="auto"/>
                <w:highlight w:val="none"/>
              </w:rPr>
            </w:r>
          </w:p>
          <w:p>
            <w:pPr>
              <w:ind w:firstLine="278"/>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3、“诚信江苏”网（www.jiangsu.gov.cn/jsxy/index.htm）或“信用江苏”网（http://credit.jiangsu.gov.cn/）；“诚信徐州”网（http://www.xuzhoucredit.gov.cn）或“信用徐州”网（www.xuzhoucredit.gov.cn/）；</w:t>
            </w:r>
            <w:r>
              <w:rPr>
                <w:color w:val="auto"/>
                <w:highlight w:val="none"/>
              </w:rPr>
            </w:r>
            <w:r>
              <w:rPr>
                <w:color w:val="auto"/>
                <w:highlight w:val="none"/>
              </w:rPr>
            </w:r>
          </w:p>
          <w:p>
            <w:pPr>
              <w:ind w:firstLine="278"/>
              <w:jc w:val="lef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4、信用中国（江苏徐州）（http://www.xuzhoucredit.gov.cn）</w:t>
            </w:r>
            <w:r>
              <w:rPr>
                <w:color w:val="auto"/>
                <w:highlight w:val="none"/>
              </w:rPr>
            </w:r>
            <w:r>
              <w:rPr>
                <w:color w:val="auto"/>
                <w:highlight w:val="none"/>
              </w:rP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（三）截止时点（查询环节）：开标后资格审查结束前</w:t>
            </w:r>
            <w:r>
              <w:rPr>
                <w:color w:val="auto"/>
                <w:highlight w:val="none"/>
              </w:rPr>
            </w:r>
            <w:r>
              <w:rPr>
                <w:color w:val="auto"/>
                <w:highlight w:val="none"/>
              </w:rP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（四）信用信息查询记录和证据留存的具体方式：网页截屏打印，与其他采购文件一并保存。</w:t>
            </w:r>
            <w:r>
              <w:rPr>
                <w:color w:val="auto"/>
                <w:highlight w:val="none"/>
              </w:rPr>
            </w:r>
            <w:r>
              <w:rPr>
                <w:color w:val="auto"/>
                <w:highlight w:val="none"/>
              </w:rPr>
            </w:r>
          </w:p>
          <w:p>
            <w:pPr>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（五）信用信息的使用规则：</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采购人对供应商信用记录进行甄别，对列入失信被执行人、</w:t>
            </w:r>
            <w:r>
              <w:rPr>
                <w:rFonts w:hint="eastAsia" w:ascii="宋体" w:hAnsi="宋体" w:cs="宋体"/>
                <w:color w:val="auto"/>
                <w:szCs w:val="21"/>
                <w:highlight w:val="none"/>
              </w:rPr>
              <w:t xml:space="preserve">重大税收违法失信主体</w:t>
            </w:r>
            <w:r>
              <w:rPr>
                <w:rFonts w:hint="eastAsia" w:ascii="宋体" w:hAnsi="宋体" w:cs="宋体"/>
                <w:color w:val="auto"/>
                <w:szCs w:val="21"/>
                <w:highlight w:val="none"/>
              </w:rPr>
              <w:t xml:space="preserve">、政府采购严重违法失信行为记录名单及其他不符合《中华人民共和国政府采购法》第二十二条规定条件的供应商，拒绝其参与政府采购活动。</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(七)</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招标代理服务费由中标人支付。按《招标代理服务收费标准》收取（见附件）。</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二</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招标</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(九)1</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代理机构可以对已发出的招标文件进行必要的澄清或修改。采购代理机构通过“苏采云”系统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(九)2</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不安排现场考察。</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(九)3</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tabs>
                <w:tab w:val="left" w:pos="5760"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不安排开标前答疑会。</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(十一)</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投标文件的语言为中文</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(十二)1</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线上投标文件编制要求：</w:t>
            </w:r>
            <w:r>
              <w:rPr>
                <w:color w:val="auto"/>
                <w:highlight w:val="none"/>
              </w:rPr>
            </w:r>
            <w:r>
              <w:rPr>
                <w:color w:val="auto"/>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请按照以下要求（包括但不限于以下要求）制作：</w:t>
            </w:r>
            <w:r>
              <w:rPr>
                <w:color w:val="auto"/>
                <w:highlight w:val="none"/>
              </w:rPr>
            </w:r>
            <w:r>
              <w:rPr>
                <w:color w:val="auto"/>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一、基本目录</w:t>
            </w:r>
            <w:r>
              <w:rPr>
                <w:color w:val="auto"/>
                <w:highlight w:val="none"/>
              </w:rPr>
            </w:r>
            <w:r>
              <w:rPr>
                <w:color w:val="auto"/>
                <w:highlight w:val="none"/>
              </w:rPr>
            </w:r>
          </w:p>
          <w:p>
            <w:pPr>
              <w:ind w:firstLine="422"/>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1、《开标一览表》（加盖电子签章，政府采购客户端工具输入报价自动生成）；（必须提供，否则投标无效）</w:t>
            </w:r>
            <w:r>
              <w:rPr>
                <w:color w:val="auto"/>
                <w:highlight w:val="none"/>
              </w:rPr>
            </w:r>
            <w:r>
              <w:rPr>
                <w:color w:val="auto"/>
                <w:highlight w:val="none"/>
              </w:rPr>
            </w:r>
          </w:p>
          <w:p>
            <w:pPr>
              <w:ind w:firstLine="422"/>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2、所投产品的环境标志产品认证证书原件的扫描件（如有）。</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（2）环境标志产品认证证书是否符合要求，采购人评标时查询中国政府采购网（www.ccgp.gov.cn）相关内容后确定。</w:t>
            </w:r>
            <w:r>
              <w:rPr>
                <w:color w:val="auto"/>
                <w:highlight w:val="none"/>
              </w:rPr>
            </w:r>
            <w:r>
              <w:rPr>
                <w:color w:val="auto"/>
                <w:highlight w:val="none"/>
              </w:rPr>
            </w:r>
          </w:p>
          <w:p>
            <w:pPr>
              <w:ind w:firstLine="422"/>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3、所投产品的节能产品认证证书原件的扫描件（如有）。</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（2）节能产品认证证书是否符合要求，采购人评标时查询中国政府采购网（www.ccgp.gov.cn）相关内容后确定。</w:t>
            </w:r>
            <w:r>
              <w:rPr>
                <w:color w:val="auto"/>
                <w:highlight w:val="none"/>
              </w:rPr>
            </w:r>
            <w:r>
              <w:rPr>
                <w:color w:val="auto"/>
                <w:highlight w:val="none"/>
              </w:rPr>
            </w:r>
          </w:p>
          <w:p>
            <w:pPr>
              <w:ind w:firstLine="422"/>
              <w:spacing w:before="6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4、其它（包含但不限于价格折扣等，如有）</w:t>
            </w:r>
            <w:r>
              <w:rPr>
                <w:rFonts w:hint="eastAsia" w:ascii="宋体" w:hAnsi="宋体" w:cs="宋体"/>
                <w:b/>
                <w:color w:val="auto"/>
                <w:szCs w:val="21"/>
                <w:highlight w:val="none"/>
              </w:rPr>
              <w:t xml:space="preserve">。</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(十二)2</w:t>
            </w:r>
            <w:r>
              <w:rPr>
                <w:color w:val="auto"/>
                <w:highlight w:val="none"/>
              </w:rPr>
            </w:r>
            <w:r>
              <w:rPr>
                <w:color w:val="auto"/>
                <w:highlight w:val="none"/>
              </w:rPr>
            </w:r>
          </w:p>
        </w:tc>
        <w:tc>
          <w:tcPr>
            <w:tcMar>
              <w:left w:w="108" w:type="dxa"/>
              <w:top w:w="0" w:type="dxa"/>
              <w:right w:w="108" w:type="dxa"/>
              <w:bottom w:w="0" w:type="dxa"/>
            </w:tcMar>
            <w:tcW w:w="7423" w:type="dxa"/>
            <w:textDirection w:val="lrTb"/>
            <w:noWrap w:val="false"/>
          </w:tcPr>
          <w:p>
            <w:pPr>
              <w:spacing w:before="1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二、资格条件（必须提供，否则投标将被拒绝）</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w:t>
            </w:r>
            <w:r>
              <w:rPr>
                <w:rFonts w:hint="eastAsia" w:ascii="宋体" w:hAnsi="宋体" w:cs="宋体"/>
                <w:bCs/>
                <w:color w:val="auto"/>
                <w:szCs w:val="21"/>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auto"/>
                <w:szCs w:val="21"/>
                <w:highlight w:val="none"/>
              </w:rPr>
              <w:t xml:space="preserve">；</w:t>
            </w:r>
            <w:r>
              <w:rPr>
                <w:color w:val="auto"/>
                <w:highlight w:val="none"/>
              </w:rPr>
            </w:r>
            <w:r>
              <w:rPr>
                <w:color w:val="auto"/>
                <w:highlight w:val="none"/>
              </w:rP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w:t>
            </w:r>
            <w:r>
              <w:rPr>
                <w:rFonts w:hint="eastAsia" w:ascii="宋体" w:hAnsi="宋体" w:cs="宋体"/>
                <w:bCs/>
                <w:color w:val="auto"/>
                <w:szCs w:val="21"/>
                <w:highlight w:val="none"/>
              </w:rPr>
              <w:t xml:space="preserve">具有良好的商业信誉和健全的财务会计制度（提供</w:t>
            </w:r>
            <w:r>
              <w:rPr>
                <w:rFonts w:hint="eastAsia" w:ascii="宋体" w:hAnsi="宋体" w:cs="宋体"/>
                <w:bCs/>
                <w:color w:val="auto"/>
                <w:szCs w:val="21"/>
                <w:highlight w:val="none"/>
              </w:rPr>
              <w:t xml:space="preserve">2024年度或2025年度</w:t>
            </w:r>
            <w:r>
              <w:rPr>
                <w:rFonts w:hint="eastAsia" w:ascii="宋体" w:hAnsi="宋体" w:cs="宋体"/>
                <w:bCs/>
                <w:color w:val="auto"/>
                <w:szCs w:val="21"/>
                <w:highlight w:val="none"/>
              </w:rPr>
              <w:t xml:space="preserve">经审计的财务报告，或投标截止时间前六个月内任一月份企业编制的会计报表（至少包括资产负债表和利润表）</w:t>
            </w:r>
            <w:r>
              <w:rPr>
                <w:rFonts w:hint="eastAsia" w:ascii="宋体" w:hAnsi="宋体" w:cs="宋体"/>
                <w:color w:val="auto"/>
                <w:szCs w:val="21"/>
                <w:highlight w:val="none"/>
              </w:rPr>
              <w:t xml:space="preserve">，</w:t>
            </w:r>
            <w:r>
              <w:rPr>
                <w:rFonts w:hint="eastAsia" w:ascii="宋体" w:hAnsi="宋体" w:cs="宋体"/>
                <w:bCs/>
                <w:color w:val="auto"/>
                <w:szCs w:val="21"/>
                <w:highlight w:val="none"/>
              </w:rPr>
              <w:t xml:space="preserve">或投标截止时间前六个月内银行出具的资信证明，</w:t>
            </w:r>
            <w:r>
              <w:rPr>
                <w:rFonts w:hint="eastAsia" w:ascii="宋体" w:hAnsi="宋体" w:cs="宋体"/>
                <w:color w:val="auto"/>
                <w:szCs w:val="21"/>
                <w:highlight w:val="none"/>
              </w:rPr>
              <w:t xml:space="preserve">复印件加盖公章</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投标人为参加本次政府采购活动前半年内注册的公司，无须提供</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rPr>
                <w:color w:val="auto"/>
                <w:highlight w:val="none"/>
              </w:rP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w:t>
            </w:r>
            <w:r>
              <w:rPr>
                <w:rFonts w:hint="eastAsia" w:ascii="宋体" w:hAnsi="宋体" w:cs="宋体"/>
                <w:color w:val="auto"/>
                <w:szCs w:val="21"/>
                <w:highlight w:val="none"/>
              </w:rPr>
              <w:t xml:space="preserve">具</w:t>
            </w:r>
            <w:r>
              <w:rPr>
                <w:rFonts w:hint="eastAsia" w:ascii="宋体" w:hAnsi="宋体" w:cs="宋体"/>
                <w:bCs/>
                <w:color w:val="auto"/>
                <w:szCs w:val="21"/>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auto"/>
                <w:szCs w:val="21"/>
                <w:highlight w:val="none"/>
              </w:rPr>
              <w:t xml:space="preserve">复印件加盖公章</w:t>
            </w:r>
            <w:r>
              <w:rPr>
                <w:rFonts w:hint="eastAsia" w:ascii="宋体" w:hAnsi="宋体" w:cs="宋体"/>
                <w:bCs/>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提供相关主管部门证明或银行代扣证明的复印件，根据国家相关政策免缴或迟缴的需提供相关证明材料</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rPr>
                <w:color w:val="auto"/>
                <w:highlight w:val="none"/>
              </w:rPr>
            </w:r>
          </w:p>
          <w:p>
            <w:pPr>
              <w:ind w:right="28"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w:t>
            </w:r>
            <w:r>
              <w:rPr>
                <w:rFonts w:hint="eastAsia" w:ascii="宋体" w:hAnsi="宋体" w:cs="宋体"/>
                <w:bCs/>
                <w:color w:val="auto"/>
                <w:szCs w:val="21"/>
                <w:highlight w:val="none"/>
              </w:rPr>
              <w:t xml:space="preserve">具有履行合同所必需的设备和专业技术能力（提供</w:t>
            </w:r>
            <w:r>
              <w:rPr>
                <w:rFonts w:hint="eastAsia" w:ascii="宋体" w:hAnsi="宋体" w:cs="宋体"/>
                <w:color w:val="auto"/>
                <w:szCs w:val="21"/>
                <w:highlight w:val="none"/>
              </w:rPr>
              <w:t xml:space="preserve">书面声明</w:t>
            </w:r>
            <w:r>
              <w:rPr>
                <w:rFonts w:hint="eastAsia" w:ascii="宋体" w:hAnsi="宋体" w:cs="宋体"/>
                <w:color w:val="auto"/>
                <w:szCs w:val="21"/>
                <w:highlight w:val="none"/>
              </w:rPr>
              <w:t xml:space="preserve">加盖</w:t>
            </w:r>
            <w:r>
              <w:rPr>
                <w:rFonts w:hint="eastAsia" w:ascii="宋体" w:hAnsi="宋体" w:cs="宋体"/>
                <w:b/>
                <w:color w:val="auto"/>
                <w:szCs w:val="21"/>
                <w:highlight w:val="none"/>
              </w:rPr>
              <w:t xml:space="preserve">电子签章</w:t>
            </w:r>
            <w:r>
              <w:rPr>
                <w:rFonts w:hint="eastAsia" w:ascii="宋体" w:hAnsi="宋体" w:cs="宋体"/>
                <w:bCs/>
                <w:color w:val="auto"/>
                <w:szCs w:val="21"/>
                <w:highlight w:val="none"/>
              </w:rPr>
              <w:t xml:space="preserve">）</w:t>
            </w:r>
            <w:r>
              <w:rPr>
                <w:color w:val="auto"/>
                <w:highlight w:val="none"/>
              </w:rPr>
            </w:r>
            <w:r>
              <w:rPr>
                <w:color w:val="auto"/>
                <w:highlight w:val="none"/>
              </w:rPr>
            </w:r>
          </w:p>
          <w:p>
            <w:pPr>
              <w:ind w:right="28"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（五）</w:t>
            </w:r>
            <w:r>
              <w:rPr>
                <w:rFonts w:hint="eastAsia" w:ascii="宋体" w:hAnsi="宋体" w:cs="宋体"/>
                <w:bCs/>
                <w:color w:val="auto"/>
                <w:szCs w:val="21"/>
                <w:highlight w:val="none"/>
              </w:rPr>
              <w:t xml:space="preserve">参加政府采购活动前三年内，在经营活动中没有重大违法记录（提供</w:t>
            </w:r>
            <w:r>
              <w:rPr>
                <w:rFonts w:hint="eastAsia" w:ascii="宋体" w:hAnsi="宋体" w:cs="宋体"/>
                <w:color w:val="auto"/>
                <w:szCs w:val="21"/>
                <w:highlight w:val="none"/>
              </w:rPr>
              <w:t xml:space="preserve">书面声明</w:t>
            </w:r>
            <w:r>
              <w:rPr>
                <w:rFonts w:hint="eastAsia" w:ascii="宋体" w:hAnsi="宋体" w:cs="宋体"/>
                <w:color w:val="auto"/>
                <w:szCs w:val="21"/>
                <w:highlight w:val="none"/>
              </w:rPr>
              <w:t xml:space="preserve">加盖</w:t>
            </w:r>
            <w:r>
              <w:rPr>
                <w:rFonts w:hint="eastAsia" w:ascii="宋体" w:hAnsi="宋体" w:cs="宋体"/>
                <w:b/>
                <w:color w:val="auto"/>
                <w:szCs w:val="21"/>
                <w:highlight w:val="none"/>
              </w:rPr>
              <w:t xml:space="preserve">电子签章</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三、符合条件（必须提供，否则投标无效）</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(一)报价</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1、《开标一览表》：</w:t>
            </w:r>
            <w:r>
              <w:rPr>
                <w:rFonts w:hint="eastAsia" w:ascii="宋体" w:hAnsi="宋体" w:cs="宋体"/>
                <w:color w:val="auto"/>
                <w:szCs w:val="21"/>
                <w:highlight w:val="none"/>
              </w:rPr>
              <w:t xml:space="preserve">政府采购客户端工具输入报价自动生成。</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2、《分项价格表》：</w:t>
            </w:r>
            <w:r>
              <w:rPr>
                <w:rFonts w:hint="eastAsia" w:ascii="宋体" w:hAnsi="宋体" w:cs="宋体"/>
                <w:bCs/>
                <w:color w:val="auto"/>
                <w:szCs w:val="21"/>
                <w:highlight w:val="none"/>
              </w:rPr>
              <w:t xml:space="preserve">要求加盖电子签章，格式见本文件第七章《投标文件相关格式》（必须提供，否则在符合性审查时按照投标无效处理）。</w:t>
            </w:r>
            <w:r>
              <w:rPr>
                <w:color w:val="auto"/>
                <w:highlight w:val="none"/>
              </w:rPr>
            </w:r>
            <w:r>
              <w:rPr>
                <w:color w:val="auto"/>
                <w:highlight w:val="none"/>
              </w:rP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（二）商务资信</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1、《投标函》：</w:t>
            </w:r>
            <w:r>
              <w:rPr>
                <w:rFonts w:hint="eastAsia" w:ascii="宋体" w:hAnsi="宋体" w:cs="宋体"/>
                <w:color w:val="auto"/>
                <w:szCs w:val="21"/>
                <w:highlight w:val="none"/>
              </w:rPr>
              <w:t xml:space="preserve">加盖电子签章，格式见招标文件第七章《投标文件相关格式》。）</w:t>
            </w:r>
            <w:r>
              <w:rPr>
                <w:color w:val="auto"/>
                <w:highlight w:val="none"/>
              </w:rPr>
            </w:r>
            <w:r>
              <w:rPr>
                <w:color w:val="auto"/>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w:t>
            </w:r>
            <w:r>
              <w:rPr>
                <w:rFonts w:hint="eastAsia" w:ascii="宋体" w:hAnsi="宋体" w:cs="宋体"/>
                <w:b/>
                <w:color w:val="auto"/>
                <w:szCs w:val="21"/>
                <w:highlight w:val="none"/>
              </w:rPr>
              <w:t xml:space="preserve">《授权委托书》：</w:t>
            </w:r>
            <w:r>
              <w:rPr>
                <w:rFonts w:hint="eastAsia" w:ascii="宋体" w:hAnsi="宋体" w:cs="宋体"/>
                <w:bCs/>
                <w:color w:val="auto"/>
                <w:szCs w:val="21"/>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rPr>
                <w:color w:val="auto"/>
                <w:highlight w:val="none"/>
              </w:rPr>
            </w:r>
            <w:r>
              <w:rPr>
                <w:color w:val="auto"/>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3、</w:t>
            </w:r>
            <w:r>
              <w:rPr>
                <w:rFonts w:hint="eastAsia" w:ascii="宋体" w:hAnsi="宋体" w:cs="宋体"/>
                <w:b/>
                <w:bCs/>
                <w:color w:val="auto"/>
                <w:szCs w:val="21"/>
                <w:highlight w:val="none"/>
              </w:rPr>
              <w:t xml:space="preserve">法律、法规和招标文件规定的其他投标无效情形。</w:t>
            </w:r>
            <w:r>
              <w:rPr>
                <w:color w:val="auto"/>
                <w:highlight w:val="none"/>
              </w:rPr>
            </w:r>
            <w:r>
              <w:rPr>
                <w:color w:val="auto"/>
                <w:highlight w:val="none"/>
              </w:rPr>
            </w:r>
          </w:p>
          <w:p>
            <w:pPr>
              <w:spacing w:before="6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（三）技术响应</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1、《偏离表》</w:t>
            </w:r>
            <w:r>
              <w:rPr>
                <w:rFonts w:hint="eastAsia" w:ascii="宋体" w:hAnsi="宋体" w:cs="宋体"/>
                <w:color w:val="auto"/>
                <w:szCs w:val="21"/>
                <w:highlight w:val="none"/>
              </w:rPr>
              <w:t xml:space="preserve">（加盖电子签章，格式见招标文件第七章《投标文件相关格式》。）</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四、综合评审评分项</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（一）技术部分</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1、偏离表、所投产品的技术规格（含相关证明材料）</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2、所投产品质量、性能评价</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3、项目实施方案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4、售后服务方案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5、技术培训方案</w:t>
            </w:r>
            <w:r>
              <w:rPr>
                <w:rFonts w:hint="eastAsia" w:ascii="宋体" w:hAnsi="宋体" w:cs="宋体"/>
                <w:color w:val="auto"/>
                <w:szCs w:val="21"/>
                <w:highlight w:val="none"/>
              </w:rPr>
              <w:t xml:space="preserve">（要求见招标文件第六章《采购需求》及第四章《评标标准》中《评分细则》）；</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6、评分细则中评分得分需提供的相关证明文件扫描件。</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（二）</w:t>
            </w:r>
            <w:r>
              <w:rPr>
                <w:rFonts w:hint="eastAsia" w:ascii="宋体" w:hAnsi="宋体" w:cs="宋体"/>
                <w:b/>
                <w:bCs/>
                <w:color w:val="auto"/>
                <w:szCs w:val="21"/>
                <w:highlight w:val="none"/>
              </w:rPr>
              <w:t xml:space="preserve">商务部分</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1、所投产品为“环境标志产品”</w:t>
            </w:r>
            <w:r>
              <w:rPr>
                <w:rFonts w:hint="eastAsia" w:ascii="宋体" w:hAnsi="宋体" w:cs="宋体"/>
                <w:color w:val="auto"/>
                <w:szCs w:val="21"/>
                <w:highlight w:val="none"/>
              </w:rPr>
              <w:t xml:space="preserve">（要求见本文件第四章《评标标准》中《评分细则》）；</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2、所投产品为“节能产品”</w:t>
            </w:r>
            <w:r>
              <w:rPr>
                <w:rFonts w:hint="eastAsia" w:ascii="宋体" w:hAnsi="宋体" w:cs="宋体"/>
                <w:color w:val="auto"/>
                <w:szCs w:val="21"/>
                <w:highlight w:val="none"/>
              </w:rPr>
              <w:t xml:space="preserve">（要求见本文件第四章《评标标准》中《评分细则》）；</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3、投标人其它证明文件及材料扫描件。</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Cs w:val="21"/>
                <w:highlight w:val="none"/>
              </w:rPr>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五、其他部分</w:t>
            </w:r>
            <w:r>
              <w:rPr>
                <w:color w:val="auto"/>
                <w:highlight w:val="none"/>
              </w:rPr>
            </w:r>
            <w:r>
              <w:rPr>
                <w:color w:val="auto"/>
                <w:highlight w:val="none"/>
              </w:rPr>
            </w:r>
          </w:p>
          <w:p>
            <w:pPr>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（一）投标人《关于符合本国产品标准的声明函》（填写完整，加盖公章，格式见招标文件第七章《投标文件相关格式》）</w:t>
            </w:r>
            <w:r>
              <w:rPr>
                <w:rFonts w:hint="eastAsia" w:ascii="宋体" w:hAnsi="宋体" w:cs="宋体"/>
                <w:color w:val="auto"/>
                <w:szCs w:val="21"/>
                <w:highlight w:val="none"/>
              </w:rPr>
              <w:t xml:space="preserve">（请填写完整，如不填写完整或未按要求填写的，视为非本国产品）</w:t>
            </w:r>
            <w:r>
              <w:rPr>
                <w:rFonts w:hint="eastAsia" w:ascii="宋体" w:hAnsi="宋体" w:cs="宋体"/>
                <w:bCs/>
                <w:color w:val="auto"/>
                <w:szCs w:val="21"/>
                <w:highlight w:val="none"/>
              </w:rPr>
              <w:t xml:space="preserve">。</w:t>
            </w:r>
            <w:r>
              <w:rPr>
                <w:color w:val="auto"/>
                <w:highlight w:val="none"/>
              </w:rPr>
            </w:r>
            <w:r>
              <w:rPr>
                <w:color w:val="auto"/>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1、本国产品应当符合以下条件：</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（一）在中国境内生产</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产品应当在中国境内生产，即在中华人民共和国关境内实现从原材料、组件到产品的属性改变。</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属性改变是指经过制造、加工或者组装等工序，产生完全不同于原材料、组件的新产品，并具有新的名称和特征（用途）。属性改变不包括以下细微操作：</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1.为确保产品在运输或者储存期间保持某种状态而进行的操作；</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2.为产品运输或者销售进行的包装或者展示；</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3.在产品或者其包装上粘贴或者印刷品牌、标志、标识以及其他用于区别的标记；</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4.简单的上漆、磨光和分装；</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5.其他不属于属性改变的情形。</w:t>
            </w:r>
            <w:r>
              <w:rPr>
                <w:color w:val="auto"/>
                <w:highlight w:val="none"/>
              </w:rPr>
            </w:r>
            <w:r>
              <w:rPr>
                <w:color w:val="auto"/>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（二）在中国境内生产的组件成本占比达到规定比例</w:t>
            </w:r>
            <w:r>
              <w:rPr>
                <w:color w:val="auto"/>
                <w:highlight w:val="none"/>
              </w:rPr>
            </w:r>
            <w:r>
              <w:rPr>
                <w:color w:val="auto"/>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产品在中国境内生产的组件成本占比应当达到规定比例，计算公式为：</w:t>
            </w:r>
            <w:r>
              <w:rPr>
                <w:color w:val="auto"/>
                <w:highlight w:val="none"/>
              </w:rPr>
            </w:r>
            <w:r>
              <w:rPr>
                <w:color w:val="auto"/>
                <w:highlight w:val="none"/>
              </w:rPr>
            </w:r>
          </w:p>
          <w:p>
            <w:pPr>
              <w:jc w:val="cente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mc:AlternateContent>
                <mc:Choice Requires="wpg">
                  <w:drawing>
                    <wp:inline xmlns:wp="http://schemas.openxmlformats.org/drawingml/2006/wordprocessingDrawing" distT="0" distB="0" distL="0" distR="0">
                      <wp:extent cx="3275965" cy="495300"/>
                      <wp:effectExtent l="0" t="0" r="0" b="0"/>
                      <wp:docPr id="5"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8"/>
                              <a:stretch/>
                            </pic:blipFill>
                            <pic:spPr bwMode="auto">
                              <a:xfrm>
                                <a:off x="0" y="0"/>
                                <a:ext cx="3276410" cy="49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7.9pt;height:39.0pt;mso-wrap-distance-left:0.0pt;mso-wrap-distance-top:0.0pt;mso-wrap-distance-right:0.0pt;mso-wrap-distance-bottom:0.0pt;" stroked="f">
                      <v:path textboxrect="0,0,0,0"/>
                      <v:imagedata r:id="rId18" o:title=""/>
                    </v:shape>
                  </w:pict>
                </mc:Fallback>
              </mc:AlternateContent>
            </w:r>
            <w:r>
              <w:rPr>
                <w:color w:val="auto"/>
                <w:highlight w:val="none"/>
              </w:rPr>
            </w:r>
            <w:r>
              <w:rPr>
                <w:color w:val="auto"/>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color w:val="auto"/>
                <w:highlight w:val="none"/>
              </w:rPr>
            </w:r>
            <w:r>
              <w:rPr>
                <w:color w:val="auto"/>
                <w:highlight w:val="none"/>
              </w:rPr>
            </w:r>
          </w:p>
          <w:p>
            <w:pPr>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（三）特定产品的关键组件、关键工序符合相关要求</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2、本国产品标准的适用范围</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3、对本国产品的支持政策</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政府采购活动中既有本国产品又有非本国产品参与竞争的，依法对本国产品给予价格评审优惠，对本国产品的报价给予</w:t>
            </w:r>
            <w:r>
              <w:rPr>
                <w:rFonts w:hint="eastAsia" w:ascii="宋体" w:hAnsi="宋体" w:cs="宋体"/>
                <w:bCs/>
                <w:color w:val="auto"/>
                <w:szCs w:val="21"/>
                <w:highlight w:val="none"/>
              </w:rPr>
              <w:t xml:space="preserve">20%</w:t>
            </w:r>
            <w:r>
              <w:rPr>
                <w:rFonts w:hint="eastAsia" w:ascii="宋体" w:hAnsi="宋体" w:cs="宋体"/>
                <w:bCs/>
                <w:color w:val="auto"/>
                <w:szCs w:val="21"/>
                <w:highlight w:val="none"/>
              </w:rPr>
              <w:t xml:space="preserve">的价格扣除，用扣除后的价格参与评审。</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具体以《国务院办公厅关于在政府采购中实施本国产品标准及相关政策的通知》（国办发〔2025〕34号）规定为准。</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注：中国境内生产的组件成本核算基本规则</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一、产品的一级组件是指直接组成产品的组件。产品的二级组件是指直接组成产品一级组件的组件。一级组件不可分解的，视同二级组件。</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二、二级组件在中国境内生产的，其全部成本计入中国境内生产的组件成本；二级组件不在中国境内生产的，其成本不计入中国境内生产的组件成本。</w:t>
            </w:r>
            <w:r>
              <w:rPr>
                <w:color w:val="auto"/>
                <w:highlight w:val="none"/>
              </w:rPr>
            </w:r>
            <w:r>
              <w:rPr>
                <w:color w:val="auto"/>
                <w:highlight w:val="none"/>
              </w:rPr>
            </w:r>
          </w:p>
          <w:p>
            <w:pPr>
              <w:ind w:firstLine="420"/>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三、产品总成本和组件成本以相关会计核算数据、采购合同、进货记录等为基础进行计算。</w:t>
            </w:r>
            <w:r>
              <w:rPr>
                <w:color w:val="auto"/>
                <w:highlight w:val="none"/>
              </w:rPr>
            </w:r>
            <w:r>
              <w:rPr>
                <w:color w:val="auto"/>
                <w:highlight w:val="none"/>
              </w:rPr>
            </w:r>
          </w:p>
          <w:p>
            <w:pPr>
              <w:ind w:firstLine="420"/>
              <w:rPr>
                <w:rFonts w:ascii="宋体" w:hAnsi="宋体" w:cs="宋体"/>
                <w:b/>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1"/>
                <w:highlight w:val="none"/>
              </w:rPr>
              <w:t xml:space="preserve">四、需要对成本核算规则予以进一步明确的其他有关事项，由财政部会同有关部门另行规定。</w:t>
            </w:r>
            <w:r>
              <w:rPr>
                <w:color w:val="auto"/>
                <w:highlight w:val="none"/>
              </w:rPr>
            </w:r>
            <w:r>
              <w:rPr>
                <w:color w:val="auto"/>
                <w:highlight w:val="none"/>
              </w:rPr>
            </w:r>
          </w:p>
          <w:p>
            <w:pPr>
              <w:spacing w:before="120"/>
              <w:rPr>
                <w:rFonts w:ascii="宋体" w:hAnsi="宋体" w:cs="宋体"/>
                <w:b/>
                <w:color w:val="auto"/>
                <w:szCs w:val="21"/>
                <w:highlight w:val="none"/>
              </w:rPr>
            </w:pPr>
            <w:r>
              <w:rPr>
                <w:rFonts w:hint="eastAsia" w:ascii="宋体" w:hAnsi="宋体" w:cs="宋体"/>
                <w:b/>
                <w:color w:val="auto"/>
                <w:szCs w:val="21"/>
                <w:highlight w:val="none"/>
              </w:rPr>
              <w:t xml:space="preserve">（二）企业报价折扣证明：</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投标人提供的货物全部由符合政策要求的中小企业制造的，提供《中小企业声明函》（填写完整，加盖电子签章，格式见招标文件第七章《投标文件相关格式》，</w:t>
            </w:r>
            <w:r>
              <w:rPr>
                <w:rFonts w:hint="eastAsia" w:ascii="宋体" w:hAnsi="宋体" w:cs="宋体"/>
                <w:b/>
                <w:bCs/>
                <w:color w:val="auto"/>
                <w:szCs w:val="21"/>
                <w:highlight w:val="none"/>
              </w:rPr>
              <w:t xml:space="preserve">非必须提供</w:t>
            </w:r>
            <w:r>
              <w:rPr>
                <w:rFonts w:hint="eastAsia" w:ascii="宋体" w:hAnsi="宋体" w:cs="宋体"/>
                <w:color w:val="auto"/>
                <w:szCs w:val="21"/>
                <w:highlight w:val="none"/>
              </w:rPr>
              <w:t xml:space="preserve">）。 </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《中小企业声明函》查询渠道参考工业和信息化部发布的中小企业规模自测小程序。中小企业规模自测小程序详见《中小企业声明函》。</w:t>
            </w:r>
            <w:r>
              <w:rPr>
                <w:color w:val="auto"/>
                <w:highlight w:val="none"/>
              </w:rPr>
            </w:r>
            <w:r>
              <w:rPr>
                <w:color w:val="auto"/>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注：</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2、监狱企业制造的，提供省级以上监狱管理局、戒毒管理局（含新疆生产建设兵团）出具的属于监狱企业的证明文件原件的扫描件。</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注：具体以《财政部 司法部关于政府采购支持监狱企业发展有关问题的通知》（财库〔2014〕68号）的规定为准。</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3、享受政府采购支持政策的残疾人福利性单位制造的，提供《残疾人福利性单位声明函》（加盖电子签章，格式见招标文件第七章《投标文件相关格式》）。</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享受政府采购支持政策的残疾人福利性单位应当同时满足以下条件：</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①安置的残疾人占本单位在职职工人数的比例不低于25%（含25%），并且安置的残疾人人数不少于10人（含10人）；</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②依法与安置的每位残疾人签订了一年以上（含一年）的劳动合同或服务协议；</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③为安置的每位残疾人按月足额缴纳了基本养老保险、基本医疗保险、失业保险、工伤保险和生育保险等社会保险费；</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④通过银行等金融机构向安置的每位残疾人，按月支付了不低于单位所在区县适用的经省级人民政府批准的月最低工资标准的工资；</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⑤提供本单位制造的货物、承担的工程或者服务（以下简称产品），或者提供其他残疾人福利性单位制造的货物（不包括使用非残疾人福利性单位注册商标的货物）。</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color w:val="auto"/>
                <w:highlight w:val="none"/>
              </w:rPr>
            </w:r>
            <w:r>
              <w:rPr>
                <w:color w:val="auto"/>
                <w:highlight w:val="none"/>
              </w:rPr>
            </w:r>
          </w:p>
          <w:p>
            <w:pPr>
              <w:ind w:firstLine="420"/>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   具体以《三部门联合发布关于促进残疾人就业政府采购政策的通知》（财库〔2017〕141号）规定为准。</w:t>
            </w:r>
            <w:r>
              <w:rPr>
                <w:color w:val="auto"/>
                <w:highlight w:val="none"/>
              </w:rPr>
            </w:r>
            <w:r>
              <w:rPr>
                <w:color w:val="auto"/>
                <w:highlight w:val="none"/>
              </w:rPr>
            </w:r>
          </w:p>
          <w:p>
            <w:pPr>
              <w:rPr>
                <w:rFonts w:ascii="宋体" w:hAnsi="宋体" w:cs="宋体"/>
                <w:color w:val="auto"/>
                <w:szCs w:val="21"/>
                <w:highlight w:val="none"/>
              </w:rPr>
            </w:pPr>
            <w:r>
              <w:rPr>
                <w:rFonts w:hint="eastAsia" w:ascii="宋体" w:hAnsi="宋体" w:cs="宋体"/>
                <w:b/>
                <w:color w:val="auto"/>
                <w:szCs w:val="21"/>
                <w:highlight w:val="none"/>
              </w:rPr>
              <w:t xml:space="preserve">注</w:t>
            </w:r>
            <w:r>
              <w:rPr>
                <w:rFonts w:hint="eastAsia" w:ascii="宋体" w:hAnsi="宋体" w:cs="宋体"/>
                <w:color w:val="auto"/>
                <w:szCs w:val="21"/>
                <w:highlight w:val="none"/>
              </w:rPr>
              <w:t xml:space="preserve">：</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1、投标人应对以上文件的合法性、真实性负责。</w:t>
            </w:r>
            <w:r>
              <w:rPr>
                <w:color w:val="auto"/>
                <w:highlight w:val="none"/>
              </w:rPr>
            </w:r>
            <w:r>
              <w:rPr>
                <w:color w:val="auto"/>
                <w:highlight w:val="none"/>
              </w:rPr>
            </w:r>
          </w:p>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(十三)2</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商务条件见：</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一、本文件第四章《评标标准》中《评分细则》。</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二、本文件第三章《投标资料表》中(十二)1和(十二)2。</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(十三)3</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交货和提供服务的时间：见本文件第五章 《拟签订的合同文本》及或本文件第六章《采购需求》。</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(十四)</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Pr>
            <w:r>
              <w:rPr>
                <w:rFonts w:hint="eastAsia" w:ascii="宋体" w:hAnsi="宋体" w:cs="宋体"/>
                <w:b/>
                <w:bCs/>
                <w:color w:val="auto"/>
                <w:szCs w:val="21"/>
                <w:highlight w:val="none"/>
              </w:rPr>
              <w:t xml:space="preserve">本项目不接受超过人民币</w:t>
            </w:r>
            <w:r>
              <w:rPr>
                <w:rFonts w:hint="eastAsia" w:ascii="宋体" w:hAnsi="宋体" w:cs="宋体"/>
                <w:b/>
                <w:bCs/>
                <w:color w:val="auto"/>
                <w:szCs w:val="21"/>
                <w:highlight w:val="none"/>
                <w:lang w:val="en-US" w:eastAsia="zh-CN"/>
              </w:rPr>
              <w:t xml:space="preserve">280</w:t>
            </w:r>
            <w:r>
              <w:rPr>
                <w:rFonts w:hint="eastAsia" w:ascii="宋体" w:hAnsi="宋体" w:cs="宋体"/>
                <w:b/>
                <w:bCs/>
                <w:color w:val="auto"/>
                <w:szCs w:val="21"/>
                <w:highlight w:val="none"/>
              </w:rPr>
              <w:t xml:space="preserve">万元</w:t>
            </w:r>
            <w:r>
              <w:rPr>
                <w:rFonts w:hint="eastAsia" w:ascii="宋体" w:hAnsi="宋体" w:cs="宋体"/>
                <w:b/>
                <w:bCs/>
                <w:color w:val="auto"/>
                <w:szCs w:val="21"/>
                <w:highlight w:val="none"/>
              </w:rPr>
              <w:t xml:space="preserve">（项目采购预算）的投标报价。</w:t>
            </w:r>
            <w:r>
              <w:rPr>
                <w:color w:val="auto"/>
                <w:highlight w:val="none"/>
              </w:rPr>
            </w:r>
            <w:r>
              <w:rPr>
                <w:color w:val="auto"/>
                <w:highlight w:val="none"/>
              </w:rP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投标报价包括产品价、税金、运费、安装调试、检验、保险、培训、售后服务、投标人的利润等全部费用，采购人不再支付报价以外的任何费用。</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(十五)</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以人民币报价。</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（十七）</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线上要求：</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投标人应当通过“苏采云”系统提交数据电文形式的投标文件（即电子投标）。</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特别说明：通过“苏采云”系统提交政府采购客户端工具导出加密的投标文件（后缀名为zip）。投标文件不得超过150M！</w:t>
            </w:r>
            <w:r>
              <w:rPr>
                <w:color w:val="auto"/>
                <w:highlight w:val="none"/>
              </w:rPr>
            </w:r>
            <w:r>
              <w:rPr>
                <w:color w:val="auto"/>
                <w:highlight w:val="none"/>
              </w:rPr>
            </w:r>
          </w:p>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说明：本项目采用线上投标，即供应商投标文件从政府采购客户端工具制作通过“苏采云”系统提交，未提供线上投标文件的，投标无效。</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(十八)1</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见本文件第三章《投标资料表》中(十二)1和(十二)2</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(十九)</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投标文件的提交与接收：</w:t>
            </w:r>
            <w:r>
              <w:rPr>
                <w:rFonts w:hint="eastAsia" w:ascii="宋体" w:hAnsi="宋体" w:cs="宋体"/>
                <w:color w:val="auto"/>
                <w:szCs w:val="21"/>
                <w:highlight w:val="none"/>
              </w:rPr>
              <w:t xml:space="preserve"> </w:t>
            </w:r>
            <w:r>
              <w:rPr>
                <w:color w:val="auto"/>
                <w:highlight w:val="none"/>
              </w:rPr>
            </w:r>
            <w:r>
              <w:rPr>
                <w:color w:val="auto"/>
                <w:highlight w:val="none"/>
              </w:rPr>
            </w:r>
          </w:p>
          <w:p>
            <w:pPr>
              <w:ind w:firstLine="422"/>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1、投标文件提交与接收时间：2026年 06 月 </w:t>
            </w:r>
            <w:r>
              <w:rPr>
                <w:rFonts w:hint="eastAsia" w:ascii="宋体" w:hAnsi="宋体" w:cs="宋体"/>
                <w:b/>
                <w:bCs/>
                <w:color w:val="auto"/>
                <w:szCs w:val="21"/>
                <w:highlight w:val="none"/>
                <w:lang w:val="en-US" w:eastAsia="zh-CN"/>
              </w:rPr>
              <w:t xml:space="preserve">29</w:t>
            </w:r>
            <w:r>
              <w:rPr>
                <w:rFonts w:hint="eastAsia" w:ascii="宋体" w:hAnsi="宋体" w:cs="宋体"/>
                <w:b/>
                <w:bCs/>
                <w:color w:val="auto"/>
                <w:szCs w:val="21"/>
                <w:highlight w:val="none"/>
              </w:rPr>
              <w:t xml:space="preserve"> 日北京时间1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：00。</w:t>
            </w:r>
            <w:r>
              <w:rPr>
                <w:color w:val="auto"/>
                <w:highlight w:val="none"/>
              </w:rPr>
            </w:r>
            <w:r>
              <w:rPr>
                <w:color w:val="auto"/>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2、投标文件提交与接收地点：</w:t>
            </w:r>
            <w:r>
              <w:rPr>
                <w:rFonts w:hint="eastAsia" w:ascii="宋体" w:hAnsi="宋体" w:cs="宋体"/>
                <w:color w:val="auto"/>
                <w:szCs w:val="21"/>
                <w:highlight w:val="none"/>
              </w:rPr>
              <w:t xml:space="preserve">投标人应当通过“苏采云”系统提交数据电文形式的投标文件（即电子投标），“苏采云”系统自动接收。</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四</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开标</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(二十五)1</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开标时间及地点：</w:t>
            </w:r>
            <w:r>
              <w:rPr>
                <w:color w:val="auto"/>
                <w:highlight w:val="none"/>
              </w:rPr>
            </w:r>
            <w:r>
              <w:rPr>
                <w:color w:val="auto"/>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1、开标时间：2026年 06 月 </w:t>
            </w:r>
            <w:r>
              <w:rPr>
                <w:rFonts w:hint="eastAsia" w:ascii="宋体" w:hAnsi="宋体" w:cs="宋体"/>
                <w:b/>
                <w:bCs/>
                <w:color w:val="auto"/>
                <w:szCs w:val="21"/>
                <w:highlight w:val="none"/>
                <w:lang w:val="en-US" w:eastAsia="zh-CN"/>
              </w:rPr>
              <w:t xml:space="preserve">29</w:t>
            </w:r>
            <w:r>
              <w:rPr>
                <w:rFonts w:hint="eastAsia" w:ascii="宋体" w:hAnsi="宋体" w:cs="宋体"/>
                <w:b/>
                <w:bCs/>
                <w:color w:val="auto"/>
                <w:szCs w:val="21"/>
                <w:highlight w:val="none"/>
              </w:rPr>
              <w:t xml:space="preserve"> 日北京时间1</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：00。</w:t>
            </w:r>
            <w:r>
              <w:rPr>
                <w:color w:val="auto"/>
                <w:highlight w:val="none"/>
              </w:rPr>
            </w:r>
            <w:r>
              <w:rPr>
                <w:color w:val="auto"/>
                <w:highlight w:val="none"/>
              </w:rPr>
            </w:r>
          </w:p>
          <w:p>
            <w:pPr>
              <w:ind w:firstLine="422"/>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2、开标地点：</w:t>
            </w:r>
            <w:r>
              <w:rPr>
                <w:rFonts w:hint="eastAsia" w:ascii="宋体" w:hAnsi="宋体" w:cs="宋体"/>
                <w:color w:val="auto"/>
                <w:szCs w:val="21"/>
                <w:highlight w:val="none"/>
              </w:rPr>
              <w:t xml:space="preserve">“苏采云”系统（网址：http://jszfcg.jsczt.cn/）“开标大厅”或进入徐州政府采购网（网址：https://czj.xz.gov.cn/zfcg/index.html）--办事指南--供应商--供应商登录入口，点击“苏采云”进入系统“开标大厅”。</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(二十五)1</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所有投标人解密（或解密时间）结束后，“苏采云”系统生成开标记录并向社会公众公布，但依法应当保密的除外。</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五</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评标</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(二十七)</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本项目的评标方法：综合评分法。</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(二十八)</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一、推荐中标候选供应商名单。中标候选供应商数量应当根据采购需要确定，但必须按顺序排列中标候选供应商。</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二、采用综合评分法的，按评审后得分由高到低顺序排列。得分相同的，按投标报价由低到高顺序排列。得分且投标报价相同的，按技术参数得分顺序排列。</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三、采购人应当自收到评标报告之日起5个工作日内，在评标报告确定的中标候选人名单中按得分最高顺序确定一名中标人。</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(二十九)</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1、评标中需要投标人对投标文件澄清或者说明的，应当通过“苏采云”系统交换数据电文。在评标期间，请投标人保持在线。</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rPr>
                <w:color w:val="auto"/>
                <w:highlight w:val="none"/>
              </w:rPr>
            </w:r>
          </w:p>
          <w:p>
            <w:pPr>
              <w:ind w:firstLine="42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ind w:firstLine="420"/>
              <w:rPr>
                <w:rFonts w:ascii="宋体" w:hAnsi="宋体" w:cs="宋体"/>
                <w:color w:val="auto"/>
                <w:szCs w:val="21"/>
                <w:highlight w:val="none"/>
              </w:rPr>
            </w:pPr>
            <w:r>
              <w:rPr>
                <w:color w:val="auto"/>
                <w:highlight w:val="none"/>
              </w:rPr>
            </w:r>
            <w:bookmarkStart w:id="0" w:name="OLE_LINK4"/>
            <w:r>
              <w:rPr>
                <w:color w:val="auto"/>
                <w:highlight w:val="none"/>
              </w:rPr>
            </w:r>
            <w:bookmarkStart w:id="1" w:name="OLE_LINK7"/>
            <w:r>
              <w:rPr>
                <w:rFonts w:hint="eastAsia" w:ascii="宋体" w:hAnsi="宋体" w:cs="宋体"/>
                <w:color w:val="auto"/>
                <w:szCs w:val="21"/>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cs="宋体"/>
                <w:b/>
                <w:color w:val="auto"/>
                <w:szCs w:val="21"/>
                <w:highlight w:val="none"/>
              </w:rPr>
              <w:t xml:space="preserve">项目具体成本测算等与报价合理性相关的书面说明及相关证明材料</w:t>
            </w:r>
            <w:r>
              <w:rPr>
                <w:rFonts w:hint="eastAsia" w:ascii="宋体" w:hAnsi="宋体" w:cs="宋体"/>
                <w:color w:val="auto"/>
                <w:szCs w:val="21"/>
                <w:highlight w:val="none"/>
              </w:rPr>
              <w:t xml:space="preserve">，对投标（响应）价格作出解释，由评审委员会</w:t>
            </w:r>
            <w:r>
              <w:rPr>
                <w:rFonts w:hint="eastAsia" w:ascii="宋体" w:hAnsi="宋体" w:cs="宋体"/>
                <w:b/>
                <w:color w:val="auto"/>
                <w:szCs w:val="21"/>
                <w:highlight w:val="none"/>
              </w:rPr>
              <w:t xml:space="preserve">结合同类产品在主要电商平台的价格、该行业当地薪资水平等情况</w:t>
            </w:r>
            <w:r>
              <w:rPr>
                <w:rFonts w:hint="eastAsia" w:ascii="宋体" w:hAnsi="宋体" w:cs="宋体"/>
                <w:color w:val="auto"/>
                <w:szCs w:val="21"/>
                <w:highlight w:val="none"/>
              </w:rPr>
              <w:t xml:space="preserve">，依据专业经验对供应商报价合理性进行判断。投标（响应）供应商</w:t>
            </w:r>
            <w:r>
              <w:rPr>
                <w:rFonts w:hint="eastAsia" w:ascii="宋体" w:hAnsi="宋体" w:cs="宋体"/>
                <w:b/>
                <w:color w:val="auto"/>
                <w:szCs w:val="21"/>
                <w:highlight w:val="none"/>
              </w:rPr>
              <w:t xml:space="preserve">不提供书面说明、证明材料，或者提供的书面说明、证明材料不能证明其报价合理性的，评审委员会应当将其作为无效投标（响应）处理。</w:t>
            </w:r>
            <w:bookmarkEnd w:id="0"/>
            <w:r>
              <w:rPr>
                <w:color w:val="auto"/>
                <w:highlight w:val="none"/>
              </w:rPr>
            </w:r>
            <w:bookmarkEnd w:id="1"/>
            <w:r>
              <w:rPr>
                <w:color w:val="auto"/>
                <w:highlight w:val="none"/>
              </w:rPr>
            </w:r>
            <w:r>
              <w:rPr>
                <w:color w:val="auto"/>
                <w:highlight w:val="none"/>
              </w:rPr>
            </w:r>
          </w:p>
          <w:p>
            <w:pPr>
              <w:ind w:firstLine="422"/>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Cs w:val="21"/>
                <w:highlight w:val="none"/>
              </w:rPr>
              <w:t xml:space="preserve">特别说明：“苏采云”系统通过“江苏省政府采购一体化不见面开标大厅</w:t>
            </w:r>
            <w:r>
              <w:rPr>
                <w:rFonts w:hint="eastAsia" w:ascii="宋体" w:hAnsi="宋体" w:cs="宋体"/>
                <w:b/>
                <w:bCs/>
                <w:color w:val="auto"/>
                <w:szCs w:val="21"/>
                <w:highlight w:val="none"/>
              </w:rPr>
              <w:t xml:space="preserve">”</w:t>
            </w:r>
            <w:r>
              <w:rPr>
                <w:rFonts w:hint="eastAsia" w:ascii="宋体" w:hAnsi="宋体" w:cs="宋体"/>
                <w:b/>
                <w:color w:val="auto"/>
                <w:szCs w:val="21"/>
                <w:highlight w:val="none"/>
              </w:rPr>
              <w:t xml:space="preserve">提醒投标人，投标人自行查看。投标人未及时查看或因自身原因导致未收到信息的，责任自负。</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七</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政府采购合同</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(三十六)</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采购人与中标、中标人应当在中标、成交通知书发出之日起30日内，按照采购文件确定的事项签订政府采购合同。</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（三十八）</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履约保证金：</w:t>
            </w:r>
            <w:r>
              <w:rPr>
                <w:rFonts w:hint="eastAsia" w:ascii="宋体" w:hAnsi="宋体" w:cs="宋体"/>
                <w:b/>
                <w:bCs/>
                <w:color w:val="auto"/>
                <w:szCs w:val="21"/>
                <w:highlight w:val="none"/>
              </w:rPr>
              <w:t xml:space="preserve">10%，以支票</w:t>
            </w:r>
            <w:r>
              <w:rPr>
                <w:rFonts w:hint="eastAsia" w:ascii="宋体" w:hAnsi="宋体" w:cs="宋体"/>
                <w:b/>
                <w:bCs/>
                <w:color w:val="auto"/>
                <w:szCs w:val="21"/>
                <w:highlight w:val="none"/>
              </w:rPr>
              <w:t xml:space="preserve">、汇票、本票、电汇或者金融机构、担保机构出具的保函等非现金形式缴纳。</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(四十)</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质疑接收人：丁一      联系电话：025-52875927</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地址：南京市雨花台区软件大道21号苏豪广场（北园）C座612</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vMerge w:val="restart"/>
            <w:textDirection w:val="lrTb"/>
            <w:noWrap w:val="false"/>
          </w:tcPr>
          <w:p>
            <w:pPr>
              <w:jc w:val="cente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附加说明</w:t>
            </w:r>
            <w:r>
              <w:rPr>
                <w:color w:val="auto"/>
                <w:highlight w:val="none"/>
              </w:rPr>
            </w:r>
            <w:r>
              <w:rPr>
                <w:color w:val="auto"/>
                <w:highlight w:val="none"/>
              </w:rPr>
            </w:r>
          </w:p>
        </w:tc>
        <w:tc>
          <w:tcPr>
            <w:tcMar>
              <w:left w:w="108" w:type="dxa"/>
              <w:top w:w="0" w:type="dxa"/>
              <w:right w:w="108" w:type="dxa"/>
              <w:bottom w:w="0" w:type="dxa"/>
            </w:tcMar>
            <w:tcW w:w="7423" w:type="dxa"/>
            <w:vAlign w:val="center"/>
            <w:textDirection w:val="lrTb"/>
            <w:noWrap w:val="false"/>
          </w:tcPr>
          <w:p>
            <w:pPr>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中标人在收到中标通知书时，须向采购人和采购代理机构提交《开标一览表》和《分项价格表》的数据文件（WORD格式）。</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邮箱：</w:t>
            </w:r>
            <w:r>
              <w:rPr>
                <w:rFonts w:hint="eastAsia" w:ascii="宋体" w:hAnsi="宋体" w:cs="宋体"/>
                <w:bCs/>
                <w:color w:val="auto"/>
                <w:szCs w:val="21"/>
                <w:highlight w:val="none"/>
              </w:rPr>
              <w:t xml:space="preserve">liqinyuan@sumex.com.cn</w:t>
            </w:r>
            <w:r>
              <w:rPr>
                <w:color w:val="auto"/>
                <w:highlight w:val="none"/>
              </w:rPr>
            </w:r>
            <w:r>
              <w:rPr>
                <w:color w:val="auto"/>
                <w:highlight w:val="none"/>
              </w:rPr>
            </w:r>
          </w:p>
        </w:tc>
      </w:tr>
      <w:tr>
        <w:trPr>
          <w:jc w:val="center"/>
          <w:trHeight w:val="567"/>
        </w:trPr>
        <w:tc>
          <w:tcPr>
            <w:tcMar>
              <w:left w:w="108" w:type="dxa"/>
              <w:top w:w="0" w:type="dxa"/>
              <w:right w:w="108" w:type="dxa"/>
              <w:bottom w:w="0" w:type="dxa"/>
            </w:tcMar>
            <w:tcW w:w="1316" w:type="dxa"/>
            <w:vAlign w:val="center"/>
            <w:vMerge w:val="continue"/>
            <w:textDirection w:val="lrTb"/>
            <w:noWrap w:val="false"/>
          </w:tcPr>
          <w:p>
            <w:pPr>
              <w:jc w:val="center"/>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r>
            <w:r/>
          </w:p>
        </w:tc>
        <w:tc>
          <w:tcPr>
            <w:tcMar>
              <w:left w:w="108" w:type="dxa"/>
              <w:top w:w="0" w:type="dxa"/>
              <w:right w:w="108" w:type="dxa"/>
              <w:bottom w:w="0" w:type="dxa"/>
            </w:tcMar>
            <w:tcW w:w="7423" w:type="dxa"/>
            <w:vAlign w:val="center"/>
            <w:textDirection w:val="lrTb"/>
            <w:noWrap w:val="false"/>
          </w:tcPr>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1、评标中需要投标人对投标文件澄清或者说明的，应当通过“苏采云”系统交换数据电文。在评标期间，请投标人保持在线。</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4、招标文件中如需“授权代表签字或盖章”，供应商可打印成文档。签字或盖章后再扫描上传，最后再电子签章。</w:t>
            </w:r>
            <w:r>
              <w:rPr>
                <w:color w:val="auto"/>
                <w:highlight w:val="none"/>
              </w:rPr>
            </w:r>
            <w:r>
              <w:rPr>
                <w:color w:val="auto"/>
                <w:highlight w:val="none"/>
              </w:rPr>
            </w:r>
          </w:p>
          <w:p>
            <w:pPr>
              <w:ind w:firstLine="480"/>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5、中标人在收到中标通知书时，须向采购人和采购代理机构提交完整纸质版的投标文件（需盖投标人公章且胶装成册，</w:t>
            </w:r>
            <w:r>
              <w:rPr>
                <w:rFonts w:hint="eastAsia" w:ascii="宋体" w:hAnsi="宋体" w:cs="宋体"/>
                <w:color w:val="auto"/>
                <w:szCs w:val="21"/>
                <w:highlight w:val="none"/>
              </w:rPr>
              <w:t xml:space="preserve">1正4副本）</w:t>
            </w:r>
            <w:r>
              <w:rPr>
                <w:rFonts w:hint="eastAsia" w:ascii="宋体" w:hAnsi="宋体" w:cs="宋体"/>
                <w:color w:val="auto"/>
                <w:szCs w:val="21"/>
                <w:highlight w:val="none"/>
              </w:rPr>
              <w:t xml:space="preserve">。</w:t>
            </w:r>
            <w:r>
              <w:rPr>
                <w:color w:val="auto"/>
                <w:highlight w:val="none"/>
              </w:rPr>
            </w:r>
            <w:r>
              <w:rPr>
                <w:color w:val="auto"/>
                <w:highlight w:val="none"/>
              </w:rPr>
            </w:r>
          </w:p>
        </w:tc>
      </w:tr>
    </w:tbl>
    <w:p>
      <w:pPr>
        <w:ind w:firstLine="600"/>
        <w:spacing w:line="23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rPr>
          <w:color w:val="auto"/>
          <w:highlight w:val="none"/>
        </w:rP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567" w:gutter="0"/>
          <w:cols w:num="1" w:sep="0" w:space="0" w:equalWidth="1"/>
          <w:docGrid w:linePitch="360"/>
        </w:sectPr>
      </w:pPr>
      <w:r>
        <w:rPr>
          <w:rFonts w:ascii="宋体" w:hAnsi="宋体" w:cs="宋体"/>
          <w:b/>
          <w:bCs/>
          <w:color w:val="auto"/>
          <w:sz w:val="24"/>
          <w:highlight w:val="none"/>
        </w:rPr>
      </w:r>
      <w:r>
        <w:rPr>
          <w:color w:val="auto"/>
          <w:highlight w:val="none"/>
        </w:rPr>
      </w:r>
      <w:r>
        <w:rPr>
          <w:color w:val="auto"/>
          <w:highlight w:val="none"/>
        </w:rPr>
      </w:r>
    </w:p>
    <w:p>
      <w:pPr>
        <w:ind w:firstLine="600"/>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24"/>
          <w:highlight w:val="none"/>
        </w:rPr>
        <w:t xml:space="preserve">本章附件：招标代理服务收费标准</w:t>
      </w:r>
      <w:r>
        <w:rPr>
          <w:color w:val="auto"/>
          <w:highlight w:val="none"/>
        </w:rPr>
      </w:r>
      <w:r>
        <w:rPr>
          <w:color w:val="auto"/>
          <w:highlight w:val="none"/>
        </w:rPr>
      </w:r>
    </w:p>
    <w:tbl>
      <w:tblPr>
        <w:tblStyle w:val="998"/>
        <w:tblW w:w="4860" w:type="pct"/>
        <w:tblInd w:w="1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1"/>
        <w:gridCol w:w="3277"/>
      </w:tblGrid>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中标或者成交金额</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费率</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最低收费金额(每个委托项目)</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5000元</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50万元以下(含50万元)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1.6%</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50-400万元(含400万元)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1.5%</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400-1000万元(含1000万元)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1000-5000万元(含5000万元)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0.8%</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5000-1亿元(含1亿元)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0.25%</w:t>
            </w:r>
            <w:r>
              <w:rPr>
                <w:color w:val="auto"/>
                <w:highlight w:val="none"/>
              </w:rPr>
            </w:r>
            <w:r>
              <w:rPr>
                <w:color w:val="auto"/>
                <w:highlight w:val="none"/>
              </w:rPr>
            </w:r>
          </w:p>
        </w:tc>
      </w:tr>
      <w:tr>
        <w:trPr>
          <w:trHeight w:val="590"/>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1-10亿元(含10亿元)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0.05%</w:t>
            </w:r>
            <w:r>
              <w:rPr>
                <w:color w:val="auto"/>
                <w:highlight w:val="none"/>
              </w:rPr>
            </w:r>
            <w:r>
              <w:rPr>
                <w:color w:val="auto"/>
                <w:highlight w:val="none"/>
              </w:rP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10-50亿元(含50亿元)</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0.01%</w:t>
            </w:r>
            <w:r>
              <w:rPr>
                <w:color w:val="auto"/>
                <w:highlight w:val="none"/>
              </w:rPr>
            </w:r>
            <w:r>
              <w:rPr>
                <w:color w:val="auto"/>
                <w:highlight w:val="none"/>
              </w:rPr>
            </w:r>
          </w:p>
        </w:tc>
      </w:tr>
      <w:tr>
        <w:trPr>
          <w:trHeight w:val="547"/>
        </w:trPr>
        <w:tc>
          <w:tcPr>
            <w:tcMar>
              <w:left w:w="108" w:type="dxa"/>
              <w:top w:w="0" w:type="dxa"/>
              <w:right w:w="108" w:type="dxa"/>
              <w:bottom w:w="0" w:type="dxa"/>
            </w:tcMar>
            <w:tcW w:w="3067"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50亿元以上</w:t>
            </w:r>
            <w:r>
              <w:rPr>
                <w:color w:val="auto"/>
                <w:highlight w:val="none"/>
              </w:rPr>
            </w:r>
            <w:r>
              <w:rPr>
                <w:color w:val="auto"/>
                <w:highlight w:val="none"/>
              </w:rPr>
            </w:r>
          </w:p>
        </w:tc>
        <w:tc>
          <w:tcPr>
            <w:tcMar>
              <w:left w:w="108" w:type="dxa"/>
              <w:top w:w="0" w:type="dxa"/>
              <w:right w:w="108" w:type="dxa"/>
              <w:bottom w:w="0" w:type="dxa"/>
            </w:tcMar>
            <w:tcW w:w="1932" w:type="pct"/>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0.005%</w:t>
            </w:r>
            <w:r>
              <w:rPr>
                <w:color w:val="auto"/>
                <w:highlight w:val="none"/>
              </w:rPr>
            </w:r>
            <w:r>
              <w:rPr>
                <w:color w:val="auto"/>
                <w:highlight w:val="none"/>
              </w:rPr>
            </w:r>
          </w:p>
        </w:tc>
      </w:tr>
    </w:tbl>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说明：</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6、有分包（分标段）项目按采购包收费。</w:t>
      </w:r>
      <w:r>
        <w:rPr>
          <w:color w:val="auto"/>
          <w:highlight w:val="none"/>
        </w:rPr>
      </w:r>
      <w:r>
        <w:rPr>
          <w:color w:val="auto"/>
          <w:highlight w:val="none"/>
        </w:rPr>
      </w:r>
    </w:p>
    <w:p>
      <w:pPr>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7、上该表为自行约定的代理服务费标准。</w:t>
      </w:r>
      <w:r>
        <w:rPr>
          <w:color w:val="auto"/>
          <w:highlight w:val="none"/>
        </w:rPr>
      </w:r>
      <w:r>
        <w:rPr>
          <w:color w:val="auto"/>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8、账户信息：</w:t>
      </w:r>
      <w:r>
        <w:rPr>
          <w:color w:val="auto"/>
          <w:highlight w:val="none"/>
        </w:rPr>
      </w:r>
      <w:r>
        <w:rPr>
          <w:color w:val="auto"/>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（1）开户名：江苏苏豪创新科技集团高科有限公司</w:t>
      </w:r>
      <w:r>
        <w:rPr>
          <w:color w:val="auto"/>
          <w:highlight w:val="none"/>
        </w:rPr>
      </w:r>
      <w:r>
        <w:rPr>
          <w:color w:val="auto"/>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（2）开户行：工行南京市白下支行</w:t>
      </w:r>
      <w:r>
        <w:rPr>
          <w:color w:val="auto"/>
          <w:highlight w:val="none"/>
        </w:rPr>
      </w:r>
      <w:r>
        <w:rPr>
          <w:color w:val="auto"/>
          <w:highlight w:val="none"/>
        </w:rPr>
      </w:r>
    </w:p>
    <w:p>
      <w:pPr>
        <w:spacing w:line="440" w:lineRule="exact"/>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（3）账号：4301013119100888895</w:t>
      </w:r>
      <w:r>
        <w:rPr>
          <w:color w:val="auto"/>
          <w:highlight w:val="none"/>
        </w:rPr>
      </w:r>
      <w:r>
        <w:rPr>
          <w:color w:val="auto"/>
          <w:highlight w:val="none"/>
        </w:rPr>
      </w:r>
    </w:p>
    <w:p>
      <w:pPr>
        <w:pStyle w:val="914"/>
        <w:ind w:left="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rPr>
          <w:color w:val="auto"/>
          <w:highlight w:val="none"/>
        </w:rPr>
      </w:r>
      <w:r>
        <w:rPr>
          <w:color w:val="auto"/>
          <w:highlight w:val="none"/>
        </w:rPr>
      </w:r>
    </w:p>
    <w:p>
      <w:pPr>
        <w:rPr>
          <w:color w:val="auto"/>
          <w:highlight w:val="none"/>
        </w:rPr>
      </w:pPr>
      <w:r>
        <w:rPr>
          <w:color w:val="auto"/>
          <w:highlight w:val="none"/>
        </w:rPr>
      </w:r>
      <w:r>
        <w:rPr>
          <w:color w:val="auto"/>
          <w:highlight w:val="none"/>
        </w:rPr>
      </w:r>
      <w:r>
        <w:rPr>
          <w:color w:val="auto"/>
          <w:highlight w:val="none"/>
        </w:rPr>
      </w:r>
    </w:p>
    <w:p>
      <w:pPr>
        <w:spacing w:line="400" w:lineRule="exact"/>
        <w:rPr>
          <w:rFonts w:ascii="宋体" w:hAnsi="宋体" w:cs="宋体"/>
          <w:b/>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color w:val="auto"/>
          <w:sz w:val="28"/>
          <w:szCs w:val="28"/>
          <w:highlight w:val="none"/>
        </w:rPr>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第四章：评标标准</w:t>
      </w:r>
      <w:r>
        <w:rPr>
          <w:color w:val="auto"/>
          <w:highlight w:val="none"/>
        </w:rPr>
      </w:r>
      <w:r>
        <w:rPr>
          <w:color w:val="auto"/>
          <w:highlight w:val="none"/>
        </w:rPr>
      </w:r>
    </w:p>
    <w:p>
      <w:pPr>
        <w:pStyle w:val="1032"/>
        <w:spacing w:line="360" w:lineRule="auto"/>
        <w:widowControl/>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一、评标办法：</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1.本次招标评标采用综合评分法，综合评分法是指投标文件满足招标文件全部实质性要求，且按照评审因素的量化指标评审得分最高的投标人为中标人的评标方法。</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2.采用综合评分法的，评标结果按评审后得分由高到低顺序排列。得分相同的，按投标报价由低到高顺序排列。得分且投标报价相同的，按技术参数得分顺序排列。</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技术参数得分较高的投标人获得中标人推荐资格，其他同品牌投标人不作为中标候选人。</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评标时，评标委员会各成员应当独立对每个投标人的投标文件进行评价，并汇总每个投标人的得分，按算术平均方法计算出每个投标人的得分（计算结果四舍五入，保留两位小数点）；报价得分直接计算取得，二者相加为投标人的总得分。</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5.评委会根据本招标文件规定评分办法与评分标准综合打分，并按综合得分由高到低顺序（综合得分相同的，按价格从低到高顺序）确定3名中标候选人，排名第1者，为中标单位。 </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注：</w:t>
      </w:r>
      <w:r>
        <w:rPr>
          <w:rFonts w:hint="eastAsia" w:ascii="宋体" w:hAnsi="宋体" w:cs="宋体"/>
          <w:color w:val="auto"/>
          <w:sz w:val="24"/>
          <w:highlight w:val="none"/>
        </w:rPr>
        <w:t xml:space="preserve">评审过程中出现下列情形之一的，评审委员会应当启动异常低价投标（响应）审查程序： </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1.投标（响应）报价低于全部通过符合性审查供应商投标（响应）报价平均值50%的，即投标（响应）报价&lt;全部通过符合性审查供应商投标（响应）报价平均值×50%；； </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2.投标（响应）报价低于通过符合性审查的次低报价供应商投标（响应）报价50%的，即投标（响应）报价&lt;通过符合性审查的次低报价供应商投标（响应）报价×50%； </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3.投标（响应）报价低于采购项目最高限价45%的，即投标（响应）报价&lt;采购项目最高限价×45%；</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r>
        <w:rPr>
          <w:color w:val="auto"/>
          <w:highlight w:val="none"/>
        </w:rPr>
      </w:r>
      <w:r>
        <w:rPr>
          <w:color w:val="auto"/>
          <w:highlight w:val="none"/>
        </w:rP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二、政府采购政策执行办法：</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①对小型和微型企业产品的价格给予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②监狱企业视同小型、微型企业，对其产品价格给予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③残疾人福利性单位视同小型、微型企业，对其产品价格给予</w:t>
      </w:r>
      <w:r>
        <w:rPr>
          <w:rFonts w:hint="eastAsia" w:ascii="宋体" w:hAnsi="宋体" w:cs="宋体"/>
          <w:b/>
          <w:bCs/>
          <w:color w:val="auto"/>
          <w:sz w:val="24"/>
          <w:highlight w:val="none"/>
        </w:rPr>
        <w:t xml:space="preserve">10%</w:t>
      </w:r>
      <w:r>
        <w:rPr>
          <w:rFonts w:hint="eastAsia" w:ascii="宋体" w:hAnsi="宋体" w:cs="宋体"/>
          <w:color w:val="auto"/>
          <w:sz w:val="24"/>
          <w:highlight w:val="none"/>
        </w:rPr>
        <w:t xml:space="preserve">的扣除，用扣除后的价格参与评审。参加投标的残疾人福利性单位，应当按照《财政部、民政部、中国残疾人联合会关于促进残疾人就业政府采购政策的通知》（财库〔2017〕141号）的规定提供《残疾人福利性单位声明函》。</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同一投标人，上述三项价格扣除优惠不得重复享受。</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④采购本国产品的支持政策</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 本项目政府采购活动中既有本国产品又有非本国产品参与竞争的，依法对本国产品给予价格评审优惠，对本国产品的报价给予</w:t>
      </w:r>
      <w:r>
        <w:rPr>
          <w:rFonts w:hint="eastAsia" w:ascii="宋体" w:hAnsi="宋体" w:cs="宋体"/>
          <w:b/>
          <w:bCs/>
          <w:color w:val="auto"/>
          <w:sz w:val="24"/>
          <w:highlight w:val="none"/>
        </w:rPr>
        <w:t xml:space="preserve">20%</w:t>
      </w:r>
      <w:r>
        <w:rPr>
          <w:rFonts w:hint="eastAsia" w:ascii="宋体" w:hAnsi="宋体" w:cs="宋体"/>
          <w:color w:val="auto"/>
          <w:sz w:val="24"/>
          <w:highlight w:val="none"/>
        </w:rPr>
        <w:t xml:space="preserve">的价格扣除，用扣除后的价格参与评审。</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4.2 当采购项目或者采购包中含有多种产品，供应商为该采购项目或者采购包提供的符合本国产品标准的产品成本之和占该供应商提供的全部产品成本之和的比</w:t>
      </w:r>
      <w:r>
        <w:rPr>
          <w:rFonts w:hint="eastAsia" w:ascii="宋体" w:hAnsi="宋体" w:cs="宋体"/>
          <w:b/>
          <w:bCs/>
          <w:color w:val="auto"/>
          <w:sz w:val="24"/>
          <w:highlight w:val="none"/>
        </w:rPr>
        <w:t xml:space="preserve">例达到80%以上时</w:t>
      </w:r>
      <w:r>
        <w:rPr>
          <w:rFonts w:hint="eastAsia" w:ascii="宋体" w:hAnsi="宋体" w:cs="宋体"/>
          <w:color w:val="auto"/>
          <w:sz w:val="24"/>
          <w:highlight w:val="none"/>
        </w:rPr>
        <w:t xml:space="preserve">（供应商需在投标文件格式“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4.3 供应商需按照招标文件的要求提供《关于符合本国产品标准的声明函》（以下简称《声明函》），如不提供将不享受本国产品价格评审优惠。</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auto"/>
          <w:highlight w:val="none"/>
        </w:rPr>
      </w:r>
      <w:r>
        <w:rPr>
          <w:color w:val="auto"/>
          <w:highlight w:val="none"/>
        </w:rPr>
      </w:r>
    </w:p>
    <w:p>
      <w:pPr>
        <w:spacing w:line="360" w:lineRule="auto"/>
        <w:rPr>
          <w:rFonts w:ascii="宋体" w:hAnsi="宋体" w:cs="宋体"/>
          <w:b/>
          <w:bCs/>
          <w:color w:val="auto"/>
          <w:sz w:val="24"/>
          <w:highlight w:val="none"/>
        </w:rPr>
        <w:outlineLvl w:val="1"/>
      </w:pPr>
      <w:r>
        <w:rPr>
          <w:rFonts w:hint="eastAsia" w:ascii="宋体" w:hAnsi="宋体" w:cs="宋体"/>
          <w:b/>
          <w:bCs/>
          <w:color w:val="auto"/>
          <w:sz w:val="24"/>
          <w:highlight w:val="none"/>
        </w:rPr>
        <w:t xml:space="preserve">三、评分标准：</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本次采购的评标方法采用综合评分法，小数点后保留两位，四舍五入。</w:t>
      </w:r>
      <w:r>
        <w:rPr>
          <w:color w:val="auto"/>
          <w:highlight w:val="none"/>
        </w:rPr>
      </w:r>
      <w:r>
        <w:rPr>
          <w:color w:val="auto"/>
          <w:highlight w:val="none"/>
        </w:rPr>
      </w:r>
    </w:p>
    <w:tbl>
      <w:tblPr>
        <w:tblStyle w:val="907"/>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6956"/>
      </w:tblGrid>
      <w:tr>
        <w:trPr>
          <w:jc w:val="center"/>
          <w:trHeight w:val="567"/>
        </w:trPr>
        <w:tc>
          <w:tcPr>
            <w:tcW w:w="1723"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评分内容</w:t>
            </w:r>
            <w:r>
              <w:rPr>
                <w:color w:val="auto"/>
                <w:highlight w:val="none"/>
              </w:rPr>
            </w:r>
            <w:r>
              <w:rPr>
                <w:color w:val="auto"/>
                <w:highlight w:val="none"/>
              </w:rPr>
            </w:r>
          </w:p>
        </w:tc>
        <w:tc>
          <w:tcPr>
            <w:tcW w:w="6956" w:type="dxa"/>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评分标准</w:t>
            </w:r>
            <w:r>
              <w:rPr>
                <w:color w:val="auto"/>
                <w:highlight w:val="none"/>
              </w:rPr>
            </w:r>
            <w:r>
              <w:rPr>
                <w:color w:val="auto"/>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投标报价（30分）</w:t>
            </w:r>
            <w:r>
              <w:rPr>
                <w:color w:val="auto"/>
                <w:highlight w:val="none"/>
              </w:rPr>
            </w:r>
            <w:r>
              <w:rPr>
                <w:color w:val="auto"/>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满足招标文件要求且投标报价最低的投标人的价格为投标基准价，其价格分为满分。其他投标人的价格分数统一按照下列公式计算：</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投标报价得分=（投标基准价/投标报价）×30</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1、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该投标人的评审价格=《开标一览表》中的“总价”*（100%-10%）</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2、政府采购活动中既有本国产品又有非本国产品参与竞争的，依法对本国产品给予价格评审优惠，对本国产品的报价给予20%的价格扣除，用扣除后的价格参与评审。</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该投标人的评审价格=《开标一览表》中的“总价”*（100%-20%）</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3、上述1、2项评审优惠可同时享受，分别在供应商报价基础上予以扣除，用扣除后的价格参与评审，即该投标人的评审价格=《开标一览表》中的“总价”*（100%-30%）。</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享受价格评审优惠不改变最终中标价格，政府采购合同仍按照中标供应商的报价签订。</w:t>
            </w:r>
            <w:r>
              <w:rPr>
                <w:color w:val="auto"/>
                <w:highlight w:val="none"/>
              </w:rPr>
            </w:r>
            <w:r>
              <w:rPr>
                <w:color w:val="auto"/>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偏离表（</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分）</w:t>
            </w:r>
            <w:r>
              <w:rPr>
                <w:color w:val="auto"/>
                <w:highlight w:val="none"/>
              </w:rPr>
            </w:r>
            <w:r>
              <w:rPr>
                <w:color w:val="auto"/>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依据投标文件中偏离表、技术规格说明对招标文件《第六章：采购需求》中“五、技术要求”满足程度进行评分。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完全满足招标文件基本技术要求的得</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加“▲”响应指标如有不满足或负偏离的，每一项扣</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一般响应指标如有不满足或负偏离的，每一项扣0.5分；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w:t>
            </w:r>
            <w:r>
              <w:rPr>
                <w:rFonts w:hint="eastAsia" w:ascii="宋体" w:hAnsi="宋体" w:cs="宋体"/>
                <w:color w:val="auto"/>
                <w:sz w:val="24"/>
                <w:highlight w:val="none"/>
                <w:lang w:val="en-US" w:eastAsia="zh-CN"/>
              </w:rPr>
              <w:t xml:space="preserve">46</w:t>
            </w:r>
            <w:r>
              <w:rPr>
                <w:rFonts w:hint="eastAsia" w:ascii="宋体" w:hAnsi="宋体" w:cs="宋体"/>
                <w:color w:val="auto"/>
                <w:sz w:val="24"/>
                <w:highlight w:val="none"/>
              </w:rPr>
              <w:t xml:space="preserve">分，最低得0分。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注：加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lang w:val="en-US" w:eastAsia="zh-CN"/>
              </w:rPr>
              <w:t xml:space="preserve">指标为核心响应指标，有任一项负偏离的作无效投标处理；</w:t>
            </w:r>
            <w:r>
              <w:rPr>
                <w:rFonts w:hint="eastAsia" w:ascii="宋体" w:hAnsi="宋体" w:cs="宋体"/>
                <w:color w:val="auto"/>
                <w:sz w:val="24"/>
                <w:highlight w:val="none"/>
              </w:rPr>
              <w:t xml:space="preserve">“▲”的指标为次重要响应指标，其他为一般响应指标，未按照招标文件提供证明材料的视为不满足。</w:t>
            </w:r>
            <w:r>
              <w:rPr>
                <w:color w:val="auto"/>
                <w:highlight w:val="none"/>
              </w:rPr>
            </w:r>
            <w:r>
              <w:rPr>
                <w:color w:val="auto"/>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所投产品质量、性能评价（6分）</w:t>
            </w:r>
            <w:r>
              <w:rPr>
                <w:color w:val="auto"/>
                <w:highlight w:val="none"/>
              </w:rPr>
            </w:r>
            <w:r>
              <w:rPr>
                <w:color w:val="auto"/>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根据所投产品实样照片、产品配置、产品品质、医疗机构应用情况等内容，从性能稳定性、质量可靠性、技术先进性方面综合评分。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性能稳定性（2分）：性能稳定性高的得2分；性能稳定性一般的得1分；性能稳定性较差的得0.5分。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质量可靠性（2分）：质量可靠性高的得2分；产品质量可靠性一般的得1分；质量可靠性程度较差的得0.5分。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技术先进性（2分）：技术先进的得2分；技术较先进的得1分；技术较落后的得0.5分。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rPr>
                <w:color w:val="auto"/>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项目实施方案（6分）</w:t>
            </w:r>
            <w:r>
              <w:rPr>
                <w:color w:val="auto"/>
                <w:highlight w:val="none"/>
              </w:rPr>
            </w:r>
            <w:r>
              <w:rPr>
                <w:color w:val="auto"/>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对项目实施方案进行评价，内容至少包含人员安排、实施流程、供货的保障措施、供货计划安排、安装调试方案等。</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全面性(2分)：全面具体详实得2分；较全面得1分；不太全面得0.5分。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可行性（2分)：符合实际切实可行得2分；较切实可行得1分；可行性欠缺得0.5分。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rPr>
                <w:color w:val="auto"/>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售后服务方案（6分）</w:t>
            </w:r>
            <w:r>
              <w:rPr>
                <w:color w:val="auto"/>
                <w:highlight w:val="none"/>
              </w:rPr>
            </w:r>
            <w:r>
              <w:rPr>
                <w:color w:val="auto"/>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对售后服务方案进行评价，内容至少包含售后服务方式、响应时间、应急保障措施等。</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全面性(2分)：全面具体详实得2分；较全面得1分；不太全面得0.5分。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可行性（2分)：符合实际切实可行得2分；较切实可行得1分；可行性欠缺得0.5分。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rPr>
                <w:color w:val="auto"/>
                <w:highlight w:val="none"/>
              </w:rPr>
            </w:r>
          </w:p>
        </w:tc>
      </w:tr>
      <w:tr>
        <w:trPr>
          <w:jc w:val="center"/>
          <w:trHeight w:val="567"/>
        </w:trPr>
        <w:tc>
          <w:tcPr>
            <w:tcW w:w="17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技术培训方案（6分）</w:t>
            </w:r>
            <w:r>
              <w:rPr>
                <w:color w:val="auto"/>
                <w:highlight w:val="none"/>
              </w:rPr>
            </w:r>
            <w:r>
              <w:rPr>
                <w:color w:val="auto"/>
                <w:highlight w:val="none"/>
              </w:rPr>
            </w:r>
          </w:p>
        </w:tc>
        <w:tc>
          <w:tcPr>
            <w:tcW w:w="6956"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对技术培训方案，内容包含但不限于：培训计划、培训内容、培训方式等方面进行评价。</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全面性(2分)：全面具体详实得2分；较全面得1分；不太全面得0.5分。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针对性(2分)：针对性强得2分；针对性一般的得1分；欠缺针对性的</w:t>
            </w:r>
            <w:bookmarkStart w:id="8" w:name="_GoBack"/>
            <w:r>
              <w:rPr>
                <w:color w:val="auto"/>
                <w:highlight w:val="none"/>
              </w:rPr>
            </w:r>
            <w:bookmarkEnd w:id="8"/>
            <w:r>
              <w:rPr>
                <w:rFonts w:hint="eastAsia" w:ascii="宋体" w:hAnsi="宋体" w:cs="宋体"/>
                <w:color w:val="auto"/>
                <w:sz w:val="24"/>
                <w:highlight w:val="none"/>
              </w:rPr>
              <w:t xml:space="preserve">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可行性（2分)：符合实际切实可行得2分；较切实可行得1分；可行性欠缺得0.5分。</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本项最高得6分，最低不得分。</w:t>
            </w:r>
            <w:r>
              <w:rPr>
                <w:color w:val="auto"/>
                <w:highlight w:val="none"/>
              </w:rPr>
            </w:r>
            <w:r>
              <w:rPr>
                <w:color w:val="auto"/>
                <w:highlight w:val="none"/>
              </w:rPr>
            </w:r>
          </w:p>
        </w:tc>
      </w:tr>
    </w:tbl>
    <w:p>
      <w:pPr>
        <w:ind w:firstLine="600"/>
        <w:spacing w:line="51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本章说明：本项目采用综合评分法，结果保留2位小数</w:t>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第五章：拟签订的合同文本</w:t>
      </w:r>
      <w:r>
        <w:rPr>
          <w:color w:val="auto"/>
          <w:highlight w:val="none"/>
        </w:rPr>
      </w:r>
      <w:r>
        <w:rPr>
          <w:color w:val="auto"/>
          <w:highlight w:val="none"/>
        </w:rPr>
      </w:r>
    </w:p>
    <w:p>
      <w:pPr>
        <w:rPr>
          <w:rFonts w:ascii="宋体" w:hAnsi="宋体" w:cs="宋体"/>
          <w:b/>
          <w:color w:val="auto"/>
          <w:sz w:val="52"/>
          <w:szCs w:val="36"/>
          <w:highlight w:val="none"/>
        </w:rPr>
      </w:pPr>
      <w:r>
        <w:rPr>
          <w:rFonts w:ascii="宋体" w:hAnsi="宋体" w:cs="宋体"/>
          <w:b/>
          <w:color w:val="auto"/>
          <w:sz w:val="52"/>
          <w:szCs w:val="36"/>
          <w:highlight w:val="none"/>
        </w:rPr>
      </w:r>
      <w:r>
        <w:rPr>
          <w:color w:val="auto"/>
          <w:highlight w:val="none"/>
        </w:rPr>
      </w:r>
      <w:r>
        <w:rPr>
          <w:color w:val="auto"/>
          <w:highlight w:val="none"/>
        </w:rPr>
      </w:r>
    </w:p>
    <w:p>
      <w:pPr>
        <w:jc w:val="center"/>
        <w:rPr>
          <w:rFonts w:ascii="宋体" w:hAnsi="宋体" w:cs="宋体"/>
          <w:b/>
          <w:color w:val="auto"/>
          <w:sz w:val="72"/>
          <w:szCs w:val="72"/>
          <w:highlight w:val="none"/>
        </w:rPr>
      </w:pPr>
      <w:r>
        <w:rPr>
          <w:rFonts w:hint="eastAsia" w:ascii="宋体" w:hAnsi="宋体" w:cs="宋体"/>
          <w:b/>
          <w:color w:val="auto"/>
          <w:sz w:val="72"/>
          <w:szCs w:val="72"/>
          <w:highlight w:val="none"/>
        </w:rPr>
        <w:t xml:space="preserve">政 府 采 购 合 同</w:t>
      </w:r>
      <w:r>
        <w:rPr>
          <w:color w:val="auto"/>
          <w:highlight w:val="none"/>
        </w:rPr>
      </w:r>
      <w:r>
        <w:rPr>
          <w:color w:val="auto"/>
          <w:highlight w:val="none"/>
        </w:rPr>
      </w:r>
    </w:p>
    <w:p>
      <w:pPr>
        <w:jc w:val="left"/>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color w:val="auto"/>
          <w:highlight w:val="none"/>
        </w:rPr>
      </w:r>
    </w:p>
    <w:p>
      <w:pPr>
        <w:jc w:val="left"/>
        <w:spacing w:line="360" w:lineRule="auto"/>
        <w:rPr>
          <w:rFonts w:ascii="宋体" w:hAnsi="宋体" w:cs="宋体"/>
          <w:b/>
          <w:color w:val="auto"/>
          <w:sz w:val="32"/>
          <w:szCs w:val="32"/>
          <w:highlight w:val="none"/>
        </w:rPr>
      </w:pPr>
      <w:r>
        <w:rPr>
          <w:rFonts w:ascii="宋体" w:hAnsi="宋体" w:cs="宋体"/>
          <w:b/>
          <w:color w:val="auto"/>
          <w:sz w:val="32"/>
          <w:szCs w:val="32"/>
          <w:highlight w:val="none"/>
        </w:rPr>
      </w:r>
      <w:r>
        <w:rPr>
          <w:color w:val="auto"/>
          <w:highlight w:val="none"/>
        </w:rPr>
      </w:r>
      <w:r>
        <w:rPr>
          <w:color w:val="auto"/>
          <w:highlight w:val="none"/>
        </w:rPr>
      </w:r>
    </w:p>
    <w:p>
      <w:pPr>
        <w:jc w:val="left"/>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lang w:eastAsia="zh-CN"/>
        </w:rPr>
        <w:t xml:space="preserve">苏采云编号</w:t>
      </w:r>
      <w:r>
        <w:rPr>
          <w:rFonts w:hint="eastAsia" w:ascii="宋体" w:hAnsi="宋体" w:cs="宋体"/>
          <w:b/>
          <w:color w:val="auto"/>
          <w:sz w:val="30"/>
          <w:szCs w:val="30"/>
          <w:highlight w:val="none"/>
        </w:rPr>
        <w:t xml:space="preserve">：</w:t>
      </w:r>
      <w:r>
        <w:rPr>
          <w:rFonts w:hint="eastAsia" w:ascii="宋体" w:hAnsi="宋体" w:cs="宋体"/>
          <w:b/>
          <w:color w:val="auto"/>
          <w:sz w:val="30"/>
          <w:szCs w:val="30"/>
          <w:highlight w:val="none"/>
          <w:lang w:eastAsia="zh-CN"/>
        </w:rPr>
        <w:t xml:space="preserve">JSZC-320300-SHGK-G2026-0051</w:t>
      </w:r>
      <w:r>
        <w:rPr>
          <w:color w:val="auto"/>
          <w:highlight w:val="none"/>
        </w:rPr>
      </w:r>
      <w:r>
        <w:rPr>
          <w:color w:val="auto"/>
          <w:highlight w:val="none"/>
        </w:rPr>
      </w:r>
    </w:p>
    <w:p>
      <w:pPr>
        <w:pStyle w:val="912"/>
        <w:rPr>
          <w:rFonts w:hint="eastAsia" w:ascii="宋体" w:hAnsi="宋体" w:cs="宋体"/>
          <w:b/>
          <w:color w:val="auto"/>
          <w:sz w:val="30"/>
          <w:szCs w:val="30"/>
          <w:highlight w:val="none"/>
        </w:rPr>
      </w:pPr>
      <w:r>
        <w:rPr>
          <w:rFonts w:hint="eastAsia" w:ascii="宋体" w:hAnsi="宋体" w:cs="宋体"/>
          <w:b/>
          <w:color w:val="auto"/>
          <w:sz w:val="30"/>
          <w:szCs w:val="30"/>
          <w:highlight w:val="none"/>
        </w:rPr>
      </w:r>
      <w:r>
        <w:rPr>
          <w:color w:val="auto"/>
          <w:highlight w:val="none"/>
        </w:rPr>
      </w:r>
      <w:r>
        <w:rPr>
          <w:color w:val="auto"/>
          <w:highlight w:val="none"/>
        </w:rPr>
      </w:r>
    </w:p>
    <w:p>
      <w:pPr>
        <w:rPr>
          <w:rFonts w:hint="eastAsia"/>
          <w:color w:val="auto"/>
          <w:highlight w:val="none"/>
        </w:rPr>
      </w:pPr>
      <w:r>
        <w:rPr>
          <w:rFonts w:hint="eastAsia"/>
          <w:color w:val="auto"/>
          <w:highlight w:val="none"/>
        </w:rPr>
      </w:r>
      <w:r>
        <w:rPr>
          <w:color w:val="auto"/>
          <w:highlight w:val="none"/>
        </w:rPr>
      </w:r>
      <w:r>
        <w:rPr>
          <w:color w:val="auto"/>
          <w:highlight w:val="none"/>
        </w:rPr>
      </w:r>
    </w:p>
    <w:p>
      <w:pPr>
        <w:jc w:val="left"/>
        <w:spacing w:line="360" w:lineRule="auto"/>
        <w:widowControl w:val="off"/>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bidi="ar-SA"/>
        </w:rPr>
        <w:t xml:space="preserve">项目编号：1214-264106271WDX</w:t>
      </w:r>
      <w:r>
        <w:rPr>
          <w:color w:val="auto"/>
          <w:highlight w:val="none"/>
        </w:rPr>
      </w:r>
      <w:r>
        <w:rPr>
          <w:color w:val="auto"/>
          <w:highlight w:val="none"/>
        </w:rPr>
      </w:r>
    </w:p>
    <w:p>
      <w:pPr>
        <w:pStyle w:val="912"/>
        <w:rPr>
          <w:color w:val="auto"/>
          <w:highlight w:val="none"/>
        </w:rPr>
      </w:pPr>
      <w:r>
        <w:rPr>
          <w:color w:val="auto"/>
          <w:highlight w:val="none"/>
        </w:rPr>
      </w:r>
      <w:r>
        <w:rPr>
          <w:color w:val="auto"/>
          <w:highlight w:val="none"/>
        </w:rPr>
      </w:r>
      <w:r>
        <w:rPr>
          <w:color w:val="auto"/>
          <w:highlight w:val="none"/>
        </w:rPr>
      </w:r>
    </w:p>
    <w:p>
      <w:pPr>
        <w:pStyle w:val="912"/>
        <w:rPr>
          <w:color w:val="auto"/>
          <w:highlight w:val="none"/>
        </w:rPr>
      </w:pPr>
      <w:r>
        <w:rPr>
          <w:color w:val="auto"/>
          <w:highlight w:val="none"/>
        </w:rPr>
      </w:r>
      <w:r>
        <w:rPr>
          <w:color w:val="auto"/>
          <w:highlight w:val="none"/>
        </w:rPr>
      </w:r>
      <w:r>
        <w:rPr>
          <w:color w:val="auto"/>
          <w:highlight w:val="none"/>
        </w:rPr>
      </w:r>
    </w:p>
    <w:p>
      <w:pPr>
        <w:jc w:val="left"/>
        <w:spacing w:line="360" w:lineRule="auto"/>
        <w:rPr>
          <w:rFonts w:hint="eastAsia" w:ascii="宋体" w:hAnsi="宋体" w:eastAsia="宋体" w:cs="宋体"/>
          <w:b/>
          <w:color w:val="auto"/>
          <w:sz w:val="30"/>
          <w:szCs w:val="30"/>
          <w:highlight w:val="none"/>
        </w:rPr>
      </w:pPr>
      <w:r>
        <w:rPr>
          <w:rFonts w:hint="eastAsia" w:ascii="宋体" w:hAnsi="宋体" w:cs="宋体"/>
          <w:b/>
          <w:color w:val="auto"/>
          <w:sz w:val="30"/>
          <w:szCs w:val="30"/>
          <w:highlight w:val="none"/>
        </w:rPr>
        <w:t xml:space="preserve">项目名称：</w:t>
      </w:r>
      <w:r>
        <w:rPr>
          <w:rFonts w:hint="eastAsia" w:ascii="宋体" w:hAnsi="宋体" w:cs="宋体"/>
          <w:b/>
          <w:color w:val="auto"/>
          <w:sz w:val="30"/>
          <w:szCs w:val="30"/>
          <w:highlight w:val="none"/>
          <w:lang w:eastAsia="zh-CN"/>
        </w:rPr>
        <w:t xml:space="preserve">医用X射线摄影系统</w:t>
      </w:r>
      <w:r>
        <w:rPr>
          <w:color w:val="auto"/>
          <w:highlight w:val="none"/>
        </w:rPr>
      </w:r>
      <w:r>
        <w:rPr>
          <w:color w:val="auto"/>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color w:val="auto"/>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采购单位：徐州市儿童医院</w:t>
      </w:r>
      <w:r>
        <w:rPr>
          <w:color w:val="auto"/>
          <w:highlight w:val="none"/>
        </w:rPr>
      </w:r>
      <w:r>
        <w:rPr>
          <w:color w:val="auto"/>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color w:val="auto"/>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中标供应商（乙方）：</w:t>
      </w:r>
      <w:r>
        <w:rPr>
          <w:color w:val="auto"/>
          <w:highlight w:val="none"/>
        </w:rPr>
      </w:r>
      <w:r>
        <w:rPr>
          <w:color w:val="auto"/>
          <w:highlight w:val="none"/>
        </w:rPr>
      </w:r>
    </w:p>
    <w:p>
      <w:pPr>
        <w:jc w:val="left"/>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color w:val="auto"/>
          <w:highlight w:val="none"/>
        </w:rPr>
      </w:r>
    </w:p>
    <w:p>
      <w:pPr>
        <w:jc w:val="left"/>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签订日期：    年  月  日</w:t>
      </w:r>
      <w:r>
        <w:rPr>
          <w:color w:val="auto"/>
          <w:highlight w:val="none"/>
        </w:rPr>
      </w:r>
      <w:r>
        <w:rPr>
          <w:color w:val="auto"/>
          <w:highlight w:val="none"/>
        </w:rP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p>
      <w:pPr>
        <w:pStyle w:val="966"/>
        <w:ind w:left="0" w:right="0"/>
        <w:spacing w:after="0"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color w:val="auto"/>
          <w:highlight w:val="none"/>
        </w:rPr>
      </w:r>
    </w:p>
    <w:p>
      <w:pPr>
        <w:pStyle w:val="966"/>
        <w:ind w:left="0" w:right="0"/>
        <w:spacing w:after="0" w:line="360" w:lineRule="auto"/>
        <w:rPr>
          <w:rFonts w:ascii="宋体" w:hAnsi="宋体" w:cs="宋体"/>
          <w:b/>
          <w:color w:val="auto"/>
          <w:sz w:val="24"/>
          <w:highlight w:val="none"/>
        </w:rPr>
      </w:pPr>
      <w:r>
        <w:rPr>
          <w:rFonts w:hint="eastAsia" w:ascii="宋体" w:hAnsi="宋体" w:cs="宋体"/>
          <w:b/>
          <w:color w:val="auto"/>
          <w:sz w:val="24"/>
          <w:highlight w:val="none"/>
        </w:rPr>
        <w:t xml:space="preserve">友情提醒：采购人与中标、成交供应商应当在中标、成交通知书发出之日起三十日内，按照采购文件确定的事项签订政府采购合同。</w:t>
      </w:r>
      <w:r>
        <w:rPr>
          <w:color w:val="auto"/>
          <w:highlight w:val="none"/>
        </w:rPr>
      </w:r>
      <w:r>
        <w:rPr>
          <w:color w:val="auto"/>
          <w:highlight w:val="none"/>
        </w:rPr>
      </w:r>
    </w:p>
    <w:p>
      <w:pPr>
        <w:pStyle w:val="966"/>
        <w:ind w:left="0" w:right="0"/>
        <w:spacing w:after="0" w:line="360" w:lineRule="auto"/>
        <w:rPr>
          <w:rFonts w:ascii="宋体" w:hAnsi="宋体" w:cs="宋体"/>
          <w:b/>
          <w:color w:val="auto"/>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b/>
          <w:color w:val="auto"/>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rPr>
          <w:color w:val="auto"/>
          <w:highlight w:val="none"/>
        </w:rPr>
      </w:r>
      <w:r>
        <w:rPr>
          <w:color w:val="auto"/>
          <w:highlight w:val="none"/>
        </w:rPr>
      </w:r>
    </w:p>
    <w:p>
      <w:pPr>
        <w:ind w:firstLine="420"/>
        <w:jc w:val="center"/>
        <w:spacing w:line="520" w:lineRule="exact"/>
        <w:rPr>
          <w:rFonts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rPr>
          <w:color w:val="auto"/>
          <w:highlight w:val="none"/>
        </w:rPr>
      </w:r>
      <w:r>
        <w:rPr>
          <w:color w:val="auto"/>
          <w:highlight w:val="none"/>
        </w:rPr>
      </w:r>
    </w:p>
    <w:p>
      <w:pPr>
        <w:ind w:firstLine="600"/>
        <w:jc w:val="center"/>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5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rPr>
          <w:color w:val="auto"/>
          <w:highlight w:val="none"/>
        </w:rPr>
      </w:r>
      <w:r>
        <w:rPr>
          <w:color w:val="auto"/>
          <w:highlight w:val="none"/>
        </w:rPr>
      </w:r>
    </w:p>
    <w:p>
      <w:pPr>
        <w:ind w:firstLine="600"/>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第一条    定义</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第二条    合同范围</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第三条    价格</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第四条    支付</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第五条    交货</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第六条    包装和标记</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第七条    技术资料</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第八条    安装</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第九条    验收</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第十一条  索赔</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第十二条  不可抗力</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第十五条  适用法律</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第十六条  权利保证</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第十七条  保密</w:t>
      </w:r>
      <w:r>
        <w:rPr>
          <w:color w:val="auto"/>
          <w:highlight w:val="none"/>
        </w:rPr>
      </w:r>
      <w:r>
        <w:rPr>
          <w:color w:val="auto"/>
          <w:highlight w:val="none"/>
        </w:rPr>
      </w:r>
    </w:p>
    <w:p>
      <w:pPr>
        <w:ind w:firstLine="600"/>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rPr>
          <w:color w:val="auto"/>
          <w:highlight w:val="none"/>
        </w:rPr>
      </w:r>
      <w:r>
        <w:rPr>
          <w:color w:val="auto"/>
          <w:highlight w:val="none"/>
        </w:rPr>
      </w:r>
    </w:p>
    <w:p>
      <w:pPr>
        <w:spacing w:line="5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30"/>
          <w:szCs w:val="30"/>
          <w:highlight w:val="none"/>
        </w:rPr>
        <w:t xml:space="preserve">合同通用条款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第一条  定义</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除本合同上下文中另有规定外，下列各词语定义如下： </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1.1“买方”见《合同专用条款》。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1.2“卖方”见《合同专用条款》。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1.3“工作现场”见《合同专用条款》。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1.4“合同标的”见合同附件4。</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1.5“技术资料”是指与合同标的的安装、试运行、验收、操作以及维修有关的技术指标、规格、图纸和文件。</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1.6“技术培训”是指在合同标的的安装、试运行、验收、操作、维修以及其他方面卖方给予买方的培训。</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1.7“安装”是指有关合同标的、备件和材料的安装工作。</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1.8“试运行”是指为验明合同标的的技术性能，在安装完毕后对合同标的进行的测试。</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1.10“合同货币”见《合同专用条款》。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1.11“合同价格”见合同附件4。</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1.12“合同生效日”见《合同协议书》（合同附件1）第5 条。</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1.13“日”是指日历天数。</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1.14“月”是指日历月数。</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1.15“采购需求” 见合同附件6。</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第二条 合同范围</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2.1买方同意从卖方购买、卖方同意向买方出售和提供的合同标的以及相关售后服务、技术培训和技术资料。</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2.2数量：见招标文件第六章《采购需求》中“三、数量要求”。</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第三条 价格</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3.1 合同总价见《合同专用条款》。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3.2 合同总价是固定价格。</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第四条 支付（采购资金的支付方式、时间、条件）</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4.2卖方有义务根据合同的规定向买方支付违约金和/或赔偿金时，买方有权从任何一笔应付款中予以扣除。</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第五条 交货（货物、服务提供的时间、地点、方式）</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5.1交货期限、批次和交货条件见《合同专用条款》。</w:t>
      </w:r>
      <w:r>
        <w:rPr>
          <w:color w:val="auto"/>
          <w:highlight w:val="none"/>
        </w:rPr>
      </w:r>
      <w:r>
        <w:rPr>
          <w:color w:val="auto"/>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5.2交货地点见《合同专用条款》。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5.3在《合同专用条款》规定的期限内，卖方应将合同号、合同标的的名称、数量、金额、包装件数以及交货的时间以书面方式通知买方。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5.4卖方应按下列规定交付合同标的：</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5.4.1卖方负责将合同标的送至《合同专用条款》规定的交货地点。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5.4.2买方出具的收据日期是合同标的的实际交货日期。</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5.5如果卖方未能按照合同规定的交货期限交货，卖方应按《合同专用条款》的规定支付违约金或提供其他救济。</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第六条 包装与标记</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6.1除非合同中另有规定，合同标的应保持产品制造企业原包装完好。</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6.2在合同标的的每件包装中都应附有下列单据： </w:t>
      </w:r>
      <w:r>
        <w:rPr>
          <w:color w:val="auto"/>
          <w:highlight w:val="none"/>
        </w:rPr>
      </w:r>
      <w:r>
        <w:rPr>
          <w:color w:val="auto"/>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A. 装箱明细单； </w:t>
      </w:r>
      <w:r>
        <w:rPr>
          <w:color w:val="auto"/>
          <w:highlight w:val="none"/>
        </w:rPr>
      </w:r>
      <w:r>
        <w:rPr>
          <w:color w:val="auto"/>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B. 质量合格证； </w:t>
      </w:r>
      <w:r>
        <w:rPr>
          <w:color w:val="auto"/>
          <w:highlight w:val="none"/>
        </w:rPr>
      </w:r>
      <w:r>
        <w:rPr>
          <w:color w:val="auto"/>
          <w:highlight w:val="none"/>
        </w:rPr>
      </w:r>
    </w:p>
    <w:p>
      <w:pPr>
        <w:ind w:firstLine="480"/>
        <w:rPr>
          <w:rFonts w:ascii="宋体" w:hAnsi="宋体" w:cs="宋体"/>
          <w:strike/>
          <w:color w:val="auto"/>
          <w:sz w:val="24"/>
          <w:highlight w:val="none"/>
        </w:rPr>
      </w:pPr>
      <w:r>
        <w:rPr>
          <w:rFonts w:hint="eastAsia" w:ascii="宋体" w:hAnsi="宋体" w:cs="宋体"/>
          <w:color w:val="auto"/>
          <w:sz w:val="24"/>
          <w:highlight w:val="none"/>
        </w:rPr>
        <w:t xml:space="preserve">C. 技术资料。</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第七条 技术资料</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7.1 技术资料交付的期限和方式见《合同专用条款》。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第八条 安装</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8.1 合同标的的安装期限见《合同专用条款》。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8.2 项目实施方案见合同附件7。</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第九条 验收</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9.1合同标的的试运行、验收见《合同专用条款》。</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9.2如果合同附件2 所规定的所有技术性能在验收中都已经达到，双方应在验收合格后5 日内签署验收书。</w:t>
      </w:r>
      <w:r>
        <w:rPr>
          <w:color w:val="auto"/>
          <w:highlight w:val="none"/>
        </w:rPr>
      </w:r>
      <w:r>
        <w:rPr>
          <w:color w:val="auto"/>
          <w:highlight w:val="none"/>
        </w:rPr>
      </w:r>
    </w:p>
    <w:p>
      <w:pPr>
        <w:ind w:firstLine="540"/>
        <w:rPr>
          <w:rFonts w:ascii="宋体" w:hAnsi="宋体" w:cs="宋体"/>
          <w:color w:val="auto"/>
          <w:sz w:val="24"/>
          <w:highlight w:val="none"/>
        </w:rPr>
      </w:pPr>
      <w:r>
        <w:rPr>
          <w:rFonts w:hint="eastAsia" w:ascii="宋体" w:hAnsi="宋体" w:cs="宋体"/>
          <w:color w:val="auto"/>
          <w:sz w:val="24"/>
          <w:highlight w:val="none"/>
        </w:rPr>
        <w:t xml:space="preserve">9.3验收标准（验收要求、验收标准和程序）：见合同附件5。</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第十条 售后服务和技术培训</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10.1售后服务和技术培训见合同附件3。</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第十一条 索赔</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A. 卖方替换不符合合同规定的合同标的。</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B. 按质量低劣的程度、买方受损害的程度及损失的数额对合同标的进行降价。</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C. 拒收合同标的。</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D. 赔偿由卖方违约引起的其他损失。</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第十二条 不可抗力</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第十三条 合同的终止</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A. 卖方在合同规定的交货期限后未能按《合同专用条款》中规定的最终期限交付合同标的和/或技术资料； </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B. 合同标的未能达到合同附件2 规定的技术性能； </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C. 卖方未能履行合同项下任何其它义务，并且在收到买方违约通知后未能按《合同专用条款》中规定的期限对其违约行为作出补救。</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13.3如果买方认定卖方在投标或执行合同中有腐败或欺诈行为,买方有权在任何时候发出书面通知终止合同。</w:t>
      </w:r>
      <w:r>
        <w:rPr>
          <w:color w:val="auto"/>
          <w:highlight w:val="none"/>
        </w:rPr>
      </w:r>
      <w:r>
        <w:rPr>
          <w:color w:val="auto"/>
          <w:highlight w:val="none"/>
        </w:rPr>
      </w:r>
    </w:p>
    <w:p>
      <w:pPr>
        <w:ind w:left="1" w:firstLine="537"/>
        <w:rPr>
          <w:rFonts w:ascii="宋体" w:hAnsi="宋体" w:cs="宋体"/>
          <w:color w:val="auto"/>
          <w:sz w:val="24"/>
          <w:highlight w:val="none"/>
        </w:rPr>
      </w:pPr>
      <w:r>
        <w:rPr>
          <w:rFonts w:hint="eastAsia" w:ascii="宋体" w:hAnsi="宋体" w:cs="宋体"/>
          <w:color w:val="auto"/>
          <w:sz w:val="24"/>
          <w:highlight w:val="none"/>
        </w:rPr>
        <w:t xml:space="preserve">A.“腐败行为”系指在招标、采购和合同执行等过程中，为谋求利益、影响相关人员而提供、给予、接受或索取任何有价物的行为。</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B.“欺诈行为”系指为了影响招标、采购和合同执行等过程而隐瞒事实，从而给买方造成损害的行为，其中包括投标人之间的串通行为。</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13.4 在买方全部或部分终止合同的情况下，卖方应按《合同专用条款》的规定对买方给予补偿。</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第十四条 争议的解决</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14.1 因执行本合同所发生的或者与本合同有关的一切争议由合同双方通过友好协商解决，如果不能协商一致，按《合同专用条款》规定的方式解决。</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第十五条 适用法律</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15.1 本合同的执行和争议的解决适用中华人民共和国的法律并按中华人民共和国的法律进行解释。</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第十六条  权利保证</w:t>
      </w:r>
      <w:r>
        <w:rPr>
          <w:color w:val="auto"/>
          <w:highlight w:val="none"/>
        </w:rPr>
      </w:r>
      <w:r>
        <w:rPr>
          <w:color w:val="auto"/>
          <w:highlight w:val="none"/>
        </w:rP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16.1卖方应保证买方在使用合同标的时不受第三方提出侵犯其专利权、版权、商标权或其他权利的起诉。一旦出现侵权，卖方承担全部责任。</w:t>
      </w:r>
      <w:r>
        <w:rPr>
          <w:color w:val="auto"/>
          <w:highlight w:val="none"/>
        </w:rPr>
      </w:r>
      <w:r>
        <w:rPr>
          <w:color w:val="auto"/>
          <w:highlight w:val="none"/>
        </w:rPr>
      </w:r>
    </w:p>
    <w:p>
      <w:pPr>
        <w:ind w:firstLine="480"/>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第十七条  保密 </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17.2上述秘密，卖方只能用于本合同，而且只能由卖方相应的人员使用；没有必要接触的卖方人员，不得接触。</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17.3卖方应当采取适当有效的方式保护所获取的上述秘密。</w:t>
      </w:r>
      <w:r>
        <w:rPr>
          <w:color w:val="auto"/>
          <w:highlight w:val="none"/>
        </w:rPr>
      </w:r>
      <w:r>
        <w:rPr>
          <w:color w:val="auto"/>
          <w:highlight w:val="none"/>
        </w:rP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rPr>
          <w:color w:val="auto"/>
          <w:highlight w:val="none"/>
        </w:rPr>
      </w:r>
      <w:r>
        <w:rPr>
          <w:color w:val="auto"/>
          <w:highlight w:val="none"/>
        </w:rPr>
      </w:r>
    </w:p>
    <w:p>
      <w:pPr>
        <w:ind w:firstLine="480"/>
        <w:spacing w:line="32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spacing w:line="320" w:lineRule="exact"/>
        <w:rPr>
          <w:rFonts w:ascii="宋体" w:hAnsi="宋体" w:cs="宋体"/>
          <w:color w:val="auto"/>
          <w:sz w:val="24"/>
          <w:highlight w:val="none"/>
        </w:rPr>
      </w:pPr>
      <w:r>
        <w:rPr>
          <w:rFonts w:hint="eastAsia" w:ascii="宋体" w:hAnsi="宋体" w:cs="宋体"/>
          <w:color w:val="auto"/>
          <w:sz w:val="24"/>
          <w:highlight w:val="none"/>
        </w:rPr>
        <w:t xml:space="preserve">第十八条 合同生效及其他</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 本合同在合同协议书（合同附件1）规定的条件全部满足后生效。</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18.3 合同双方各自承担与本合同有关的应负税费。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18.4合同双方除非《合同专用条款》另有规定，所有合同文件及相关的修订和合同双方之间的书面联络，应使用中文书就并按中文解释。</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18.5对本合同的任何补充、增添或修改以书面方式进行。</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18.6没有另一方的事先书面同意，合同任何一方不得将合同项下的任何权利和义务转让给第三方。</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18.8合同条款中的标题和边注仅供参考使用，不应视为合同的一部分，也不影响本文的解释。</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18.9合同构成买方和卖方之间就合同主要内容方面的完整协议，并且取代合同签订前所有关于这方面的通讯、协商、协议(不论是书面的，还是口头的)。</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rPr>
          <w:color w:val="auto"/>
          <w:highlight w:val="none"/>
        </w:rPr>
      </w:r>
      <w:r>
        <w:rPr>
          <w:color w:val="auto"/>
          <w:highlight w:val="none"/>
        </w:rPr>
      </w:r>
    </w:p>
    <w:p>
      <w:pPr>
        <w:ind w:firstLine="600"/>
        <w:jc w:val="center"/>
        <w:rPr>
          <w:rFonts w:ascii="宋体" w:hAnsi="宋体" w:cs="宋体"/>
          <w:color w:val="auto"/>
          <w:sz w:val="30"/>
          <w:szCs w:val="30"/>
          <w:highlight w:val="none"/>
        </w:rPr>
        <w:sectPr>
          <w:headerReference w:type="default" r:id="rId10"/>
          <w:footerReference w:type="default" r:id="rId14"/>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30"/>
          <w:szCs w:val="30"/>
          <w:highlight w:val="none"/>
        </w:rPr>
      </w:r>
      <w:r>
        <w:rPr>
          <w:color w:val="auto"/>
          <w:highlight w:val="none"/>
        </w:rPr>
      </w:r>
      <w:r>
        <w:rPr>
          <w:color w:val="auto"/>
          <w:highlight w:val="none"/>
        </w:rPr>
      </w:r>
    </w:p>
    <w:p>
      <w:pPr>
        <w:ind w:firstLine="600"/>
        <w:jc w:val="center"/>
        <w:spacing w:line="360" w:lineRule="auto"/>
        <w:rPr>
          <w:rFonts w:ascii="宋体" w:hAnsi="宋体" w:cs="宋体"/>
          <w:color w:val="auto"/>
          <w:sz w:val="30"/>
          <w:szCs w:val="30"/>
          <w:highlight w:val="none"/>
        </w:rPr>
      </w:pPr>
      <w:r>
        <w:rPr>
          <w:rFonts w:hint="eastAsia" w:ascii="宋体" w:hAnsi="宋体" w:cs="宋体"/>
          <w:color w:val="auto"/>
          <w:sz w:val="30"/>
          <w:szCs w:val="30"/>
          <w:highlight w:val="none"/>
        </w:rPr>
        <w:t xml:space="preserve">合同专用条款</w:t>
      </w:r>
      <w:r>
        <w:rPr>
          <w:color w:val="auto"/>
          <w:highlight w:val="none"/>
        </w:rPr>
      </w:r>
      <w:r>
        <w:rPr>
          <w:color w:val="auto"/>
          <w:highlight w:val="none"/>
        </w:rPr>
      </w:r>
    </w:p>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徐州市儿童医院 </w:t>
      </w:r>
      <w:r>
        <w:rPr>
          <w:color w:val="auto"/>
          <w:highlight w:val="none"/>
        </w:rPr>
      </w:r>
      <w:r>
        <w:rPr>
          <w:color w:val="auto"/>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color w:val="auto"/>
          <w:highlight w:val="none"/>
        </w:rPr>
      </w:r>
      <w:r>
        <w:rPr>
          <w:color w:val="auto"/>
          <w:highlight w:val="none"/>
        </w:rPr>
      </w:r>
    </w:p>
    <w:p>
      <w:pPr>
        <w:ind w:firstLine="48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480"/>
        <w:rPr>
          <w:rFonts w:ascii="宋体" w:hAnsi="宋体" w:cs="宋体"/>
          <w:color w:val="auto"/>
          <w:sz w:val="24"/>
          <w:highlight w:val="none"/>
        </w:rPr>
      </w:pPr>
      <w:r>
        <w:rPr>
          <w:rFonts w:hint="eastAsia" w:ascii="宋体" w:hAnsi="宋体" w:cs="宋体"/>
          <w:color w:val="auto"/>
          <w:sz w:val="24"/>
          <w:highlight w:val="none"/>
        </w:rPr>
        <w:t xml:space="preserve">《合同专用条款》中的条款项号是与《合同通用条款》中的条款项号对应的，其增加的内容和条款，是对《合同通用条款》的补充、修改和完善，如果有矛盾的话，以《合同专用条款》为准。</w:t>
      </w:r>
      <w:r>
        <w:rPr>
          <w:color w:val="auto"/>
          <w:highlight w:val="none"/>
        </w:rPr>
      </w:r>
      <w:r>
        <w:rPr>
          <w:color w:val="auto"/>
          <w:highlight w:val="none"/>
        </w:rPr>
      </w:r>
    </w:p>
    <w:p>
      <w:pPr>
        <w:ind w:firstLine="480"/>
        <w:spacing w:line="440" w:lineRule="exact"/>
        <w:rPr>
          <w:rFonts w:ascii="宋体" w:hAnsi="宋体" w:cs="宋体"/>
          <w:color w:val="auto"/>
          <w:sz w:val="24"/>
          <w:highlight w:val="none"/>
        </w:rPr>
      </w:pPr>
      <w:r>
        <w:rPr>
          <w:rFonts w:hint="eastAsia" w:ascii="宋体" w:hAnsi="宋体" w:cs="宋体"/>
          <w:bCs/>
          <w:color w:val="auto"/>
          <w:sz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cs="宋体"/>
          <w:color w:val="auto"/>
          <w:sz w:val="24"/>
          <w:highlight w:val="none"/>
        </w:rPr>
        <w:t xml:space="preserve">的权利、义务，确保合同双方共同执行。</w:t>
      </w:r>
      <w:r>
        <w:rPr>
          <w:color w:val="auto"/>
          <w:highlight w:val="none"/>
        </w:rPr>
      </w:r>
      <w:r>
        <w:rPr>
          <w:color w:val="auto"/>
          <w:highlight w:val="none"/>
        </w:rPr>
      </w:r>
    </w:p>
    <w:p>
      <w:pPr>
        <w:numPr>
          <w:ilvl w:val="0"/>
          <w:numId w:val="1"/>
        </w:numPr>
        <w:spacing w:line="360" w:lineRule="exact"/>
        <w:rPr>
          <w:rStyle w:val="1015"/>
          <w:rFonts w:ascii="宋体" w:hAnsi="宋体" w:cs="宋体"/>
          <w:b/>
          <w:color w:val="auto"/>
          <w:sz w:val="24"/>
          <w:highlight w:val="none"/>
        </w:rPr>
      </w:pPr>
      <w:r>
        <w:rPr>
          <w:rFonts w:hint="eastAsia" w:ascii="宋体" w:hAnsi="宋体" w:cs="宋体"/>
          <w:b/>
          <w:color w:val="auto"/>
          <w:sz w:val="24"/>
          <w:highlight w:val="none"/>
        </w:rPr>
        <w:t xml:space="preserve">合同标的</w:t>
      </w:r>
      <w:r>
        <w:rPr>
          <w:color w:val="auto"/>
          <w:highlight w:val="none"/>
        </w:rPr>
      </w:r>
      <w:r>
        <w:rPr>
          <w:color w:val="auto"/>
          <w:highlight w:val="none"/>
        </w:rPr>
      </w:r>
    </w:p>
    <w:p>
      <w:pPr>
        <w:ind w:left="426"/>
        <w:spacing w:line="360" w:lineRule="exact"/>
        <w:rPr>
          <w:rStyle w:val="1015"/>
          <w:rFonts w:ascii="宋体" w:hAnsi="宋体" w:cs="宋体"/>
          <w:color w:val="auto"/>
          <w:sz w:val="24"/>
          <w:highlight w:val="none"/>
        </w:rPr>
      </w:pPr>
      <w:r>
        <w:rPr>
          <w:rStyle w:val="1015"/>
          <w:rFonts w:hint="eastAsia" w:ascii="宋体" w:hAnsi="宋体" w:cs="宋体"/>
          <w:color w:val="auto"/>
          <w:sz w:val="24"/>
          <w:highlight w:val="none"/>
        </w:rPr>
        <w:t xml:space="preserve">1.1产品名称、型号、规格、数量及价款</w:t>
      </w:r>
      <w:r>
        <w:rPr>
          <w:color w:val="auto"/>
          <w:highlight w:val="none"/>
        </w:rPr>
      </w:r>
      <w:r>
        <w:rPr>
          <w:color w:val="auto"/>
          <w:highlight w:val="none"/>
        </w:rPr>
      </w:r>
    </w:p>
    <w:tbl>
      <w:tblPr>
        <w:tblStyle w:val="907"/>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产品名称</w:t>
            </w:r>
            <w:r>
              <w:rPr>
                <w:color w:val="auto"/>
                <w:highlight w:val="none"/>
              </w:rPr>
            </w:r>
            <w:r>
              <w:rPr>
                <w:color w:val="auto"/>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型号</w:t>
            </w:r>
            <w:r>
              <w:rPr>
                <w:color w:val="auto"/>
                <w:highlight w:val="none"/>
              </w:rPr>
            </w:r>
            <w:r>
              <w:rPr>
                <w:color w:val="auto"/>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单价（元）</w:t>
            </w:r>
            <w:r>
              <w:rPr>
                <w:color w:val="auto"/>
                <w:highlight w:val="none"/>
              </w:rPr>
            </w:r>
            <w:r>
              <w:rPr>
                <w:color w:val="auto"/>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单位</w:t>
            </w:r>
            <w:r>
              <w:rPr>
                <w:color w:val="auto"/>
                <w:highlight w:val="none"/>
              </w:rPr>
            </w:r>
            <w:r>
              <w:rPr>
                <w:color w:val="auto"/>
                <w:highlight w:val="none"/>
              </w:rPr>
            </w:r>
          </w:p>
        </w:tc>
        <w:tc>
          <w:tcPr>
            <w:tcW w:w="9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数量</w:t>
            </w:r>
            <w:r>
              <w:rPr>
                <w:color w:val="auto"/>
                <w:highlight w:val="none"/>
              </w:rPr>
            </w:r>
            <w:r>
              <w:rPr>
                <w:color w:val="auto"/>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金额（元）</w:t>
            </w:r>
            <w:r>
              <w:rPr>
                <w:color w:val="auto"/>
                <w:highlight w:val="none"/>
              </w:rPr>
            </w:r>
            <w:r>
              <w:rPr>
                <w:color w:val="auto"/>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备注</w:t>
            </w:r>
            <w:r>
              <w:rPr>
                <w:color w:val="auto"/>
                <w:highlight w:val="none"/>
              </w:rPr>
            </w:r>
            <w:r>
              <w:rPr>
                <w:color w:val="auto"/>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r>
      <w:tr>
        <w:trPr>
          <w:jc w:val="center"/>
          <w:trHeight w:val="567" w:hRule="exact"/>
        </w:trPr>
        <w:tc>
          <w:tcPr>
            <w:tcW w:w="184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bidi="ar"/>
              </w:rPr>
              <w:t xml:space="preserve">......</w:t>
            </w:r>
            <w:r>
              <w:rPr>
                <w:color w:val="auto"/>
                <w:highlight w:val="none"/>
              </w:rPr>
            </w:r>
            <w:r>
              <w:rPr>
                <w:color w:val="auto"/>
                <w:highlight w:val="none"/>
              </w:rPr>
            </w:r>
          </w:p>
        </w:tc>
        <w:tc>
          <w:tcPr>
            <w:tcW w:w="127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1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0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9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0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c>
          <w:tcPr>
            <w:tcW w:w="138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lang w:bidi="ar"/>
              </w:rPr>
            </w:r>
            <w:r>
              <w:rPr>
                <w:color w:val="auto"/>
                <w:highlight w:val="none"/>
              </w:rPr>
            </w:r>
            <w:r>
              <w:rPr>
                <w:color w:val="auto"/>
                <w:highlight w:val="none"/>
              </w:rPr>
            </w:r>
          </w:p>
        </w:tc>
      </w:tr>
      <w:tr>
        <w:trPr>
          <w:jc w:val="center"/>
          <w:trHeight w:val="537"/>
        </w:trPr>
        <w:tc>
          <w:tcPr>
            <w:gridSpan w:val="7"/>
            <w:tcW w:w="8678" w:type="dxa"/>
            <w:vAlign w:val="center"/>
            <w:textDirection w:val="lrTb"/>
            <w:noWrap w:val="false"/>
          </w:tcPr>
          <w:p>
            <w:pPr>
              <w:jc w:val="left"/>
              <w:rPr>
                <w:rFonts w:ascii="宋体" w:hAnsi="宋体" w:cs="宋体"/>
                <w:color w:val="auto"/>
                <w:sz w:val="24"/>
                <w:highlight w:val="none"/>
              </w:rPr>
            </w:pPr>
            <w:r>
              <w:rPr>
                <w:rFonts w:hint="eastAsia" w:ascii="宋体" w:hAnsi="宋体" w:cs="宋体"/>
                <w:b/>
                <w:color w:val="auto"/>
                <w:sz w:val="24"/>
                <w:highlight w:val="none"/>
                <w:lang w:bidi="ar"/>
              </w:rPr>
              <w:t xml:space="preserve">合计（大写）：人民币</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元整 </w:t>
            </w:r>
            <w:r>
              <w:rPr>
                <w:rFonts w:hint="eastAsia" w:ascii="宋体" w:hAnsi="宋体" w:cs="宋体"/>
                <w:b/>
                <w:color w:val="auto"/>
                <w:sz w:val="24"/>
                <w:highlight w:val="none"/>
                <w:u w:val="single"/>
                <w:lang w:bidi="ar"/>
              </w:rPr>
              <w:t xml:space="preserve">       </w:t>
            </w:r>
            <w:r>
              <w:rPr>
                <w:rFonts w:hint="eastAsia" w:ascii="宋体" w:hAnsi="宋体" w:cs="宋体"/>
                <w:b/>
                <w:color w:val="auto"/>
                <w:sz w:val="24"/>
                <w:highlight w:val="none"/>
                <w:lang w:bidi="ar"/>
              </w:rPr>
              <w:t xml:space="preserve">（含税含运费）</w:t>
            </w:r>
            <w:r>
              <w:rPr>
                <w:color w:val="auto"/>
                <w:highlight w:val="none"/>
              </w:rPr>
            </w:r>
            <w:r>
              <w:rPr>
                <w:color w:val="auto"/>
                <w:highlight w:val="none"/>
              </w:rP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清单等见附件，附件与本合同有同等法律效力。</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1.5本项目所有设备应包含所有有关互连所需的相关配件，保证其能正常运行，甲方不再为此另行支付任何费用。</w:t>
      </w:r>
      <w:r>
        <w:rPr>
          <w:color w:val="auto"/>
          <w:highlight w:val="none"/>
        </w:rPr>
      </w:r>
      <w:r>
        <w:rPr>
          <w:color w:val="auto"/>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2.交货方法、交货期限、到货地点及风险转移</w:t>
      </w:r>
      <w:r>
        <w:rPr>
          <w:color w:val="auto"/>
          <w:highlight w:val="none"/>
        </w:rPr>
      </w:r>
      <w:r>
        <w:rPr>
          <w:color w:val="auto"/>
          <w:highlight w:val="none"/>
        </w:rPr>
      </w:r>
    </w:p>
    <w:p>
      <w:pPr>
        <w:pStyle w:val="1218"/>
        <w:ind w:left="0"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2.1交货期：自本合同签订生效之日起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日内送达甲方指定地点，并安装调试完毕并投入使用。</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2.2</w:t>
      </w:r>
      <w:r>
        <w:rPr>
          <w:rFonts w:hint="eastAsia" w:ascii="宋体" w:hAnsi="宋体" w:cs="宋体"/>
          <w:color w:val="auto"/>
          <w:sz w:val="24"/>
          <w:highlight w:val="none"/>
        </w:rPr>
        <w:t xml:space="preserve">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2.3</w:t>
      </w:r>
      <w:r>
        <w:rPr>
          <w:rFonts w:hint="eastAsia" w:ascii="宋体" w:hAnsi="宋体" w:cs="宋体"/>
          <w:color w:val="auto"/>
          <w:sz w:val="24"/>
          <w:highlight w:val="none"/>
        </w:rPr>
        <w:t xml:space="preserve">甲方指定的到货地点：</w:t>
      </w: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b/>
          <w:color w:val="auto"/>
          <w:sz w:val="24"/>
          <w:highlight w:val="none"/>
        </w:rPr>
        <w:t xml:space="preserve">2.4</w:t>
      </w:r>
      <w:r>
        <w:rPr>
          <w:rFonts w:hint="eastAsia" w:ascii="宋体" w:hAnsi="宋体" w:cs="宋体"/>
          <w:color w:val="auto"/>
          <w:sz w:val="24"/>
          <w:highlight w:val="none"/>
        </w:rPr>
        <w:t xml:space="preserve">在乙方将货物交付甲方指定的交货地点和人员前，货物的毁损、灭失风险完全由乙方承担。</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3. 货物包装及质量保证</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3.4乙方应保证本合同货物和服务或其任何一部分享有合法专利权、版权、商标权和工业设计权等知识产权，或经第三方合法授权。一旦出现侵权，由乙方负全部责任。</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3.6乙方保证所提供设备的技术规格符合甲方采购需求，符合国家有关部门最新颁布的标准及规范。</w:t>
      </w:r>
      <w:r>
        <w:rPr>
          <w:color w:val="auto"/>
          <w:highlight w:val="none"/>
        </w:rPr>
      </w:r>
      <w:r>
        <w:rPr>
          <w:color w:val="auto"/>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4.交货物验收、异议</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4.1货物到达甲方指定到货地点后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日内，甲、乙双方共同进行验收、测试。</w:t>
      </w:r>
      <w:r>
        <w:rPr>
          <w:color w:val="auto"/>
          <w:highlight w:val="none"/>
        </w:rPr>
      </w:r>
      <w:r>
        <w:rPr>
          <w:color w:val="auto"/>
          <w:highlight w:val="none"/>
        </w:rP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4.2验收标准:（1）货物外形、包装完好；（2）数量无误；（3）货物符合合同要求及标准，产品说明书对货物有质量说明的，也应符合该质量说明；（4）设备均具有食品药品监督管理局颁发的医疗器械注册证。</w:t>
      </w:r>
      <w:r>
        <w:rPr>
          <w:color w:val="auto"/>
          <w:highlight w:val="none"/>
        </w:rPr>
      </w:r>
      <w:r>
        <w:rPr>
          <w:color w:val="auto"/>
          <w:highlight w:val="none"/>
        </w:rP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4双方在验收中，如果发现货物的品种、型号、规格、数量、质量与本合同附件规定不符，双方应签署书面文件，甲方有权拒付不符合合同规定部分的货款，并在货物验收十五日内向乙方提出书面异议和处理意见；如货物与合同货物不一致，甲方有权拒付全部货款，并解除合同，乙方并承担合同价款20%的违约金责任。</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5如甲方未按规定期限提出书面异议的，视为所交货物符合合同规定，但货物存在隐蔽瑕疵或者对质量保证期另有规定的除外。</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w:t>
      </w:r>
      <w:r>
        <w:rPr>
          <w:rFonts w:hint="eastAsia" w:ascii="宋体" w:hAnsi="宋体" w:cs="宋体"/>
          <w:color w:val="auto"/>
          <w:sz w:val="24"/>
          <w:highlight w:val="none"/>
        </w:rPr>
        <w:t xml:space="preserve">6乙方在接到甲方书面异议后，应在三日内提出处理意见，否则，即视为默认甲方提出的异议和处理意见，乙方应照此执行。</w:t>
      </w:r>
      <w:r>
        <w:rPr>
          <w:color w:val="auto"/>
          <w:highlight w:val="none"/>
        </w:rPr>
      </w:r>
      <w:r>
        <w:rPr>
          <w:color w:val="auto"/>
          <w:highlight w:val="none"/>
        </w:rPr>
      </w:r>
    </w:p>
    <w:p>
      <w:pPr>
        <w:pStyle w:val="1219"/>
        <w:ind w:left="480"/>
        <w:spacing w:before="0" w:beforeAutospacing="0" w:after="0" w:afterAutospacing="0" w:line="360" w:lineRule="auto"/>
        <w:rPr>
          <w:b/>
          <w:color w:val="auto"/>
          <w:szCs w:val="24"/>
          <w:highlight w:val="none"/>
        </w:rPr>
      </w:pPr>
      <w:r>
        <w:rPr>
          <w:rFonts w:hint="eastAsia"/>
          <w:b/>
          <w:color w:val="auto"/>
          <w:szCs w:val="24"/>
          <w:highlight w:val="none"/>
        </w:rPr>
        <w:t xml:space="preserve">5. 安装、调试与验收</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5.</w:t>
      </w:r>
      <w:r>
        <w:rPr>
          <w:rFonts w:hint="eastAsia" w:ascii="宋体" w:hAnsi="宋体" w:cs="宋体"/>
          <w:color w:val="auto"/>
          <w:sz w:val="24"/>
          <w:highlight w:val="none"/>
        </w:rPr>
        <w:t xml:space="preserve">1设备到货验收后，乙方3日内派具备符合国家规定的具备相应资质的人员到达现场负责设备的免费安装和调试。设备安装时，乙方必须事先与甲方的设备科联系，并与设备科共同参与，否则引起的一切责任由乙方承担。</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5.2乙方提供设备安装和维修所需的专用工具和辅助材料。</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5.3乙方必须提供设备安装、集成及调测服务，安装、调试必须按照国家标准和行业规范进行，并确保调试完成后，设备能够正常运行，达到甲方可正常使用状态。调试的原始记录须经双方签字后作为验收的文件之一。</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5.4甲方对设备试用后进行验收，乙方派工程师到达现场共同验收工作。乙方需提供设备的出厂检验报告、合格证书、装箱单，并且预先提供验收标准，填写验收报告书，供双方最终确认所用。</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5.5验收标准依次序对照适用标准为：1、货物为原制造商制造的全新产品，无污染，无侵权行为、表面无划损、无任何缺陷隐患，在中国境内可依规安全合法使用；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5.6设备安装、调试产品正常运行后，各项指标和参数应符合验收标准。甲方有权委托中国有资格单位或机构对设备性能、精度进行校核。甲方签字确认的《验收合格证明》为验收合格的唯一凭证。</w:t>
      </w:r>
      <w:r>
        <w:rPr>
          <w:color w:val="auto"/>
          <w:highlight w:val="none"/>
        </w:rPr>
      </w:r>
      <w:r>
        <w:rPr>
          <w:color w:val="auto"/>
          <w:highlight w:val="none"/>
        </w:rP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5.7乙方免费提供全套技术资料（产品使用手册、维修说明书、操作说明书等），如技术资料不全，甲方有权不支付货款。</w:t>
      </w:r>
      <w:r>
        <w:rPr>
          <w:color w:val="auto"/>
          <w:highlight w:val="none"/>
        </w:rPr>
      </w:r>
      <w:r>
        <w:rPr>
          <w:color w:val="auto"/>
          <w:highlight w:val="none"/>
        </w:rP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5.8 如乙方提供的设备设有维修软件密码，乙方应保证无条件地为甲方永久免费打开。</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5.9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5.10乙方所供设备如验收不合格，根据甲方的要求，乙方必须无条件换货或退货，由此引起的一切损失由乙方承担。</w:t>
      </w:r>
      <w:r>
        <w:rPr>
          <w:color w:val="auto"/>
          <w:highlight w:val="none"/>
        </w:rPr>
      </w:r>
      <w:r>
        <w:rPr>
          <w:color w:val="auto"/>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b/>
          <w:color w:val="auto"/>
          <w:sz w:val="24"/>
          <w:highlight w:val="none"/>
        </w:rPr>
        <w:t xml:space="preserve">6.付款方式</w:t>
      </w:r>
      <w:r>
        <w:rPr>
          <w:rFonts w:hint="eastAsia" w:ascii="宋体" w:hAnsi="宋体" w:cs="宋体"/>
          <w:color w:val="auto"/>
          <w:sz w:val="24"/>
          <w:highlight w:val="none"/>
        </w:rPr>
        <w:t xml:space="preserve">（采购资金的支付方式、时间、条件）</w:t>
      </w:r>
      <w:r>
        <w:rPr>
          <w:color w:val="auto"/>
          <w:highlight w:val="none"/>
        </w:rPr>
      </w:r>
      <w:r>
        <w:rPr>
          <w:color w:val="auto"/>
          <w:highlight w:val="none"/>
        </w:rPr>
      </w:r>
    </w:p>
    <w:p>
      <w:pPr>
        <w:ind w:firstLine="562"/>
        <w:spacing w:line="400" w:lineRule="exact"/>
        <w:rPr>
          <w:rFonts w:ascii="宋体" w:hAnsi="宋体" w:cs="宋体"/>
          <w:b/>
          <w:bCs/>
          <w:color w:val="auto"/>
          <w:sz w:val="24"/>
          <w:highlight w:val="none"/>
        </w:rPr>
      </w:pPr>
      <w:r>
        <w:rPr>
          <w:rFonts w:hint="eastAsia" w:ascii="宋体" w:hAnsi="宋体" w:cs="宋体"/>
          <w:b/>
          <w:bCs/>
          <w:color w:val="auto"/>
          <w:sz w:val="24"/>
          <w:highlight w:val="none"/>
        </w:rPr>
        <w:t xml:space="preserve">6.1本合同总金额为人民币大写金额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元（小写金额：</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元）。</w:t>
      </w:r>
      <w:r>
        <w:rPr>
          <w:color w:val="auto"/>
          <w:highlight w:val="none"/>
        </w:rPr>
      </w:r>
      <w:r>
        <w:rPr>
          <w:color w:val="auto"/>
          <w:highlight w:val="none"/>
        </w:rPr>
      </w:r>
    </w:p>
    <w:p>
      <w:pPr>
        <w:ind w:firstLine="562"/>
        <w:spacing w:line="400" w:lineRule="exact"/>
        <w:rPr>
          <w:rFonts w:ascii="宋体" w:hAnsi="宋体" w:cs="宋体"/>
          <w:color w:val="auto"/>
          <w:sz w:val="24"/>
          <w:highlight w:val="none"/>
        </w:rPr>
      </w:pPr>
      <w:r>
        <w:rPr>
          <w:rFonts w:hint="eastAsia" w:ascii="宋体" w:hAnsi="宋体" w:cs="宋体"/>
          <w:b/>
          <w:bCs/>
          <w:color w:val="auto"/>
          <w:sz w:val="24"/>
          <w:highlight w:val="none"/>
        </w:rPr>
        <w:t xml:space="preserve">经双方协商一致，选择以下第</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种付款方式：</w:t>
      </w:r>
      <w:r>
        <w:rPr>
          <w:color w:val="auto"/>
          <w:highlight w:val="none"/>
        </w:rPr>
      </w:r>
      <w:r>
        <w:rPr>
          <w:color w:val="auto"/>
          <w:highlight w:val="none"/>
        </w:rPr>
      </w:r>
    </w:p>
    <w:p>
      <w:pPr>
        <w:pStyle w:val="1220"/>
        <w:ind w:firstLine="568"/>
        <w:spacing w:line="400" w:lineRule="exact"/>
        <w:rPr>
          <w:rFonts w:hAnsi="宋体" w:cs="宋体"/>
          <w:b/>
          <w:bCs/>
          <w:color w:val="auto"/>
          <w:sz w:val="24"/>
          <w:szCs w:val="24"/>
          <w:highlight w:val="none"/>
        </w:rPr>
      </w:pPr>
      <w:r>
        <w:rPr>
          <w:rFonts w:hint="eastAsia" w:hAnsi="宋体" w:cs="宋体"/>
          <w:b/>
          <w:bCs/>
          <w:color w:val="auto"/>
          <w:sz w:val="24"/>
          <w:szCs w:val="24"/>
          <w:highlight w:val="none"/>
        </w:rPr>
        <w:t xml:space="preserve">付款方式一：提交预付款保函的</w:t>
      </w:r>
      <w:r>
        <w:rPr>
          <w:color w:val="auto"/>
          <w:highlight w:val="none"/>
        </w:rPr>
      </w:r>
      <w:r>
        <w:rPr>
          <w:color w:val="auto"/>
          <w:highlight w:val="none"/>
        </w:rPr>
      </w:r>
    </w:p>
    <w:p>
      <w:pPr>
        <w:pStyle w:val="1220"/>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30%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元整，在双方签订合同后，</w:t>
      </w:r>
      <w:r>
        <w:rPr>
          <w:rFonts w:hint="eastAsia" w:hAnsi="宋体" w:cs="宋体"/>
          <w:color w:val="auto"/>
          <w:sz w:val="24"/>
          <w:szCs w:val="24"/>
          <w:highlight w:val="none"/>
        </w:rPr>
        <w:t xml:space="preserve">乙方提交结算资料，</w:t>
      </w:r>
      <w:r>
        <w:rPr>
          <w:rFonts w:hint="eastAsia" w:hAnsi="宋体" w:cs="宋体"/>
          <w:bCs/>
          <w:color w:val="auto"/>
          <w:sz w:val="24"/>
          <w:szCs w:val="24"/>
          <w:highlight w:val="none"/>
        </w:rPr>
        <w:t xml:space="preserve">出具等额预付款保函后10个工作日内办理财政资金申请手续，将资金支付到合同约定的乙方账户。</w:t>
      </w:r>
      <w:r>
        <w:rPr>
          <w:color w:val="auto"/>
          <w:highlight w:val="none"/>
        </w:rPr>
      </w:r>
      <w:r>
        <w:rPr>
          <w:color w:val="auto"/>
          <w:highlight w:val="none"/>
        </w:rPr>
      </w:r>
    </w:p>
    <w:p>
      <w:pPr>
        <w:pStyle w:val="1220"/>
        <w:ind w:firstLine="565"/>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color w:val="auto"/>
          <w:sz w:val="24"/>
          <w:szCs w:val="24"/>
          <w:highlight w:val="none"/>
          <w:u w:val="single"/>
        </w:rPr>
        <w:t xml:space="preserve">百分之七十</w:t>
      </w:r>
      <w:r>
        <w:rPr>
          <w:rFonts w:hint="eastAsia" w:hAnsi="宋体" w:cs="宋体"/>
          <w:color w:val="auto"/>
          <w:sz w:val="24"/>
          <w:szCs w:val="24"/>
          <w:highlight w:val="none"/>
        </w:rPr>
        <w:t xml:space="preserve">(</w:t>
      </w:r>
      <w:r>
        <w:rPr>
          <w:rFonts w:hint="eastAsia" w:hAnsi="宋体" w:cs="宋体"/>
          <w:color w:val="auto"/>
          <w:sz w:val="24"/>
          <w:szCs w:val="24"/>
          <w:highlight w:val="none"/>
          <w:u w:val="single"/>
        </w:rPr>
        <w:t xml:space="preserve">70</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w:t>
      </w:r>
      <w:r>
        <w:rPr>
          <w:rFonts w:hint="eastAsia" w:hAnsi="宋体" w:cs="宋体"/>
          <w:color w:val="auto"/>
          <w:sz w:val="24"/>
          <w:szCs w:val="24"/>
          <w:highlight w:val="none"/>
        </w:rPr>
        <w:t xml:space="preserve">质量问题后，</w:t>
      </w:r>
      <w:bookmarkStart w:id="2" w:name="OLE_LINK5"/>
      <w:r>
        <w:rPr>
          <w:rFonts w:hint="eastAsia" w:hAnsi="宋体" w:cs="宋体"/>
          <w:color w:val="auto"/>
          <w:sz w:val="24"/>
          <w:szCs w:val="24"/>
          <w:highlight w:val="none"/>
        </w:rPr>
        <w:t xml:space="preserve">乙方提交结算资料，经甲方审核确认后，甲方自收到等额发票后10个工作日内办理财政资金申请手续，将资金支付到合同约定的乙方账户。</w:t>
      </w:r>
      <w:bookmarkEnd w:id="2"/>
      <w:r>
        <w:rPr>
          <w:color w:val="auto"/>
          <w:highlight w:val="none"/>
        </w:rPr>
      </w:r>
      <w:r>
        <w:rPr>
          <w:color w:val="auto"/>
          <w:highlight w:val="none"/>
        </w:rP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rPr>
          <w:color w:val="auto"/>
          <w:highlight w:val="none"/>
        </w:rPr>
      </w:r>
      <w:r>
        <w:rPr>
          <w:color w:val="auto"/>
          <w:highlight w:val="none"/>
        </w:rP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rPr>
          <w:color w:val="auto"/>
          <w:highlight w:val="none"/>
        </w:rPr>
      </w:r>
      <w:r>
        <w:rPr>
          <w:color w:val="auto"/>
          <w:highlight w:val="none"/>
        </w:rPr>
      </w:r>
    </w:p>
    <w:p>
      <w:pPr>
        <w:ind w:firstLine="565"/>
        <w:spacing w:line="400" w:lineRule="exact"/>
        <w:rPr>
          <w:rFonts w:ascii="宋体" w:hAnsi="宋体" w:cs="宋体"/>
          <w:b/>
          <w:color w:val="auto"/>
          <w:sz w:val="24"/>
          <w:highlight w:val="none"/>
        </w:rPr>
      </w:pPr>
      <w:r>
        <w:rPr>
          <w:rFonts w:hint="eastAsia" w:ascii="宋体" w:hAnsi="宋体" w:cs="宋体"/>
          <w:b/>
          <w:color w:val="auto"/>
          <w:sz w:val="24"/>
          <w:highlight w:val="none"/>
        </w:rPr>
        <w:t xml:space="preserve">付款方式二：不提交预付款保函的</w:t>
      </w:r>
      <w:r>
        <w:rPr>
          <w:color w:val="auto"/>
          <w:highlight w:val="none"/>
        </w:rPr>
      </w:r>
      <w:r>
        <w:rPr>
          <w:color w:val="auto"/>
          <w:highlight w:val="none"/>
        </w:rPr>
      </w:r>
    </w:p>
    <w:p>
      <w:pPr>
        <w:pStyle w:val="1220"/>
        <w:ind w:firstLine="565"/>
        <w:spacing w:line="400" w:lineRule="exact"/>
        <w:rPr>
          <w:rFonts w:hAnsi="宋体" w:cs="宋体"/>
          <w:bCs/>
          <w:color w:val="auto"/>
          <w:sz w:val="24"/>
          <w:szCs w:val="24"/>
          <w:highlight w:val="none"/>
        </w:rPr>
      </w:pPr>
      <w:r>
        <w:rPr>
          <w:rFonts w:hint="eastAsia" w:hAnsi="宋体" w:cs="宋体"/>
          <w:bCs/>
          <w:color w:val="auto"/>
          <w:sz w:val="24"/>
          <w:szCs w:val="24"/>
          <w:highlight w:val="none"/>
        </w:rPr>
        <w:t xml:space="preserve">合同价款的</w:t>
      </w:r>
      <w:r>
        <w:rPr>
          <w:rFonts w:hint="eastAsia" w:hAnsi="宋体" w:cs="宋体"/>
          <w:bCs/>
          <w:color w:val="auto"/>
          <w:sz w:val="24"/>
          <w:szCs w:val="24"/>
          <w:highlight w:val="none"/>
          <w:u w:val="single"/>
        </w:rPr>
        <w:t xml:space="preserve">百分之三十</w:t>
      </w:r>
      <w:r>
        <w:rPr>
          <w:rFonts w:hint="eastAsia" w:hAnsi="宋体" w:cs="宋体"/>
          <w:bCs/>
          <w:color w:val="auto"/>
          <w:sz w:val="24"/>
          <w:szCs w:val="24"/>
          <w:highlight w:val="none"/>
        </w:rPr>
        <w:t xml:space="preserve">(3</w:t>
      </w:r>
      <w:r>
        <w:rPr>
          <w:rFonts w:hint="eastAsia" w:hAnsi="宋体" w:cs="宋体"/>
          <w:bCs/>
          <w:color w:val="auto"/>
          <w:sz w:val="24"/>
          <w:szCs w:val="24"/>
          <w:highlight w:val="none"/>
          <w:u w:val="single"/>
        </w:rPr>
        <w:t xml:space="preserve">0%</w:t>
      </w:r>
      <w:r>
        <w:rPr>
          <w:rFonts w:hint="eastAsia" w:hAnsi="宋体" w:cs="宋体"/>
          <w:bCs/>
          <w:color w:val="auto"/>
          <w:sz w:val="24"/>
          <w:szCs w:val="24"/>
          <w:highlight w:val="none"/>
        </w:rPr>
        <w:t xml:space="preserve">)即￥</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，大写：人民币</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 xml:space="preserve">，在双方签订合同后并正式发货前</w:t>
      </w:r>
      <w:r>
        <w:rPr>
          <w:rFonts w:hint="eastAsia" w:hAnsi="宋体" w:cs="宋体"/>
          <w:color w:val="auto"/>
          <w:sz w:val="24"/>
          <w:szCs w:val="24"/>
          <w:highlight w:val="none"/>
        </w:rPr>
        <w:t xml:space="preserve">，乙方提交结算资料，经甲方审核确认后，甲方自收到</w:t>
      </w:r>
      <w:bookmarkStart w:id="3" w:name="OLE_LINK9"/>
      <w:r>
        <w:rPr>
          <w:rFonts w:hint="eastAsia" w:hAnsi="宋体" w:cs="宋体"/>
          <w:color w:val="auto"/>
          <w:sz w:val="24"/>
          <w:szCs w:val="24"/>
          <w:highlight w:val="none"/>
        </w:rPr>
        <w:t xml:space="preserve">等额发票</w:t>
      </w:r>
      <w:bookmarkEnd w:id="3"/>
      <w:r>
        <w:rPr>
          <w:rFonts w:hint="eastAsia" w:hAnsi="宋体" w:cs="宋体"/>
          <w:color w:val="auto"/>
          <w:sz w:val="24"/>
          <w:szCs w:val="24"/>
          <w:highlight w:val="none"/>
        </w:rPr>
        <w:t xml:space="preserve">后10个工作日内办理财政资金申请手续，将资金支付到合同约定的乙方账户。</w:t>
      </w:r>
      <w:r>
        <w:rPr>
          <w:color w:val="auto"/>
          <w:highlight w:val="none"/>
        </w:rPr>
      </w:r>
      <w:r>
        <w:rPr>
          <w:color w:val="auto"/>
          <w:highlight w:val="none"/>
        </w:rPr>
      </w:r>
    </w:p>
    <w:p>
      <w:pPr>
        <w:pStyle w:val="1221"/>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百分之七十</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70%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auto"/>
          <w:highlight w:val="none"/>
        </w:rPr>
      </w:r>
      <w:r>
        <w:rPr>
          <w:color w:val="auto"/>
          <w:highlight w:val="none"/>
        </w:rPr>
      </w:r>
    </w:p>
    <w:p>
      <w:pPr>
        <w:ind w:firstLine="482"/>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付款方式三：乙方明确表示无需预付款的</w:t>
      </w:r>
      <w:r>
        <w:rPr>
          <w:rFonts w:hint="eastAsia" w:ascii="宋体" w:hAnsi="宋体" w:cs="宋体"/>
          <w:color w:val="auto"/>
          <w:sz w:val="24"/>
          <w:highlight w:val="none"/>
        </w:rPr>
        <w:t xml:space="preserve">（注：此条符合苏财购〔2020〕52号</w:t>
      </w:r>
      <w:r>
        <w:rPr>
          <w:rFonts w:hint="eastAsia" w:ascii="宋体" w:hAnsi="宋体" w:cs="宋体"/>
          <w:color w:val="auto"/>
          <w:sz w:val="24"/>
          <w:highlight w:val="none"/>
        </w:rPr>
        <w:t xml:space="preserve">文件要求）</w:t>
      </w:r>
      <w:r>
        <w:rPr>
          <w:color w:val="auto"/>
          <w:highlight w:val="none"/>
        </w:rPr>
      </w:r>
      <w:r>
        <w:rPr>
          <w:color w:val="auto"/>
          <w:highlight w:val="none"/>
        </w:rPr>
      </w:r>
    </w:p>
    <w:p>
      <w:pPr>
        <w:pStyle w:val="1221"/>
        <w:ind w:firstLine="606"/>
        <w:spacing w:line="400" w:lineRule="exact"/>
        <w:rPr>
          <w:rFonts w:hAnsi="宋体" w:cs="宋体"/>
          <w:color w:val="auto"/>
          <w:sz w:val="24"/>
          <w:szCs w:val="24"/>
          <w:highlight w:val="none"/>
        </w:rPr>
      </w:pPr>
      <w:r>
        <w:rPr>
          <w:rFonts w:hint="eastAsia" w:hAnsi="宋体" w:cs="宋体"/>
          <w:color w:val="auto"/>
          <w:sz w:val="24"/>
          <w:szCs w:val="24"/>
          <w:highlight w:val="none"/>
        </w:rPr>
        <w:t xml:space="preserve">合同总价的</w:t>
      </w:r>
      <w:r>
        <w:rPr>
          <w:rFonts w:hint="eastAsia" w:hAnsi="宋体" w:cs="宋体"/>
          <w:bCs/>
          <w:color w:val="auto"/>
          <w:sz w:val="24"/>
          <w:szCs w:val="24"/>
          <w:highlight w:val="none"/>
          <w:u w:val="single"/>
        </w:rPr>
        <w:t xml:space="preserve">百分之百</w:t>
      </w:r>
      <w:r>
        <w:rPr>
          <w:rFonts w:hint="eastAsia" w:hAnsi="宋体" w:cs="宋体"/>
          <w:bCs/>
          <w:color w:val="auto"/>
          <w:sz w:val="24"/>
          <w:szCs w:val="24"/>
          <w:highlight w:val="none"/>
        </w:rPr>
        <w:t xml:space="preserve">(</w:t>
      </w:r>
      <w:r>
        <w:rPr>
          <w:rFonts w:hint="eastAsia" w:hAnsi="宋体" w:cs="宋体"/>
          <w:bCs/>
          <w:color w:val="auto"/>
          <w:sz w:val="24"/>
          <w:szCs w:val="24"/>
          <w:highlight w:val="none"/>
          <w:u w:val="single"/>
        </w:rPr>
        <w:t xml:space="preserve">100%</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即￥</w:t>
      </w:r>
      <w:r>
        <w:rPr>
          <w:rFonts w:hint="eastAsia" w:hAnsi="宋体" w:cs="宋体"/>
          <w:color w:val="auto"/>
          <w:sz w:val="24"/>
          <w:szCs w:val="24"/>
          <w:highlight w:val="none"/>
          <w:u w:val="single"/>
        </w:rPr>
        <w:t xml:space="preserve">     </w:t>
      </w:r>
      <w:r>
        <w:rPr>
          <w:rFonts w:hint="eastAsia" w:hAnsi="宋体" w:cs="宋体"/>
          <w:bCs/>
          <w:color w:val="auto"/>
          <w:sz w:val="24"/>
          <w:szCs w:val="24"/>
          <w:highlight w:val="none"/>
        </w:rPr>
        <w:t xml:space="preserve">，</w:t>
      </w:r>
      <w:r>
        <w:rPr>
          <w:rFonts w:hint="eastAsia" w:hAnsi="宋体" w:cs="宋体"/>
          <w:color w:val="auto"/>
          <w:sz w:val="24"/>
          <w:szCs w:val="24"/>
          <w:highlight w:val="none"/>
        </w:rPr>
        <w:t xml:space="preserve">大写：人民币</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，合同标的全部交付并安装完毕验收合格且试运行无质量问题后，乙方提交结算资料，经甲方审核确认后，甲方自收到等额发票后10个工作日内办理财政资金申请手续，将资金支付到合同约定的乙方账户。</w:t>
      </w:r>
      <w:r>
        <w:rPr>
          <w:color w:val="auto"/>
          <w:highlight w:val="none"/>
        </w:rPr>
      </w:r>
      <w:r>
        <w:rPr>
          <w:color w:val="auto"/>
          <w:highlight w:val="none"/>
        </w:rPr>
      </w:r>
    </w:p>
    <w:p>
      <w:pPr>
        <w:ind w:firstLine="560"/>
        <w:spacing w:line="400" w:lineRule="exact"/>
        <w:rPr>
          <w:rFonts w:ascii="宋体" w:hAnsi="宋体" w:cs="宋体"/>
          <w:color w:val="auto"/>
          <w:sz w:val="24"/>
          <w:highlight w:val="none"/>
        </w:rPr>
      </w:pPr>
      <w:r>
        <w:rPr>
          <w:rFonts w:hint="eastAsia" w:ascii="宋体" w:hAnsi="宋体" w:cs="宋体"/>
          <w:color w:val="auto"/>
          <w:sz w:val="24"/>
          <w:highlight w:val="none"/>
        </w:rPr>
        <w:t xml:space="preserve">乙方需提交的支付文件包括：</w:t>
      </w:r>
      <w:r>
        <w:rPr>
          <w:color w:val="auto"/>
          <w:highlight w:val="none"/>
        </w:rPr>
      </w:r>
      <w:r>
        <w:rPr>
          <w:color w:val="auto"/>
          <w:highlight w:val="none"/>
        </w:rPr>
      </w:r>
    </w:p>
    <w:p>
      <w:pPr>
        <w:ind w:firstLine="560"/>
        <w:spacing w:line="400" w:lineRule="exact"/>
        <w:rPr>
          <w:rFonts w:ascii="宋体" w:hAnsi="宋体" w:cs="宋体"/>
          <w:bCs/>
          <w:color w:val="auto"/>
          <w:sz w:val="24"/>
          <w:highlight w:val="none"/>
        </w:rPr>
      </w:pPr>
      <w:r>
        <w:rPr>
          <w:rFonts w:hint="eastAsia" w:ascii="宋体" w:hAnsi="宋体" w:cs="宋体"/>
          <w:color w:val="auto"/>
          <w:sz w:val="24"/>
          <w:highlight w:val="none"/>
        </w:rPr>
        <w:t xml:space="preserve">乙方出具的全额正式发票、甲方出具的验收合格证明。</w:t>
      </w:r>
      <w:r>
        <w:rPr>
          <w:color w:val="auto"/>
          <w:highlight w:val="none"/>
        </w:rPr>
      </w:r>
      <w:r>
        <w:rPr>
          <w:color w:val="auto"/>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6.2 履约保证金退还的方式、时间、条件和不予退还的情形：无。</w:t>
      </w:r>
      <w:r>
        <w:rPr>
          <w:color w:val="auto"/>
          <w:highlight w:val="none"/>
        </w:rPr>
      </w:r>
      <w:r>
        <w:rPr>
          <w:color w:val="auto"/>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6.3 合同约定的乙方账户：</w:t>
      </w:r>
      <w:r>
        <w:rPr>
          <w:color w:val="auto"/>
          <w:highlight w:val="none"/>
        </w:rPr>
      </w:r>
      <w:r>
        <w:rPr>
          <w:color w:val="auto"/>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开户银行：</w:t>
      </w:r>
      <w:r>
        <w:rPr>
          <w:color w:val="auto"/>
          <w:highlight w:val="none"/>
        </w:rPr>
      </w:r>
      <w:r>
        <w:rPr>
          <w:color w:val="auto"/>
          <w:highlight w:val="none"/>
        </w:rPr>
      </w:r>
    </w:p>
    <w:p>
      <w:pPr>
        <w:ind w:firstLine="482"/>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银行帐号：</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7.质量保证期及售后服务</w:t>
      </w:r>
      <w:r>
        <w:rPr>
          <w:color w:val="auto"/>
          <w:highlight w:val="none"/>
        </w:rPr>
      </w:r>
      <w:r>
        <w:rPr>
          <w:color w:val="auto"/>
          <w:highlight w:val="none"/>
        </w:rPr>
      </w:r>
    </w:p>
    <w:p>
      <w:pPr>
        <w:pStyle w:val="1222"/>
        <w:ind w:firstLine="482"/>
        <w:spacing w:before="0" w:after="0" w:line="360" w:lineRule="auto"/>
        <w:shd w:val="clear" w:color="auto" w:fill="auto"/>
        <w:tabs>
          <w:tab w:val="left" w:pos="1009" w:leader="none"/>
        </w:tabs>
        <w:rPr>
          <w:rFonts w:ascii="宋体" w:hAnsi="宋体" w:eastAsia="宋体" w:cs="宋体"/>
          <w:bCs/>
          <w:color w:val="auto"/>
          <w:spacing w:val="0"/>
          <w:sz w:val="24"/>
          <w:szCs w:val="24"/>
          <w:highlight w:val="none"/>
        </w:rPr>
      </w:pPr>
      <w:r>
        <w:rPr>
          <w:rFonts w:hint="eastAsia" w:ascii="宋体" w:hAnsi="宋体" w:eastAsia="宋体" w:cs="宋体"/>
          <w:b/>
          <w:color w:val="auto"/>
          <w:spacing w:val="0"/>
          <w:sz w:val="24"/>
          <w:szCs w:val="24"/>
          <w:highlight w:val="none"/>
        </w:rPr>
        <w:t xml:space="preserve">7.1质量保证期：</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质保</w:t>
      </w:r>
      <w:r>
        <w:rPr>
          <w:rFonts w:hint="eastAsia" w:ascii="宋体" w:hAnsi="宋体" w:eastAsia="宋体" w:cs="宋体"/>
          <w:b/>
          <w:color w:val="auto"/>
          <w:spacing w:val="0"/>
          <w:sz w:val="24"/>
          <w:szCs w:val="24"/>
          <w:highlight w:val="none"/>
          <w:u w:val="single"/>
        </w:rPr>
        <w:t xml:space="preserve">   </w:t>
      </w:r>
      <w:r>
        <w:rPr>
          <w:rFonts w:hint="eastAsia" w:ascii="宋体" w:hAnsi="宋体" w:eastAsia="宋体" w:cs="宋体"/>
          <w:b/>
          <w:color w:val="auto"/>
          <w:spacing w:val="0"/>
          <w:sz w:val="24"/>
          <w:szCs w:val="24"/>
          <w:highlight w:val="none"/>
        </w:rPr>
        <w:t xml:space="preserve">年，从验收合格之日起计算，终身维护。</w:t>
      </w:r>
      <w:r>
        <w:rPr>
          <w:rFonts w:hint="eastAsia" w:ascii="宋体" w:hAnsi="宋体" w:eastAsia="宋体" w:cs="宋体"/>
          <w:bCs/>
          <w:color w:val="auto"/>
          <w:spacing w:val="0"/>
          <w:sz w:val="24"/>
          <w:szCs w:val="24"/>
          <w:highlight w:val="none"/>
        </w:rPr>
        <w:t xml:space="preserve">任何时候，乙方均不能免除因货物本身的缺陷所应负的责任。在保修期内对设备进行定期维护和保养，年度定期预防性维护保养次数不少于4次，并免费提供维修所需的配件及服务。</w:t>
      </w:r>
      <w:r>
        <w:rPr>
          <w:color w:val="auto"/>
          <w:highlight w:val="none"/>
        </w:rPr>
      </w:r>
      <w:r>
        <w:rPr>
          <w:color w:val="auto"/>
          <w:highlight w:val="none"/>
        </w:rPr>
      </w:r>
    </w:p>
    <w:p>
      <w:pPr>
        <w:pStyle w:val="1222"/>
        <w:ind w:firstLine="520"/>
        <w:spacing w:before="0" w:after="0" w:line="360" w:lineRule="auto"/>
        <w:shd w:val="clear" w:color="auto" w:fill="auto"/>
        <w:tabs>
          <w:tab w:val="left" w:pos="100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bidi="zh-CN"/>
        </w:rPr>
        <w:t xml:space="preserve">7.2质保期间如属产品质量引起的配件损坏，一切维修换件保养费用和备品备件，均由乙方免费提供和更换；</w:t>
      </w:r>
      <w:r>
        <w:rPr>
          <w:color w:val="auto"/>
          <w:highlight w:val="none"/>
        </w:rPr>
      </w:r>
      <w:r>
        <w:rPr>
          <w:color w:val="auto"/>
          <w:highlight w:val="none"/>
        </w:rPr>
      </w:r>
    </w:p>
    <w:p>
      <w:pPr>
        <w:pStyle w:val="1222"/>
        <w:ind w:firstLine="520"/>
        <w:spacing w:before="0" w:after="0" w:line="360" w:lineRule="auto"/>
        <w:shd w:val="clear" w:color="auto" w:fill="auto"/>
        <w:tabs>
          <w:tab w:val="left" w:pos="1028"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zh-CN"/>
        </w:rPr>
        <w:t xml:space="preserve">7.3</w:t>
      </w:r>
      <w:r>
        <w:rPr>
          <w:rFonts w:hint="eastAsia" w:ascii="宋体" w:hAnsi="宋体" w:eastAsia="宋体" w:cs="宋体"/>
          <w:color w:val="auto"/>
          <w:sz w:val="24"/>
          <w:szCs w:val="24"/>
          <w:highlight w:val="none"/>
          <w:lang w:val="zh-CN" w:bidi="zh-CN"/>
        </w:rPr>
        <w:t xml:space="preserve">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7.4如设备发生故障，乙方在接到甲方报修电话后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小时内予以响应，</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小时内到达现场解决问题。故障不能现场排除的，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7.5质保期内，设备如因故障维修超过2天，按1：2延长质保期（具体时间，按天数算）。</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7.6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7.7质保期内设备的开机率≥95％（按全年365天计算）。如因设备故障导致开机率达不到95%即347天以上质保期按1: 4（按天算）顺延。（如果因维修导致停机时间过长，其他补偿条款，双方友好协商）。</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7.8软件终身免费升级，并及时提供设备新功能和临床应用资料。</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7.9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7.10质保期后，如甲方需延长保修时间，乙方质保费不得高于第一年销售合同里单台设备全额的5%，年度定期预防性维护保养次数不少于4次。</w:t>
      </w:r>
      <w:r>
        <w:rPr>
          <w:color w:val="auto"/>
          <w:highlight w:val="none"/>
        </w:rPr>
      </w:r>
      <w:r>
        <w:rPr>
          <w:color w:val="auto"/>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8. 技术培训</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8.2临床培训： 免费提供现场临床培训。</w:t>
      </w:r>
      <w:r>
        <w:rPr>
          <w:color w:val="auto"/>
          <w:highlight w:val="none"/>
        </w:rPr>
      </w:r>
      <w:r>
        <w:rPr>
          <w:color w:val="auto"/>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9．知识产权 </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9.2本合同价包含所有应向所有权人支付的专利权、商标权或其它知识产权的一切相关费用。</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9.3系统软件、通用软件必须是具有在中国境内的合法使用权或版权的正版软件，涉及到第三方提出侵权或知识产权的起诉及支付版税等费用由乙方承担所有责任及费用。</w:t>
      </w:r>
      <w:r>
        <w:rPr>
          <w:color w:val="auto"/>
          <w:highlight w:val="none"/>
        </w:rPr>
      </w:r>
      <w:r>
        <w:rPr>
          <w:color w:val="auto"/>
          <w:highlight w:val="none"/>
        </w:rPr>
      </w:r>
    </w:p>
    <w:p>
      <w:pPr>
        <w:pStyle w:val="1217"/>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rPr>
          <w:color w:val="auto"/>
          <w:highlight w:val="none"/>
        </w:rPr>
      </w:r>
      <w:r>
        <w:rPr>
          <w:color w:val="auto"/>
          <w:highlight w:val="none"/>
        </w:rP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10.违约责任</w:t>
      </w:r>
      <w:r>
        <w:rPr>
          <w:color w:val="auto"/>
          <w:highlight w:val="none"/>
        </w:rPr>
      </w:r>
      <w:r>
        <w:rPr>
          <w:color w:val="auto"/>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10.1乙方的违约责任：</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向甲方支付违约金，并赔偿因此造成的损失。</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rPr>
          <w:color w:val="auto"/>
          <w:highlight w:val="none"/>
        </w:rPr>
      </w:r>
      <w:r>
        <w:rPr>
          <w:color w:val="auto"/>
          <w:highlight w:val="none"/>
        </w:rPr>
      </w:r>
    </w:p>
    <w:p>
      <w:pPr>
        <w:ind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10.2甲方违约责任：</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10.2.1非乙方供货质量问题，甲方中途不得退货，否则甲方应按合同总额的</w:t>
      </w:r>
      <w:r>
        <w:rPr>
          <w:rFonts w:hint="eastAsia" w:ascii="宋体" w:hAnsi="宋体" w:cs="宋体"/>
          <w:color w:val="auto"/>
          <w:sz w:val="24"/>
          <w:highlight w:val="none"/>
          <w:u w:val="single"/>
        </w:rPr>
        <w:t xml:space="preserve">百分之十</w:t>
      </w:r>
      <w:r>
        <w:rPr>
          <w:rFonts w:hint="eastAsia" w:ascii="宋体" w:hAnsi="宋体" w:cs="宋体"/>
          <w:color w:val="auto"/>
          <w:sz w:val="24"/>
          <w:highlight w:val="none"/>
        </w:rPr>
        <w:t xml:space="preserve">向乙方支付违约金。</w:t>
      </w:r>
      <w:r>
        <w:rPr>
          <w:color w:val="auto"/>
          <w:highlight w:val="none"/>
        </w:rPr>
      </w:r>
      <w:r>
        <w:rPr>
          <w:color w:val="auto"/>
          <w:highlight w:val="none"/>
        </w:rP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11.不可抗力</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color w:val="auto"/>
          <w:highlight w:val="none"/>
        </w:rPr>
      </w:r>
      <w:r>
        <w:rPr>
          <w:color w:val="auto"/>
          <w:highlight w:val="none"/>
        </w:rPr>
      </w:r>
    </w:p>
    <w:p>
      <w:pPr>
        <w:pStyle w:val="1219"/>
        <w:ind w:firstLine="472"/>
        <w:spacing w:before="0" w:beforeAutospacing="0" w:after="0" w:afterAutospacing="0" w:line="360" w:lineRule="auto"/>
        <w:rPr>
          <w:b/>
          <w:color w:val="auto"/>
          <w:highlight w:val="none"/>
        </w:rPr>
      </w:pPr>
      <w:r>
        <w:rPr>
          <w:rFonts w:hint="eastAsia"/>
          <w:b/>
          <w:bCs/>
          <w:color w:val="auto"/>
          <w:highlight w:val="none"/>
        </w:rPr>
        <w:t xml:space="preserve">12.</w:t>
      </w:r>
      <w:r>
        <w:rPr>
          <w:rFonts w:hint="eastAsia"/>
          <w:b/>
          <w:color w:val="auto"/>
          <w:highlight w:val="none"/>
        </w:rPr>
        <w:t xml:space="preserve">争议解决方法</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甲、乙双方因履行本合同发生争议时，应友好协商；协商不成时，向甲方所在地人民法院提出诉讼。</w:t>
      </w:r>
      <w:r>
        <w:rPr>
          <w:color w:val="auto"/>
          <w:highlight w:val="none"/>
        </w:rPr>
      </w:r>
      <w:r>
        <w:rPr>
          <w:color w:val="auto"/>
          <w:highlight w:val="none"/>
        </w:rP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13.其它</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13.2本合同壹式</w:t>
      </w:r>
      <w:r>
        <w:rPr>
          <w:rFonts w:hint="eastAsia" w:ascii="宋体" w:hAnsi="宋体" w:cs="宋体"/>
          <w:color w:val="auto"/>
          <w:sz w:val="24"/>
          <w:highlight w:val="none"/>
          <w:u w:val="single"/>
        </w:rPr>
        <w:t xml:space="preserve">4</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rPr>
        <w:t xml:space="preserve">2</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1</w:t>
      </w:r>
      <w:r>
        <w:rPr>
          <w:rFonts w:hint="eastAsia" w:ascii="宋体" w:hAnsi="宋体" w:cs="宋体"/>
          <w:color w:val="auto"/>
          <w:sz w:val="24"/>
          <w:highlight w:val="none"/>
        </w:rPr>
        <w:t xml:space="preserve">份，备案1份。</w:t>
      </w:r>
      <w:r>
        <w:rPr>
          <w:color w:val="auto"/>
          <w:highlight w:val="none"/>
        </w:rPr>
      </w:r>
      <w:r>
        <w:rPr>
          <w:color w:val="auto"/>
          <w:highlight w:val="none"/>
        </w:rPr>
      </w:r>
    </w:p>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14.合同附件</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（下页为合同签署页）</w:t>
      </w:r>
      <w:r>
        <w:rPr>
          <w:color w:val="auto"/>
          <w:highlight w:val="none"/>
        </w:rPr>
      </w:r>
      <w:r>
        <w:rPr>
          <w:color w:val="auto"/>
          <w:highlight w:val="none"/>
        </w:rPr>
      </w:r>
    </w:p>
    <w:p>
      <w:pPr>
        <w:spacing w:line="360" w:lineRule="auto"/>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甲  方：徐州市儿童医院                 乙 方：</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法定代表人：                         </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委托代理人：                         委托代理人: </w:t>
      </w:r>
      <w:r>
        <w:rPr>
          <w:color w:val="auto"/>
          <w:highlight w:val="none"/>
        </w:rPr>
      </w:r>
      <w:r>
        <w:rPr>
          <w:color w:val="auto"/>
          <w:highlight w:val="none"/>
        </w:rPr>
      </w:r>
    </w:p>
    <w:p>
      <w:pPr>
        <w:ind w:left="6000" w:hanging="6000"/>
        <w:jc w:val="left"/>
        <w:spacing w:line="360" w:lineRule="auto"/>
        <w:tabs>
          <w:tab w:val="left" w:pos="4671" w:leader="none"/>
        </w:tabs>
        <w:rPr>
          <w:rFonts w:ascii="宋体" w:hAnsi="宋体" w:cs="宋体"/>
          <w:color w:val="auto"/>
          <w:sz w:val="24"/>
          <w:highlight w:val="none"/>
        </w:rPr>
      </w:pPr>
      <w:r>
        <w:rPr>
          <w:rFonts w:hint="eastAsia" w:ascii="宋体" w:hAnsi="宋体" w:cs="宋体"/>
          <w:color w:val="auto"/>
          <w:sz w:val="24"/>
          <w:highlight w:val="none"/>
        </w:rPr>
        <w:t xml:space="preserve">地址：                               地址： </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  话：                             电 话：</w:t>
      </w:r>
      <w:r>
        <w:rPr>
          <w:color w:val="auto"/>
          <w:highlight w:val="none"/>
        </w:rPr>
      </w:r>
      <w:r>
        <w:rPr>
          <w:color w:val="auto"/>
          <w:highlight w:val="none"/>
        </w:rPr>
      </w:r>
    </w:p>
    <w:p>
      <w:pPr>
        <w:ind w:left="4556" w:hanging="3120"/>
        <w:spacing w:line="360" w:lineRule="auto"/>
        <w:rPr>
          <w:rFonts w:ascii="宋体" w:hAnsi="宋体" w:cs="宋体"/>
          <w:color w:val="auto"/>
          <w:sz w:val="24"/>
          <w:highlight w:val="none"/>
        </w:rPr>
      </w:pPr>
      <w:r>
        <w:rPr>
          <w:rFonts w:hint="eastAsia" w:ascii="宋体" w:hAnsi="宋体" w:cs="宋体"/>
          <w:color w:val="auto"/>
          <w:sz w:val="24"/>
          <w:highlight w:val="none"/>
        </w:rPr>
        <w:t xml:space="preserve">                         开 户 行：</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账 号：  </w:t>
      </w:r>
      <w:r>
        <w:rPr>
          <w:color w:val="auto"/>
          <w:highlight w:val="none"/>
        </w:rPr>
      </w:r>
      <w:r>
        <w:rPr>
          <w:color w:val="auto"/>
          <w:highlight w:val="none"/>
        </w:rP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签订日期：                           签订日期： </w:t>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360" w:lineRule="auto"/>
        <w:widowControl/>
        <w:rPr>
          <w:rFonts w:ascii="宋体" w:hAnsi="宋体" w:cs="宋体"/>
          <w:b/>
          <w:bCs/>
          <w:color w:val="auto"/>
          <w:sz w:val="32"/>
          <w:szCs w:val="32"/>
          <w:highlight w:val="none"/>
        </w:rPr>
        <w:sectPr>
          <w:headerReference w:type="default" r:id="rId11"/>
          <w:footerReference w:type="default" r:id="rId15"/>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rPr>
          <w:color w:val="auto"/>
          <w:highlight w:val="none"/>
        </w:rPr>
      </w:r>
    </w:p>
    <w:p>
      <w:pPr>
        <w:ind w:firstLine="600"/>
        <w:jc w:val="center"/>
        <w:spacing w:line="360" w:lineRule="auto"/>
        <w:widowControl/>
        <w:rPr>
          <w:rFonts w:ascii="宋体" w:hAnsi="宋体" w:cs="宋体"/>
          <w:color w:val="auto"/>
          <w:sz w:val="24"/>
          <w:highlight w:val="none"/>
        </w:rPr>
      </w:pPr>
      <w:r>
        <w:rPr>
          <w:rFonts w:hint="eastAsia" w:ascii="宋体" w:hAnsi="宋体" w:cs="宋体"/>
          <w:b/>
          <w:bCs/>
          <w:color w:val="auto"/>
          <w:sz w:val="32"/>
          <w:szCs w:val="32"/>
          <w:highlight w:val="none"/>
        </w:rPr>
        <w:t xml:space="preserve">合同附件</w:t>
      </w:r>
      <w:r>
        <w:rPr>
          <w:color w:val="auto"/>
          <w:highlight w:val="none"/>
        </w:rPr>
      </w:r>
      <w:r>
        <w:rPr>
          <w:color w:val="auto"/>
          <w:highlight w:val="none"/>
        </w:rPr>
      </w:r>
    </w:p>
    <w:p>
      <w:pPr>
        <w:ind w:firstLine="560"/>
        <w:jc w:val="cente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合同附件1：合同协议书</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合同附件2：技术规格和技术性能</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(要求见招标文件第六章《采购需求》；合同见卖方投标文件中《技术规格说明》。)</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合同附件3：售后服务</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(要求见招标文件第六章《采购需求》；合同见卖方投标文件中《售后服务方案》。)</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合同附件4：供货范围和价格清单</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(要求见招标文件第七章《投标文件相关格式》中《开标一览表》和《分项价格表》；合同见卖方投标文件中《开标一览表》和《分项价格表》。)</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合同附件5：验收标准（验收要求、验收标准和程序）</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合同附件6：采购需求</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(见招标文件第六章《采购需求》。)</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合同附件7：医疗卫生机构廉洁购销合同</w:t>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600"/>
        <w:jc w:val="center"/>
        <w:spacing w:line="400" w:lineRule="exact"/>
        <w:widowControl/>
        <w:rPr>
          <w:rFonts w:ascii="宋体" w:hAnsi="宋体" w:cs="宋体"/>
          <w:color w:val="auto"/>
          <w:sz w:val="24"/>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24"/>
          <w:highlight w:val="none"/>
        </w:rPr>
      </w:r>
      <w:r>
        <w:rPr>
          <w:color w:val="auto"/>
          <w:highlight w:val="none"/>
        </w:rPr>
      </w:r>
      <w:r>
        <w:rPr>
          <w:color w:val="auto"/>
          <w:highlight w:val="none"/>
        </w:rP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合同附件1：</w:t>
      </w:r>
      <w:r>
        <w:rPr>
          <w:color w:val="auto"/>
          <w:highlight w:val="none"/>
        </w:rPr>
      </w:r>
      <w:r>
        <w:rPr>
          <w:color w:val="auto"/>
          <w:highlight w:val="none"/>
        </w:rP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合同协议书</w:t>
      </w:r>
      <w:r>
        <w:rPr>
          <w:color w:val="auto"/>
          <w:highlight w:val="none"/>
        </w:rPr>
      </w:r>
      <w:r>
        <w:rPr>
          <w:color w:val="auto"/>
          <w:highlight w:val="none"/>
        </w:rP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合同编号:____________ </w:t>
      </w:r>
      <w:r>
        <w:rPr>
          <w:color w:val="auto"/>
          <w:highlight w:val="none"/>
        </w:rPr>
      </w:r>
      <w:r>
        <w:rPr>
          <w:color w:val="auto"/>
          <w:highlight w:val="none"/>
        </w:rP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签字日期:____________ </w:t>
      </w:r>
      <w:r>
        <w:rPr>
          <w:color w:val="auto"/>
          <w:highlight w:val="none"/>
        </w:rPr>
      </w:r>
      <w:r>
        <w:rPr>
          <w:color w:val="auto"/>
          <w:highlight w:val="none"/>
        </w:rPr>
      </w:r>
    </w:p>
    <w:p>
      <w:pPr>
        <w:jc w:val="right"/>
        <w:spacing w:line="360" w:lineRule="exact"/>
        <w:rPr>
          <w:rFonts w:ascii="宋体" w:hAnsi="宋体" w:cs="宋体"/>
          <w:color w:val="auto"/>
          <w:sz w:val="24"/>
          <w:highlight w:val="none"/>
        </w:rPr>
      </w:pPr>
      <w:r>
        <w:rPr>
          <w:rFonts w:hint="eastAsia" w:ascii="宋体" w:hAnsi="宋体" w:cs="宋体"/>
          <w:color w:val="auto"/>
          <w:sz w:val="24"/>
          <w:highlight w:val="none"/>
        </w:rPr>
        <w:t xml:space="preserve">签字地点:____________ </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徐州市儿童医院</w:t>
      </w:r>
      <w:r>
        <w:rPr>
          <w:rFonts w:hint="eastAsia" w:ascii="宋体" w:hAnsi="宋体" w:cs="宋体"/>
          <w:color w:val="auto"/>
          <w:sz w:val="24"/>
          <w:highlight w:val="none"/>
        </w:rPr>
        <w:t xml:space="preserve">（买方名称）（以下简称“买方”）已接受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（卖方名称）（以下简称“卖方”）对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1214-26410</w:t>
      </w:r>
      <w:r>
        <w:rPr>
          <w:rFonts w:hint="eastAsia" w:ascii="宋体" w:hAnsi="宋体" w:cs="宋体"/>
          <w:color w:val="auto"/>
          <w:sz w:val="24"/>
          <w:szCs w:val="24"/>
          <w:highlight w:val="none"/>
          <w:u w:val="single"/>
          <w:lang w:val="en-US" w:eastAsia="zh-CN"/>
        </w:rPr>
        <w:t xml:space="preserve">6271</w:t>
      </w:r>
      <w:r>
        <w:rPr>
          <w:rFonts w:hint="eastAsia" w:ascii="宋体" w:hAnsi="宋体" w:cs="宋体"/>
          <w:color w:val="auto"/>
          <w:sz w:val="24"/>
          <w:szCs w:val="24"/>
          <w:highlight w:val="none"/>
          <w:u w:val="single"/>
        </w:rPr>
        <w:t xml:space="preserve">WDX</w:t>
      </w:r>
      <w:r>
        <w:rPr>
          <w:rFonts w:hint="eastAsia" w:ascii="宋体" w:hAnsi="宋体" w:cs="宋体"/>
          <w:color w:val="auto"/>
          <w:sz w:val="24"/>
          <w:highlight w:val="none"/>
        </w:rPr>
        <w:t xml:space="preserve">）的投标。买方和卖方共同达成如下协议。</w:t>
      </w:r>
      <w:r>
        <w:rPr>
          <w:color w:val="auto"/>
          <w:highlight w:val="none"/>
        </w:rPr>
      </w:r>
      <w:r>
        <w:rPr>
          <w:color w:val="auto"/>
          <w:highlight w:val="none"/>
        </w:rPr>
      </w:r>
    </w:p>
    <w:p>
      <w:pPr>
        <w:numPr>
          <w:ilvl w:val="0"/>
          <w:numId w:val="3"/>
        </w:numPr>
        <w:ind w:left="-360" w:firstLine="720"/>
        <w:spacing w:line="360" w:lineRule="exact"/>
        <w:rPr>
          <w:rFonts w:ascii="宋体" w:hAnsi="宋体" w:cs="宋体"/>
          <w:color w:val="auto"/>
          <w:sz w:val="24"/>
          <w:highlight w:val="none"/>
        </w:rPr>
      </w:pPr>
      <w:r>
        <w:rPr>
          <w:rFonts w:hint="eastAsia" w:ascii="宋体" w:hAnsi="宋体" w:cs="宋体"/>
          <w:color w:val="auto"/>
          <w:sz w:val="24"/>
          <w:highlight w:val="none"/>
        </w:rPr>
        <w:t xml:space="preserve">本合同协议书中的词语和术语的含义与合同条款中定义的相同。</w:t>
      </w:r>
      <w:r>
        <w:rPr>
          <w:color w:val="auto"/>
          <w:highlight w:val="none"/>
        </w:rPr>
      </w:r>
      <w:r>
        <w:rPr>
          <w:color w:val="auto"/>
          <w:highlight w:val="none"/>
        </w:rP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2. 以下文件应构成买方和卖方之间达成的合同，若各文件之间存在含糊不清或互相冲突之处，优先顺序应按下列文件顺序解释。</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(1) 合同协议书</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(2) 成交通知书</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(3) 合同专用条款</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(4) 合同通用条款</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(5) 除合同附件1外的合同附件</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其他文件</w:t>
      </w:r>
      <w:r>
        <w:rPr>
          <w:color w:val="auto"/>
          <w:highlight w:val="none"/>
        </w:rPr>
      </w:r>
      <w:r>
        <w:rPr>
          <w:color w:val="auto"/>
          <w:highlight w:val="none"/>
        </w:rP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3. 考虑到买方将按照本合同向卖方支付合同价款，卖方在此保证全部按照合同的规定向买方提供合同标的、技术资料、售后服务及技术培训。</w:t>
      </w:r>
      <w:r>
        <w:rPr>
          <w:color w:val="auto"/>
          <w:highlight w:val="none"/>
        </w:rPr>
      </w:r>
      <w:r>
        <w:rPr>
          <w:color w:val="auto"/>
          <w:highlight w:val="none"/>
        </w:rP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4. 考虑到卖方将按合同规定提供合同标的、技术资料、售后服务及技术培训，买方在此保证按照合同规定的时间和方式向卖方支付合同价款。</w:t>
      </w:r>
      <w:r>
        <w:rPr>
          <w:color w:val="auto"/>
          <w:highlight w:val="none"/>
        </w:rPr>
      </w:r>
      <w:r>
        <w:rPr>
          <w:color w:val="auto"/>
          <w:highlight w:val="none"/>
        </w:rPr>
      </w:r>
    </w:p>
    <w:p>
      <w:pPr>
        <w:ind w:firstLine="540"/>
        <w:spacing w:line="360" w:lineRule="exact"/>
        <w:rPr>
          <w:rFonts w:ascii="宋体" w:hAnsi="宋体" w:cs="宋体"/>
          <w:color w:val="auto"/>
          <w:sz w:val="24"/>
          <w:highlight w:val="none"/>
        </w:rPr>
      </w:pPr>
      <w:r>
        <w:rPr>
          <w:rFonts w:hint="eastAsia" w:ascii="宋体" w:hAnsi="宋体" w:cs="宋体"/>
          <w:color w:val="auto"/>
          <w:sz w:val="24"/>
          <w:highlight w:val="none"/>
        </w:rPr>
        <w:t xml:space="preserve">5. 本合同在下列条件全部满足后生效，生效日期以下列条件全部满足的最晚日期为准： </w:t>
      </w:r>
      <w:r>
        <w:rPr>
          <w:color w:val="auto"/>
          <w:highlight w:val="none"/>
        </w:rPr>
      </w:r>
      <w:r>
        <w:rPr>
          <w:color w:val="auto"/>
          <w:highlight w:val="none"/>
        </w:rP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（1）双方加盖公章或合同专用章； </w:t>
      </w:r>
      <w:r>
        <w:rPr>
          <w:color w:val="auto"/>
          <w:highlight w:val="none"/>
        </w:rPr>
      </w:r>
      <w:r>
        <w:rPr>
          <w:color w:val="auto"/>
          <w:highlight w:val="none"/>
        </w:rPr>
      </w:r>
    </w:p>
    <w:p>
      <w:pPr>
        <w:ind w:firstLine="480"/>
        <w:jc w:val="left"/>
        <w:spacing w:line="360" w:lineRule="exact"/>
        <w:rPr>
          <w:rFonts w:ascii="宋体" w:hAnsi="宋体" w:cs="宋体"/>
          <w:color w:val="auto"/>
          <w:sz w:val="24"/>
          <w:highlight w:val="none"/>
        </w:rPr>
      </w:pPr>
      <w:r>
        <w:rPr>
          <w:rFonts w:hint="eastAsia" w:ascii="宋体" w:hAnsi="宋体" w:cs="宋体"/>
          <w:color w:val="auto"/>
          <w:sz w:val="24"/>
          <w:highlight w:val="none"/>
        </w:rPr>
        <w:t xml:space="preserve">（2）甲方收到乙方交纳的人民币___元的履约保证金（合同金额的10%），以支票、汇票、本票、电汇或者金融机构、担保机构出具的保函等非现金形式缴纳。履约保证金在中标供应商按合同履约完成、试运行后无质量问题后无息退还。</w:t>
      </w:r>
      <w:r>
        <w:rPr>
          <w:color w:val="auto"/>
          <w:highlight w:val="none"/>
        </w:rPr>
      </w:r>
      <w:r>
        <w:rPr>
          <w:color w:val="auto"/>
          <w:highlight w:val="none"/>
        </w:rPr>
      </w:r>
    </w:p>
    <w:p>
      <w:pPr>
        <w:ind w:firstLine="480"/>
        <w:spacing w:line="360" w:lineRule="exact"/>
        <w:rPr>
          <w:rFonts w:ascii="宋体" w:hAnsi="宋体" w:cs="宋体"/>
          <w:color w:val="auto"/>
          <w:sz w:val="24"/>
          <w:highlight w:val="none"/>
        </w:rPr>
      </w:pPr>
      <w:r>
        <w:rPr>
          <w:rFonts w:hint="eastAsia" w:ascii="宋体" w:hAnsi="宋体" w:cs="宋体"/>
          <w:color w:val="auto"/>
          <w:sz w:val="24"/>
          <w:highlight w:val="none"/>
        </w:rPr>
        <w:t xml:space="preserve">6. 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份，具有同等法律效力，买方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份，卖方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7.本合同其他未尽事宜及与采购文件有矛盾之处，以采购文件[</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1214-26410</w:t>
      </w:r>
      <w:r>
        <w:rPr>
          <w:rFonts w:hint="eastAsia" w:ascii="宋体" w:hAnsi="宋体" w:cs="宋体"/>
          <w:color w:val="auto"/>
          <w:sz w:val="24"/>
          <w:szCs w:val="24"/>
          <w:highlight w:val="none"/>
          <w:u w:val="single"/>
          <w:lang w:val="en-US" w:eastAsia="zh-CN"/>
        </w:rPr>
        <w:t xml:space="preserve">6271</w:t>
      </w:r>
      <w:r>
        <w:rPr>
          <w:rFonts w:hint="eastAsia" w:ascii="宋体" w:hAnsi="宋体" w:cs="宋体"/>
          <w:color w:val="auto"/>
          <w:sz w:val="24"/>
          <w:szCs w:val="24"/>
          <w:highlight w:val="none"/>
          <w:u w:val="single"/>
        </w:rPr>
        <w:t xml:space="preserve">WDX</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为准。</w:t>
      </w:r>
      <w:r>
        <w:rPr>
          <w:color w:val="auto"/>
          <w:highlight w:val="none"/>
        </w:rPr>
      </w:r>
      <w:r>
        <w:rPr>
          <w:color w:val="auto"/>
          <w:highlight w:val="none"/>
        </w:rPr>
      </w:r>
    </w:p>
    <w:p>
      <w:pPr>
        <w:ind w:firstLine="360"/>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买方和卖方由其正式授权代表于上述所写日期和地点签订本合同。</w:t>
      </w:r>
      <w:r>
        <w:rPr>
          <w:color w:val="auto"/>
          <w:highlight w:val="none"/>
        </w:rPr>
      </w:r>
      <w:r>
        <w:rPr>
          <w:color w:val="auto"/>
          <w:highlight w:val="none"/>
        </w:rPr>
      </w:r>
    </w:p>
    <w:p>
      <w:pPr>
        <w:spacing w:line="360" w:lineRule="exact"/>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买方（签章）：____________________________________  </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法定代表人或授权代表(签名)： ____________________ </w:t>
      </w:r>
      <w:r>
        <w:rPr>
          <w:color w:val="auto"/>
          <w:highlight w:val="none"/>
        </w:rPr>
      </w:r>
      <w:r>
        <w:rPr>
          <w:color w:val="auto"/>
          <w:highlight w:val="none"/>
        </w:rPr>
      </w:r>
    </w:p>
    <w:p>
      <w:pPr>
        <w:spacing w:line="360" w:lineRule="exact"/>
        <w:rPr>
          <w:rFonts w:ascii="宋体" w:hAnsi="宋体" w:cs="宋体"/>
          <w:color w:val="auto"/>
          <w:sz w:val="24"/>
          <w:highlight w:val="none"/>
        </w:rPr>
      </w:pPr>
      <w:r>
        <w:rPr>
          <w:rFonts w:hint="eastAsia" w:ascii="宋体" w:hAnsi="宋体" w:cs="宋体"/>
          <w:color w:val="auto"/>
          <w:sz w:val="24"/>
          <w:highlight w:val="none"/>
        </w:rPr>
        <w:t xml:space="preserve">卖方（签章）： ____________________________________ </w:t>
      </w:r>
      <w:r>
        <w:rPr>
          <w:color w:val="auto"/>
          <w:highlight w:val="none"/>
        </w:rPr>
      </w:r>
      <w:r>
        <w:rPr>
          <w:color w:val="auto"/>
          <w:highlight w:val="none"/>
        </w:rPr>
      </w:r>
    </w:p>
    <w:p>
      <w:pPr>
        <w:spacing w:line="360" w:lineRule="exact"/>
        <w:rPr>
          <w:rFonts w:ascii="宋体" w:hAnsi="宋体" w:cs="宋体"/>
          <w:b/>
          <w:color w:val="auto"/>
          <w:sz w:val="30"/>
          <w:szCs w:val="32"/>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hint="eastAsia" w:ascii="宋体" w:hAnsi="宋体" w:cs="宋体"/>
          <w:color w:val="auto"/>
          <w:sz w:val="24"/>
          <w:highlight w:val="none"/>
        </w:rPr>
        <w:t xml:space="preserve">法定代表人或授权代表(签名)： ____________________ </w:t>
      </w:r>
      <w:r>
        <w:rPr>
          <w:color w:val="auto"/>
          <w:highlight w:val="none"/>
        </w:rPr>
      </w:r>
      <w:r>
        <w:rPr>
          <w:color w:val="auto"/>
          <w:highlight w:val="none"/>
        </w:rPr>
      </w:r>
    </w:p>
    <w:p>
      <w:pPr>
        <w:rPr>
          <w:rFonts w:ascii="宋体" w:hAnsi="宋体" w:cs="宋体"/>
          <w:b/>
          <w:color w:val="auto"/>
          <w:sz w:val="24"/>
          <w:highlight w:val="none"/>
        </w:rPr>
      </w:pPr>
      <w:r>
        <w:rPr>
          <w:rFonts w:hint="eastAsia" w:ascii="宋体" w:hAnsi="宋体" w:cs="宋体"/>
          <w:b/>
          <w:color w:val="auto"/>
          <w:sz w:val="24"/>
          <w:highlight w:val="none"/>
        </w:rPr>
        <w:t xml:space="preserve">合同附件7：</w:t>
      </w:r>
      <w:r>
        <w:rPr>
          <w:color w:val="auto"/>
          <w:highlight w:val="none"/>
        </w:rPr>
      </w:r>
      <w:r>
        <w:rPr>
          <w:color w:val="auto"/>
          <w:highlight w:val="none"/>
        </w:rPr>
      </w:r>
    </w:p>
    <w:p>
      <w:pPr>
        <w:pStyle w:val="991"/>
        <w:jc w:val="center"/>
        <w:spacing w:before="0" w:beforeAutospacing="0" w:after="0" w:afterAutospacing="0"/>
        <w:rPr>
          <w:b/>
          <w:bCs/>
          <w:color w:val="auto"/>
          <w:sz w:val="36"/>
          <w:szCs w:val="36"/>
          <w:highlight w:val="none"/>
        </w:rPr>
      </w:pPr>
      <w:r>
        <w:rPr>
          <w:rFonts w:hint="eastAsia"/>
          <w:b/>
          <w:bCs/>
          <w:color w:val="auto"/>
          <w:sz w:val="36"/>
          <w:szCs w:val="36"/>
          <w:highlight w:val="none"/>
        </w:rPr>
        <w:t xml:space="preserve">医疗卫生机构廉洁购销合同</w:t>
      </w:r>
      <w:r>
        <w:rPr>
          <w:color w:val="auto"/>
          <w:highlight w:val="none"/>
        </w:rPr>
      </w:r>
      <w:r>
        <w:rPr>
          <w:color w:val="auto"/>
          <w:highlight w:val="none"/>
        </w:rPr>
      </w:r>
    </w:p>
    <w:p>
      <w:pPr>
        <w:pStyle w:val="991"/>
        <w:spacing w:before="0" w:beforeAutospacing="0" w:after="0" w:afterAutospacing="0" w:line="360" w:lineRule="auto"/>
        <w:rPr>
          <w:b/>
          <w:color w:val="auto"/>
          <w:highlight w:val="none"/>
        </w:rPr>
      </w:pPr>
      <w:r>
        <w:rPr>
          <w:b/>
          <w:color w:val="auto"/>
          <w:highlight w:val="none"/>
        </w:rPr>
      </w:r>
      <w:r>
        <w:rPr>
          <w:color w:val="auto"/>
          <w:highlight w:val="none"/>
        </w:rPr>
      </w:r>
      <w:r>
        <w:rPr>
          <w:color w:val="auto"/>
          <w:highlight w:val="none"/>
        </w:rPr>
      </w:r>
    </w:p>
    <w:p>
      <w:pPr>
        <w:pStyle w:val="991"/>
        <w:spacing w:before="0" w:beforeAutospacing="0" w:after="0" w:afterAutospacing="0" w:line="360" w:lineRule="auto"/>
        <w:rPr>
          <w:color w:val="auto"/>
          <w:highlight w:val="none"/>
        </w:rPr>
      </w:pPr>
      <w:r>
        <w:rPr>
          <w:rFonts w:hint="eastAsia"/>
          <w:b/>
          <w:color w:val="auto"/>
          <w:highlight w:val="none"/>
        </w:rPr>
        <w:t xml:space="preserve">购货单位</w:t>
      </w:r>
      <w:r>
        <w:rPr>
          <w:rFonts w:hint="eastAsia"/>
          <w:color w:val="auto"/>
          <w:highlight w:val="none"/>
        </w:rPr>
        <w:t xml:space="preserve">：</w:t>
      </w:r>
      <w:r>
        <w:rPr>
          <w:rFonts w:hint="eastAsia"/>
          <w:color w:val="auto"/>
          <w:highlight w:val="none"/>
          <w:u w:val="single"/>
        </w:rPr>
        <w:t xml:space="preserve">   徐州市儿童医院  </w:t>
      </w:r>
      <w:r>
        <w:rPr>
          <w:rFonts w:hint="eastAsia"/>
          <w:color w:val="auto"/>
          <w:highlight w:val="none"/>
        </w:rPr>
        <w:t xml:space="preserve">（以下简称甲方） </w:t>
      </w:r>
      <w:r>
        <w:rPr>
          <w:color w:val="auto"/>
          <w:highlight w:val="none"/>
        </w:rPr>
      </w:r>
      <w:r>
        <w:rPr>
          <w:color w:val="auto"/>
          <w:highlight w:val="none"/>
        </w:rPr>
      </w:r>
    </w:p>
    <w:p>
      <w:pPr>
        <w:pStyle w:val="991"/>
        <w:spacing w:before="0" w:beforeAutospacing="0" w:after="0" w:afterAutospacing="0" w:line="360" w:lineRule="auto"/>
        <w:rPr>
          <w:color w:val="auto"/>
          <w:highlight w:val="none"/>
        </w:rPr>
      </w:pPr>
      <w:r>
        <w:rPr>
          <w:rFonts w:hint="eastAsia"/>
          <w:b/>
          <w:color w:val="auto"/>
          <w:highlight w:val="none"/>
        </w:rPr>
        <w:t xml:space="preserve">供货单位</w:t>
      </w:r>
      <w:r>
        <w:rPr>
          <w:rFonts w:hint="eastAsia"/>
          <w:color w:val="auto"/>
          <w:highlight w:val="none"/>
        </w:rPr>
        <w:t xml:space="preserve">：</w:t>
      </w:r>
      <w:r>
        <w:rPr>
          <w:rFonts w:hint="eastAsia"/>
          <w:color w:val="auto"/>
          <w:highlight w:val="none"/>
          <w:u w:val="single"/>
        </w:rPr>
        <w:t xml:space="preserve">                  </w:t>
      </w:r>
      <w:r>
        <w:rPr>
          <w:rFonts w:hint="eastAsia"/>
          <w:color w:val="auto"/>
          <w:highlight w:val="none"/>
        </w:rPr>
        <w:t xml:space="preserve">（以下简称乙方） </w:t>
      </w:r>
      <w:r>
        <w:rPr>
          <w:color w:val="auto"/>
          <w:highlight w:val="none"/>
        </w:rPr>
      </w:r>
      <w:r>
        <w:rPr>
          <w:color w:val="auto"/>
          <w:highlight w:val="none"/>
        </w:rPr>
      </w:r>
    </w:p>
    <w:p>
      <w:pPr>
        <w:pStyle w:val="991"/>
        <w:spacing w:before="0" w:beforeAutospacing="0" w:after="0" w:afterAutospacing="0" w:line="360" w:lineRule="auto"/>
        <w:rPr>
          <w:b/>
          <w:color w:val="auto"/>
          <w:highlight w:val="none"/>
        </w:rPr>
      </w:pPr>
      <w:r>
        <w:rPr>
          <w:rFonts w:hint="eastAsia"/>
          <w:b/>
          <w:color w:val="auto"/>
          <w:highlight w:val="none"/>
        </w:rPr>
        <w:t xml:space="preserve">合同签署地点：</w:t>
      </w:r>
      <w:r>
        <w:rPr>
          <w:rFonts w:hint="eastAsia"/>
          <w:color w:val="auto"/>
          <w:highlight w:val="none"/>
        </w:rPr>
        <w:t xml:space="preserve">江苏省徐州市</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一、</w:t>
      </w:r>
      <w:r>
        <w:rPr>
          <w:rFonts w:hint="eastAsia" w:ascii="宋体" w:hAnsi="宋体" w:cs="宋体"/>
          <w:color w:val="auto"/>
          <w:sz w:val="24"/>
          <w:highlight w:val="none"/>
        </w:rPr>
        <w:t xml:space="preserve">甲乙双方按照《中华人民共和国民法典》及购销合同约定购销药品、医用设备、医用耗材、检测试剂等货物、服务、工程类项目。</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二、</w:t>
      </w:r>
      <w:r>
        <w:rPr>
          <w:rFonts w:hint="eastAsia" w:ascii="宋体" w:hAnsi="宋体" w:cs="宋体"/>
          <w:color w:val="auto"/>
          <w:sz w:val="24"/>
          <w:highlight w:val="none"/>
        </w:rPr>
        <w:t xml:space="preserve">甲方应当严格执行购销合同验收、入库制度，对采购项目及发票进行查验，不得违反有关规定合同外采购、违价采购或从非规定渠道采购。</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三、</w:t>
      </w:r>
      <w:r>
        <w:rPr>
          <w:rFonts w:hint="eastAsia" w:ascii="宋体" w:hAnsi="宋体" w:cs="宋体"/>
          <w:color w:val="auto"/>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给予的钱物应予退还，无法退还的，有责任如实向有关纪检监察部门反映情况。</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四、</w:t>
      </w:r>
      <w:r>
        <w:rPr>
          <w:rFonts w:hint="eastAsia" w:ascii="宋体" w:hAnsi="宋体" w:cs="宋体"/>
          <w:color w:val="auto"/>
          <w:sz w:val="24"/>
          <w:highlight w:val="none"/>
        </w:rPr>
        <w:t xml:space="preserve">严禁甲方工作人员利用任何途径和方式，为乙方统计医师个人及临床科室有关医药产品用量信息，或为乙方统计提供便利。</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五、</w:t>
      </w:r>
      <w:r>
        <w:rPr>
          <w:rFonts w:hint="eastAsia" w:ascii="宋体" w:hAnsi="宋体" w:cs="宋体"/>
          <w:color w:val="auto"/>
          <w:sz w:val="24"/>
          <w:highlight w:val="none"/>
        </w:rPr>
        <w:t xml:space="preserve">乙方不得以回扣、宴请等方式影响甲方工作人员采购或使用医药产品的选择权，不得在学术活动中提供旅游、超标准支付食宿费用。</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乙方指定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七、</w:t>
      </w:r>
      <w:r>
        <w:rPr>
          <w:rFonts w:hint="eastAsia" w:ascii="宋体" w:hAnsi="宋体" w:cs="宋体"/>
          <w:color w:val="auto"/>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八、</w:t>
      </w:r>
      <w:r>
        <w:rPr>
          <w:rFonts w:hint="eastAsia" w:ascii="宋体" w:hAnsi="宋体" w:cs="宋体"/>
          <w:color w:val="auto"/>
          <w:sz w:val="24"/>
          <w:highlight w:val="none"/>
        </w:rPr>
        <w:t xml:space="preserve">本合同作为医药产品购销合同的重要组成部分，与购销合同一并执行，具有同等的法律效力。</w:t>
      </w:r>
      <w:r>
        <w:rPr>
          <w:color w:val="auto"/>
          <w:highlight w:val="none"/>
        </w:rPr>
      </w:r>
      <w:r>
        <w:rPr>
          <w:color w:val="auto"/>
          <w:highlight w:val="none"/>
        </w:rPr>
      </w:r>
    </w:p>
    <w:p>
      <w:pPr>
        <w:ind w:firstLine="482"/>
        <w:spacing w:line="360" w:lineRule="auto"/>
        <w:rPr>
          <w:rFonts w:ascii="宋体" w:hAnsi="宋体" w:cs="宋体"/>
          <w:color w:val="auto"/>
          <w:sz w:val="24"/>
          <w:highlight w:val="none"/>
        </w:rPr>
      </w:pPr>
      <w:r>
        <w:rPr>
          <w:rFonts w:hint="eastAsia" w:ascii="宋体" w:hAnsi="宋体" w:cs="宋体"/>
          <w:b/>
          <w:color w:val="auto"/>
          <w:sz w:val="24"/>
          <w:highlight w:val="none"/>
        </w:rPr>
        <w:t xml:space="preserve">九、</w:t>
      </w:r>
      <w:r>
        <w:rPr>
          <w:rFonts w:hint="eastAsia" w:ascii="宋体" w:hAnsi="宋体" w:cs="宋体"/>
          <w:color w:val="auto"/>
          <w:sz w:val="24"/>
          <w:highlight w:val="none"/>
        </w:rPr>
        <w:t xml:space="preserve">本合同一式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份，甲方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份，乙方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份，并从签订之日起生效。</w:t>
      </w:r>
      <w:r>
        <w:rPr>
          <w:color w:val="auto"/>
          <w:highlight w:val="none"/>
        </w:rPr>
      </w:r>
      <w:r>
        <w:rPr>
          <w:color w:val="auto"/>
          <w:highlight w:val="none"/>
        </w:rPr>
      </w:r>
    </w:p>
    <w:p>
      <w:pPr>
        <w:ind w:firstLine="420"/>
        <w:spacing w:line="360" w:lineRule="auto"/>
        <w:rPr>
          <w:rFonts w:ascii="宋体" w:hAnsi="宋体" w:cs="宋体"/>
          <w:color w:val="auto"/>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-53975</wp:posOffset>
                </wp:positionH>
                <wp:positionV relativeFrom="paragraph">
                  <wp:posOffset>87630</wp:posOffset>
                </wp:positionV>
                <wp:extent cx="5955665" cy="1633855"/>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5955665" cy="1633855"/>
                        </a:xfrm>
                        <a:prstGeom prst="rect">
                          <a:avLst/>
                        </a:prstGeom>
                        <a:solidFill>
                          <a:srgbClr val="FFFFFF"/>
                        </a:solidFill>
                        <a:ln>
                          <a:noFill/>
                        </a:ln>
                      </wps:spPr>
                      <wps:txbx>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4.2pt;mso-position-horizontal:absolute;mso-position-vertical-relative:text;margin-top:6.9pt;mso-position-vertical:absolute;width:468.9pt;height:128.7pt;mso-wrap-distance-left:9.0pt;mso-wrap-distance-top:0.0pt;mso-wrap-distance-right:9.0pt;mso-wrap-distance-bottom:0.0pt;visibility:visible;" fillcolor="#FFFFFF" stroked="f">
                <v:textbox inset="0,0,0,0">
                  <w:txbxContent>
                    <w:p>
                      <w:pPr>
                        <w:spacing w:after="120" w:line="360" w:lineRule="auto"/>
                        <w:rPr>
                          <w:rFonts w:ascii="宋体" w:hAnsi="宋体" w:cs="宋体"/>
                          <w:sz w:val="24"/>
                        </w:rPr>
                      </w:pPr>
                      <w:r>
                        <w:rPr>
                          <w:rFonts w:hint="eastAsia" w:ascii="宋体" w:hAnsi="宋体" w:cs="宋体"/>
                          <w:b/>
                          <w:sz w:val="24"/>
                        </w:rPr>
                        <w:t xml:space="preserve">甲方：</w:t>
                      </w:r>
                      <w:r>
                        <w:rPr>
                          <w:rFonts w:hint="eastAsia" w:ascii="宋体" w:hAnsi="宋体" w:cs="宋体"/>
                          <w:b/>
                          <w:sz w:val="24"/>
                          <w:u w:val="single"/>
                        </w:rPr>
                        <w:t xml:space="preserve">                      </w:t>
                      </w:r>
                      <w:r>
                        <w:rPr>
                          <w:rFonts w:hint="eastAsia" w:ascii="宋体" w:hAnsi="宋体" w:cs="宋体"/>
                          <w:b/>
                          <w:sz w:val="24"/>
                        </w:rPr>
                        <w:t xml:space="preserve">（盖章）    乙方：</w:t>
                      </w:r>
                      <w:r>
                        <w:rPr>
                          <w:rFonts w:hint="eastAsia" w:ascii="宋体" w:hAnsi="宋体" w:cs="宋体"/>
                          <w:b/>
                          <w:sz w:val="24"/>
                          <w:u w:val="single"/>
                        </w:rPr>
                        <w:t xml:space="preserve">                 </w:t>
                      </w:r>
                      <w:r>
                        <w:rPr>
                          <w:rFonts w:hint="eastAsia" w:ascii="宋体" w:hAnsi="宋体" w:cs="宋体"/>
                          <w:b/>
                          <w:sz w:val="24"/>
                        </w:rPr>
                        <w:t xml:space="preserve">（盖章）</w:t>
                      </w:r>
                      <w:r/>
                    </w:p>
                    <w:p>
                      <w:pPr>
                        <w:spacing w:line="360" w:lineRule="auto"/>
                        <w:rPr>
                          <w:rFonts w:ascii="宋体" w:hAnsi="宋体" w:cs="宋体"/>
                          <w:sz w:val="24"/>
                        </w:rPr>
                      </w:pP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法定代表人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b/>
                          <w:sz w:val="24"/>
                        </w:rPr>
                      </w:pP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      </w:t>
                      </w:r>
                      <w:r>
                        <w:rPr>
                          <w:rFonts w:hint="eastAsia" w:ascii="宋体" w:hAnsi="宋体" w:cs="宋体"/>
                          <w:b/>
                          <w:sz w:val="24"/>
                        </w:rPr>
                        <w:t xml:space="preserve">委托代表人</w:t>
                      </w:r>
                      <w:r>
                        <w:rPr>
                          <w:rFonts w:hint="eastAsia" w:ascii="宋体" w:hAnsi="宋体" w:cs="宋体"/>
                          <w:sz w:val="24"/>
                        </w:rPr>
                        <w:t xml:space="preserve">：</w:t>
                      </w:r>
                      <w:r>
                        <w:rPr>
                          <w:rFonts w:hint="eastAsia" w:ascii="宋体" w:hAnsi="宋体" w:cs="宋体"/>
                          <w:sz w:val="24"/>
                          <w:u w:val="single"/>
                        </w:rPr>
                        <w:t xml:space="preserve">                </w:t>
                      </w:r>
                      <w:r/>
                    </w:p>
                    <w:p>
                      <w:pPr>
                        <w:spacing w:line="360" w:lineRule="auto"/>
                        <w:rPr>
                          <w:rFonts w:ascii="宋体" w:hAnsi="宋体" w:cs="宋体"/>
                          <w:sz w:val="24"/>
                        </w:rPr>
                      </w:pP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b/>
                          <w:sz w:val="24"/>
                        </w:rPr>
                        <w:t xml:space="preserve">日期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r/>
                      <w:r/>
                    </w:p>
                  </w:txbxContent>
                </v:textbox>
              </v:shape>
            </w:pict>
          </mc:Fallback>
        </mc:AlternateContent>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jc w:val="center"/>
        <w:widowControl/>
        <w:rPr>
          <w:rFonts w:ascii="宋体" w:hAnsi="宋体" w:cs="宋体"/>
          <w:b/>
          <w:color w:val="auto"/>
          <w:sz w:val="30"/>
          <w:szCs w:val="30"/>
          <w:highlight w:val="none"/>
        </w:rPr>
      </w:pPr>
      <w:r>
        <w:rPr>
          <w:rFonts w:ascii="宋体" w:hAnsi="宋体" w:cs="宋体"/>
          <w:b/>
          <w:color w:val="auto"/>
          <w:sz w:val="30"/>
          <w:szCs w:val="30"/>
          <w:highlight w:val="none"/>
        </w:rPr>
      </w:r>
      <w:r>
        <w:rPr>
          <w:color w:val="auto"/>
          <w:highlight w:val="none"/>
        </w:rPr>
      </w:r>
      <w:r>
        <w:rPr>
          <w:color w:val="auto"/>
          <w:highlight w:val="none"/>
        </w:rPr>
      </w:r>
    </w:p>
    <w:p>
      <w:pPr>
        <w:pStyle w:val="966"/>
        <w:ind w:left="0"/>
        <w:rPr>
          <w:rFonts w:ascii="宋体" w:hAnsi="宋体" w:cs="宋体"/>
          <w:color w:val="auto"/>
          <w:highlight w:val="none"/>
        </w:rP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highlight w:val="none"/>
        </w:rPr>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第六章：采购需求</w:t>
      </w:r>
      <w:bookmarkStart w:id="4" w:name="_Toc324452802"/>
      <w:r>
        <w:rPr>
          <w:color w:val="auto"/>
          <w:highlight w:val="none"/>
        </w:rPr>
      </w:r>
      <w:bookmarkEnd w:id="4"/>
      <w:r>
        <w:rPr>
          <w:color w:val="auto"/>
          <w:highlight w:val="none"/>
        </w:rPr>
      </w:r>
      <w:bookmarkStart w:id="5" w:name="_Toc322457054"/>
      <w:r>
        <w:rPr>
          <w:color w:val="auto"/>
          <w:highlight w:val="none"/>
        </w:rPr>
      </w:r>
      <w:bookmarkEnd w:id="5"/>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本项目不专门面向中小微企业采购的项目，且本项目不接受进口产品。</w:t>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本项目不接受超过人民币</w:t>
      </w:r>
      <w:r>
        <w:rPr>
          <w:rFonts w:hint="eastAsia" w:ascii="宋体" w:hAnsi="宋体" w:eastAsia="宋体" w:cs="宋体"/>
          <w:b/>
          <w:bCs/>
          <w:color w:val="auto"/>
          <w:sz w:val="24"/>
          <w:highlight w:val="none"/>
          <w:lang w:val="en-US" w:eastAsia="zh-CN"/>
        </w:rPr>
        <w:t xml:space="preserve">280</w:t>
      </w:r>
      <w:r>
        <w:rPr>
          <w:rFonts w:hint="eastAsia" w:ascii="宋体" w:hAnsi="宋体" w:eastAsia="宋体" w:cs="宋体"/>
          <w:b/>
          <w:bCs/>
          <w:color w:val="auto"/>
          <w:sz w:val="24"/>
          <w:highlight w:val="none"/>
        </w:rPr>
        <w:t xml:space="preserve">.00万元（采购项目预算金额）的投标报价。</w:t>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项目说明</w:t>
      </w:r>
      <w:r>
        <w:rPr>
          <w:color w:val="auto"/>
          <w:highlight w:val="none"/>
        </w:rPr>
      </w:r>
      <w:r>
        <w:rPr>
          <w:color w:val="auto"/>
          <w:highlight w:val="none"/>
        </w:rPr>
      </w:r>
    </w:p>
    <w:p>
      <w:pPr>
        <w:pStyle w:val="1209"/>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1.采购人：徐州市儿童医院。</w:t>
      </w:r>
      <w:r>
        <w:rPr>
          <w:color w:val="auto"/>
          <w:highlight w:val="none"/>
        </w:rPr>
      </w:r>
      <w:r>
        <w:rPr>
          <w:color w:val="auto"/>
          <w:highlight w:val="none"/>
        </w:rPr>
      </w:r>
    </w:p>
    <w:p>
      <w:pPr>
        <w:pStyle w:val="1209"/>
        <w:jc w:val="left"/>
        <w:spacing w:line="360" w:lineRule="auto"/>
        <w:rPr>
          <w:color w:val="auto"/>
          <w:highlight w:val="none"/>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医用X射线摄影系统</w:t>
      </w:r>
      <w:r>
        <w:rPr>
          <w:rFonts w:hint="eastAsia" w:ascii="宋体" w:hAnsi="宋体" w:eastAsia="宋体" w:cs="宋体"/>
          <w:color w:val="auto"/>
          <w:sz w:val="24"/>
          <w:highlight w:val="none"/>
        </w:rPr>
        <w:t xml:space="preserve">。</w:t>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投标报价要求：</w:t>
      </w:r>
      <w:r>
        <w:rPr>
          <w:color w:val="auto"/>
          <w:highlight w:val="none"/>
        </w:rPr>
      </w:r>
      <w:r>
        <w:rPr>
          <w:color w:val="auto"/>
          <w:highlight w:val="none"/>
        </w:rPr>
      </w:r>
    </w:p>
    <w:p>
      <w:pPr>
        <w:spacing w:line="360" w:lineRule="auto"/>
        <w:tabs>
          <w:tab w:val="left" w:pos="0" w:leader="none"/>
        </w:tabs>
        <w:rPr>
          <w:rFonts w:ascii="宋体" w:hAnsi="宋体" w:cs="宋体"/>
          <w:color w:val="auto"/>
          <w:sz w:val="24"/>
          <w:highlight w:val="none"/>
        </w:rPr>
      </w:pPr>
      <w:r>
        <w:rPr>
          <w:rFonts w:hint="eastAsia" w:ascii="宋体" w:hAnsi="宋体" w:cs="宋体"/>
          <w:color w:val="auto"/>
          <w:sz w:val="24"/>
          <w:highlight w:val="none"/>
        </w:rPr>
        <w:t xml:space="preserve">投标人应当根据采购项目的要求按人民币报价，“报价”如无特别说明，均指含税价格，发票为增值税专用发票或增</w:t>
      </w:r>
      <w:r>
        <w:rPr>
          <w:rFonts w:hint="eastAsia" w:ascii="宋体" w:hAnsi="宋体" w:cs="宋体"/>
          <w:color w:val="auto"/>
          <w:sz w:val="24"/>
          <w:highlight w:val="none"/>
        </w:rPr>
        <w:t xml:space="preserve">值税普通发票（所包含的仪器设备类为增值税专用发票，物资耗材、工程和服务类为增值税普通发票）。投标人报价应包括全部货物及伴随工程和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rPr>
          <w:color w:val="auto"/>
          <w:highlight w:val="none"/>
        </w:rPr>
      </w:r>
      <w:r>
        <w:rPr>
          <w:color w:val="auto"/>
          <w:highlight w:val="none"/>
        </w:rPr>
      </w:r>
    </w:p>
    <w:p>
      <w:pPr>
        <w:numPr>
          <w:ilvl w:val="0"/>
          <w:numId w:val="0"/>
        </w:num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w:t>
      </w:r>
      <w:r>
        <w:rPr>
          <w:rFonts w:hint="default" w:ascii="宋体" w:hAnsi="宋体" w:eastAsia="宋体" w:cs="宋体"/>
          <w:b/>
          <w:bCs/>
          <w:color w:val="auto"/>
          <w:sz w:val="24"/>
          <w:szCs w:val="24"/>
          <w:highlight w:val="none"/>
          <w:lang w:val="en-US" w:eastAsia="zh-CN" w:bidi="ar-SA"/>
        </w:rPr>
        <w:t xml:space="preserve">设备功能：</w:t>
      </w:r>
      <w:r>
        <w:rPr>
          <w:rFonts w:hint="default" w:ascii="宋体" w:hAnsi="宋体" w:eastAsia="宋体" w:cs="宋体"/>
          <w:color w:val="auto"/>
          <w:sz w:val="24"/>
          <w:szCs w:val="24"/>
          <w:highlight w:val="none"/>
          <w:lang w:val="en-US" w:eastAsia="zh-CN" w:bidi="ar-SA"/>
        </w:rPr>
        <w:t xml:space="preserve">本产品</w:t>
      </w:r>
      <w:r>
        <w:rPr>
          <w:rFonts w:hint="eastAsia" w:ascii="宋体" w:hAnsi="宋体" w:eastAsia="宋体" w:cs="宋体"/>
          <w:color w:val="auto"/>
          <w:sz w:val="24"/>
          <w:szCs w:val="24"/>
          <w:highlight w:val="none"/>
          <w:lang w:val="en-US" w:eastAsia="zh-CN" w:bidi="ar-SA"/>
        </w:rPr>
        <w:t xml:space="preserve">主要用于双下肢全长、全脊柱X线检查，要求具备全幅一次性X线成像功能。且具备常规X射线摄影检查，获得影像供临床诊断用。设备需采用天轨悬吊臂结构，悬吊机架须实现自动运动，电动切换机架的立位拍摄及卧位拍摄 ，并实现各类部位体位一键智能摆位功能。</w:t>
      </w:r>
      <w:r>
        <w:rPr>
          <w:color w:val="auto"/>
          <w:highlight w:val="none"/>
        </w:rPr>
      </w:r>
      <w:r>
        <w:rPr>
          <w:color w:val="auto"/>
          <w:highlight w:val="none"/>
        </w:rPr>
      </w:r>
    </w:p>
    <w:tbl>
      <w:tblPr>
        <w:tblStyle w:val="932"/>
        <w:tblW w:w="5016" w:type="pct"/>
        <w:tblInd w:w="-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7625"/>
      </w:tblGrid>
      <w:tr>
        <w:trPr>
          <w:trHeight w:val="567"/>
        </w:trPr>
        <w:tc>
          <w:tcPr>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序号</w:t>
            </w:r>
            <w:r>
              <w:rPr>
                <w:color w:val="auto"/>
                <w:highlight w:val="none"/>
              </w:rPr>
            </w:r>
            <w:r>
              <w:rPr>
                <w:color w:val="auto"/>
                <w:highlight w:val="none"/>
              </w:rPr>
            </w:r>
          </w:p>
        </w:tc>
        <w:tc>
          <w:tcPr>
            <w:tcW w:w="4356" w:type="pct"/>
            <w:vAlign w:val="center"/>
            <w:textDirection w:val="lrTb"/>
            <w:noWrap w:val="false"/>
          </w:tcPr>
          <w:p>
            <w:pPr>
              <w:widowControl/>
              <w:rPr>
                <w:rStyle w:val="1193"/>
                <w:rFonts w:hint="default"/>
                <w:b w:val="0"/>
                <w:bCs w:val="0"/>
                <w:color w:val="auto"/>
                <w:sz w:val="21"/>
                <w:szCs w:val="21"/>
                <w:highlight w:val="none"/>
              </w:rPr>
            </w:pPr>
            <w:r>
              <w:rPr>
                <w:rFonts w:hint="eastAsia" w:ascii="微软雅黑" w:hAnsi="微软雅黑" w:eastAsia="微软雅黑" w:cs="微软雅黑"/>
                <w:color w:val="auto"/>
                <w:szCs w:val="21"/>
                <w:highlight w:val="none"/>
              </w:rPr>
              <w:t xml:space="preserve">具体技术(参数)要求</w:t>
            </w:r>
            <w:r>
              <w:rPr>
                <w:color w:val="auto"/>
                <w:highlight w:val="none"/>
              </w:rPr>
            </w:r>
            <w:r>
              <w:rPr>
                <w:color w:val="auto"/>
                <w:highlight w:val="none"/>
              </w:rPr>
            </w:r>
          </w:p>
        </w:tc>
      </w:tr>
      <w:tr>
        <w:trPr>
          <w:trHeight w:val="567"/>
        </w:trPr>
        <w:tc>
          <w:tcPr>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1</w:t>
            </w:r>
            <w:r>
              <w:rPr>
                <w:color w:val="auto"/>
                <w:highlight w:val="none"/>
              </w:rPr>
            </w:r>
            <w:r>
              <w:rPr>
                <w:color w:val="auto"/>
                <w:highlight w:val="none"/>
              </w:rPr>
            </w:r>
          </w:p>
        </w:tc>
        <w:tc>
          <w:tcPr>
            <w:tcW w:w="4356" w:type="pct"/>
            <w:vAlign w:val="center"/>
            <w:textDirection w:val="lrTb"/>
            <w:noWrap w:val="false"/>
          </w:tcPr>
          <w:p>
            <w:pPr>
              <w:pStyle w:val="1223"/>
              <w:jc w:val="both"/>
              <w:widowControl w:val="off"/>
              <w:rPr>
                <w:rFonts w:hint="default" w:ascii="微软雅黑" w:hAnsi="微软雅黑" w:eastAsia="微软雅黑" w:cs="微软雅黑"/>
                <w:color w:val="auto"/>
                <w:sz w:val="21"/>
                <w:szCs w:val="21"/>
                <w:highlight w:val="none"/>
              </w:rPr>
            </w:pPr>
            <w:r>
              <w:rPr>
                <w:rFonts w:ascii="微软雅黑" w:hAnsi="微软雅黑" w:eastAsia="微软雅黑" w:cs="微软雅黑"/>
                <w:color w:val="auto"/>
                <w:sz w:val="21"/>
                <w:szCs w:val="21"/>
                <w:highlight w:val="none"/>
              </w:rPr>
              <w:t xml:space="preserve">基本要求</w:t>
            </w:r>
            <w:r>
              <w:rPr>
                <w:rFonts w:ascii="微软雅黑" w:hAnsi="微软雅黑" w:eastAsia="微软雅黑" w:cs="微软雅黑"/>
                <w:color w:val="auto"/>
                <w:sz w:val="21"/>
                <w:szCs w:val="21"/>
                <w:highlight w:val="none"/>
                <w:lang w:eastAsia="zh-CN"/>
              </w:rPr>
              <w:t xml:space="preserve">：</w:t>
            </w:r>
            <w:r>
              <w:rPr>
                <w:rFonts w:ascii="微软雅黑" w:hAnsi="微软雅黑" w:eastAsia="微软雅黑" w:cs="微软雅黑"/>
                <w:color w:val="auto"/>
                <w:sz w:val="21"/>
                <w:szCs w:val="21"/>
                <w:highlight w:val="none"/>
              </w:rPr>
              <w:t xml:space="preserve">用于头颅、脊柱、四肢、胸部、腹部等全身站立位和卧位拍摄的天轨悬吊臂结构</w:t>
            </w:r>
            <w:r>
              <w:rPr>
                <w:rFonts w:ascii="微软雅黑" w:hAnsi="微软雅黑" w:eastAsia="微软雅黑" w:cs="微软雅黑"/>
                <w:color w:val="auto"/>
                <w:sz w:val="21"/>
                <w:szCs w:val="21"/>
                <w:highlight w:val="none"/>
                <w:lang w:eastAsia="zh-CN"/>
              </w:rPr>
              <w:t xml:space="preserve">，</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 w:val="20"/>
                <w:szCs w:val="20"/>
                <w:highlight w:val="none"/>
              </w:rPr>
            </w:pPr>
            <w:r>
              <w:rPr>
                <w:rStyle w:val="1193"/>
                <w:color w:val="auto"/>
                <w:highlight w:val="none"/>
              </w:rPr>
              <w:t xml:space="preserve">主要技术规格和要求</w:t>
            </w:r>
            <w:r>
              <w:rPr>
                <w:rStyle w:val="1224"/>
                <w:rFonts w:ascii="微软雅黑" w:hAnsi="微软雅黑" w:eastAsia="微软雅黑" w:cs="微软雅黑"/>
                <w:color w:val="auto"/>
                <w:highlight w:val="none"/>
              </w:rPr>
              <w:t xml:space="preserve"></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2.1</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高压发生器</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2.1.1</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输出电功率：</w:t>
            </w:r>
            <w:r>
              <w:rPr>
                <w:rFonts w:hint="eastAsia" w:ascii="微软雅黑" w:hAnsi="微软雅黑" w:eastAsia="微软雅黑" w:cs="微软雅黑"/>
                <w:color w:val="auto"/>
                <w:szCs w:val="21"/>
                <w:highlight w:val="none"/>
              </w:rPr>
              <w:t xml:space="preserve">≥80kW</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摄影最大管电压：</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150kV</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2.1.3</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透视最大管电压：</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125kV</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2.1.4</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摄影最大管电流：</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1000mA</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2.1.5</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连续透视最大管电流：</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20mA</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2.1.6</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脉冲透视最大管电流：</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lang w:val="en-US" w:eastAsia="zh-CN"/>
              </w:rPr>
              <w:t xml:space="preserve">4</w:t>
            </w:r>
            <w:r>
              <w:rPr>
                <w:rFonts w:hint="eastAsia" w:ascii="微软雅黑" w:hAnsi="微软雅黑" w:eastAsia="微软雅黑" w:cs="微软雅黑"/>
                <w:color w:val="auto"/>
                <w:szCs w:val="21"/>
                <w:highlight w:val="none"/>
              </w:rPr>
              <w:t xml:space="preserve">0mA</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2.1.7</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最大加载时间：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10s</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2.1.8</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最大电流时间积：</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1000mAs</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2.1.9</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最大逆变频率：</w:t>
            </w:r>
            <w:r>
              <w:rPr>
                <w:rFonts w:hint="eastAsia" w:ascii="微软雅黑" w:hAnsi="微软雅黑" w:eastAsia="微软雅黑" w:cs="微软雅黑"/>
                <w:color w:val="auto"/>
                <w:szCs w:val="21"/>
                <w:highlight w:val="none"/>
              </w:rPr>
              <w:t xml:space="preserve">≥50</w:t>
            </w:r>
            <w:r>
              <w:rPr>
                <w:rFonts w:hint="eastAsia" w:ascii="微软雅黑" w:hAnsi="微软雅黑" w:eastAsia="微软雅黑" w:cs="微软雅黑"/>
                <w:color w:val="auto"/>
                <w:szCs w:val="21"/>
                <w:highlight w:val="none"/>
              </w:rPr>
              <w:t xml:space="preserve">0kHz</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2.2</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X线球管</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2.2.1</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标称管电压：</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150kV</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焦点：</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0.6mm/1.2mm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2.2.3</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靶角：</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12°</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2.2.4</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焦点功率：40kw/100kw</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2.2.5</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管组件热容量：</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2000kHU</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2.2.6</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阳极最大热容量：</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600kHU</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2.2.7</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阳极旋转最高转速：</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10800rpm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 w:val="20"/>
                <w:szCs w:val="20"/>
                <w:highlight w:val="none"/>
              </w:rPr>
            </w:pPr>
            <w:r>
              <w:rPr>
                <w:rFonts w:hint="eastAsia" w:ascii="微软雅黑" w:hAnsi="微软雅黑" w:eastAsia="微软雅黑" w:cs="微软雅黑"/>
                <w:b/>
                <w:bCs/>
                <w:color w:val="auto"/>
                <w:sz w:val="20"/>
                <w:szCs w:val="20"/>
                <w:highlight w:val="none"/>
              </w:rPr>
              <w:t xml:space="preserve">2.3</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highlight w:val="none"/>
              </w:rPr>
            </w:pPr>
            <w:r>
              <w:rPr>
                <w:b/>
                <w:color w:val="auto"/>
                <w:sz w:val="20"/>
                <w:szCs w:val="20"/>
                <w:highlight w:val="none"/>
              </w:rPr>
              <w:t xml:space="preserve">悬吊</w:t>
            </w:r>
            <w:r>
              <w:rPr>
                <w:rFonts w:hint="eastAsia"/>
                <w:b/>
                <w:color w:val="auto"/>
                <w:sz w:val="20"/>
                <w:szCs w:val="20"/>
                <w:highlight w:val="none"/>
              </w:rPr>
              <w:t xml:space="preserve">机架</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 w:val="20"/>
                <w:szCs w:val="20"/>
                <w:highlight w:val="none"/>
              </w:rPr>
              <w:t xml:space="preserve">2.3.1</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机架结构：</w:t>
            </w:r>
            <w:r>
              <w:rPr>
                <w:rFonts w:hint="eastAsia" w:ascii="微软雅黑" w:hAnsi="微软雅黑" w:eastAsia="微软雅黑" w:cs="微软雅黑"/>
                <w:color w:val="auto"/>
                <w:szCs w:val="21"/>
                <w:highlight w:val="none"/>
              </w:rPr>
              <w:t xml:space="preserve">采用</w:t>
            </w:r>
            <w:r>
              <w:rPr>
                <w:rStyle w:val="933"/>
                <w:rFonts w:hint="eastAsia" w:ascii="微软雅黑" w:hAnsi="微软雅黑" w:eastAsia="微软雅黑" w:cs="微软雅黑"/>
                <w:b w:val="0"/>
                <w:color w:val="auto"/>
                <w:szCs w:val="21"/>
                <w:highlight w:val="none"/>
              </w:rPr>
              <w:t xml:space="preserve">井字型天轨机架机构</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2.3.2</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球管绕垂直轴旋转范围：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-180°～180°</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Arial" w:hAnsi="Arial" w:eastAsia="宋体" w:cs="Arial"/>
                <w:color w:val="auto"/>
                <w:sz w:val="19"/>
                <w:szCs w:val="19"/>
                <w:highlight w:val="none"/>
                <w:shd w:val="clear" w:color="auto" w:fill="ffffff"/>
              </w:rPr>
            </w:pPr>
            <w:r>
              <w:rPr>
                <w:rFonts w:hint="eastAsia" w:ascii="微软雅黑" w:hAnsi="微软雅黑" w:eastAsia="微软雅黑" w:cs="微软雅黑"/>
                <w:color w:val="auto"/>
                <w:szCs w:val="21"/>
                <w:highlight w:val="none"/>
                <w:shd w:val="clear" w:color="auto" w:fill="ffffff"/>
              </w:rPr>
              <w:t xml:space="preserve">2.3.3</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球管绕水平轴旋转范围：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-120°～120°</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2.3.4</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球管升降移动范围：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1500 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2.3.5</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球管沿天轨横向运动范围: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3200mm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 w:val="20"/>
                <w:szCs w:val="20"/>
                <w:highlight w:val="none"/>
              </w:rPr>
            </w:pPr>
            <w:r>
              <w:rPr>
                <w:rFonts w:hint="eastAsia" w:ascii="微软雅黑" w:hAnsi="微软雅黑" w:eastAsia="微软雅黑" w:cs="微软雅黑"/>
                <w:color w:val="auto"/>
                <w:sz w:val="20"/>
                <w:szCs w:val="20"/>
                <w:highlight w:val="none"/>
              </w:rPr>
              <w:t xml:space="preserve">2.3.6</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球管沿天轨纵向运动范围: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2000mm</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 w:val="20"/>
                <w:szCs w:val="20"/>
                <w:highlight w:val="none"/>
              </w:rPr>
              <w:t xml:space="preserve">2.3.7</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具备卧位、胸片位双向自动跟踪功能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 w:val="20"/>
                <w:szCs w:val="20"/>
                <w:highlight w:val="none"/>
              </w:rPr>
              <w:t xml:space="preserve">2.3.8</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具有一键摆位功能：一键即可将机架按照预设摆位自动运行到指定位置</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2.3.9</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探测器与球管可以实现双向自动跟踪</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2.3.10</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探测器与球管可以实现打角度自动跟踪</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2.3.11</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探测器与球管可以实现偏中心自动跟踪</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highlight w:val="none"/>
              </w:rPr>
            </w:pPr>
            <w:r>
              <w:rPr>
                <w:rFonts w:hint="eastAsia" w:ascii="微软雅黑" w:hAnsi="微软雅黑" w:eastAsia="微软雅黑" w:cs="微软雅黑"/>
                <w:color w:val="auto"/>
                <w:sz w:val="20"/>
                <w:szCs w:val="20"/>
                <w:highlight w:val="none"/>
              </w:rPr>
              <w:t xml:space="preserve">2.3.12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highlight w:val="none"/>
              </w:rPr>
            </w:pPr>
            <w:r>
              <w:rPr>
                <w:rFonts w:hint="eastAsia" w:ascii="微软雅黑" w:hAnsi="微软雅黑" w:eastAsia="微软雅黑" w:cs="微软雅黑"/>
                <w:color w:val="auto"/>
                <w:szCs w:val="21"/>
                <w:highlight w:val="none"/>
              </w:rPr>
              <w:t xml:space="preserve">具备一键到位急停保护功能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2.3.13</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具有机架内置语音对讲系统</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2.4</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无线平板探测器（2块）</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2.4.1</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像素尺寸：≤139µm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2.4.2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空间分辨率：</w:t>
            </w:r>
            <w:r>
              <w:rPr>
                <w:rFonts w:hint="eastAsia" w:ascii="微软雅黑" w:hAnsi="微软雅黑" w:eastAsia="微软雅黑" w:cs="微软雅黑"/>
                <w:color w:val="auto"/>
                <w:szCs w:val="21"/>
                <w:highlight w:val="none"/>
              </w:rPr>
              <w:t xml:space="preserve">≥3.7lp/mm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2.4.3</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成像区域：</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43×43cm²</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2.4.4</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摄影采集矩阵：</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3072×30</w:t>
            </w:r>
            <w:r>
              <w:rPr>
                <w:rFonts w:hint="eastAsia" w:ascii="微软雅黑" w:hAnsi="微软雅黑" w:eastAsia="微软雅黑" w:cs="微软雅黑"/>
                <w:color w:val="auto"/>
                <w:szCs w:val="21"/>
                <w:highlight w:val="none"/>
              </w:rPr>
              <w:t xml:space="preserve">72</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2.4.5</w:t>
            </w:r>
            <w:r>
              <w:rPr>
                <w:color w:val="auto"/>
                <w:highlight w:val="none"/>
              </w:rPr>
            </w:r>
            <w:r>
              <w:rPr>
                <w:color w:val="auto"/>
                <w:highlight w:val="none"/>
              </w:rPr>
            </w:r>
          </w:p>
        </w:tc>
        <w:tc>
          <w:tcPr>
            <w:tcW w:w="4356" w:type="pct"/>
            <w:vAlign w:val="center"/>
            <w:textDirection w:val="lrTb"/>
            <w:noWrap w:val="false"/>
          </w:tcPr>
          <w:p>
            <w:pPr>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透视最大矩阵：</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15</w:t>
            </w:r>
            <w:r>
              <w:rPr>
                <w:rFonts w:hint="eastAsia" w:ascii="微软雅黑" w:hAnsi="微软雅黑" w:eastAsia="微软雅黑" w:cs="微软雅黑"/>
                <w:color w:val="auto"/>
                <w:szCs w:val="21"/>
                <w:highlight w:val="none"/>
                <w:lang w:val="en-US" w:eastAsia="zh-CN"/>
              </w:rPr>
              <w:t xml:space="preserve">00</w:t>
            </w:r>
            <w:r>
              <w:rPr>
                <w:rFonts w:hint="eastAsia" w:ascii="微软雅黑" w:hAnsi="微软雅黑" w:eastAsia="微软雅黑" w:cs="微软雅黑"/>
                <w:color w:val="auto"/>
                <w:szCs w:val="21"/>
                <w:highlight w:val="none"/>
              </w:rPr>
              <w:t xml:space="preserve">×15</w:t>
            </w:r>
            <w:r>
              <w:rPr>
                <w:rFonts w:hint="eastAsia" w:ascii="微软雅黑" w:hAnsi="微软雅黑" w:eastAsia="微软雅黑" w:cs="微软雅黑"/>
                <w:color w:val="auto"/>
                <w:szCs w:val="21"/>
                <w:highlight w:val="none"/>
                <w:lang w:val="en-US" w:eastAsia="zh-CN"/>
              </w:rPr>
              <w:t xml:space="preserve">00</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2.4.6</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最大帧率：</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30f/s</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2.4.7</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图像输出灰阶位数：</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16位</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2.4.8</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DQE：</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70%@0lp/mm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2.4.9</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 w:val="20"/>
                <w:szCs w:val="20"/>
                <w:highlight w:val="none"/>
              </w:rPr>
              <w:t xml:space="preserve">平板探测器无线可移动，可在机/在线充电；</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2.5</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有线平板探测器</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2.5.1</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像素尺寸：≤139µm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2.5.2</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空间分辨率：</w:t>
            </w:r>
            <w:r>
              <w:rPr>
                <w:rFonts w:hint="eastAsia" w:ascii="微软雅黑" w:hAnsi="微软雅黑" w:eastAsia="微软雅黑" w:cs="微软雅黑"/>
                <w:color w:val="auto"/>
                <w:szCs w:val="21"/>
                <w:highlight w:val="none"/>
              </w:rPr>
              <w:t xml:space="preserve">≥3.7lp/mm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2.5.3</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成像区域：</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43×120cm²</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color w:val="auto"/>
                <w:szCs w:val="21"/>
                <w:highlight w:val="none"/>
              </w:rPr>
              <w:t xml:space="preserve">2.5.4</w:t>
            </w:r>
            <w:r>
              <w:rPr>
                <w:color w:val="auto"/>
                <w:highlight w:val="none"/>
              </w:rPr>
            </w:r>
            <w:r>
              <w:rPr>
                <w:color w:val="auto"/>
                <w:highlight w:val="none"/>
              </w:rPr>
            </w:r>
          </w:p>
        </w:tc>
        <w:tc>
          <w:tcPr>
            <w:shd w:val="clear" w:color="auto" w:fill="auto"/>
            <w:tcW w:w="4356" w:type="pct"/>
            <w:vAlign w:val="center"/>
            <w:textDirection w:val="lrTb"/>
            <w:noWrap w:val="false"/>
          </w:tcPr>
          <w:p>
            <w:pPr>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摄影采集矩阵：</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30</w:t>
            </w:r>
            <w:r>
              <w:rPr>
                <w:rFonts w:hint="eastAsia" w:ascii="微软雅黑" w:hAnsi="微软雅黑" w:eastAsia="微软雅黑" w:cs="微软雅黑"/>
                <w:color w:val="auto"/>
                <w:szCs w:val="21"/>
                <w:highlight w:val="none"/>
                <w:lang w:val="en-US" w:eastAsia="zh-CN"/>
              </w:rPr>
              <w:t xml:space="preserve">00</w:t>
            </w:r>
            <w:r>
              <w:rPr>
                <w:rFonts w:hint="eastAsia" w:ascii="微软雅黑" w:hAnsi="微软雅黑" w:eastAsia="微软雅黑" w:cs="微软雅黑"/>
                <w:color w:val="auto"/>
                <w:szCs w:val="21"/>
                <w:highlight w:val="none"/>
              </w:rPr>
              <w:t xml:space="preserve">×8</w:t>
            </w:r>
            <w:r>
              <w:rPr>
                <w:rFonts w:hint="eastAsia" w:ascii="微软雅黑" w:hAnsi="微软雅黑" w:eastAsia="微软雅黑" w:cs="微软雅黑"/>
                <w:color w:val="auto"/>
                <w:szCs w:val="21"/>
                <w:highlight w:val="none"/>
                <w:lang w:val="en-US" w:eastAsia="zh-CN"/>
              </w:rPr>
              <w:t xml:space="preserve">000</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2.5.5</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图像输出灰阶位数：</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16位</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2.5.6</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DQE：</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70%@0lp/mm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2.6</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胸片架</w:t>
            </w:r>
            <w:r>
              <w:rPr>
                <w:color w:val="auto"/>
                <w:highlight w:val="none"/>
              </w:rPr>
            </w:r>
            <w:r>
              <w:rPr>
                <w:color w:val="auto"/>
                <w:highlight w:val="none"/>
              </w:rPr>
            </w:r>
          </w:p>
        </w:tc>
      </w:tr>
      <w:tr>
        <w:trPr>
          <w:trHeight w:val="293"/>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2.6.1</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胸片架数量：2套</w:t>
            </w:r>
            <w:r>
              <w:rPr>
                <w:color w:val="auto"/>
                <w:highlight w:val="none"/>
              </w:rPr>
            </w:r>
            <w:r>
              <w:rPr>
                <w:color w:val="auto"/>
                <w:highlight w:val="none"/>
              </w:rPr>
            </w:r>
          </w:p>
        </w:tc>
      </w:tr>
      <w:tr>
        <w:trPr>
          <w:trHeight w:val="293"/>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第一套胸片架</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2.6.2.1</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承装平板探测器尺寸：43×120cm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片盒（探测器）升降距离：</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950mm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2.6.2.3</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片盒中心（同探测器中心）最低距离地面：</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730mm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2.6.2.4</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 w:val="20"/>
                <w:szCs w:val="20"/>
                <w:highlight w:val="none"/>
              </w:rPr>
              <w:t xml:space="preserve">具有自动曝光控制（AEC）功能</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w:t>
            </w:r>
            <w:r>
              <w:rPr>
                <w:color w:val="auto"/>
                <w:highlight w:val="none"/>
              </w:rPr>
            </w:r>
            <w:r>
              <w:rPr>
                <w:color w:val="auto"/>
                <w:highlight w:val="none"/>
              </w:rPr>
            </w:r>
          </w:p>
        </w:tc>
        <w:tc>
          <w:tcPr>
            <w:shd w:val="clear" w:color="auto" w:fill="auto"/>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第二套胸片架</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2.6.3.1</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承装平板探测器尺寸：43×43cm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2.6.3.2</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具备</w:t>
            </w:r>
            <w:r>
              <w:rPr>
                <w:rFonts w:hint="eastAsia" w:ascii="微软雅黑" w:hAnsi="微软雅黑" w:eastAsia="微软雅黑" w:cs="微软雅黑"/>
                <w:color w:val="auto"/>
                <w:spacing w:val="-1"/>
                <w:szCs w:val="21"/>
                <w:highlight w:val="none"/>
              </w:rPr>
              <w:t xml:space="preserve">片盒水平翻转电动控制功能</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2.6.3.3</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片盒（探测器）升降距离：</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1400mm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2.6.3.4</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片盒中心（同探测器中心）最低距离地面：</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340mm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2.6.3.5</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片盒水平翻转角度范围：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（-20 °~90°)</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2.6.3.6</w:t>
            </w:r>
            <w:r>
              <w:rPr>
                <w:color w:val="auto"/>
                <w:highlight w:val="none"/>
              </w:rPr>
            </w:r>
            <w:r>
              <w:rPr>
                <w:color w:val="auto"/>
                <w:highlight w:val="none"/>
              </w:rPr>
            </w:r>
          </w:p>
        </w:tc>
        <w:tc>
          <w:tcPr>
            <w:shd w:val="clear" w:color="auto" w:fill="auto"/>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color w:val="auto"/>
                <w:sz w:val="20"/>
                <w:szCs w:val="20"/>
                <w:highlight w:val="none"/>
              </w:rPr>
              <w:t xml:space="preserve">具有自动曝光控制（AEC）功能</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2.7</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升降摄影床</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2.7.1</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床面横向运动范围: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1000mm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2.7.2</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床面纵向运动范围: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270mm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2.7.3</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片盒横向运动范围:</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600mm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2.7.4</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床面升降运动距离：</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400mm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2.7.5</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床面板最低高度</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500mm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2.7.6</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升降式浮动患者台最大承重：</w:t>
            </w:r>
            <w:r>
              <w:rPr>
                <w:rFonts w:hint="eastAsia" w:ascii="微软雅黑" w:hAnsi="微软雅黑" w:eastAsia="微软雅黑" w:cs="微软雅黑"/>
                <w:color w:val="auto"/>
                <w:szCs w:val="21"/>
                <w:highlight w:val="none"/>
              </w:rPr>
              <w:t xml:space="preserve">≥</w:t>
            </w:r>
            <w:r>
              <w:rPr>
                <w:rFonts w:hint="eastAsia" w:ascii="微软雅黑" w:hAnsi="微软雅黑" w:eastAsia="微软雅黑" w:cs="微软雅黑"/>
                <w:color w:val="auto"/>
                <w:szCs w:val="21"/>
                <w:highlight w:val="none"/>
              </w:rPr>
              <w:t xml:space="preserve">320kg</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2.7.7</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具备探测器左右运动手电一体功能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2.7.8</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具备床下障碍物智能防护功能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2.8</w:t>
            </w:r>
            <w:r>
              <w:rPr>
                <w:color w:val="auto"/>
                <w:highlight w:val="none"/>
              </w:rPr>
            </w:r>
            <w:r>
              <w:rPr>
                <w:color w:val="auto"/>
                <w:highlight w:val="none"/>
              </w:rPr>
            </w:r>
          </w:p>
        </w:tc>
        <w:tc>
          <w:tcPr>
            <w:tcW w:w="4356" w:type="pct"/>
            <w:vAlign w:val="center"/>
            <w:textDirection w:val="lrTb"/>
            <w:noWrap w:val="false"/>
          </w:tcPr>
          <w:p>
            <w:pPr>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图像处理系统</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主机工作站操作台内存：≥8G</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主机工作站操作台硬盘：≥1TB</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2.8.3</w:t>
            </w:r>
            <w:r>
              <w:rPr>
                <w:color w:val="auto"/>
                <w:highlight w:val="none"/>
              </w:rPr>
            </w:r>
            <w:r>
              <w:rPr>
                <w:color w:val="auto"/>
                <w:highlight w:val="none"/>
              </w:rPr>
            </w:r>
          </w:p>
        </w:tc>
        <w:tc>
          <w:tcPr>
            <w:shd w:val="clear" w:color="auto" w:fill="auto"/>
            <w:tcW w:w="4356" w:type="pct"/>
            <w:vAlign w:val="center"/>
            <w:textDirection w:val="lrTb"/>
            <w:noWrap w:val="false"/>
          </w:tcPr>
          <w:p>
            <w:pPr>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采集工作站显示器尺寸：≥24英寸</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2.8.4</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bCs/>
                <w:color w:val="auto"/>
                <w:szCs w:val="21"/>
                <w:highlight w:val="none"/>
              </w:rPr>
              <w:t xml:space="preserve">患者信息管理：手工登记病人、急诊登记病人、WORKLIST  查询、检查列表显示、高级查询、病人复诊、病人资料修改</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2.8.5</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bCs/>
                <w:color w:val="auto"/>
                <w:szCs w:val="21"/>
                <w:highlight w:val="none"/>
              </w:rPr>
              <w:t xml:space="preserve">图像信息管理：缩略图列表显示、图像列表显示、视频列表显示、 高级查询、导出图像、发送 SCP</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2.8.6</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color w:val="auto"/>
                <w:szCs w:val="21"/>
                <w:highlight w:val="none"/>
              </w:rPr>
            </w:pPr>
            <w:r>
              <w:rPr>
                <w:rFonts w:hint="eastAsia" w:ascii="微软雅黑" w:hAnsi="微软雅黑" w:eastAsia="微软雅黑" w:cs="微软雅黑"/>
                <w:bCs/>
                <w:color w:val="auto"/>
                <w:szCs w:val="21"/>
                <w:highlight w:val="none"/>
              </w:rPr>
              <w:t xml:space="preserve">剂量报告管理：生成、存储与发送</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2.8.7</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诊断报告管理：编写、保存、预览、打印、专家模板管理</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2.8.8</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胶片打印管理：检查打印状态查询、DICOM 打印机列表管理、DICOM 打印（支持DICOM3.0 标准激光相机打印、支持 1:1 物体真实比例打印）</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2.8.9</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统计信息管理：检查总人数、曝光总数、图像总数、视频总数</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2.8.10</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应有图像数字化存储功能，支持病人光盘刻录和图像数据光盘备份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2.8.11</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支持图像 DICOM 传输，可发送图像到任何遵循 DICOM3.0 标准的PACS 服务器</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可发送动态 X 线视频到任何遵循 DICOM3.0 标准的PACS 服务器（满足国家新制定医保动态X线摄影收费标准）</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2.8.13</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曝光参数、辐射剂量记录和显示：查看图像 DICOM 信息</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2.8.14</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支持远程升级、远程故障诊断和故障处理、远程桌面协助，支持远程培训</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2.8.15</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产品能实时观测记录产品的详细使用状态，产品具有自动反馈故障代码或错误代码的功能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2.8.16</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具备常规摄影、透视、连续点片功能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2.8.17</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自由位摄影或常规摄影可通过限束器卷尺手动测量 SID 距离</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2.8.19</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应具备光野指示装置，并以指示线显示光野中心</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2.7.20</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透视过程中图像局部放大显示功能：可三档放大，分别可放大 17/15、17/12、17/9 倍</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2.8.21</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器官程序摄影（APR）：在软件上选择部位体位后，自动设置和显示所用高压曝光参数；器官程序不少于 1300 个</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2.8.22</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平板探测器切换：具有平板探测器切换功能，医生可根据摄片需求自由选择平板</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2.8.23</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限束器自动缩窗或开窗：在软件上选择部位体位后，自动控制限束器缩窗或开窗到适合拍摄所选部位的开窗位置</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2.8.24</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虚拟限束器功能：在调整限束器开口大小时，在不产生 X 射线的情况下，检查室的图像显示器能图形化模拟显示 X 射线野的范围，减少病人的辐射剂量</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2.8.25</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应有图像旋转及翻转、负相、还原、调窗及自动调窗、移动、缩放、放大镜、图像裁剪、长骨拼接、图像重建功能</w:t>
            </w:r>
            <w:r>
              <w:rPr>
                <w:color w:val="auto"/>
                <w:highlight w:val="none"/>
              </w:rPr>
            </w:r>
            <w:r>
              <w:rPr>
                <w:color w:val="auto"/>
                <w:highlight w:val="none"/>
              </w:rPr>
            </w:r>
          </w:p>
        </w:tc>
      </w:tr>
      <w:tr>
        <w:trPr>
          <w:trHeight w:val="567"/>
        </w:trPr>
        <w:tc>
          <w:tcPr>
            <w:tcW w:w="643" w:type="pct"/>
            <w:vAlign w:val="center"/>
            <w:textDirection w:val="lrTb"/>
            <w:noWrap w:val="false"/>
          </w:tcPr>
          <w:p>
            <w:pPr>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2.8.26</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应有视频回放、视频局部放大显示（可三档放大，分别可放大 17/15、17/12、17/9 倍）、视频抽帧、视频截取功能</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bCs/>
                <w:color w:val="auto"/>
                <w:szCs w:val="21"/>
                <w:highlight w:val="none"/>
              </w:rPr>
              <w:t xml:space="preserve">2.8.27</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具备鹰眼视控功能</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bCs/>
                <w:color w:val="auto"/>
                <w:szCs w:val="21"/>
                <w:highlight w:val="none"/>
              </w:rPr>
              <w:t xml:space="preserve">2.8.28</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具备cobb角自动测量功能</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ascii="Arial" w:hAnsi="Arial" w:eastAsia="宋体" w:cs="Arial"/>
                <w:color w:val="auto"/>
                <w:sz w:val="19"/>
                <w:szCs w:val="19"/>
                <w:highlight w:val="none"/>
                <w:shd w:val="clear" w:color="auto" w:fill="ffffff"/>
              </w:rPr>
              <w:t xml:space="preserve">▲</w:t>
            </w:r>
            <w:r>
              <w:rPr>
                <w:rFonts w:hint="eastAsia" w:ascii="微软雅黑" w:hAnsi="微软雅黑" w:eastAsia="微软雅黑" w:cs="微软雅黑"/>
                <w:bCs/>
                <w:color w:val="auto"/>
                <w:szCs w:val="21"/>
                <w:highlight w:val="none"/>
              </w:rPr>
              <w:t xml:space="preserve">2.8.29</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具备负重位动态影像三维重建功能</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Arial" w:hAnsi="Arial" w:eastAsia="宋体" w:cs="Arial"/>
                <w:color w:val="auto"/>
                <w:sz w:val="19"/>
                <w:szCs w:val="19"/>
                <w:highlight w:val="none"/>
                <w:shd w:val="clear" w:color="auto" w:fill="ffffff"/>
              </w:rPr>
            </w:pPr>
            <w:r>
              <w:rPr>
                <w:rFonts w:hint="eastAsia" w:ascii="微软雅黑" w:hAnsi="微软雅黑" w:eastAsia="微软雅黑" w:cs="微软雅黑"/>
                <w:bCs/>
                <w:color w:val="auto"/>
                <w:szCs w:val="21"/>
                <w:highlight w:val="none"/>
              </w:rPr>
              <w:t xml:space="preserve">2.8.30</w:t>
            </w:r>
            <w:r>
              <w:rPr>
                <w:color w:val="auto"/>
                <w:highlight w:val="none"/>
              </w:rPr>
            </w:r>
            <w:r>
              <w:rPr>
                <w:color w:val="auto"/>
                <w:highlight w:val="none"/>
              </w:rPr>
            </w:r>
          </w:p>
        </w:tc>
        <w:tc>
          <w:tcPr>
            <w:tcW w:w="4356"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具备MPR多平面视图图像处理功能</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2.8.31</w:t>
            </w:r>
            <w:r>
              <w:rPr>
                <w:color w:val="auto"/>
                <w:highlight w:val="none"/>
              </w:rPr>
            </w:r>
            <w:r>
              <w:rPr>
                <w:color w:val="auto"/>
                <w:highlight w:val="none"/>
              </w:rPr>
            </w:r>
          </w:p>
        </w:tc>
        <w:tc>
          <w:tcPr>
            <w:tcW w:w="4356" w:type="pct"/>
            <w:vAlign w:val="center"/>
            <w:textDirection w:val="lrTb"/>
            <w:noWrap w:val="false"/>
          </w:tcPr>
          <w:p>
            <w:pPr>
              <w:jc w:val="left"/>
              <w:widowControl/>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具备膝关节间隙AI测量功能</w:t>
            </w:r>
            <w:r>
              <w:rPr>
                <w:color w:val="auto"/>
                <w:highlight w:val="none"/>
              </w:rPr>
            </w:r>
            <w:r>
              <w:rPr>
                <w:color w:val="auto"/>
                <w:highlight w:val="none"/>
              </w:rPr>
            </w:r>
          </w:p>
        </w:tc>
      </w:tr>
      <w:tr>
        <w:trPr>
          <w:trHeight w:val="567"/>
        </w:trPr>
        <w:tc>
          <w:tcPr>
            <w:tcW w:w="643" w:type="pct"/>
            <w:vAlign w:val="center"/>
            <w:textDirection w:val="lrTb"/>
            <w:noWrap w:val="false"/>
          </w:tcPr>
          <w:p>
            <w:pPr>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2.8.32</w:t>
            </w:r>
            <w:r>
              <w:rPr>
                <w:color w:val="auto"/>
                <w:highlight w:val="none"/>
              </w:rPr>
            </w:r>
            <w:r>
              <w:rPr>
                <w:color w:val="auto"/>
                <w:highlight w:val="none"/>
              </w:rPr>
            </w:r>
          </w:p>
        </w:tc>
        <w:tc>
          <w:tcPr>
            <w:tcW w:w="4356" w:type="pct"/>
            <w:vAlign w:val="center"/>
            <w:textDirection w:val="lrTb"/>
            <w:noWrap w:val="false"/>
          </w:tcPr>
          <w:p>
            <w:pPr>
              <w:jc w:val="left"/>
              <w:widowControl/>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具备骨盆入射角及骨盆倾斜角参数自动测量功能</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ascii="微软雅黑" w:hAnsi="微软雅黑" w:eastAsia="微软雅黑" w:cs="微软雅黑"/>
                <w:color w:val="auto"/>
                <w:szCs w:val="21"/>
                <w:highlight w:val="none"/>
              </w:rPr>
            </w:pPr>
            <w:r>
              <w:rPr>
                <w:rFonts w:hint="eastAsia" w:ascii="微软雅黑" w:hAnsi="微软雅黑" w:eastAsia="微软雅黑" w:cs="微软雅黑"/>
                <w:b/>
                <w:bCs/>
                <w:color w:val="auto"/>
                <w:szCs w:val="21"/>
                <w:highlight w:val="none"/>
              </w:rPr>
              <w:t xml:space="preserve">2.9</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b/>
                <w:bCs/>
                <w:color w:val="auto"/>
                <w:szCs w:val="21"/>
                <w:highlight w:val="none"/>
              </w:rPr>
              <w:t xml:space="preserve">球管侧近台操控系统</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2.9.1</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具备近台操控彩色触摸屏</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2.9.2</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可显示患者的详细登记信息、SID数值、球管组件绕水平轴旋转角度</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2.9.3</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屏幕显示可依据重力方向自动调整显示的方向</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2.9.4</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宋体" w:hAnsi="宋体" w:eastAsia="宋体" w:cs="宋体"/>
                <w:bCs/>
                <w:color w:val="auto"/>
                <w:szCs w:val="21"/>
                <w:highlight w:val="none"/>
              </w:rPr>
            </w:pPr>
            <w:r>
              <w:rPr>
                <w:rFonts w:hint="eastAsia" w:ascii="微软雅黑" w:hAnsi="微软雅黑" w:eastAsia="微软雅黑" w:cs="微软雅黑"/>
                <w:color w:val="auto"/>
                <w:szCs w:val="21"/>
                <w:highlight w:val="none"/>
              </w:rPr>
              <w:t xml:space="preserve">可调整曝光参数（kV，mA，mAs等）、束光器滤过组合</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2.10</w:t>
            </w:r>
            <w:r>
              <w:rPr>
                <w:color w:val="auto"/>
                <w:highlight w:val="none"/>
              </w:rPr>
            </w:r>
            <w:r>
              <w:rPr>
                <w:color w:val="auto"/>
                <w:highlight w:val="none"/>
              </w:rPr>
            </w:r>
          </w:p>
        </w:tc>
        <w:tc>
          <w:tcPr>
            <w:shd w:val="clear" w:color="auto" w:fill="auto"/>
            <w:tcW w:w="4356" w:type="pct"/>
            <w:vAlign w:val="center"/>
            <w:textDirection w:val="lrTb"/>
            <w:noWrap w:val="false"/>
          </w:tcPr>
          <w:p>
            <w:pPr>
              <w:jc w:val="left"/>
              <w:widowControl/>
              <w:rPr>
                <w:rFonts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rPr>
              <w:t xml:space="preserve">全身拼接站台</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2.10.1</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站台宽度：≥880mm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2.10.2</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站台高度：≥20</w:t>
            </w:r>
            <w:r>
              <w:rPr>
                <w:rFonts w:hint="eastAsia" w:ascii="微软雅黑" w:hAnsi="微软雅黑" w:eastAsia="微软雅黑" w:cs="微软雅黑"/>
                <w:color w:val="auto"/>
                <w:szCs w:val="21"/>
                <w:highlight w:val="none"/>
                <w:lang w:val="en-US" w:eastAsia="zh-CN"/>
              </w:rPr>
              <w:t xml:space="preserve">0</w:t>
            </w:r>
            <w:r>
              <w:rPr>
                <w:rFonts w:hint="eastAsia" w:ascii="微软雅黑" w:hAnsi="微软雅黑" w:eastAsia="微软雅黑" w:cs="微软雅黑"/>
                <w:color w:val="auto"/>
                <w:szCs w:val="21"/>
                <w:highlight w:val="none"/>
              </w:rPr>
              <w:t xml:space="preserve">0mm</w:t>
            </w:r>
            <w:r>
              <w:rPr>
                <w:color w:val="auto"/>
                <w:highlight w:val="none"/>
              </w:rPr>
            </w:r>
            <w:r>
              <w:rPr>
                <w:color w:val="auto"/>
                <w:highlight w:val="none"/>
              </w:rPr>
            </w:r>
          </w:p>
        </w:tc>
      </w:tr>
      <w:tr>
        <w:trPr>
          <w:trHeight w:val="567"/>
        </w:trPr>
        <w:tc>
          <w:tcPr>
            <w:shd w:val="clear" w:color="auto" w:fill="auto"/>
            <w:tcW w:w="643" w:type="pct"/>
            <w:vAlign w:val="center"/>
            <w:textDirection w:val="lrTb"/>
            <w:noWrap w:val="false"/>
          </w:tcPr>
          <w:p>
            <w:pPr>
              <w:jc w:val="left"/>
              <w:widowControl/>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2.10.3</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最大承重：≥200kg</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2.10.4</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bCs/>
                <w:color w:val="auto"/>
                <w:szCs w:val="21"/>
                <w:highlight w:val="none"/>
              </w:rPr>
              <w:t xml:space="preserve">支持立位一次摄影全幅成像</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rPr>
              <w:t xml:space="preserve">2.10.5</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ascii="微软雅黑" w:hAnsi="微软雅黑" w:eastAsia="微软雅黑" w:cs="微软雅黑"/>
                <w:bCs/>
                <w:color w:val="auto"/>
                <w:szCs w:val="21"/>
                <w:highlight w:val="none"/>
              </w:rPr>
            </w:pPr>
            <w:r>
              <w:rPr>
                <w:rFonts w:hint="eastAsia" w:ascii="微软雅黑" w:hAnsi="微软雅黑" w:eastAsia="微软雅黑" w:cs="微软雅黑"/>
                <w:color w:val="auto"/>
                <w:szCs w:val="21"/>
                <w:highlight w:val="none"/>
              </w:rPr>
              <w:t xml:space="preserve">支持卧位全自动长骨拼接功能</w:t>
            </w:r>
            <w:r>
              <w:rPr>
                <w:color w:val="auto"/>
                <w:highlight w:val="none"/>
              </w:rPr>
            </w:r>
            <w:r>
              <w:rPr>
                <w:color w:val="auto"/>
                <w:highlight w:val="none"/>
              </w:rPr>
            </w:r>
          </w:p>
        </w:tc>
      </w:tr>
      <w:tr>
        <w:trPr>
          <w:trHeight w:val="567"/>
        </w:trPr>
        <w:tc>
          <w:tcPr>
            <w:tcW w:w="643" w:type="pct"/>
            <w:vAlign w:val="center"/>
            <w:textDirection w:val="lrTb"/>
            <w:noWrap w:val="false"/>
          </w:tcPr>
          <w:p>
            <w:pPr>
              <w:jc w:val="left"/>
              <w:widowControl/>
              <w:rPr>
                <w:rFonts w:hint="default"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lang w:val="en-US" w:eastAsia="zh-CN"/>
              </w:rPr>
              <w:t xml:space="preserve">★2.11</w:t>
            </w:r>
            <w:r>
              <w:rPr>
                <w:color w:val="auto"/>
                <w:highlight w:val="none"/>
              </w:rPr>
            </w:r>
            <w:r>
              <w:rPr>
                <w:color w:val="auto"/>
                <w:highlight w:val="none"/>
              </w:rPr>
            </w:r>
          </w:p>
        </w:tc>
        <w:tc>
          <w:tcPr>
            <w:tcW w:w="4356" w:type="pct"/>
            <w:vAlign w:val="center"/>
            <w:textDirection w:val="lrTb"/>
            <w:noWrap w:val="false"/>
          </w:tcPr>
          <w:p>
            <w:pPr>
              <w:jc w:val="left"/>
              <w:widowControl/>
              <w:rPr>
                <w:rFonts w:hint="default" w:ascii="微软雅黑" w:hAnsi="微软雅黑" w:eastAsia="微软雅黑" w:cs="微软雅黑"/>
                <w:b/>
                <w:bCs/>
                <w:color w:val="auto"/>
                <w:szCs w:val="21"/>
                <w:highlight w:val="none"/>
              </w:rPr>
            </w:pPr>
            <w:r>
              <w:rPr>
                <w:rFonts w:hint="eastAsia" w:ascii="微软雅黑" w:hAnsi="微软雅黑" w:eastAsia="微软雅黑" w:cs="微软雅黑"/>
                <w:b/>
                <w:bCs/>
                <w:color w:val="auto"/>
                <w:szCs w:val="21"/>
                <w:highlight w:val="none"/>
                <w:lang w:val="en-US" w:eastAsia="zh-CN"/>
              </w:rPr>
              <w:t xml:space="preserve">第三方配置</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2.11.1</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叫号屏8块</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2.11.2</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品牌电脑10台</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2.11.3</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DR机房防护施工达到验收标准（旧设备拆除转运到指定地点；承担预控评费用，并保证预控评合格）</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2.11.4</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hint="eastAsia"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五匹主流品牌柜式空调1台</w:t>
            </w:r>
            <w:r>
              <w:rPr>
                <w:color w:val="auto"/>
                <w:highlight w:val="none"/>
              </w:rPr>
            </w:r>
            <w:r>
              <w:rPr>
                <w:color w:val="auto"/>
                <w:highlight w:val="none"/>
              </w:rPr>
            </w:r>
          </w:p>
        </w:tc>
      </w:tr>
      <w:tr>
        <w:trPr>
          <w:trHeight w:val="567"/>
        </w:trPr>
        <w:tc>
          <w:tcPr>
            <w:tcW w:w="643" w:type="pct"/>
            <w:vAlign w:val="center"/>
            <w:textDirection w:val="lrTb"/>
            <w:noWrap w:val="false"/>
          </w:tcPr>
          <w:p>
            <w:pPr>
              <w:jc w:val="left"/>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2.11.5</w:t>
            </w:r>
            <w:r>
              <w:rPr>
                <w:color w:val="auto"/>
                <w:highlight w:val="none"/>
              </w:rPr>
            </w:r>
            <w:r>
              <w:rPr>
                <w:color w:val="auto"/>
                <w:highlight w:val="none"/>
              </w:rPr>
            </w:r>
          </w:p>
        </w:tc>
        <w:tc>
          <w:tcPr>
            <w:tcW w:w="4356" w:type="pct"/>
            <w:vAlign w:val="center"/>
            <w:textDirection w:val="lrTb"/>
            <w:noWrap w:val="false"/>
          </w:tcPr>
          <w:p>
            <w:pPr>
              <w:jc w:val="left"/>
              <w:spacing w:line="360" w:lineRule="auto"/>
              <w:rPr>
                <w:rFonts w:hint="default" w:ascii="微软雅黑" w:hAnsi="微软雅黑" w:eastAsia="微软雅黑" w:cs="微软雅黑"/>
                <w:color w:val="auto"/>
                <w:szCs w:val="21"/>
                <w:highlight w:val="none"/>
              </w:rPr>
            </w:pPr>
            <w:r>
              <w:rPr>
                <w:rFonts w:hint="eastAsia" w:ascii="微软雅黑" w:hAnsi="微软雅黑" w:eastAsia="微软雅黑" w:cs="微软雅黑"/>
                <w:color w:val="auto"/>
                <w:szCs w:val="21"/>
                <w:highlight w:val="none"/>
                <w:lang w:val="en-US" w:eastAsia="zh-CN"/>
              </w:rPr>
              <w:t xml:space="preserve">铅衣5套</w:t>
            </w:r>
            <w:r>
              <w:rPr>
                <w:color w:val="auto"/>
                <w:highlight w:val="none"/>
              </w:rPr>
            </w:r>
            <w:r>
              <w:rPr>
                <w:color w:val="auto"/>
                <w:highlight w:val="none"/>
              </w:rPr>
            </w:r>
          </w:p>
        </w:tc>
      </w:tr>
    </w:tbl>
    <w:p>
      <w:pPr>
        <w:spacing w:line="360" w:lineRule="auto"/>
        <w:rPr>
          <w:rFonts w:ascii="宋体" w:hAnsi="宋体" w:cs="宋体"/>
          <w:b/>
          <w:color w:val="auto"/>
          <w:sz w:val="24"/>
          <w:highlight w:val="none"/>
        </w:rPr>
      </w:pPr>
      <w:r>
        <w:rPr>
          <w:rFonts w:ascii="宋体" w:hAnsi="宋体" w:cs="宋体"/>
          <w:b/>
          <w:color w:val="auto"/>
          <w:sz w:val="24"/>
          <w:highlight w:val="none"/>
        </w:rPr>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项目实施要求及质量保障：</w:t>
      </w:r>
      <w:r>
        <w:rPr>
          <w:color w:val="auto"/>
          <w:highlight w:val="none"/>
        </w:rPr>
      </w:r>
      <w:r>
        <w:rPr>
          <w:color w:val="auto"/>
          <w:highlight w:val="none"/>
        </w:rPr>
      </w:r>
    </w:p>
    <w:p>
      <w:pPr>
        <w:pStyle w:val="1210"/>
        <w:rPr>
          <w:b/>
          <w:bCs/>
          <w:color w:val="auto"/>
          <w:highlight w:val="none"/>
        </w:rPr>
        <w:outlineLvl w:val="2"/>
      </w:pPr>
      <w:r>
        <w:rPr>
          <w:rFonts w:hint="eastAsia"/>
          <w:b/>
          <w:bCs/>
          <w:color w:val="auto"/>
          <w:highlight w:val="none"/>
        </w:rPr>
        <w:t xml:space="preserve">（一）项目实施要求</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投标人应明确所投产品的品牌、型号、规格及一些必须说明的技术参数，以及设备配置清单，并提供详细的技术参数及性能说明书。</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所投货物应符合国家有关质量标准。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本项目要求投标人在充分理解系统功能的基础上选用符合招标文件要求的设备，投标文件中编写详细的深化方案，提供详细的设备清单。该清单中所列项目必须能够构成完整的可正常运行并满足本招标要求的系统。</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交货及安装期限要求：</w:t>
      </w:r>
      <w:r>
        <w:rPr>
          <w:rFonts w:hint="eastAsia" w:ascii="宋体" w:hAnsi="宋体" w:cs="宋体"/>
          <w:color w:val="auto"/>
          <w:sz w:val="24"/>
          <w:highlight w:val="none"/>
        </w:rPr>
        <w:t xml:space="preserve">合同生效后，</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日历天内完成交付并安装调试完毕并投入使用。</w:t>
      </w:r>
      <w:r>
        <w:rPr>
          <w:rFonts w:hint="eastAsia" w:ascii="宋体" w:hAnsi="宋体" w:cs="宋体"/>
          <w:color w:val="auto"/>
          <w:sz w:val="24"/>
          <w:highlight w:val="none"/>
        </w:rPr>
        <w:t xml:space="preserve">设备送到项目实施现场后（</w:t>
      </w:r>
      <w:r>
        <w:rPr>
          <w:rFonts w:hint="eastAsia" w:ascii="宋体" w:hAnsi="宋体" w:cs="宋体"/>
          <w:b/>
          <w:bCs/>
          <w:color w:val="auto"/>
          <w:sz w:val="24"/>
          <w:highlight w:val="none"/>
          <w:u w:val="single"/>
        </w:rPr>
        <w:t xml:space="preserve">徐州市儿童医院西院</w:t>
      </w:r>
      <w:r>
        <w:rPr>
          <w:rFonts w:hint="eastAsia" w:ascii="宋体" w:hAnsi="宋体" w:cs="宋体"/>
          <w:color w:val="auto"/>
          <w:sz w:val="24"/>
          <w:highlight w:val="none"/>
        </w:rPr>
        <w:t xml:space="preserve">），中标人与采购</w:t>
      </w:r>
      <w:r>
        <w:rPr>
          <w:rFonts w:hint="eastAsia" w:ascii="宋体" w:hAnsi="宋体" w:cs="宋体"/>
          <w:color w:val="auto"/>
          <w:sz w:val="24"/>
          <w:highlight w:val="none"/>
        </w:rPr>
        <w:t xml:space="preserve">人一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人必须更换，并且赔偿由此给采购人造成的损失。</w:t>
      </w:r>
      <w:r>
        <w:rPr>
          <w:color w:val="auto"/>
          <w:highlight w:val="none"/>
        </w:rPr>
      </w:r>
      <w:r>
        <w:rPr>
          <w:color w:val="auto"/>
          <w:highlight w:val="none"/>
        </w:rP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说明：“4、交货及安装期限要求”为不允许负偏离的实质性要求和条件，如</w:t>
      </w:r>
      <w:r>
        <w:rPr>
          <w:rFonts w:hint="eastAsia" w:ascii="宋体" w:hAnsi="宋体" w:cs="宋体"/>
          <w:b/>
          <w:bCs/>
          <w:color w:val="auto"/>
          <w:sz w:val="24"/>
          <w:highlight w:val="none"/>
        </w:rPr>
        <w:t xml:space="preserve">有负偏离，在符合性审查时按照投标无效处理。</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投标人承担安装或维修的专用设备和人员的安全责任。投标人中标后应及时安装调试，安装调试期间采购人的使用人员协助配合；安装调试完毕，中标人需组织采购人使用人员进行使用及日常维护等的培训。</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验收时需提供全部的技术资料（产品中/英文说明书、中文操作手册和产品合格证书）。</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投标人安装调试时采取必要的安全措施，如有意外或事故发生，由中标人（合同卖方）负全部责任。</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投标人应指派专人全面负责项目的管理、项目协调、项目控制、质量监督等各项管理工作。</w:t>
      </w:r>
      <w:r>
        <w:rPr>
          <w:color w:val="auto"/>
          <w:highlight w:val="none"/>
        </w:rPr>
      </w:r>
      <w:r>
        <w:rPr>
          <w:color w:val="auto"/>
          <w:highlight w:val="none"/>
        </w:rPr>
      </w:r>
    </w:p>
    <w:p>
      <w:pPr>
        <w:numPr>
          <w:ilvl w:val="0"/>
          <w:numId w:val="5"/>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厂家专职工程师到医院现场，负责仪器安装、调试，并负责本科室1至2名医师操作使用、维护培训，培训时间不少于一周。</w:t>
      </w:r>
      <w:r>
        <w:rPr>
          <w:color w:val="auto"/>
          <w:highlight w:val="none"/>
        </w:rPr>
      </w:r>
      <w:r>
        <w:rPr>
          <w:color w:val="auto"/>
          <w:highlight w:val="none"/>
        </w:rPr>
      </w:r>
    </w:p>
    <w:p>
      <w:pPr>
        <w:pStyle w:val="1210"/>
        <w:rPr>
          <w:b/>
          <w:bCs/>
          <w:color w:val="auto"/>
          <w:highlight w:val="none"/>
        </w:rPr>
        <w:outlineLvl w:val="2"/>
      </w:pPr>
      <w:r>
        <w:rPr>
          <w:rFonts w:hint="eastAsia"/>
          <w:b/>
          <w:bCs/>
          <w:color w:val="auto"/>
          <w:highlight w:val="none"/>
        </w:rPr>
        <w:t xml:space="preserve">（二）质量保障要求</w:t>
      </w:r>
      <w:r>
        <w:rPr>
          <w:color w:val="auto"/>
          <w:highlight w:val="none"/>
        </w:rPr>
      </w:r>
      <w:r>
        <w:rPr>
          <w:color w:val="auto"/>
          <w:highlight w:val="none"/>
        </w:rP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在质量管理上，严格按照规范要求，建立完善的质量管理体系，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rPr>
          <w:color w:val="auto"/>
          <w:highlight w:val="none"/>
        </w:rPr>
      </w:r>
      <w:r>
        <w:rPr>
          <w:color w:val="auto"/>
          <w:highlight w:val="none"/>
        </w:rP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投标人须提供所投产品的实样照片、提供所投产品配置清单、产品手册或技术说明书，针对所投产品的技术指标、性能稳定性进行具体说明。</w:t>
      </w:r>
      <w:r>
        <w:rPr>
          <w:color w:val="auto"/>
          <w:highlight w:val="none"/>
        </w:rPr>
      </w:r>
      <w:r>
        <w:rPr>
          <w:color w:val="auto"/>
          <w:highlight w:val="none"/>
        </w:rPr>
      </w:r>
    </w:p>
    <w:p>
      <w:pPr>
        <w:numPr>
          <w:ilvl w:val="0"/>
          <w:numId w:val="6"/>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rPr>
          <w:color w:val="auto"/>
          <w:highlight w:val="none"/>
        </w:rPr>
      </w:r>
      <w:r>
        <w:rPr>
          <w:color w:val="auto"/>
          <w:highlight w:val="none"/>
        </w:rPr>
      </w:r>
    </w:p>
    <w:p>
      <w:pPr>
        <w:pStyle w:val="1210"/>
        <w:rPr>
          <w:b/>
          <w:bCs/>
          <w:color w:val="auto"/>
          <w:highlight w:val="none"/>
        </w:rPr>
        <w:outlineLvl w:val="2"/>
      </w:pPr>
      <w:r>
        <w:rPr>
          <w:rFonts w:hint="eastAsia"/>
          <w:b/>
          <w:bCs/>
          <w:color w:val="auto"/>
          <w:highlight w:val="none"/>
        </w:rPr>
        <w:t xml:space="preserve">（三）配送、安装要求</w:t>
      </w:r>
      <w:r>
        <w:rPr>
          <w:color w:val="auto"/>
          <w:highlight w:val="none"/>
        </w:rPr>
      </w:r>
      <w:r>
        <w:rPr>
          <w:color w:val="auto"/>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投标人成立配送安装小组，指定具体负责人。产品出厂前，必须明确安装/维修要求，备齐所需工具。提供人员安排和配置。</w:t>
      </w:r>
      <w:r>
        <w:rPr>
          <w:color w:val="auto"/>
          <w:highlight w:val="none"/>
        </w:rPr>
      </w:r>
      <w:r>
        <w:rPr>
          <w:color w:val="auto"/>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装前：将安装施工中工具需要的电源进行确定、现场产品摆放的尺寸丈量，送货前场地的清场状况、电梯及电源照明的正常使用等，制定详细的进度规划。装卸货物必须小心轻放，避免产品因装卸而引起的损坏。</w:t>
      </w:r>
      <w:r>
        <w:rPr>
          <w:color w:val="auto"/>
          <w:highlight w:val="none"/>
        </w:rPr>
      </w:r>
      <w:r>
        <w:rPr>
          <w:color w:val="auto"/>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rPr>
          <w:color w:val="auto"/>
          <w:highlight w:val="none"/>
        </w:rPr>
      </w:r>
      <w:r>
        <w:rPr>
          <w:color w:val="auto"/>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rPr>
          <w:color w:val="auto"/>
          <w:highlight w:val="none"/>
        </w:rPr>
      </w:r>
      <w:r>
        <w:rPr>
          <w:color w:val="auto"/>
          <w:highlight w:val="none"/>
        </w:rPr>
      </w:r>
    </w:p>
    <w:p>
      <w:pPr>
        <w:numPr>
          <w:ilvl w:val="0"/>
          <w:numId w:val="7"/>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项目验收标准：</w:t>
      </w:r>
      <w:r>
        <w:rPr>
          <w:color w:val="auto"/>
          <w:highlight w:val="none"/>
        </w:rPr>
      </w:r>
      <w:r>
        <w:rPr>
          <w:color w:val="auto"/>
          <w:highlight w:val="none"/>
        </w:rP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采购人和相关部门按照国家规定标准验收，没有国家标准的按行业标准验收，无行业标准的按地方或企业标准验收，中标供应商予以配合。中标供应商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rPr>
          <w:color w:val="auto"/>
          <w:highlight w:val="none"/>
        </w:rPr>
      </w:r>
      <w:r>
        <w:rPr>
          <w:color w:val="auto"/>
          <w:highlight w:val="none"/>
        </w:rP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验收期限：</w:t>
      </w:r>
      <w:r>
        <w:rPr>
          <w:rFonts w:hint="eastAsia" w:ascii="宋体" w:hAnsi="宋体" w:cs="宋体"/>
          <w:b/>
          <w:bCs/>
          <w:color w:val="auto"/>
          <w:sz w:val="24"/>
          <w:highlight w:val="none"/>
        </w:rPr>
        <w:t xml:space="preserve">安装、调试完成3个月后开始验收</w:t>
      </w:r>
      <w:r>
        <w:rPr>
          <w:rFonts w:hint="eastAsia" w:ascii="宋体" w:hAnsi="宋体" w:cs="宋体"/>
          <w:color w:val="auto"/>
          <w:sz w:val="24"/>
          <w:highlight w:val="none"/>
        </w:rPr>
        <w:t xml:space="preserve">。采购人按国际和国家标准及生产厂家标准进行质量验收。中标供应商应向采购人提供详细的验收标准、验收手册。</w:t>
      </w:r>
      <w:r>
        <w:rPr>
          <w:color w:val="auto"/>
          <w:highlight w:val="none"/>
        </w:rPr>
      </w:r>
      <w:r>
        <w:rPr>
          <w:color w:val="auto"/>
          <w:highlight w:val="none"/>
        </w:rPr>
      </w:r>
    </w:p>
    <w:p>
      <w:pPr>
        <w:numPr>
          <w:ilvl w:val="0"/>
          <w:numId w:val="8"/>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设备安装完成后，采购人安排专人按照货物技术指标要求和中标供应商的投标文件中相关指标，以及验货清单</w:t>
      </w:r>
      <w:r>
        <w:rPr>
          <w:rFonts w:hint="eastAsia" w:ascii="宋体" w:hAnsi="宋体" w:cs="宋体"/>
          <w:color w:val="auto"/>
          <w:sz w:val="24"/>
          <w:highlight w:val="none"/>
        </w:rPr>
        <w:t xml:space="preserve">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供应商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售后服务要求</w:t>
      </w:r>
      <w:r>
        <w:rPr>
          <w:color w:val="auto"/>
          <w:highlight w:val="none"/>
        </w:rPr>
      </w:r>
      <w:r>
        <w:rPr>
          <w:color w:val="auto"/>
          <w:highlight w:val="none"/>
        </w:rPr>
      </w:r>
    </w:p>
    <w:p>
      <w:pPr>
        <w:pStyle w:val="1210"/>
        <w:rPr>
          <w:b/>
          <w:bCs/>
          <w:color w:val="auto"/>
          <w:highlight w:val="none"/>
        </w:rPr>
        <w:outlineLvl w:val="2"/>
      </w:pPr>
      <w:r>
        <w:rPr>
          <w:rFonts w:hint="eastAsia"/>
          <w:b/>
          <w:bCs/>
          <w:color w:val="auto"/>
          <w:highlight w:val="none"/>
        </w:rPr>
        <w:t xml:space="preserve">（一）质保期内的服务要求</w:t>
      </w:r>
      <w:r>
        <w:rPr>
          <w:color w:val="auto"/>
          <w:highlight w:val="none"/>
        </w:rPr>
      </w:r>
      <w:r>
        <w:rPr>
          <w:color w:val="auto"/>
          <w:highlight w:val="none"/>
        </w:rPr>
      </w:r>
    </w:p>
    <w:p>
      <w:pPr>
        <w:numPr>
          <w:ilvl w:val="0"/>
          <w:numId w:val="9"/>
        </w:numPr>
        <w:ind w:firstLine="480"/>
        <w:spacing w:line="360" w:lineRule="auto"/>
        <w:widowControl/>
        <w:rPr>
          <w:rFonts w:ascii="宋体" w:hAnsi="宋体" w:cs="宋体"/>
          <w:b/>
          <w:bCs/>
          <w:color w:val="auto"/>
          <w:sz w:val="24"/>
          <w:highlight w:val="none"/>
        </w:rPr>
      </w:pPr>
      <w:r>
        <w:rPr>
          <w:rFonts w:hint="eastAsia" w:ascii="宋体" w:hAnsi="宋体" w:cs="宋体"/>
          <w:color w:val="auto"/>
          <w:sz w:val="24"/>
          <w:highlight w:val="none"/>
        </w:rPr>
        <w:t xml:space="preserve">质保期：</w:t>
      </w:r>
      <w:r>
        <w:rPr>
          <w:rFonts w:hint="eastAsia" w:ascii="宋体" w:hAnsi="宋体" w:cs="宋体"/>
          <w:b/>
          <w:bCs/>
          <w:color w:val="auto"/>
          <w:sz w:val="24"/>
          <w:highlight w:val="none"/>
        </w:rPr>
        <w:t xml:space="preserve">提供整机不少于</w:t>
      </w:r>
      <w:r>
        <w:rPr>
          <w:rFonts w:hint="eastAsia" w:ascii="宋体" w:hAnsi="宋体" w:cs="宋体"/>
          <w:b/>
          <w:bCs/>
          <w:color w:val="auto"/>
          <w:sz w:val="24"/>
          <w:highlight w:val="none"/>
          <w:lang w:val="en-US" w:eastAsia="zh-CN"/>
        </w:rPr>
        <w:t xml:space="preserve">5</w:t>
      </w:r>
      <w:r>
        <w:rPr>
          <w:rFonts w:hint="eastAsia" w:ascii="宋体" w:hAnsi="宋体" w:cs="宋体"/>
          <w:b/>
          <w:bCs/>
          <w:color w:val="auto"/>
          <w:sz w:val="24"/>
          <w:highlight w:val="none"/>
        </w:rPr>
        <w:t xml:space="preserve">年免费原厂质保和软件终身免费升级服务（自最终验收合格之日起，开始进入质保期）。</w:t>
      </w:r>
      <w:r>
        <w:rPr>
          <w:color w:val="auto"/>
          <w:highlight w:val="none"/>
        </w:rPr>
      </w:r>
      <w:r>
        <w:rPr>
          <w:color w:val="auto"/>
          <w:highlight w:val="none"/>
        </w:rPr>
      </w:r>
    </w:p>
    <w:p>
      <w:pPr>
        <w:ind w:firstLine="482"/>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说明：本“1、质保期”为不允许偏离的实质性要求和条件，如有偏离，在符合性审查时按照响应无效处理。</w:t>
      </w:r>
      <w:r>
        <w:rPr>
          <w:color w:val="auto"/>
          <w:highlight w:val="none"/>
        </w:rPr>
      </w:r>
      <w:r>
        <w:rPr>
          <w:color w:val="auto"/>
          <w:highlight w:val="none"/>
        </w:rP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质保期内设备免费维护、维修，解决各种技术瑕疵。</w:t>
      </w:r>
      <w:r>
        <w:rPr>
          <w:color w:val="auto"/>
          <w:highlight w:val="none"/>
        </w:rPr>
      </w:r>
      <w:r>
        <w:rPr>
          <w:color w:val="auto"/>
          <w:highlight w:val="none"/>
        </w:rP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全年设备故障</w:t>
      </w:r>
      <w:r>
        <w:rPr>
          <w:rFonts w:hint="eastAsia" w:ascii="宋体" w:hAnsi="宋体" w:cs="宋体"/>
          <w:color w:val="auto"/>
          <w:sz w:val="24"/>
          <w:highlight w:val="none"/>
        </w:rPr>
        <w:t xml:space="preserve">电话1小时内响应，24小时内到达现场维修。</w:t>
      </w:r>
      <w:r>
        <w:rPr>
          <w:color w:val="auto"/>
          <w:highlight w:val="none"/>
        </w:rPr>
      </w:r>
      <w:r>
        <w:rPr>
          <w:color w:val="auto"/>
          <w:highlight w:val="none"/>
        </w:rPr>
      </w:r>
    </w:p>
    <w:p>
      <w:pPr>
        <w:numPr>
          <w:ilvl w:val="0"/>
          <w:numId w:val="9"/>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质保期过后的升级维护维修只收取部分工本维护费用。长期提供设备保养、系统升级、网络接入、链接调试、科研指导、教学培训等服务。</w:t>
      </w:r>
      <w:r>
        <w:rPr>
          <w:color w:val="auto"/>
          <w:highlight w:val="none"/>
        </w:rPr>
      </w:r>
      <w:r>
        <w:rPr>
          <w:color w:val="auto"/>
          <w:highlight w:val="none"/>
        </w:rPr>
      </w:r>
    </w:p>
    <w:p>
      <w:pPr>
        <w:pStyle w:val="1210"/>
        <w:rPr>
          <w:b/>
          <w:bCs/>
          <w:color w:val="auto"/>
          <w:highlight w:val="none"/>
        </w:rPr>
        <w:outlineLvl w:val="2"/>
      </w:pPr>
      <w:r>
        <w:rPr>
          <w:rFonts w:hint="eastAsia"/>
          <w:b/>
          <w:bCs/>
          <w:color w:val="auto"/>
          <w:highlight w:val="none"/>
        </w:rPr>
        <w:t xml:space="preserve">（二）质保期满后的服务要求</w:t>
      </w:r>
      <w:r>
        <w:rPr>
          <w:color w:val="auto"/>
          <w:highlight w:val="none"/>
        </w:rPr>
      </w:r>
      <w:r>
        <w:rPr>
          <w:color w:val="auto"/>
          <w:highlight w:val="none"/>
        </w:rP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投标文件中提供后续维保报价、设备常用配件报价。提供的质保期满后的服务方案须满足临床使用需求。后续维保报价、设备常用配件报价须科学合理。</w:t>
      </w:r>
      <w:r>
        <w:rPr>
          <w:color w:val="auto"/>
          <w:highlight w:val="none"/>
        </w:rPr>
      </w:r>
      <w:r>
        <w:rPr>
          <w:color w:val="auto"/>
          <w:highlight w:val="none"/>
        </w:rP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投标文件中提供质保期满后的响应时间、人员安排。</w:t>
      </w:r>
      <w:r>
        <w:rPr>
          <w:color w:val="auto"/>
          <w:highlight w:val="none"/>
        </w:rPr>
      </w:r>
      <w:r>
        <w:rPr>
          <w:color w:val="auto"/>
          <w:highlight w:val="none"/>
        </w:rPr>
      </w:r>
    </w:p>
    <w:p>
      <w:pPr>
        <w:numPr>
          <w:ilvl w:val="0"/>
          <w:numId w:val="10"/>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配件供应：保证10年以上配件供应。</w:t>
      </w:r>
      <w:r>
        <w:rPr>
          <w:color w:val="auto"/>
          <w:highlight w:val="none"/>
        </w:rPr>
      </w:r>
      <w:r>
        <w:rPr>
          <w:color w:val="auto"/>
          <w:highlight w:val="none"/>
        </w:rPr>
      </w:r>
    </w:p>
    <w:p>
      <w:pPr>
        <w:pStyle w:val="1209"/>
        <w:numPr>
          <w:ilvl w:val="0"/>
          <w:numId w:val="4"/>
        </w:numPr>
        <w:ind w:firstLine="0"/>
        <w:jc w:val="left"/>
        <w:spacing w:before="120" w:line="360" w:lineRule="auto"/>
        <w:rPr>
          <w:rFonts w:ascii="宋体" w:hAnsi="宋体" w:eastAsia="宋体" w:cs="宋体"/>
          <w:b/>
          <w:bCs/>
          <w:color w:val="auto"/>
          <w:sz w:val="24"/>
          <w:highlight w:val="none"/>
        </w:rPr>
        <w:outlineLvl w:val="1"/>
      </w:pPr>
      <w:r>
        <w:rPr>
          <w:rFonts w:hint="eastAsia" w:ascii="宋体" w:hAnsi="宋体" w:eastAsia="宋体" w:cs="宋体"/>
          <w:b/>
          <w:bCs/>
          <w:color w:val="auto"/>
          <w:sz w:val="24"/>
          <w:highlight w:val="none"/>
        </w:rPr>
        <w:t xml:space="preserve">培训要求</w:t>
      </w:r>
      <w:r>
        <w:rPr>
          <w:color w:val="auto"/>
          <w:highlight w:val="none"/>
        </w:rPr>
      </w:r>
      <w:r>
        <w:rPr>
          <w:color w:val="auto"/>
          <w:highlight w:val="none"/>
        </w:rPr>
      </w:r>
    </w:p>
    <w:p>
      <w:pPr>
        <w:numPr>
          <w:ilvl w:val="0"/>
          <w:numId w:val="11"/>
        </w:num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产品验收合格后，中标供应商应选派专业技术人员对采购单位的相关人员进行技术培训，保证被培训人员能掌握操作方法和维护。</w:t>
      </w:r>
      <w:r>
        <w:rPr>
          <w:color w:val="auto"/>
          <w:highlight w:val="none"/>
        </w:rPr>
      </w:r>
      <w:r>
        <w:rPr>
          <w:color w:val="auto"/>
          <w:highlight w:val="none"/>
        </w:rPr>
      </w:r>
    </w:p>
    <w:p>
      <w:pPr>
        <w:numPr>
          <w:ilvl w:val="0"/>
          <w:numId w:val="11"/>
        </w:numPr>
        <w:ind w:firstLine="480"/>
        <w:spacing w:line="360" w:lineRule="auto"/>
        <w:widowControl/>
        <w:rPr>
          <w:rFonts w:ascii="宋体" w:hAnsi="宋体" w:cs="宋体"/>
          <w:b/>
          <w:color w:val="auto"/>
          <w:sz w:val="24"/>
          <w:highlight w:val="none"/>
        </w:rPr>
      </w:pPr>
      <w:r>
        <w:rPr>
          <w:rFonts w:hint="eastAsia" w:ascii="宋体" w:hAnsi="宋体" w:cs="宋体"/>
          <w:color w:val="auto"/>
          <w:sz w:val="24"/>
          <w:highlight w:val="none"/>
        </w:rPr>
        <w:t xml:space="preserve">中标供应商免费提供相关培训和产品的相关资料及演示视频等，并配备相应的操作流程、注意事项及保养方法。</w:t>
      </w:r>
      <w:r>
        <w:rPr>
          <w:color w:val="auto"/>
          <w:highlight w:val="none"/>
        </w:rPr>
      </w:r>
      <w:r>
        <w:rPr>
          <w:color w:val="auto"/>
          <w:highlight w:val="none"/>
        </w:rPr>
      </w:r>
    </w:p>
    <w:p>
      <w:pPr>
        <w:rPr>
          <w:rFonts w:ascii="宋体" w:hAnsi="宋体" w:cs="宋体"/>
          <w:b/>
          <w:color w:val="auto"/>
          <w:sz w:val="30"/>
          <w:highlight w:val="none"/>
        </w:rPr>
      </w:pPr>
      <w:r>
        <w:rPr>
          <w:rFonts w:hint="eastAsia" w:ascii="宋体" w:hAnsi="宋体" w:cs="宋体"/>
          <w:b/>
          <w:color w:val="auto"/>
          <w:sz w:val="30"/>
          <w:highlight w:val="none"/>
        </w:rPr>
        <w:br w:type="page" w:clear="all"/>
      </w:r>
      <w:r>
        <w:rPr>
          <w:color w:val="auto"/>
          <w:highlight w:val="none"/>
        </w:rPr>
      </w:r>
      <w:r>
        <w:rPr>
          <w:color w:val="auto"/>
          <w:highlight w:val="none"/>
        </w:rPr>
      </w:r>
    </w:p>
    <w:p>
      <w:pPr>
        <w:jc w:val="center"/>
        <w:spacing w:line="360" w:lineRule="auto"/>
        <w:rPr>
          <w:rFonts w:ascii="宋体" w:hAnsi="宋体" w:cs="宋体"/>
          <w:b/>
          <w:color w:val="auto"/>
          <w:sz w:val="36"/>
          <w:szCs w:val="36"/>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auto"/>
          <w:sz w:val="36"/>
          <w:szCs w:val="36"/>
          <w:highlight w:val="none"/>
        </w:rPr>
        <w:t xml:space="preserve">第七章 投标文件相关格式</w:t>
      </w:r>
      <w:r>
        <w:rPr>
          <w:color w:val="auto"/>
          <w:highlight w:val="none"/>
        </w:rPr>
      </w:r>
      <w:r>
        <w:rPr>
          <w:color w:val="auto"/>
          <w:highlight w:val="none"/>
        </w:rPr>
      </w:r>
    </w:p>
    <w:p>
      <w:pPr>
        <w:jc w:val="right"/>
        <w:rPr>
          <w:rFonts w:ascii="宋体" w:hAnsi="宋体" w:cs="宋体"/>
          <w:color w:val="auto"/>
          <w:sz w:val="44"/>
          <w:szCs w:val="44"/>
          <w:highlight w:val="none"/>
        </w:rPr>
      </w:pPr>
      <w:r>
        <w:rPr>
          <w:rFonts w:hint="eastAsia" w:ascii="宋体" w:hAnsi="宋体" w:cs="宋体"/>
          <w:b/>
          <w:color w:val="auto"/>
          <w:sz w:val="44"/>
          <w:szCs w:val="44"/>
          <w:highlight w:val="none"/>
        </w:rPr>
        <w:t xml:space="preserve">正本/副本</w:t>
      </w:r>
      <w:r>
        <w:rPr>
          <w:color w:val="auto"/>
          <w:highlight w:val="none"/>
        </w:rPr>
      </w:r>
      <w:r>
        <w:rPr>
          <w:color w:val="auto"/>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color w:val="auto"/>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color w:val="auto"/>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color w:val="auto"/>
          <w:highlight w:val="none"/>
        </w:rPr>
      </w:r>
    </w:p>
    <w:p>
      <w:pPr>
        <w:rPr>
          <w:rFonts w:ascii="宋体" w:hAnsi="宋体" w:cs="宋体"/>
          <w:color w:val="auto"/>
          <w:szCs w:val="21"/>
          <w:highlight w:val="none"/>
        </w:rPr>
      </w:pPr>
      <w:r>
        <w:rPr>
          <w:rFonts w:ascii="宋体" w:hAnsi="宋体" w:cs="宋体"/>
          <w:color w:val="auto"/>
          <w:szCs w:val="21"/>
          <w:highlight w:val="none"/>
        </w:rPr>
      </w:r>
      <w:r>
        <w:rPr>
          <w:color w:val="auto"/>
          <w:highlight w:val="none"/>
        </w:rPr>
      </w:r>
      <w:r>
        <w:rPr>
          <w:color w:val="auto"/>
          <w:highlight w:val="none"/>
        </w:rPr>
      </w:r>
    </w:p>
    <w:p>
      <w:pPr>
        <w:jc w:val="center"/>
        <w:rPr>
          <w:rFonts w:ascii="宋体" w:hAnsi="宋体" w:cs="宋体"/>
          <w:b/>
          <w:color w:val="auto"/>
          <w:sz w:val="96"/>
          <w:szCs w:val="84"/>
          <w:highlight w:val="none"/>
        </w:rPr>
        <w:outlineLvl w:val="1"/>
      </w:pPr>
      <w:r>
        <w:rPr>
          <w:color w:val="auto"/>
          <w:highlight w:val="none"/>
        </w:rPr>
      </w:r>
      <w:bookmarkStart w:id="6" w:name="_Toc211"/>
      <w:r>
        <w:rPr>
          <w:rFonts w:hint="eastAsia" w:ascii="宋体" w:hAnsi="宋体" w:cs="宋体"/>
          <w:b/>
          <w:color w:val="auto"/>
          <w:sz w:val="96"/>
          <w:szCs w:val="84"/>
          <w:highlight w:val="none"/>
        </w:rPr>
        <w:t xml:space="preserve">投标文件</w:t>
      </w:r>
      <w:bookmarkEnd w:id="6"/>
      <w:r>
        <w:rPr>
          <w:color w:val="auto"/>
          <w:highlight w:val="none"/>
        </w:rPr>
      </w:r>
      <w:r>
        <w:rPr>
          <w:color w:val="auto"/>
          <w:highlight w:val="none"/>
        </w:rPr>
      </w:r>
    </w:p>
    <w:p>
      <w:pP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r>
        <w:rPr>
          <w:color w:val="auto"/>
          <w:highlight w:val="none"/>
        </w:rPr>
      </w:r>
    </w:p>
    <w:p>
      <w:pPr>
        <w:rPr>
          <w:rFonts w:ascii="宋体" w:hAnsi="宋体" w:cs="宋体"/>
          <w:color w:val="auto"/>
          <w:sz w:val="44"/>
          <w:szCs w:val="44"/>
          <w:highlight w:val="none"/>
        </w:rPr>
      </w:pPr>
      <w:r>
        <w:rPr>
          <w:rFonts w:ascii="宋体" w:hAnsi="宋体" w:cs="宋体"/>
          <w:color w:val="auto"/>
          <w:sz w:val="44"/>
          <w:szCs w:val="44"/>
          <w:highlight w:val="none"/>
        </w:rPr>
      </w:r>
      <w:r>
        <w:rPr>
          <w:color w:val="auto"/>
          <w:highlight w:val="none"/>
        </w:rPr>
      </w:r>
      <w:r>
        <w:rPr>
          <w:color w:val="auto"/>
          <w:highlight w:val="none"/>
        </w:rPr>
      </w:r>
    </w:p>
    <w:p>
      <w:pPr>
        <w:jc w:val="left"/>
        <w:rPr>
          <w:rFonts w:hint="eastAsia" w:ascii="宋体" w:hAnsi="宋体" w:eastAsia="宋体" w:cs="宋体"/>
          <w:b/>
          <w:color w:val="auto"/>
          <w:sz w:val="44"/>
          <w:szCs w:val="44"/>
          <w:highlight w:val="none"/>
        </w:rPr>
      </w:pPr>
      <w:r>
        <w:rPr>
          <w:rFonts w:hint="eastAsia" w:ascii="宋体" w:hAnsi="宋体" w:cs="宋体"/>
          <w:b/>
          <w:color w:val="auto"/>
          <w:sz w:val="44"/>
          <w:szCs w:val="44"/>
          <w:highlight w:val="none"/>
          <w:lang w:eastAsia="zh-CN"/>
        </w:rPr>
        <w:t xml:space="preserve">苏采云编号</w:t>
      </w:r>
      <w:r>
        <w:rPr>
          <w:rFonts w:hint="eastAsia" w:ascii="宋体" w:hAnsi="宋体" w:cs="宋体"/>
          <w:b/>
          <w:color w:val="auto"/>
          <w:sz w:val="44"/>
          <w:szCs w:val="44"/>
          <w:highlight w:val="none"/>
        </w:rPr>
        <w:t xml:space="preserve">：</w:t>
      </w:r>
      <w:r>
        <w:rPr>
          <w:rFonts w:hint="eastAsia" w:ascii="宋体" w:hAnsi="宋体" w:cs="宋体"/>
          <w:b/>
          <w:color w:val="auto"/>
          <w:sz w:val="44"/>
          <w:szCs w:val="44"/>
          <w:highlight w:val="none"/>
          <w:lang w:eastAsia="zh-CN"/>
        </w:rPr>
        <w:t xml:space="preserve">JSZC-320300-SHGK-G2026-0051</w:t>
      </w:r>
      <w:r>
        <w:rPr>
          <w:color w:val="auto"/>
          <w:highlight w:val="none"/>
        </w:rPr>
      </w:r>
      <w:r>
        <w:rPr>
          <w:color w:val="auto"/>
          <w:highlight w:val="none"/>
        </w:rPr>
      </w:r>
    </w:p>
    <w:p>
      <w:pPr>
        <w:jc w:val="left"/>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lang w:val="en-US" w:eastAsia="zh-CN" w:bidi="ar-SA"/>
        </w:rPr>
        <w:t xml:space="preserve">项目编号：1214-264106271WDX</w:t>
      </w:r>
      <w:r>
        <w:rPr>
          <w:color w:val="auto"/>
          <w:highlight w:val="none"/>
        </w:rPr>
      </w:r>
      <w:r>
        <w:rPr>
          <w:color w:val="auto"/>
          <w:highlight w:val="none"/>
        </w:rPr>
      </w:r>
    </w:p>
    <w:p>
      <w:pPr>
        <w:pStyle w:val="912"/>
        <w:jc w:val="left"/>
        <w:rPr>
          <w:color w:val="auto"/>
          <w:highlight w:val="none"/>
        </w:rPr>
      </w:pPr>
      <w:r>
        <w:rPr>
          <w:color w:val="auto"/>
          <w:highlight w:val="none"/>
        </w:rPr>
      </w:r>
      <w:r>
        <w:rPr>
          <w:color w:val="auto"/>
          <w:highlight w:val="none"/>
        </w:rPr>
      </w:r>
      <w:r>
        <w:rPr>
          <w:color w:val="auto"/>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color w:val="auto"/>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color w:val="auto"/>
          <w:highlight w:val="none"/>
        </w:rPr>
      </w:r>
    </w:p>
    <w:p>
      <w:pPr>
        <w:jc w:val="center"/>
        <w:rPr>
          <w:rFonts w:ascii="宋体" w:hAnsi="宋体" w:cs="宋体"/>
          <w:b/>
          <w:bCs/>
          <w:color w:val="auto"/>
          <w:sz w:val="36"/>
          <w:szCs w:val="36"/>
          <w:highlight w:val="none"/>
        </w:rPr>
      </w:pPr>
      <w:r>
        <w:rPr>
          <w:rFonts w:ascii="宋体" w:hAnsi="宋体" w:cs="宋体"/>
          <w:b/>
          <w:bCs/>
          <w:color w:val="auto"/>
          <w:sz w:val="36"/>
          <w:szCs w:val="36"/>
          <w:highlight w:val="none"/>
        </w:rPr>
      </w:r>
      <w:r>
        <w:rPr>
          <w:color w:val="auto"/>
          <w:highlight w:val="none"/>
        </w:rPr>
      </w:r>
      <w:r>
        <w:rPr>
          <w:color w:val="auto"/>
          <w:highlight w:val="none"/>
        </w:rPr>
      </w:r>
    </w:p>
    <w:tbl>
      <w:tblPr>
        <w:tblStyle w:val="93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87"/>
        <w:gridCol w:w="6222"/>
      </w:tblGrid>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采购人</w:t>
            </w:r>
            <w:r>
              <w:rPr>
                <w:rFonts w:hint="eastAsia" w:ascii="宋体" w:hAnsi="宋体" w:cs="宋体"/>
                <w:b/>
                <w:color w:val="auto"/>
                <w:spacing w:val="0"/>
                <w:sz w:val="36"/>
                <w:szCs w:val="36"/>
                <w:highlight w:val="none"/>
              </w:rPr>
              <w:t xml:space="preserve">：</w:t>
            </w:r>
            <w:r>
              <w:rPr>
                <w:color w:val="auto"/>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hint="eastAsia" w:ascii="宋体" w:hAnsi="宋体" w:cs="宋体"/>
                <w:b/>
                <w:color w:val="auto"/>
                <w:sz w:val="36"/>
                <w:szCs w:val="36"/>
                <w:highlight w:val="none"/>
              </w:rPr>
              <w:t xml:space="preserve">徐州市儿童医院</w:t>
            </w:r>
            <w:r>
              <w:rPr>
                <w:color w:val="auto"/>
                <w:highlight w:val="none"/>
              </w:rPr>
            </w:r>
            <w:r>
              <w:rPr>
                <w:color w:val="auto"/>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0"/>
                <w:sz w:val="36"/>
                <w:szCs w:val="36"/>
                <w:highlight w:val="none"/>
              </w:rPr>
              <w:t xml:space="preserve">项目名称：</w:t>
            </w:r>
            <w:r>
              <w:rPr>
                <w:color w:val="auto"/>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医用X射线摄影系统</w:t>
            </w:r>
            <w:r>
              <w:rPr>
                <w:rFonts w:hint="eastAsia" w:ascii="宋体" w:hAnsi="宋体" w:cs="宋体"/>
                <w:b/>
                <w:color w:val="auto"/>
                <w:sz w:val="36"/>
                <w:szCs w:val="36"/>
                <w:highlight w:val="none"/>
              </w:rPr>
              <w:t xml:space="preserve">采购项目</w:t>
            </w:r>
            <w:r>
              <w:rPr>
                <w:color w:val="auto"/>
                <w:highlight w:val="none"/>
              </w:rPr>
            </w:r>
            <w:r>
              <w:rPr>
                <w:color w:val="auto"/>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tabs>
                <w:tab w:val="left" w:pos="2268" w:leader="none"/>
              </w:tabs>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投标人</w:t>
            </w:r>
            <w:r>
              <w:rPr>
                <w:rFonts w:hint="eastAsia" w:ascii="宋体" w:hAnsi="宋体" w:cs="宋体"/>
                <w:b/>
                <w:color w:val="auto"/>
                <w:spacing w:val="0"/>
                <w:sz w:val="36"/>
                <w:szCs w:val="36"/>
                <w:highlight w:val="none"/>
              </w:rPr>
              <w:t xml:space="preserve">：</w:t>
            </w:r>
            <w:r>
              <w:rPr>
                <w:color w:val="auto"/>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color w:val="auto"/>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auto"/>
                <w:sz w:val="36"/>
                <w:szCs w:val="36"/>
                <w:highlight w:val="none"/>
              </w:rPr>
            </w:pPr>
            <w:r>
              <w:rPr>
                <w:rFonts w:hint="eastAsia" w:ascii="宋体" w:hAnsi="宋体" w:cs="宋体"/>
                <w:b/>
                <w:color w:val="auto"/>
                <w:spacing w:val="120"/>
                <w:sz w:val="36"/>
                <w:szCs w:val="36"/>
                <w:highlight w:val="none"/>
              </w:rPr>
              <w:t xml:space="preserve">联系人</w:t>
            </w:r>
            <w:r>
              <w:rPr>
                <w:rFonts w:hint="eastAsia" w:ascii="宋体" w:hAnsi="宋体" w:cs="宋体"/>
                <w:b/>
                <w:color w:val="auto"/>
                <w:spacing w:val="0"/>
                <w:sz w:val="36"/>
                <w:szCs w:val="36"/>
                <w:highlight w:val="none"/>
              </w:rPr>
              <w:t xml:space="preserve">：</w:t>
            </w:r>
            <w:r>
              <w:rPr>
                <w:color w:val="auto"/>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color w:val="auto"/>
                <w:highlight w:val="none"/>
              </w:rPr>
            </w:r>
          </w:p>
        </w:tc>
      </w:tr>
      <w:tr>
        <w:trPr>
          <w:trHeight w:val="567"/>
        </w:trPr>
        <w:tc>
          <w:tcPr>
            <w:tcBorders>
              <w:top w:val="none" w:color="000000" w:sz="4" w:space="0"/>
              <w:left w:val="none" w:color="000000" w:sz="4" w:space="0"/>
              <w:bottom w:val="none" w:color="000000" w:sz="4" w:space="0"/>
              <w:right w:val="none" w:color="000000" w:sz="4" w:space="0"/>
            </w:tcBorders>
            <w:tcW w:w="2411" w:type="dxa"/>
            <w:vAlign w:val="center"/>
            <w:textDirection w:val="lrTb"/>
            <w:noWrap w:val="false"/>
          </w:tcPr>
          <w:p>
            <w:pPr>
              <w:jc w:val="right"/>
              <w:rPr>
                <w:rFonts w:ascii="宋体" w:hAnsi="宋体" w:cs="宋体"/>
                <w:b/>
                <w:color w:val="auto"/>
                <w:sz w:val="36"/>
                <w:szCs w:val="36"/>
                <w:highlight w:val="none"/>
              </w:rPr>
            </w:pPr>
            <w:r>
              <w:rPr>
                <w:rFonts w:hint="eastAsia" w:ascii="宋体" w:hAnsi="宋体" w:cs="宋体"/>
                <w:b/>
                <w:color w:val="auto"/>
                <w:spacing w:val="0"/>
                <w:sz w:val="36"/>
                <w:szCs w:val="36"/>
                <w:highlight w:val="none"/>
              </w:rPr>
              <w:t xml:space="preserve">联系电话：</w:t>
            </w:r>
            <w:r>
              <w:rPr>
                <w:color w:val="auto"/>
                <w:highlight w:val="none"/>
              </w:rPr>
            </w:r>
            <w:r>
              <w:rPr>
                <w:color w:val="auto"/>
                <w:highlight w:val="none"/>
              </w:rPr>
            </w:r>
          </w:p>
        </w:tc>
        <w:tc>
          <w:tcPr>
            <w:tcBorders>
              <w:top w:val="none" w:color="000000" w:sz="4" w:space="0"/>
              <w:left w:val="none" w:color="000000" w:sz="4" w:space="0"/>
              <w:bottom w:val="none" w:color="000000" w:sz="4" w:space="0"/>
              <w:right w:val="none" w:color="000000" w:sz="4" w:space="0"/>
            </w:tcBorders>
            <w:tcW w:w="6602" w:type="dxa"/>
            <w:vAlign w:val="center"/>
            <w:textDirection w:val="lrTb"/>
            <w:noWrap w:val="false"/>
          </w:tcPr>
          <w:p>
            <w:pPr>
              <w:tabs>
                <w:tab w:val="left" w:pos="2268" w:leader="none"/>
              </w:tabs>
              <w:rPr>
                <w:rFonts w:ascii="宋体" w:hAnsi="宋体" w:cs="宋体"/>
                <w:b/>
                <w:color w:val="auto"/>
                <w:sz w:val="36"/>
                <w:szCs w:val="36"/>
                <w:highlight w:val="none"/>
              </w:rPr>
            </w:pPr>
            <w:r>
              <w:rPr>
                <w:rFonts w:ascii="宋体" w:hAnsi="宋体" w:cs="宋体"/>
                <w:b/>
                <w:color w:val="auto"/>
                <w:sz w:val="36"/>
                <w:szCs w:val="36"/>
                <w:highlight w:val="none"/>
              </w:rPr>
            </w:r>
            <w:r>
              <w:rPr>
                <w:color w:val="auto"/>
                <w:highlight w:val="none"/>
              </w:rPr>
            </w:r>
            <w:r>
              <w:rPr>
                <w:color w:val="auto"/>
                <w:highlight w:val="none"/>
              </w:rPr>
            </w:r>
          </w:p>
        </w:tc>
      </w:tr>
    </w:tbl>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color w:val="auto"/>
          <w:highlight w:val="none"/>
        </w:rPr>
      </w:r>
    </w:p>
    <w:p>
      <w:pPr>
        <w:jc w:val="cente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color w:val="auto"/>
          <w:highlight w:val="none"/>
        </w:rPr>
      </w:r>
    </w:p>
    <w:p>
      <w:pPr>
        <w:rPr>
          <w:rFonts w:ascii="宋体" w:hAnsi="宋体" w:cs="宋体"/>
          <w:b/>
          <w:color w:val="auto"/>
          <w:sz w:val="44"/>
          <w:szCs w:val="44"/>
          <w:highlight w:val="none"/>
        </w:rPr>
      </w:pPr>
      <w:r>
        <w:rPr>
          <w:rFonts w:ascii="宋体" w:hAnsi="宋体" w:cs="宋体"/>
          <w:b/>
          <w:color w:val="auto"/>
          <w:sz w:val="44"/>
          <w:szCs w:val="44"/>
          <w:highlight w:val="none"/>
        </w:rPr>
      </w:r>
      <w:r>
        <w:rPr>
          <w:color w:val="auto"/>
          <w:highlight w:val="none"/>
        </w:rPr>
      </w:r>
      <w:r>
        <w:rPr>
          <w:color w:val="auto"/>
          <w:highlight w:val="none"/>
        </w:rPr>
      </w:r>
    </w:p>
    <w:p>
      <w:pPr>
        <w:jc w:val="center"/>
        <w:rPr>
          <w:rFonts w:ascii="宋体" w:hAnsi="宋体" w:cs="宋体"/>
          <w:b/>
          <w:color w:val="auto"/>
          <w:sz w:val="44"/>
          <w:szCs w:val="44"/>
          <w:highlight w:val="none"/>
        </w:rPr>
      </w:pPr>
      <w:r>
        <w:rPr>
          <w:rFonts w:hint="eastAsia" w:ascii="宋体" w:hAnsi="宋体" w:cs="宋体"/>
          <w:b/>
          <w:color w:val="auto"/>
          <w:sz w:val="44"/>
          <w:szCs w:val="44"/>
          <w:highlight w:val="none"/>
        </w:rPr>
        <w:t xml:space="preserve">二0二六年</w:t>
      </w:r>
      <w:r>
        <w:rPr>
          <w:rFonts w:hint="eastAsia" w:ascii="宋体" w:hAnsi="宋体" w:cs="宋体"/>
          <w:b/>
          <w:color w:val="auto"/>
          <w:sz w:val="44"/>
          <w:szCs w:val="44"/>
          <w:highlight w:val="none"/>
          <w:u w:val="single"/>
        </w:rPr>
        <w:t xml:space="preserve">XX</w:t>
      </w:r>
      <w:r>
        <w:rPr>
          <w:rFonts w:hint="eastAsia" w:ascii="宋体" w:hAnsi="宋体" w:cs="宋体"/>
          <w:b/>
          <w:color w:val="auto"/>
          <w:sz w:val="44"/>
          <w:szCs w:val="44"/>
          <w:highlight w:val="none"/>
        </w:rPr>
        <w:t xml:space="preserve">月</w:t>
      </w:r>
      <w:r>
        <w:rPr>
          <w:rFonts w:hint="eastAsia" w:ascii="宋体" w:hAnsi="宋体" w:cs="宋体"/>
          <w:b/>
          <w:color w:val="auto"/>
          <w:sz w:val="44"/>
          <w:szCs w:val="44"/>
          <w:highlight w:val="none"/>
          <w:u w:val="single"/>
        </w:rPr>
        <w:t xml:space="preserve">XX</w:t>
      </w:r>
      <w:r>
        <w:rPr>
          <w:rFonts w:hint="eastAsia" w:ascii="宋体" w:hAnsi="宋体" w:cs="宋体"/>
          <w:b/>
          <w:color w:val="auto"/>
          <w:sz w:val="44"/>
          <w:szCs w:val="44"/>
          <w:highlight w:val="none"/>
        </w:rPr>
        <w:t xml:space="preserve">日</w:t>
      </w:r>
      <w:r>
        <w:rPr>
          <w:color w:val="auto"/>
          <w:highlight w:val="none"/>
        </w:rPr>
      </w:r>
      <w:r>
        <w:rPr>
          <w:color w:val="auto"/>
          <w:highlight w:val="none"/>
        </w:rPr>
      </w:r>
    </w:p>
    <w:p>
      <w:pPr>
        <w:rPr>
          <w:rFonts w:ascii="宋体" w:hAnsi="宋体" w:cs="宋体"/>
          <w:b/>
          <w:bCs/>
          <w:color w:val="auto"/>
          <w:sz w:val="32"/>
          <w:szCs w:val="32"/>
          <w:highlight w:val="none"/>
        </w:rPr>
      </w:pPr>
      <w:r>
        <w:rPr>
          <w:rFonts w:ascii="宋体" w:hAnsi="宋体" w:cs="宋体"/>
          <w:b/>
          <w:bCs/>
          <w:color w:val="auto"/>
          <w:sz w:val="32"/>
          <w:szCs w:val="32"/>
          <w:highlight w:val="none"/>
        </w:rPr>
      </w:r>
      <w:r>
        <w:rPr>
          <w:color w:val="auto"/>
          <w:highlight w:val="none"/>
        </w:rPr>
      </w:r>
      <w:r>
        <w:rPr>
          <w:color w:val="auto"/>
          <w:highlight w:val="none"/>
        </w:rPr>
      </w:r>
    </w:p>
    <w:p>
      <w:pPr>
        <w:ind w:left="256" w:right="6" w:firstLine="482"/>
        <w:rPr>
          <w:rFonts w:ascii="宋体" w:hAnsi="宋体" w:eastAsia="仿宋_GB2312" w:cs="宋体"/>
          <w:b/>
          <w:color w:val="auto"/>
          <w:sz w:val="24"/>
          <w:highlight w:val="none"/>
        </w:rPr>
      </w:pPr>
      <w:r>
        <w:rPr>
          <w:rFonts w:hint="eastAsia" w:ascii="宋体" w:hAnsi="宋体" w:cs="宋体"/>
          <w:b/>
          <w:color w:val="auto"/>
          <w:sz w:val="24"/>
          <w:highlight w:val="none"/>
        </w:rPr>
        <w:t xml:space="preserve">特别提醒：</w:t>
      </w:r>
      <w:r>
        <w:rPr>
          <w:color w:val="auto"/>
          <w:highlight w:val="none"/>
        </w:rPr>
      </w:r>
      <w:r>
        <w:rPr>
          <w:color w:val="auto"/>
          <w:highlight w:val="none"/>
        </w:rPr>
      </w:r>
    </w:p>
    <w:p>
      <w:pPr>
        <w:ind w:left="256" w:right="6" w:firstLine="480"/>
        <w:rPr>
          <w:rFonts w:ascii="宋体" w:hAnsi="宋体" w:cs="宋体"/>
          <w:b/>
          <w:bCs/>
          <w:color w:val="auto"/>
          <w:sz w:val="32"/>
          <w:szCs w:val="32"/>
          <w:highlight w:val="none"/>
        </w:rPr>
      </w:pPr>
      <w:r>
        <w:rPr>
          <w:rFonts w:hint="eastAsia" w:ascii="宋体" w:hAnsi="宋体" w:cs="宋体"/>
          <w:color w:val="auto"/>
          <w:sz w:val="24"/>
          <w:szCs w:val="20"/>
          <w:highlight w:val="none"/>
        </w:rPr>
        <w:t xml:space="preserve">中标人领取中标通知书时须向代理机构提交纸质胶装投标文件一正四副，电子版投标文件1份。</w:t>
      </w:r>
      <w:r>
        <w:rPr>
          <w:rFonts w:hint="eastAsia" w:ascii="宋体" w:hAnsi="宋体" w:cs="宋体"/>
          <w:b/>
          <w:bCs/>
          <w:color w:val="auto"/>
          <w:sz w:val="32"/>
          <w:szCs w:val="32"/>
          <w:highlight w:val="none"/>
        </w:rPr>
        <w:br w:type="page" w:clear="all"/>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投标函格式</w:t>
      </w:r>
      <w:r>
        <w:rPr>
          <w:color w:val="auto"/>
          <w:highlight w:val="none"/>
        </w:rPr>
      </w:r>
      <w:r>
        <w:rPr>
          <w:color w:val="auto"/>
          <w:highlight w:val="none"/>
        </w:rPr>
      </w:r>
    </w:p>
    <w:p>
      <w:pPr>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徐州市儿童医院</w:t>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：1214-26410</w:t>
      </w:r>
      <w:r>
        <w:rPr>
          <w:rFonts w:hint="eastAsia" w:ascii="宋体" w:hAnsi="宋体" w:cs="宋体"/>
          <w:color w:val="auto"/>
          <w:sz w:val="24"/>
          <w:szCs w:val="24"/>
          <w:highlight w:val="none"/>
          <w:lang w:val="en-US" w:eastAsia="zh-CN"/>
        </w:rPr>
        <w:t xml:space="preserve">6271</w:t>
      </w:r>
      <w:r>
        <w:rPr>
          <w:rFonts w:hint="eastAsia" w:ascii="宋体" w:hAnsi="宋体" w:cs="宋体"/>
          <w:color w:val="auto"/>
          <w:sz w:val="24"/>
          <w:szCs w:val="24"/>
          <w:highlight w:val="none"/>
        </w:rPr>
        <w:t xml:space="preserve">WDX</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rPr>
          <w:color w:val="auto"/>
          <w:highlight w:val="none"/>
        </w:rPr>
      </w:r>
      <w:r>
        <w:rPr>
          <w:color w:val="auto"/>
          <w:highlight w:val="none"/>
        </w:rPr>
      </w:r>
    </w:p>
    <w:p>
      <w:pPr>
        <w:ind w:firstLine="6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据此函，投标人承诺并同意如下： </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 投标人唯一投标报价见《开标一览表》。</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 投标人将按招标文件的规定履行合同责任和义务。</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 投标有效期为开标之日后90天。</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 投标人同意提供按照贵方可能要求的与其投标有关的一切数据或资料，完全理解贵方不一定接受最低价的投标或收到的任何投标。</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 投标人同意按照招标文件规定支付招标代理服务费。</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7. 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8. 采购人有权对投标人投标文件的真实性进行核实，如投标人不能在采购人规定的时间内向采购人提供有效的证明文件，将被采购人视为放弃中标资格。</w:t>
      </w:r>
      <w:r>
        <w:rPr>
          <w:color w:val="auto"/>
          <w:highlight w:val="none"/>
        </w:rPr>
      </w:r>
      <w:r>
        <w:rPr>
          <w:color w:val="auto"/>
          <w:highlight w:val="none"/>
        </w:rPr>
      </w:r>
    </w:p>
    <w:p>
      <w:pPr>
        <w:ind w:firstLine="48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9. 与本投标有关的一切正式往来信函请寄：</w:t>
      </w:r>
      <w:r>
        <w:rPr>
          <w:color w:val="auto"/>
          <w:highlight w:val="none"/>
        </w:rPr>
      </w:r>
      <w:r>
        <w:rPr>
          <w:color w:val="auto"/>
          <w:highlight w:val="none"/>
        </w:rP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地址： </w:t>
      </w:r>
      <w:r>
        <w:rPr>
          <w:color w:val="auto"/>
          <w:highlight w:val="none"/>
        </w:rPr>
      </w:r>
      <w:r>
        <w:rPr>
          <w:color w:val="auto"/>
          <w:highlight w:val="none"/>
        </w:rP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电话： </w:t>
      </w:r>
      <w:r>
        <w:rPr>
          <w:color w:val="auto"/>
          <w:highlight w:val="none"/>
        </w:rPr>
      </w:r>
      <w:r>
        <w:rPr>
          <w:color w:val="auto"/>
          <w:highlight w:val="none"/>
        </w:rPr>
      </w:r>
    </w:p>
    <w:p>
      <w:pPr>
        <w:ind w:firstLine="1200"/>
        <w:spacing w:line="46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传真： </w:t>
      </w:r>
      <w:r>
        <w:rPr>
          <w:color w:val="auto"/>
          <w:highlight w:val="none"/>
        </w:rPr>
      </w:r>
      <w:r>
        <w:rPr>
          <w:color w:val="auto"/>
          <w:highlight w:val="none"/>
        </w:rPr>
      </w:r>
    </w:p>
    <w:p>
      <w:pPr>
        <w:ind w:firstLine="33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rPr>
          <w:color w:val="auto"/>
          <w:highlight w:val="none"/>
        </w:rPr>
      </w:r>
    </w:p>
    <w:p>
      <w:pPr>
        <w:ind w:firstLine="3360"/>
        <w:spacing w:line="44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日期：  年 月 日</w:t>
      </w:r>
      <w:r>
        <w:rPr>
          <w:color w:val="auto"/>
          <w:highlight w:val="none"/>
        </w:rPr>
      </w:r>
      <w:r>
        <w:rPr>
          <w:color w:val="auto"/>
          <w:highlight w:val="none"/>
        </w:rP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开标一览表格式</w:t>
      </w:r>
      <w:r>
        <w:rPr>
          <w:color w:val="auto"/>
          <w:highlight w:val="none"/>
        </w:rPr>
      </w:r>
      <w:r>
        <w:rPr>
          <w:color w:val="auto"/>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left="256" w:right="6" w:firstLine="480"/>
        <w:jc w:val="center"/>
        <w:rPr>
          <w:rFonts w:ascii="宋体" w:hAnsi="宋体" w:cs="宋体"/>
          <w:color w:val="auto"/>
          <w:sz w:val="24"/>
          <w:szCs w:val="20"/>
          <w:highlight w:val="none"/>
        </w:rPr>
      </w:pPr>
      <w:r>
        <w:rPr>
          <w:rFonts w:hint="eastAsia" w:ascii="宋体" w:hAnsi="宋体"/>
          <w:color w:val="auto"/>
          <w:sz w:val="30"/>
          <w:szCs w:val="30"/>
          <w:highlight w:val="none"/>
        </w:rPr>
        <w:t xml:space="preserve">详见苏采云系统中的格式。</w:t>
      </w:r>
      <w:r>
        <w:rPr>
          <w:color w:val="auto"/>
          <w:highlight w:val="none"/>
        </w:rPr>
      </w:r>
      <w:r>
        <w:rPr>
          <w:color w:val="auto"/>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0"/>
        <w:jc w:val="center"/>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i/>
          <w:iCs/>
          <w:color w:val="auto"/>
          <w:sz w:val="24"/>
          <w:highlight w:val="none"/>
          <w:u w:val="single"/>
        </w:rPr>
        <w:t xml:space="preserve">政府采购客户端工具输入报价自动生成</w:t>
      </w:r>
      <w:r>
        <w:rPr>
          <w:color w:val="auto"/>
          <w:highlight w:val="none"/>
        </w:rPr>
      </w:r>
      <w:r>
        <w:rPr>
          <w:color w:val="auto"/>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rPr>
          <w:color w:val="auto"/>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rPr>
          <w:color w:val="auto"/>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2"/>
          <w:szCs w:val="32"/>
          <w:highlight w:val="none"/>
        </w:rPr>
      </w:r>
      <w:r>
        <w:rPr>
          <w:color w:val="auto"/>
          <w:highlight w:val="none"/>
        </w:rPr>
      </w:r>
      <w:r>
        <w:rPr>
          <w:color w:val="auto"/>
          <w:highlight w:val="none"/>
        </w:rPr>
      </w:r>
    </w:p>
    <w:p>
      <w:pPr>
        <w:ind w:firstLine="60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分项价格表格式</w:t>
      </w:r>
      <w:r>
        <w:rPr>
          <w:color w:val="auto"/>
          <w:highlight w:val="none"/>
        </w:rPr>
      </w:r>
      <w:r>
        <w:rPr>
          <w:color w:val="auto"/>
          <w:highlight w:val="none"/>
        </w:rPr>
      </w:r>
    </w:p>
    <w:p>
      <w:pPr>
        <w:ind w:firstLine="600"/>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r>
      <w:r>
        <w:rPr>
          <w:color w:val="auto"/>
          <w:highlight w:val="none"/>
        </w:rPr>
      </w:r>
      <w:r>
        <w:rPr>
          <w:color w:val="auto"/>
          <w:highlight w:val="none"/>
        </w:rP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color w:val="auto"/>
          <w:highlight w:val="none"/>
        </w:rPr>
      </w:r>
      <w:r>
        <w:rPr>
          <w:color w:val="auto"/>
          <w:highlight w:val="none"/>
        </w:rP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：1214-26410</w:t>
      </w:r>
      <w:r>
        <w:rPr>
          <w:rFonts w:hint="eastAsia" w:ascii="宋体" w:hAnsi="宋体" w:cs="宋体"/>
          <w:color w:val="auto"/>
          <w:sz w:val="24"/>
          <w:szCs w:val="24"/>
          <w:highlight w:val="none"/>
          <w:lang w:val="en-US" w:eastAsia="zh-CN"/>
        </w:rPr>
        <w:t xml:space="preserve">6271</w:t>
      </w:r>
      <w:r>
        <w:rPr>
          <w:rFonts w:hint="eastAsia" w:ascii="宋体" w:hAnsi="宋体" w:cs="宋体"/>
          <w:color w:val="auto"/>
          <w:sz w:val="24"/>
          <w:szCs w:val="24"/>
          <w:highlight w:val="none"/>
        </w:rPr>
        <w:t xml:space="preserve">WDX</w:t>
      </w:r>
      <w:r>
        <w:rPr>
          <w:color w:val="auto"/>
          <w:highlight w:val="none"/>
        </w:rPr>
      </w:r>
      <w:r>
        <w:rPr>
          <w:color w:val="auto"/>
          <w:highlight w:val="none"/>
        </w:rPr>
      </w:r>
    </w:p>
    <w:p>
      <w:pPr>
        <w:pStyle w:val="912"/>
        <w:rPr>
          <w:color w:val="auto"/>
          <w:highlight w:val="none"/>
        </w:rPr>
      </w:pPr>
      <w:r>
        <w:rPr>
          <w:color w:val="auto"/>
          <w:highlight w:val="none"/>
        </w:rPr>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项目名称：</w:t>
      </w:r>
      <w:r>
        <w:rPr>
          <w:color w:val="auto"/>
          <w:highlight w:val="none"/>
        </w:rPr>
      </w:r>
      <w:r>
        <w:rPr>
          <w:color w:val="auto"/>
          <w:highlight w:val="none"/>
        </w:rPr>
      </w:r>
    </w:p>
    <w:p>
      <w:pPr>
        <w:jc w:val="right"/>
        <w:rPr>
          <w:rFonts w:ascii="宋体" w:hAnsi="宋体" w:cs="宋体"/>
          <w:color w:val="auto"/>
          <w:sz w:val="24"/>
          <w:highlight w:val="none"/>
        </w:rPr>
      </w:pPr>
      <w:r>
        <w:rPr>
          <w:rFonts w:hint="eastAsia" w:ascii="宋体" w:hAnsi="宋体" w:cs="宋体"/>
          <w:color w:val="auto"/>
          <w:sz w:val="24"/>
          <w:highlight w:val="none"/>
        </w:rPr>
        <w:t xml:space="preserve">          　 货币单位：人民币元</w:t>
      </w:r>
      <w:r>
        <w:rPr>
          <w:color w:val="auto"/>
          <w:highlight w:val="none"/>
        </w:rPr>
      </w:r>
      <w:r>
        <w:rPr>
          <w:color w:val="auto"/>
          <w:highlight w:val="none"/>
        </w:rPr>
      </w:r>
    </w:p>
    <w:p>
      <w:pPr>
        <w:ind w:firstLine="3120"/>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bl>
      <w:tblPr>
        <w:tblStyle w:val="907"/>
        <w:tblW w:w="4997" w:type="pct"/>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22"/>
        <w:gridCol w:w="636"/>
        <w:gridCol w:w="2795"/>
        <w:gridCol w:w="821"/>
        <w:gridCol w:w="472"/>
        <w:gridCol w:w="563"/>
        <w:gridCol w:w="748"/>
        <w:gridCol w:w="781"/>
        <w:gridCol w:w="634"/>
        <w:gridCol w:w="640"/>
      </w:tblGrid>
      <w:tr>
        <w:trPr>
          <w:jc w:val="center"/>
          <w:trHeight w:val="583"/>
        </w:trPr>
        <w:tc>
          <w:tcPr>
            <w:tcMar>
              <w:left w:w="15" w:type="dxa"/>
              <w:top w:w="15" w:type="dxa"/>
              <w:right w:w="15" w:type="dxa"/>
              <w:bottom w:w="0" w:type="dxa"/>
            </w:tcMar>
            <w:tcW w:w="357"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序号</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名称</w:t>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品牌、规格、型号</w:t>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产品制造企业名称</w:t>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数量</w:t>
            </w:r>
            <w:r>
              <w:rPr>
                <w:color w:val="auto"/>
                <w:highlight w:val="none"/>
              </w:rPr>
            </w:r>
            <w:r>
              <w:rPr>
                <w:color w:val="auto"/>
                <w:highlight w:val="none"/>
              </w:rPr>
            </w:r>
          </w:p>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单位</w:t>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单价</w:t>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总价</w:t>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b/>
                <w:bCs/>
                <w:color w:val="auto"/>
                <w:sz w:val="24"/>
                <w:highlight w:val="none"/>
              </w:rPr>
            </w:pPr>
            <w:r>
              <w:rPr>
                <w:rFonts w:hint="eastAsia" w:ascii="宋体" w:hAnsi="宋体" w:cs="宋体"/>
                <w:b/>
                <w:bCs/>
                <w:color w:val="auto"/>
                <w:sz w:val="24"/>
                <w:highlight w:val="none"/>
              </w:rPr>
              <w:t xml:space="preserve">备注</w:t>
            </w:r>
            <w:r>
              <w:rPr>
                <w:color w:val="auto"/>
                <w:highlight w:val="none"/>
              </w:rPr>
            </w:r>
            <w:r>
              <w:rPr>
                <w:color w:val="auto"/>
                <w:highlight w:val="none"/>
              </w:rPr>
            </w:r>
          </w:p>
        </w:tc>
      </w:tr>
      <w:tr>
        <w:trPr>
          <w:jc w:val="center"/>
          <w:trHeight w:val="300"/>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jc w:val="center"/>
          <w:trHeight w:val="214"/>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b/>
                <w:bCs/>
                <w:color w:val="auto"/>
                <w:sz w:val="24"/>
                <w:highlight w:val="none"/>
              </w:rPr>
            </w:pPr>
            <w:r>
              <w:rPr>
                <w:rFonts w:ascii="宋体" w:hAnsi="宋体" w:cs="宋体"/>
                <w:b/>
                <w:bCs/>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jc w:val="center"/>
          <w:trHeight w:val="322"/>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jc w:val="center"/>
          <w:trHeight w:val="285"/>
        </w:trPr>
        <w:tc>
          <w:tcPr>
            <w:tcMar>
              <w:left w:w="15" w:type="dxa"/>
              <w:top w:w="15" w:type="dxa"/>
              <w:right w:w="15" w:type="dxa"/>
              <w:bottom w:w="0" w:type="dxa"/>
            </w:tcMar>
            <w:tcW w:w="35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rPr>
                <w:color w:val="auto"/>
                <w:highlight w:val="none"/>
              </w:rPr>
            </w:r>
            <w:r>
              <w:rPr>
                <w:color w:val="auto"/>
                <w:highlight w:val="none"/>
              </w:rPr>
            </w:r>
          </w:p>
        </w:tc>
        <w:tc>
          <w:tcPr>
            <w:tcMar>
              <w:left w:w="15" w:type="dxa"/>
              <w:top w:w="15" w:type="dxa"/>
              <w:right w:w="15" w:type="dxa"/>
              <w:bottom w:w="0" w:type="dxa"/>
            </w:tcMar>
            <w:tcW w:w="365"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160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gridSpan w:val="2"/>
            <w:tcMar>
              <w:left w:w="15" w:type="dxa"/>
              <w:top w:w="15" w:type="dxa"/>
              <w:right w:w="15" w:type="dxa"/>
              <w:bottom w:w="0" w:type="dxa"/>
            </w:tcMar>
            <w:tcW w:w="74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23"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29"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448"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Mar>
              <w:left w:w="15" w:type="dxa"/>
              <w:top w:w="15" w:type="dxa"/>
              <w:right w:w="15" w:type="dxa"/>
              <w:bottom w:w="0" w:type="dxa"/>
            </w:tcMar>
            <w:tcW w:w="364"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jc w:val="center"/>
          <w:trHeight w:val="499"/>
        </w:trPr>
        <w:tc>
          <w:tcPr>
            <w:gridSpan w:val="4"/>
            <w:tcMar>
              <w:left w:w="15" w:type="dxa"/>
              <w:top w:w="15" w:type="dxa"/>
              <w:right w:w="15" w:type="dxa"/>
              <w:bottom w:w="0" w:type="dxa"/>
            </w:tcMar>
            <w:tcW w:w="2797" w:type="pct"/>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总价合计（即《开标一览表》中的“总价”）</w:t>
            </w:r>
            <w:r>
              <w:rPr>
                <w:color w:val="auto"/>
                <w:highlight w:val="none"/>
              </w:rPr>
            </w:r>
            <w:r>
              <w:rPr>
                <w:color w:val="auto"/>
                <w:highlight w:val="none"/>
              </w:rPr>
            </w:r>
          </w:p>
        </w:tc>
        <w:tc>
          <w:tcPr>
            <w:gridSpan w:val="6"/>
            <w:tcW w:w="2202" w:type="pct"/>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bl>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3640"/>
        <w:spacing w:line="300" w:lineRule="auto"/>
        <w:rPr>
          <w:rFonts w:ascii="宋体" w:hAnsi="宋体" w:cs="宋体"/>
          <w:color w:val="auto"/>
          <w:sz w:val="24"/>
          <w:highlight w:val="none"/>
        </w:rP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rPr>
          <w:color w:val="auto"/>
          <w:highlight w:val="none"/>
        </w:rPr>
      </w:r>
    </w:p>
    <w:p>
      <w:pPr>
        <w:ind w:firstLine="36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rPr>
          <w:color w:val="auto"/>
          <w:highlight w:val="none"/>
        </w:rPr>
      </w:r>
      <w:r>
        <w:rPr>
          <w:color w:val="auto"/>
          <w:highlight w:val="none"/>
        </w:rPr>
      </w:r>
    </w:p>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ind w:firstLine="560"/>
        <w:jc w:val="left"/>
        <w:widowControl/>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rPr>
          <w:color w:val="auto"/>
          <w:highlight w:val="none"/>
        </w:rP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1.如果不提供详细分项报价将视为没有实质性响应招标文件。</w:t>
      </w:r>
      <w:r>
        <w:rPr>
          <w:color w:val="auto"/>
          <w:highlight w:val="none"/>
        </w:rPr>
      </w:r>
      <w:r>
        <w:rPr>
          <w:color w:val="auto"/>
          <w:highlight w:val="none"/>
        </w:rPr>
      </w:r>
    </w:p>
    <w:p>
      <w:pPr>
        <w:jc w:val="left"/>
        <w:widowControl/>
        <w:rPr>
          <w:rFonts w:ascii="宋体" w:hAnsi="宋体" w:cs="宋体"/>
          <w:color w:val="auto"/>
          <w:sz w:val="24"/>
          <w:highlight w:val="none"/>
        </w:rPr>
      </w:pPr>
      <w:r>
        <w:rPr>
          <w:rFonts w:hint="eastAsia" w:ascii="宋体" w:hAnsi="宋体" w:cs="宋体"/>
          <w:color w:val="auto"/>
          <w:sz w:val="24"/>
          <w:highlight w:val="none"/>
        </w:rPr>
        <w:t xml:space="preserve">2.投标人对以上数据的真实性负责。</w:t>
      </w:r>
      <w:r>
        <w:rPr>
          <w:color w:val="auto"/>
          <w:highlight w:val="none"/>
        </w:rPr>
      </w:r>
      <w:r>
        <w:rPr>
          <w:color w:val="auto"/>
          <w:highlight w:val="none"/>
        </w:rPr>
      </w:r>
    </w:p>
    <w:p>
      <w:pPr>
        <w:jc w:val="left"/>
        <w:widowControl/>
        <w:rPr>
          <w:rFonts w:ascii="宋体" w:hAnsi="宋体" w:cs="宋体"/>
          <w:b/>
          <w:bCs/>
          <w:color w:val="auto"/>
          <w:sz w:val="24"/>
          <w:highlight w:val="none"/>
        </w:rPr>
      </w:pPr>
      <w:r>
        <w:rPr>
          <w:rFonts w:hint="eastAsia" w:ascii="宋体" w:hAnsi="宋体" w:cs="宋体"/>
          <w:color w:val="auto"/>
          <w:sz w:val="24"/>
          <w:highlight w:val="none"/>
        </w:rPr>
        <w:t xml:space="preserve">3.</w:t>
      </w:r>
      <w:r>
        <w:rPr>
          <w:rFonts w:hint="eastAsia" w:ascii="宋体" w:hAnsi="宋体" w:cs="宋体"/>
          <w:b/>
          <w:bCs/>
          <w:color w:val="auto"/>
          <w:sz w:val="24"/>
          <w:highlight w:val="none"/>
        </w:rPr>
        <w:t xml:space="preserve">采购人或采购代理机构有权将以上内容进行公示。</w:t>
      </w:r>
      <w:r>
        <w:rPr>
          <w:color w:val="auto"/>
          <w:highlight w:val="none"/>
        </w:rPr>
      </w:r>
      <w:r>
        <w:rPr>
          <w:color w:val="auto"/>
          <w:highlight w:val="none"/>
        </w:rPr>
      </w:r>
    </w:p>
    <w:p>
      <w:pPr>
        <w:ind w:firstLine="56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偏离表格式</w:t>
      </w:r>
      <w:r>
        <w:rPr>
          <w:color w:val="auto"/>
          <w:highlight w:val="none"/>
        </w:rPr>
      </w:r>
      <w:r>
        <w:rPr>
          <w:color w:val="auto"/>
          <w:highlight w:val="none"/>
        </w:rPr>
      </w:r>
    </w:p>
    <w:p>
      <w:pPr>
        <w:rPr>
          <w:color w:val="auto"/>
          <w:highlight w:val="none"/>
        </w:rPr>
      </w:pPr>
      <w:r>
        <w:rPr>
          <w:color w:val="auto"/>
          <w:highlight w:val="none"/>
        </w:rPr>
      </w:r>
      <w:r>
        <w:rPr>
          <w:color w:val="auto"/>
          <w:highlight w:val="none"/>
        </w:rPr>
      </w:r>
      <w:r>
        <w:rPr>
          <w:color w:val="auto"/>
          <w:highlight w:val="none"/>
        </w:rPr>
      </w:r>
    </w:p>
    <w:p>
      <w:pPr>
        <w:jc w:val="center"/>
        <w:spacing w:after="120"/>
        <w:rPr>
          <w:color w:val="auto"/>
          <w:sz w:val="32"/>
          <w:szCs w:val="32"/>
          <w:highlight w:val="none"/>
        </w:rPr>
        <w:outlineLvl w:val="2"/>
      </w:pPr>
      <w:r>
        <w:rPr>
          <w:color w:val="auto"/>
          <w:highlight w:val="none"/>
        </w:rPr>
      </w:r>
      <w:bookmarkStart w:id="7" w:name="_Toc10084"/>
      <w:r>
        <w:rPr>
          <w:rFonts w:hint="eastAsia"/>
          <w:color w:val="auto"/>
          <w:sz w:val="32"/>
          <w:szCs w:val="32"/>
          <w:highlight w:val="none"/>
        </w:rPr>
        <w:t xml:space="preserve">（一）技术要求响应及偏离表</w:t>
      </w:r>
      <w:bookmarkEnd w:id="7"/>
      <w:r>
        <w:rPr>
          <w:color w:val="auto"/>
          <w:highlight w:val="none"/>
        </w:rPr>
      </w:r>
      <w:r>
        <w:rPr>
          <w:color w:val="auto"/>
          <w:highlight w:val="none"/>
        </w:rPr>
      </w:r>
    </w:p>
    <w:tbl>
      <w:tblPr>
        <w:tblStyle w:val="907"/>
        <w:tblW w:w="0" w:type="auto"/>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022"/>
        <w:gridCol w:w="2710"/>
        <w:gridCol w:w="1374"/>
        <w:gridCol w:w="923"/>
      </w:tblGrid>
      <w:tr>
        <w:trPr>
          <w:cantSplit/>
          <w:trHeight w:val="632"/>
        </w:trPr>
        <w:tc>
          <w:tcPr>
            <w:tcW w:w="7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招标文件技术要求</w:t>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投标响应情况</w:t>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超出、符合或偏离</w:t>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证明</w:t>
            </w:r>
            <w:r>
              <w:rPr>
                <w:color w:val="auto"/>
                <w:highlight w:val="none"/>
              </w:rPr>
            </w:r>
            <w:r>
              <w:rPr>
                <w:color w:val="auto"/>
                <w:highlight w:val="none"/>
              </w:rPr>
            </w:r>
          </w:p>
          <w:p>
            <w:pPr>
              <w:jc w:val="center"/>
              <w:rPr>
                <w:rFonts w:ascii="宋体" w:hAnsi="宋体" w:cs="宋体"/>
                <w:color w:val="auto"/>
                <w:sz w:val="24"/>
                <w:highlight w:val="none"/>
              </w:rPr>
            </w:pPr>
            <w:r>
              <w:rPr>
                <w:rFonts w:hint="eastAsia" w:ascii="宋体" w:hAnsi="宋体" w:cs="宋体"/>
                <w:color w:val="auto"/>
                <w:sz w:val="24"/>
                <w:highlight w:val="none"/>
              </w:rPr>
              <w:t xml:space="preserve">材料</w:t>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7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587"/>
        </w:trPr>
        <w:tc>
          <w:tcPr>
            <w:tcW w:w="7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3022"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rPr>
                <w:color w:val="auto"/>
                <w:highlight w:val="none"/>
              </w:rPr>
            </w:r>
          </w:p>
        </w:tc>
        <w:tc>
          <w:tcPr>
            <w:tcW w:w="271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7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9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bl>
    <w:p>
      <w:pPr>
        <w:rPr>
          <w:rFonts w:ascii="宋体" w:hAnsi="宋体" w:cs="宋体"/>
          <w:color w:val="auto"/>
          <w:sz w:val="24"/>
          <w:highlight w:val="none"/>
        </w:rPr>
      </w:pPr>
      <w:r>
        <w:rPr>
          <w:rFonts w:hint="eastAsia" w:ascii="宋体" w:hAnsi="宋体" w:cs="宋体"/>
          <w:color w:val="auto"/>
          <w:sz w:val="24"/>
          <w:highlight w:val="none"/>
        </w:rPr>
        <w:t xml:space="preserve">注： </w:t>
      </w:r>
      <w:r>
        <w:rPr>
          <w:color w:val="auto"/>
          <w:highlight w:val="none"/>
        </w:rPr>
      </w:r>
      <w:r>
        <w:rPr>
          <w:color w:val="auto"/>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行数不够，可自行添加；</w:t>
      </w:r>
      <w:r>
        <w:rPr>
          <w:color w:val="auto"/>
          <w:highlight w:val="none"/>
        </w:rPr>
      </w:r>
      <w:r>
        <w:rPr>
          <w:color w:val="auto"/>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本表需要对招标文件《第六章 采购需求》技术要求的全部内容逐项/点对点响应，按照投标情况填写超出、符合或偏离；</w:t>
      </w:r>
      <w:r>
        <w:rPr>
          <w:color w:val="auto"/>
          <w:highlight w:val="none"/>
        </w:rPr>
      </w:r>
      <w:r>
        <w:rPr>
          <w:color w:val="auto"/>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如果招标文件要求提供证明材料，投标人需将证明材料列于该表之下。</w:t>
      </w:r>
      <w:r>
        <w:rPr>
          <w:color w:val="auto"/>
          <w:highlight w:val="none"/>
        </w:rPr>
      </w:r>
      <w:r>
        <w:rPr>
          <w:color w:val="auto"/>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对于技术要求中列明的▲或★参数，投标人须在此表后按顺序进行逐条佐证，</w:t>
      </w:r>
      <w:r>
        <w:rPr>
          <w:rFonts w:hint="eastAsia" w:ascii="宋体" w:hAnsi="宋体" w:cs="宋体"/>
          <w:color w:val="auto"/>
          <w:sz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并在该表</w:t>
      </w:r>
      <w:r>
        <w:rPr>
          <w:rFonts w:hint="eastAsia" w:ascii="宋体" w:hAnsi="宋体" w:cs="宋体"/>
          <w:b/>
          <w:bCs/>
          <w:color w:val="auto"/>
          <w:sz w:val="24"/>
          <w:highlight w:val="none"/>
        </w:rPr>
        <w:t xml:space="preserve">证明材料</w:t>
      </w:r>
      <w:r>
        <w:rPr>
          <w:rFonts w:hint="eastAsia" w:ascii="宋体" w:hAnsi="宋体" w:cs="宋体"/>
          <w:color w:val="auto"/>
          <w:sz w:val="24"/>
          <w:highlight w:val="none"/>
        </w:rPr>
        <w:t xml:space="preserve">栏中标注相应证明文件页码及相关证明条款，</w:t>
      </w:r>
      <w:r>
        <w:rPr>
          <w:rFonts w:hint="eastAsia" w:ascii="宋体" w:hAnsi="宋体" w:cs="宋体"/>
          <w:color w:val="auto"/>
          <w:sz w:val="24"/>
          <w:highlight w:val="none"/>
        </w:rPr>
        <w:t xml:space="preserve">未提供相关证明材料视为负偏离</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页面或相关材料不清晰或页码标注问题影响评审，评标委员会有权视为负偏离或作无效标处理。</w:t>
      </w:r>
      <w:r>
        <w:rPr>
          <w:color w:val="auto"/>
          <w:highlight w:val="none"/>
        </w:rPr>
      </w:r>
      <w:r>
        <w:rPr>
          <w:color w:val="auto"/>
          <w:highlight w:val="none"/>
        </w:rPr>
      </w:r>
    </w:p>
    <w:p>
      <w:pPr>
        <w:numPr>
          <w:ilvl w:val="0"/>
          <w:numId w:val="13"/>
        </w:num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投标人需确保提供佐证材料的真实性，如被认定提供实质性虚假材料，将会导致无效响应处理。</w:t>
      </w:r>
      <w:r>
        <w:rPr>
          <w:color w:val="auto"/>
          <w:highlight w:val="none"/>
        </w:rPr>
      </w:r>
      <w:r>
        <w:rPr>
          <w:color w:val="auto"/>
          <w:highlight w:val="none"/>
        </w:rPr>
      </w:r>
    </w:p>
    <w:p>
      <w:pPr>
        <w:jc w:val="left"/>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r>
        <w:rPr>
          <w:color w:val="auto"/>
          <w:highlight w:val="none"/>
        </w:rPr>
      </w:r>
    </w:p>
    <w:p>
      <w:pPr>
        <w:jc w:val="left"/>
        <w:spacing w:line="360" w:lineRule="auto"/>
        <w:rPr>
          <w:rFonts w:ascii="宋体" w:hAnsi="宋体" w:cs="宋体"/>
          <w:color w:val="auto"/>
          <w:sz w:val="24"/>
          <w:szCs w:val="21"/>
          <w:highlight w:val="none"/>
        </w:rPr>
      </w:pPr>
      <w:r>
        <w:rPr>
          <w:rFonts w:ascii="宋体" w:hAnsi="宋体" w:cs="宋体"/>
          <w:color w:val="auto"/>
          <w:sz w:val="24"/>
          <w:szCs w:val="21"/>
          <w:highlight w:val="none"/>
        </w:rPr>
      </w:r>
      <w:r>
        <w:rPr>
          <w:color w:val="auto"/>
          <w:highlight w:val="none"/>
        </w:rPr>
      </w:r>
      <w:r>
        <w:rPr>
          <w:color w:val="auto"/>
          <w:highlight w:val="none"/>
        </w:rPr>
      </w:r>
    </w:p>
    <w:p>
      <w:pPr>
        <w:rPr>
          <w:color w:val="auto"/>
          <w:sz w:val="32"/>
          <w:szCs w:val="32"/>
          <w:highlight w:val="none"/>
        </w:rPr>
      </w:pPr>
      <w:r>
        <w:rPr>
          <w:rFonts w:hint="eastAsia"/>
          <w:color w:val="auto"/>
          <w:sz w:val="32"/>
          <w:szCs w:val="32"/>
          <w:highlight w:val="none"/>
        </w:rPr>
        <w:br w:type="page" w:clear="all"/>
      </w:r>
      <w:r>
        <w:rPr>
          <w:color w:val="auto"/>
          <w:highlight w:val="none"/>
        </w:rPr>
      </w:r>
      <w:r>
        <w:rPr>
          <w:color w:val="auto"/>
          <w:highlight w:val="none"/>
        </w:rPr>
      </w:r>
    </w:p>
    <w:p>
      <w:pPr>
        <w:jc w:val="center"/>
        <w:spacing w:after="120"/>
        <w:rPr>
          <w:color w:val="auto"/>
          <w:sz w:val="32"/>
          <w:szCs w:val="32"/>
          <w:highlight w:val="none"/>
        </w:rPr>
        <w:outlineLvl w:val="2"/>
      </w:pPr>
      <w:r>
        <w:rPr>
          <w:rFonts w:hint="eastAsia"/>
          <w:color w:val="auto"/>
          <w:sz w:val="32"/>
          <w:szCs w:val="32"/>
          <w:highlight w:val="none"/>
        </w:rPr>
        <w:t xml:space="preserve">（二）商务要求响应及偏离表</w:t>
      </w:r>
      <w:r>
        <w:rPr>
          <w:color w:val="auto"/>
          <w:highlight w:val="none"/>
        </w:rPr>
      </w:r>
      <w:r>
        <w:rPr>
          <w:color w:val="auto"/>
          <w:highlight w:val="none"/>
        </w:rPr>
      </w:r>
    </w:p>
    <w:tbl>
      <w:tblPr>
        <w:tblStyle w:val="907"/>
        <w:tblW w:w="0" w:type="auto"/>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2818"/>
        <w:gridCol w:w="2756"/>
        <w:gridCol w:w="1263"/>
        <w:gridCol w:w="1133"/>
      </w:tblGrid>
      <w:tr>
        <w:trPr>
          <w:cantSplit/>
          <w:trHeight w:val="1191"/>
        </w:trPr>
        <w:tc>
          <w:tcPr>
            <w:tcW w:w="78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投标响应情况</w:t>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超出、符合或偏离</w:t>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证明</w:t>
            </w:r>
            <w:r>
              <w:rPr>
                <w:color w:val="auto"/>
                <w:highlight w:val="none"/>
              </w:rPr>
            </w:r>
            <w:r>
              <w:rPr>
                <w:color w:val="auto"/>
                <w:highlight w:val="none"/>
              </w:rPr>
            </w:r>
          </w:p>
          <w:p>
            <w:pPr>
              <w:jc w:val="center"/>
              <w:rPr>
                <w:rFonts w:ascii="宋体" w:hAnsi="宋体" w:cs="宋体"/>
                <w:color w:val="auto"/>
                <w:sz w:val="24"/>
                <w:highlight w:val="none"/>
              </w:rPr>
            </w:pPr>
            <w:r>
              <w:rPr>
                <w:rFonts w:hint="eastAsia" w:ascii="宋体" w:hAnsi="宋体" w:cs="宋体"/>
                <w:color w:val="auto"/>
                <w:sz w:val="24"/>
                <w:highlight w:val="none"/>
              </w:rPr>
              <w:t xml:space="preserve">材料</w:t>
            </w:r>
            <w:r>
              <w:rPr>
                <w:color w:val="auto"/>
                <w:highlight w:val="none"/>
              </w:rPr>
            </w:r>
            <w:r>
              <w:rPr>
                <w:color w:val="auto"/>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67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cantSplit/>
          <w:trHeight w:val="701"/>
        </w:trPr>
        <w:tc>
          <w:tcPr>
            <w:tcW w:w="78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281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color w:val="auto"/>
                <w:highlight w:val="none"/>
              </w:rPr>
            </w:r>
            <w:r>
              <w:rPr>
                <w:color w:val="auto"/>
                <w:highlight w:val="none"/>
              </w:rPr>
            </w:r>
          </w:p>
        </w:tc>
        <w:tc>
          <w:tcPr>
            <w:tcW w:w="275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6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13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bl>
    <w:p>
      <w:pPr>
        <w:spacing w:line="48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注：</w:t>
      </w:r>
      <w:r>
        <w:rPr>
          <w:color w:val="auto"/>
          <w:highlight w:val="none"/>
        </w:rPr>
      </w:r>
      <w:r>
        <w:rPr>
          <w:color w:val="auto"/>
          <w:highlight w:val="none"/>
        </w:rP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说明：</w:t>
      </w:r>
      <w:r>
        <w:rPr>
          <w:color w:val="auto"/>
          <w:highlight w:val="none"/>
        </w:rPr>
      </w:r>
      <w:r>
        <w:rPr>
          <w:color w:val="auto"/>
          <w:highlight w:val="none"/>
        </w:rPr>
      </w:r>
    </w:p>
    <w:p>
      <w:pPr>
        <w:spacing w:line="36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1、商务条款内容主要是针对招标文件有关的</w:t>
      </w:r>
      <w:r>
        <w:rPr>
          <w:rFonts w:hint="eastAsia" w:ascii="宋体" w:hAnsi="宋体" w:cs="宋体"/>
          <w:b/>
          <w:bCs/>
          <w:color w:val="auto"/>
          <w:sz w:val="24"/>
          <w:szCs w:val="21"/>
          <w:highlight w:val="none"/>
        </w:rPr>
        <w:t xml:space="preserve">付款条件</w:t>
      </w:r>
      <w:r>
        <w:rPr>
          <w:rFonts w:hint="eastAsia" w:ascii="宋体" w:hAnsi="宋体" w:cs="宋体"/>
          <w:color w:val="auto"/>
          <w:sz w:val="24"/>
          <w:szCs w:val="21"/>
          <w:highlight w:val="none"/>
        </w:rPr>
        <w:t xml:space="preserve">、交货期、质保期、合同主要条款等内容。</w:t>
      </w:r>
      <w:r>
        <w:rPr>
          <w:color w:val="auto"/>
          <w:highlight w:val="none"/>
        </w:rPr>
      </w:r>
      <w:r>
        <w:rPr>
          <w:color w:val="auto"/>
          <w:highlight w:val="none"/>
        </w:rPr>
      </w:r>
    </w:p>
    <w:p>
      <w:pPr>
        <w:spacing w:line="360" w:lineRule="auto"/>
        <w:rPr>
          <w:rFonts w:ascii="宋体" w:hAnsi="宋体" w:cs="宋体"/>
          <w:b/>
          <w:bCs/>
          <w:color w:val="auto"/>
          <w:sz w:val="24"/>
          <w:szCs w:val="21"/>
          <w:highlight w:val="none"/>
        </w:rPr>
      </w:pPr>
      <w:r>
        <w:rPr>
          <w:rFonts w:hint="eastAsia" w:ascii="宋体" w:hAnsi="宋体" w:cs="宋体"/>
          <w:color w:val="auto"/>
          <w:sz w:val="24"/>
          <w:szCs w:val="21"/>
          <w:highlight w:val="none"/>
        </w:rPr>
        <w:t xml:space="preserve">2.投标人对招标文件商务要求条款没有提出修改要求的，</w:t>
      </w:r>
      <w:r>
        <w:rPr>
          <w:rFonts w:hint="eastAsia" w:ascii="宋体" w:hAnsi="宋体" w:cs="宋体"/>
          <w:b/>
          <w:bCs/>
          <w:color w:val="auto"/>
          <w:sz w:val="24"/>
          <w:szCs w:val="21"/>
          <w:highlight w:val="none"/>
        </w:rPr>
        <w:t xml:space="preserve">可以提供经签署、盖章的空白表格，采购人将视为供应商完全接受招标文件商务要求条款内容。</w:t>
      </w:r>
      <w:r>
        <w:rPr>
          <w:color w:val="auto"/>
          <w:highlight w:val="none"/>
        </w:rPr>
      </w:r>
      <w:r>
        <w:rPr>
          <w:color w:val="auto"/>
          <w:highlight w:val="none"/>
        </w:rP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r>
      <w:r>
        <w:rPr>
          <w:color w:val="auto"/>
          <w:highlight w:val="none"/>
        </w:rPr>
      </w:r>
      <w:r>
        <w:rPr>
          <w:color w:val="auto"/>
          <w:highlight w:val="none"/>
        </w:rPr>
      </w:r>
    </w:p>
    <w:p>
      <w:pPr>
        <w:jc w:val="center"/>
        <w:spacing w:line="479" w:lineRule="atLeast"/>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32"/>
          <w:szCs w:val="32"/>
          <w:highlight w:val="none"/>
        </w:rPr>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授权委托书格式</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地址：</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统一社会信用代码：</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w:t>
      </w:r>
      <w:r>
        <w:rPr>
          <w:rFonts w:hint="eastAsia" w:ascii="宋体" w:hAnsi="宋体" w:cs="宋体"/>
          <w:color w:val="auto"/>
          <w:sz w:val="28"/>
          <w:szCs w:val="28"/>
          <w:highlight w:val="none"/>
        </w:rPr>
        <w:t xml:space="preserve">        性别：男（女）</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年龄：  岁      民族：  族</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职务：</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身份证号：</w:t>
      </w:r>
      <w:r>
        <w:rPr>
          <w:color w:val="auto"/>
          <w:highlight w:val="none"/>
        </w:rPr>
      </w:r>
      <w:r>
        <w:rPr>
          <w:color w:val="auto"/>
          <w:highlight w:val="none"/>
        </w:rPr>
      </w:r>
    </w:p>
    <w:p>
      <w:pPr>
        <w:ind w:firstLine="560"/>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兹委托（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）全权代表我企业（公司）参与（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w:t>
      </w:r>
      <w:r>
        <w:rPr>
          <w:rFonts w:hint="eastAsia" w:ascii="宋体" w:hAnsi="宋体" w:cs="宋体"/>
          <w:color w:val="auto"/>
          <w:sz w:val="28"/>
          <w:szCs w:val="28"/>
          <w:highlight w:val="none"/>
          <w:lang w:eastAsia="zh-CN"/>
        </w:rPr>
        <w:t xml:space="preserve">苏采云编号</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     </w:t>
      </w: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w:t>
      </w:r>
      <w:r>
        <w:rPr>
          <w:rFonts w:hint="eastAsia" w:ascii="宋体" w:hAnsi="宋体" w:cs="宋体"/>
          <w:color w:val="auto"/>
          <w:sz w:val="30"/>
          <w:szCs w:val="30"/>
          <w:highlight w:val="none"/>
          <w:u w:val="single"/>
        </w:rPr>
        <w:t xml:space="preserve">1214-26410</w:t>
      </w:r>
      <w:r>
        <w:rPr>
          <w:rFonts w:hint="eastAsia" w:ascii="宋体" w:hAnsi="宋体" w:cs="宋体"/>
          <w:color w:val="auto"/>
          <w:sz w:val="30"/>
          <w:szCs w:val="30"/>
          <w:highlight w:val="none"/>
          <w:u w:val="single"/>
          <w:lang w:val="en-US" w:eastAsia="zh-CN"/>
        </w:rPr>
        <w:t xml:space="preserve">6271</w:t>
      </w:r>
      <w:r>
        <w:rPr>
          <w:rFonts w:hint="eastAsia" w:ascii="宋体" w:hAnsi="宋体" w:cs="宋体"/>
          <w:color w:val="auto"/>
          <w:sz w:val="30"/>
          <w:szCs w:val="30"/>
          <w:highlight w:val="none"/>
          <w:u w:val="single"/>
        </w:rPr>
        <w:t xml:space="preserve">WDX</w:t>
      </w:r>
      <w:r>
        <w:rPr>
          <w:rFonts w:hint="eastAsia" w:ascii="宋体" w:hAnsi="宋体" w:cs="宋体"/>
          <w:color w:val="auto"/>
          <w:sz w:val="28"/>
          <w:szCs w:val="28"/>
          <w:highlight w:val="none"/>
        </w:rPr>
        <w:t xml:space="preserve">）的招、投标活动及签订合同。（</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）以我企业（公司）名义所为的法律行为及签署的文件，我企业（公司）均予以认可。有关法律责任均由我企业（公司）承担。（</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）无转委托权。</w:t>
      </w:r>
      <w:r>
        <w:rPr>
          <w:color w:val="auto"/>
          <w:highlight w:val="none"/>
        </w:rPr>
      </w:r>
      <w:r>
        <w:rPr>
          <w:color w:val="auto"/>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委托期限自</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日起至</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年</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日止。</w:t>
      </w:r>
      <w:r>
        <w:rPr>
          <w:color w:val="auto"/>
          <w:highlight w:val="none"/>
        </w:rPr>
      </w:r>
      <w:r>
        <w:rPr>
          <w:color w:val="auto"/>
          <w:highlight w:val="none"/>
        </w:rPr>
      </w:r>
    </w:p>
    <w:p>
      <w:pPr>
        <w:ind w:firstLine="63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特此授权委托。</w:t>
      </w:r>
      <w:r>
        <w:rPr>
          <w:color w:val="auto"/>
          <w:highlight w:val="none"/>
        </w:rPr>
      </w:r>
      <w:r>
        <w:rPr>
          <w:color w:val="auto"/>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color w:val="auto"/>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委托人（电子签章）：</w:t>
      </w:r>
      <w:r>
        <w:rPr>
          <w:color w:val="auto"/>
          <w:highlight w:val="none"/>
        </w:rPr>
      </w:r>
      <w:r>
        <w:rPr>
          <w:color w:val="auto"/>
          <w:highlight w:val="none"/>
        </w:rPr>
      </w:r>
    </w:p>
    <w:p>
      <w:pPr>
        <w:ind w:firstLine="60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法定代表人（签字或盖章）： </w:t>
      </w:r>
      <w:r>
        <w:rPr>
          <w:color w:val="auto"/>
          <w:highlight w:val="none"/>
        </w:rPr>
      </w:r>
      <w:r>
        <w:rPr>
          <w:color w:val="auto"/>
          <w:highlight w:val="none"/>
        </w:rPr>
      </w:r>
    </w:p>
    <w:p>
      <w:pPr>
        <w:ind w:firstLine="6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受托人（签字或盖章）：</w:t>
      </w:r>
      <w:r>
        <w:rPr>
          <w:color w:val="auto"/>
          <w:highlight w:val="none"/>
        </w:rPr>
      </w:r>
      <w:r>
        <w:rPr>
          <w:color w:val="auto"/>
          <w:highlight w:val="none"/>
        </w:rPr>
      </w:r>
    </w:p>
    <w:p>
      <w:pPr>
        <w:pStyle w:val="966"/>
        <w:ind w:left="0" w:firstLine="602"/>
        <w:spacing w:line="360" w:lineRule="auto"/>
        <w:rPr>
          <w:rFonts w:ascii="宋体" w:hAnsi="宋体" w:cs="宋体"/>
          <w:color w:val="auto"/>
          <w:sz w:val="28"/>
          <w:szCs w:val="28"/>
          <w:highlight w:val="none"/>
        </w:rPr>
      </w:pPr>
      <w:r>
        <w:rPr>
          <w:rFonts w:hint="eastAsia" w:ascii="宋体" w:hAnsi="宋体" w:cs="宋体"/>
          <w:b/>
          <w:bCs/>
          <w:color w:val="auto"/>
          <w:sz w:val="28"/>
          <w:szCs w:val="28"/>
          <w:highlight w:val="none"/>
        </w:rPr>
        <w:t xml:space="preserve">受托人联系方式：                   邮箱：</w:t>
      </w:r>
      <w:r>
        <w:rPr>
          <w:color w:val="auto"/>
          <w:highlight w:val="none"/>
        </w:rPr>
      </w:r>
      <w:r>
        <w:rPr>
          <w:color w:val="auto"/>
          <w:highlight w:val="none"/>
        </w:rPr>
      </w:r>
    </w:p>
    <w:p>
      <w:pPr>
        <w:ind w:right="600" w:firstLine="6150"/>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年  月  日 </w:t>
      </w:r>
      <w:r>
        <w:rPr>
          <w:color w:val="auto"/>
          <w:highlight w:val="none"/>
        </w:rPr>
      </w:r>
      <w:r>
        <w:rPr>
          <w:color w:val="auto"/>
          <w:highlight w:val="none"/>
        </w:rPr>
      </w:r>
    </w:p>
    <w:p>
      <w:pPr>
        <w:spacing w:line="360" w:lineRule="auto"/>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(有效的法定代表人和受托人身份证扫描件附后)</w:t>
      </w:r>
      <w:r>
        <w:rPr>
          <w:color w:val="auto"/>
          <w:highlight w:val="none"/>
        </w:rPr>
      </w:r>
      <w:r>
        <w:rPr>
          <w:color w:val="auto"/>
          <w:highlight w:val="none"/>
        </w:rPr>
      </w:r>
    </w:p>
    <w:p>
      <w:pPr>
        <w:rPr>
          <w:rFonts w:ascii="宋体" w:hAnsi="宋体" w:cs="宋体"/>
          <w:b/>
          <w:bCs/>
          <w:color w:val="auto"/>
          <w:sz w:val="28"/>
          <w:szCs w:val="28"/>
          <w:highlight w:val="none"/>
        </w:rPr>
      </w:pPr>
      <w:r>
        <w:rPr>
          <w:rFonts w:hint="eastAsia" w:ascii="宋体" w:hAnsi="宋体" w:cs="宋体"/>
          <w:b/>
          <w:bCs/>
          <w:color w:val="auto"/>
          <w:sz w:val="28"/>
          <w:szCs w:val="28"/>
          <w:highlight w:val="none"/>
        </w:rPr>
        <w:br w:type="page" w:clear="all"/>
      </w:r>
      <w:r>
        <w:rPr>
          <w:color w:val="auto"/>
          <w:highlight w:val="none"/>
        </w:rPr>
      </w:r>
      <w:r>
        <w:rPr>
          <w:color w:val="auto"/>
          <w:highlight w:val="none"/>
        </w:rPr>
      </w:r>
    </w:p>
    <w:p>
      <w:pPr>
        <w:spacing w:after="120"/>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附：</w:t>
      </w:r>
      <w:r>
        <w:rPr>
          <w:color w:val="auto"/>
          <w:highlight w:val="none"/>
        </w:rPr>
      </w:r>
      <w:r>
        <w:rPr>
          <w:color w:val="auto"/>
          <w:highlight w:val="none"/>
        </w:rP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法定代表人身份证扫描件：</w:t>
      </w:r>
      <w:r>
        <w:rPr>
          <w:color w:val="auto"/>
          <w:highlight w:val="none"/>
        </w:rPr>
      </w:r>
      <w:r>
        <w:rPr>
          <w:color w:val="auto"/>
          <w:highlight w:val="none"/>
        </w:rP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rHeight w:val="2830"/>
        </w:trPr>
        <w:tc>
          <w:tcPr>
            <w:tcW w:w="442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法定代表人身份证扫描件</w:t>
            </w:r>
            <w:r>
              <w:rPr>
                <w:color w:val="auto"/>
                <w:highlight w:val="none"/>
              </w:rPr>
            </w:r>
            <w:r>
              <w:rPr>
                <w:color w:val="auto"/>
                <w:highlight w:val="none"/>
              </w:rP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（正面）</w:t>
            </w:r>
            <w:r>
              <w:rPr>
                <w:color w:val="auto"/>
                <w:highlight w:val="none"/>
              </w:rPr>
            </w:r>
            <w:r>
              <w:rPr>
                <w:color w:val="auto"/>
                <w:highlight w:val="none"/>
              </w:rPr>
            </w:r>
          </w:p>
          <w:p>
            <w:pPr>
              <w:jc w:val="center"/>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color w:val="auto"/>
                <w:highlight w:val="none"/>
              </w:rPr>
            </w:r>
          </w:p>
        </w:tc>
        <w:tc>
          <w:tcPr>
            <w:tcW w:w="442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法定代表人身份证扫描件</w:t>
            </w:r>
            <w:r>
              <w:rPr>
                <w:color w:val="auto"/>
                <w:highlight w:val="none"/>
              </w:rPr>
            </w:r>
            <w:r>
              <w:rPr>
                <w:color w:val="auto"/>
                <w:highlight w:val="none"/>
              </w:rPr>
            </w:r>
          </w:p>
          <w:p>
            <w:pPr>
              <w:jc w:val="center"/>
              <w:rPr>
                <w:rFonts w:ascii="宋体" w:hAnsi="宋体" w:cs="宋体"/>
                <w:bCs/>
                <w:color w:val="auto"/>
                <w:sz w:val="24"/>
                <w:highlight w:val="none"/>
              </w:rPr>
            </w:pPr>
            <w:r>
              <w:rPr>
                <w:rFonts w:hint="eastAsia" w:ascii="宋体" w:hAnsi="宋体" w:cs="宋体"/>
                <w:color w:val="auto"/>
                <w:sz w:val="32"/>
                <w:szCs w:val="32"/>
                <w:highlight w:val="none"/>
              </w:rPr>
              <w:t xml:space="preserve">（反面）</w:t>
            </w:r>
            <w:r>
              <w:rPr>
                <w:color w:val="auto"/>
                <w:highlight w:val="none"/>
              </w:rPr>
            </w:r>
            <w:r>
              <w:rPr>
                <w:color w:val="auto"/>
                <w:highlight w:val="none"/>
              </w:rPr>
            </w:r>
          </w:p>
        </w:tc>
      </w:tr>
    </w:tbl>
    <w:p>
      <w:pPr>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color w:val="auto"/>
          <w:highlight w:val="none"/>
        </w:rP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rPr>
          <w:color w:val="auto"/>
          <w:highlight w:val="none"/>
        </w:rPr>
      </w:r>
      <w:r>
        <w:rPr>
          <w:color w:val="auto"/>
          <w:highlight w:val="none"/>
        </w:rP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受托人身份证扫描件：</w:t>
      </w:r>
      <w:r>
        <w:rPr>
          <w:color w:val="auto"/>
          <w:highlight w:val="none"/>
        </w:rPr>
      </w:r>
      <w:r>
        <w:rPr>
          <w:color w:val="auto"/>
          <w:highlight w:val="none"/>
        </w:rPr>
      </w:r>
    </w:p>
    <w:p>
      <w:pP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（法定代表人亲自参与投标的除外）</w:t>
      </w:r>
      <w:r>
        <w:rPr>
          <w:color w:val="auto"/>
          <w:highlight w:val="none"/>
        </w:rPr>
      </w:r>
      <w:r>
        <w:rPr>
          <w:color w:val="auto"/>
          <w:highlight w:val="none"/>
        </w:rPr>
      </w:r>
    </w:p>
    <w:tbl>
      <w:tblPr>
        <w:tblStyle w:val="9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4361"/>
      </w:tblGrid>
      <w:tr>
        <w:trPr>
          <w:trHeight w:val="2805"/>
        </w:trPr>
        <w:tc>
          <w:tcPr>
            <w:tcW w:w="440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被授权人身份证扫描件</w:t>
            </w:r>
            <w:r>
              <w:rPr>
                <w:color w:val="auto"/>
                <w:highlight w:val="none"/>
              </w:rPr>
            </w:r>
            <w:r>
              <w:rPr>
                <w:color w:val="auto"/>
                <w:highlight w:val="none"/>
              </w:rP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（正面）</w:t>
            </w:r>
            <w:r>
              <w:rPr>
                <w:color w:val="auto"/>
                <w:highlight w:val="none"/>
              </w:rPr>
            </w:r>
            <w:r>
              <w:rPr>
                <w:color w:val="auto"/>
                <w:highlight w:val="none"/>
              </w:rPr>
            </w:r>
          </w:p>
          <w:p>
            <w:pPr>
              <w:jc w:val="cente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tc>
        <w:tc>
          <w:tcPr>
            <w:tcW w:w="4400" w:type="dxa"/>
            <w:vAlign w:val="center"/>
            <w:textDirection w:val="lrTb"/>
            <w:noWrap w:val="false"/>
          </w:tcPr>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被授权人身份证扫描件</w:t>
            </w:r>
            <w:r>
              <w:rPr>
                <w:color w:val="auto"/>
                <w:highlight w:val="none"/>
              </w:rPr>
            </w:r>
            <w:r>
              <w:rPr>
                <w:color w:val="auto"/>
                <w:highlight w:val="none"/>
              </w:rP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（反面）</w:t>
            </w:r>
            <w:r>
              <w:rPr>
                <w:color w:val="auto"/>
                <w:highlight w:val="none"/>
              </w:rPr>
            </w:r>
            <w:r>
              <w:rPr>
                <w:color w:val="auto"/>
                <w:highlight w:val="none"/>
              </w:rPr>
            </w:r>
          </w:p>
          <w:p>
            <w:pPr>
              <w:jc w:val="center"/>
              <w:rPr>
                <w:rFonts w:ascii="宋体" w:hAnsi="宋体" w:cs="宋体"/>
                <w:color w:val="auto"/>
                <w:sz w:val="32"/>
                <w:szCs w:val="32"/>
                <w:highlight w:val="none"/>
              </w:rPr>
            </w:pPr>
            <w:r>
              <w:rPr>
                <w:rFonts w:ascii="宋体" w:hAnsi="宋体" w:cs="宋体"/>
                <w:color w:val="auto"/>
                <w:sz w:val="32"/>
                <w:szCs w:val="32"/>
                <w:highlight w:val="none"/>
              </w:rPr>
            </w:r>
            <w:r>
              <w:rPr>
                <w:color w:val="auto"/>
                <w:highlight w:val="none"/>
              </w:rPr>
            </w:r>
            <w:r>
              <w:rPr>
                <w:color w:val="auto"/>
                <w:highlight w:val="none"/>
              </w:rPr>
            </w:r>
          </w:p>
        </w:tc>
      </w:tr>
    </w:tbl>
    <w:p>
      <w:pPr>
        <w:pStyle w:val="1033"/>
        <w:rPr>
          <w:rFonts w:ascii="宋体" w:hAnsi="宋体" w:cs="宋体"/>
          <w:color w:val="auto"/>
          <w:highlight w:val="none"/>
        </w:rPr>
      </w:pPr>
      <w:r>
        <w:rPr>
          <w:rFonts w:ascii="宋体" w:hAnsi="宋体" w:cs="宋体"/>
          <w:color w:val="auto"/>
          <w:highlight w:val="none"/>
          <w:lang w:eastAsia="zh-CN"/>
        </w:rPr>
      </w:r>
      <w:r>
        <w:rPr>
          <w:color w:val="auto"/>
          <w:highlight w:val="none"/>
        </w:rPr>
      </w:r>
      <w:r>
        <w:rPr>
          <w:color w:val="auto"/>
          <w:highlight w:val="none"/>
        </w:rPr>
      </w:r>
    </w:p>
    <w:p>
      <w:pPr>
        <w:pStyle w:val="914"/>
        <w:ind w:left="0"/>
        <w:rPr>
          <w:color w:val="auto"/>
          <w:highlight w:val="none"/>
        </w:rPr>
      </w:pPr>
      <w:r>
        <w:rPr>
          <w:color w:val="auto"/>
          <w:highlight w:val="none"/>
        </w:rPr>
      </w:r>
      <w:r>
        <w:rPr>
          <w:color w:val="auto"/>
          <w:highlight w:val="none"/>
        </w:rPr>
      </w:r>
      <w:r>
        <w:rPr>
          <w:color w:val="auto"/>
          <w:highlight w:val="none"/>
        </w:rPr>
      </w:r>
    </w:p>
    <w:p>
      <w:pPr>
        <w:rPr>
          <w:color w:val="auto"/>
          <w:highlight w:val="none"/>
        </w:rPr>
      </w:pPr>
      <w:r>
        <w:rPr>
          <w:rFonts w:hint="eastAsia"/>
          <w:color w:val="auto"/>
          <w:highlight w:val="none"/>
        </w:rPr>
        <w:br w:type="page" w:clear="all"/>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资格要求的证明文件</w:t>
      </w:r>
      <w:r>
        <w:rPr>
          <w:color w:val="auto"/>
          <w:highlight w:val="none"/>
        </w:rPr>
      </w:r>
      <w:r>
        <w:rPr>
          <w:color w:val="auto"/>
          <w:highlight w:val="none"/>
        </w:rPr>
      </w:r>
    </w:p>
    <w:p>
      <w:pPr>
        <w:rPr>
          <w:color w:val="auto"/>
          <w:highlight w:val="none"/>
        </w:rPr>
      </w:pPr>
      <w:r>
        <w:rPr>
          <w:color w:val="auto"/>
          <w:highlight w:val="none"/>
        </w:rPr>
      </w:r>
      <w:r>
        <w:rPr>
          <w:color w:val="auto"/>
          <w:highlight w:val="none"/>
        </w:rPr>
      </w:r>
      <w:r>
        <w:rPr>
          <w:color w:val="auto"/>
          <w:highlight w:val="none"/>
        </w:rPr>
      </w:r>
    </w:p>
    <w:p>
      <w:pPr>
        <w:numPr>
          <w:ilvl w:val="0"/>
          <w:numId w:val="14"/>
        </w:num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符合《中华人民共和国政府采购法》第二十二条的规定；</w:t>
      </w:r>
      <w:r>
        <w:rPr>
          <w:color w:val="auto"/>
          <w:highlight w:val="none"/>
        </w:rPr>
      </w:r>
      <w:r>
        <w:rPr>
          <w:color w:val="auto"/>
          <w:highlight w:val="none"/>
        </w:rP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w:t>
      </w:r>
      <w:r>
        <w:rPr>
          <w:rFonts w:hint="eastAsia" w:ascii="宋体" w:hAnsi="宋体" w:cs="宋体"/>
          <w:bCs/>
          <w:color w:val="auto"/>
          <w:sz w:val="24"/>
          <w:highlight w:val="none"/>
        </w:rPr>
        <w:t xml:space="preserve">具有独立承担民事责任的能力（提供事业单位法人证书或者企业单位的营业执照；投标人为自然人的，提供其身份证）（复印件）</w:t>
      </w:r>
      <w:r>
        <w:rPr>
          <w:rFonts w:hint="eastAsia" w:ascii="宋体" w:hAnsi="宋体" w:cs="宋体"/>
          <w:color w:val="auto"/>
          <w:sz w:val="24"/>
          <w:highlight w:val="none"/>
        </w:rPr>
        <w:t xml:space="preserve">；</w:t>
      </w:r>
      <w:r>
        <w:rPr>
          <w:color w:val="auto"/>
          <w:highlight w:val="none"/>
        </w:rPr>
      </w:r>
      <w:r>
        <w:rPr>
          <w:color w:val="auto"/>
          <w:highlight w:val="none"/>
        </w:rPr>
      </w:r>
    </w:p>
    <w:p>
      <w:p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w:t>
      </w:r>
      <w:r>
        <w:rPr>
          <w:rFonts w:hint="eastAsia" w:ascii="宋体" w:hAnsi="宋体" w:cs="宋体"/>
          <w:bCs/>
          <w:color w:val="auto"/>
          <w:sz w:val="24"/>
          <w:highlight w:val="none"/>
        </w:rPr>
        <w:t xml:space="preserve">具有良好的商业信誉和健全的财务会计制度（提供</w:t>
      </w:r>
      <w:r>
        <w:rPr>
          <w:rFonts w:hint="eastAsia" w:ascii="宋体" w:hAnsi="宋体" w:cs="宋体"/>
          <w:bCs/>
          <w:color w:val="auto"/>
          <w:sz w:val="24"/>
          <w:highlight w:val="none"/>
        </w:rPr>
        <w:t xml:space="preserve">2024年度或2025年度</w:t>
      </w:r>
      <w:r>
        <w:rPr>
          <w:rFonts w:hint="eastAsia" w:ascii="宋体" w:hAnsi="宋体" w:cs="宋体"/>
          <w:bCs/>
          <w:color w:val="auto"/>
          <w:sz w:val="24"/>
          <w:highlight w:val="none"/>
        </w:rPr>
        <w:t xml:space="preserve">经审计的财务报告，或投标截止时间前六个月内任一月份企业编制的会计报表（至少包括资产负债表和利润表）</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或投标截止时间前六个月内银行出具的资信证明，</w:t>
      </w:r>
      <w:r>
        <w:rPr>
          <w:rFonts w:hint="eastAsia" w:ascii="宋体" w:hAnsi="宋体" w:cs="宋体"/>
          <w:color w:val="auto"/>
          <w:sz w:val="24"/>
          <w:highlight w:val="none"/>
        </w:rPr>
        <w:t xml:space="preserve">复印件加盖公章</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投标人为参加本次政府采购活动前半年内注册的公司，无须提供</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rPr>
          <w:color w:val="auto"/>
          <w:highlight w:val="none"/>
        </w:rPr>
      </w:r>
    </w:p>
    <w:p>
      <w:p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w:t>
      </w:r>
      <w:r>
        <w:rPr>
          <w:rFonts w:hint="eastAsia" w:ascii="宋体" w:hAnsi="宋体" w:cs="宋体"/>
          <w:color w:val="auto"/>
          <w:sz w:val="24"/>
          <w:highlight w:val="none"/>
        </w:rPr>
        <w:t xml:space="preserve">具</w:t>
      </w:r>
      <w:r>
        <w:rPr>
          <w:rFonts w:hint="eastAsia" w:ascii="宋体" w:hAnsi="宋体" w:cs="宋体"/>
          <w:bCs/>
          <w:color w:val="auto"/>
          <w:sz w:val="24"/>
          <w:highlight w:val="none"/>
        </w:rPr>
        <w:t xml:space="preserve">有依法缴纳税收和社会保障资金的良好记录（提供投标截止时间前六个月内任一月份依法缴纳税收和社会保障资金的凭据，</w:t>
      </w:r>
      <w:r>
        <w:rPr>
          <w:rFonts w:hint="eastAsia" w:ascii="宋体" w:hAnsi="宋体" w:cs="宋体"/>
          <w:color w:val="auto"/>
          <w:sz w:val="24"/>
          <w:highlight w:val="none"/>
        </w:rPr>
        <w:t xml:space="preserve">复印件加盖公章</w:t>
      </w:r>
      <w:r>
        <w:rPr>
          <w:rFonts w:hint="eastAsia" w:ascii="宋体" w:hAnsi="宋体" w:cs="宋体"/>
          <w:bCs/>
          <w:color w:val="auto"/>
          <w:sz w:val="24"/>
          <w:highlight w:val="none"/>
        </w:rPr>
        <w:t xml:space="preserve">）</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提供相关主管部门证明或银行代扣证明的复印件，根据国家相关政策免缴或迟缴的需提供相关证明材料</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rPr>
          <w:color w:val="auto"/>
          <w:highlight w:val="none"/>
        </w:rPr>
      </w:r>
    </w:p>
    <w:p>
      <w:pPr>
        <w:ind w:right="28" w:firstLine="480"/>
        <w:spacing w:line="360" w:lineRule="auto"/>
        <w:rPr>
          <w:rFonts w:hint="eastAsia"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（四）</w:t>
      </w:r>
      <w:r>
        <w:rPr>
          <w:rFonts w:hint="eastAsia" w:ascii="宋体" w:hAnsi="宋体" w:cs="宋体"/>
          <w:bCs/>
          <w:color w:val="auto"/>
          <w:sz w:val="24"/>
          <w:highlight w:val="none"/>
        </w:rPr>
        <w:t xml:space="preserve">具有履行合同所必需的设备和专业技术能力（提供</w:t>
      </w:r>
      <w:r>
        <w:rPr>
          <w:rFonts w:hint="eastAsia" w:ascii="宋体" w:hAnsi="宋体" w:cs="宋体"/>
          <w:color w:val="auto"/>
          <w:sz w:val="24"/>
          <w:highlight w:val="none"/>
        </w:rPr>
        <w:t xml:space="preserve">书面声明</w:t>
      </w:r>
      <w:r>
        <w:rPr>
          <w:rFonts w:hint="eastAsia" w:ascii="宋体" w:hAnsi="宋体" w:cs="宋体"/>
          <w:color w:val="auto"/>
          <w:sz w:val="24"/>
          <w:highlight w:val="none"/>
        </w:rPr>
        <w:t xml:space="preserve">加盖</w:t>
      </w:r>
      <w:r>
        <w:rPr>
          <w:rFonts w:hint="eastAsia" w:ascii="宋体" w:hAnsi="宋体" w:cs="宋体"/>
          <w:b/>
          <w:color w:val="auto"/>
          <w:sz w:val="24"/>
          <w:highlight w:val="none"/>
        </w:rPr>
        <w:t xml:space="preserve">电子签章</w:t>
      </w:r>
      <w:r>
        <w:rPr>
          <w:rFonts w:hint="eastAsia" w:ascii="宋体" w:hAnsi="宋体" w:cs="宋体"/>
          <w:bCs/>
          <w:color w:val="auto"/>
          <w:sz w:val="24"/>
          <w:highlight w:val="none"/>
        </w:rPr>
        <w:t xml:space="preserve">）</w:t>
      </w:r>
      <w:r>
        <w:rPr>
          <w:color w:val="auto"/>
          <w:highlight w:val="none"/>
        </w:rPr>
      </w:r>
      <w:r>
        <w:rPr>
          <w:color w:val="auto"/>
          <w:highlight w:val="none"/>
        </w:rPr>
      </w:r>
    </w:p>
    <w:p>
      <w:pPr>
        <w:jc w:val="center"/>
        <w:spacing w:line="460" w:lineRule="exact"/>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致：徐州市儿童医院</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主要设备有：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主要专业技术能力有：</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特此声明！</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ascii="宋体" w:hAnsi="宋体" w:cs="宋体"/>
          <w:bCs/>
          <w:color w:val="auto"/>
          <w:sz w:val="24"/>
          <w:highlight w:val="none"/>
        </w:rPr>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投标人名称：（加盖CA电子公章）</w:t>
      </w:r>
      <w:r>
        <w:rPr>
          <w:color w:val="auto"/>
          <w:highlight w:val="none"/>
        </w:rPr>
      </w:r>
      <w:r>
        <w:rPr>
          <w:color w:val="auto"/>
          <w:highlight w:val="none"/>
        </w:rPr>
      </w:r>
    </w:p>
    <w:p>
      <w:pPr>
        <w:ind w:firstLine="492"/>
        <w:spacing w:line="460" w:lineRule="exact"/>
        <w:rPr>
          <w:rFonts w:ascii="宋体" w:hAnsi="宋体" w:cs="宋体"/>
          <w:bCs/>
          <w:color w:val="auto"/>
          <w:sz w:val="24"/>
          <w:highlight w:val="none"/>
        </w:rPr>
      </w:pPr>
      <w:r>
        <w:rPr>
          <w:rFonts w:hint="eastAsia" w:ascii="宋体" w:hAnsi="宋体" w:cs="宋体"/>
          <w:bCs/>
          <w:color w:val="auto"/>
          <w:sz w:val="24"/>
          <w:highlight w:val="none"/>
        </w:rPr>
        <w:t xml:space="preserve">日期：2026年XX月XX日</w:t>
      </w:r>
      <w:r>
        <w:rPr>
          <w:color w:val="auto"/>
          <w:highlight w:val="none"/>
        </w:rPr>
      </w:r>
      <w:r>
        <w:rPr>
          <w:color w:val="auto"/>
          <w:highlight w:val="none"/>
        </w:rPr>
      </w:r>
    </w:p>
    <w:p>
      <w:pPr>
        <w:spacing w:line="460" w:lineRule="exac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                                     </w:t>
      </w:r>
      <w:r>
        <w:rPr>
          <w:color w:val="auto"/>
          <w:highlight w:val="none"/>
        </w:rPr>
      </w:r>
      <w:r>
        <w:rPr>
          <w:color w:val="auto"/>
          <w:highlight w:val="none"/>
        </w:rPr>
      </w:r>
    </w:p>
    <w:p>
      <w:pPr>
        <w:ind w:right="28" w:firstLine="480"/>
        <w:spacing w:line="360" w:lineRule="auto"/>
        <w:rPr>
          <w:rFonts w:ascii="宋体" w:hAnsi="宋体" w:cs="宋体"/>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Cs/>
          <w:color w:val="auto"/>
          <w:sz w:val="24"/>
          <w:highlight w:val="none"/>
        </w:rPr>
      </w:r>
      <w:r>
        <w:rPr>
          <w:color w:val="auto"/>
          <w:highlight w:val="none"/>
        </w:rPr>
      </w:r>
      <w:r>
        <w:rPr>
          <w:color w:val="auto"/>
          <w:highlight w:val="none"/>
        </w:rPr>
      </w:r>
    </w:p>
    <w:p>
      <w:pPr>
        <w:numPr>
          <w:ilvl w:val="0"/>
          <w:numId w:val="15"/>
        </w:numPr>
        <w:ind w:right="28"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参加政府采购活动前三年内，在经营活动中没有重大违法记录（提供</w:t>
      </w:r>
      <w:r>
        <w:rPr>
          <w:rFonts w:hint="eastAsia" w:ascii="宋体" w:hAnsi="宋体" w:cs="宋体"/>
          <w:color w:val="auto"/>
          <w:sz w:val="24"/>
          <w:highlight w:val="none"/>
        </w:rPr>
        <w:t xml:space="preserve">书面声明</w:t>
      </w:r>
      <w:r>
        <w:rPr>
          <w:rFonts w:hint="eastAsia" w:ascii="宋体" w:hAnsi="宋体" w:cs="宋体"/>
          <w:color w:val="auto"/>
          <w:sz w:val="24"/>
          <w:highlight w:val="none"/>
        </w:rPr>
        <w:t xml:space="preserve">加盖</w:t>
      </w:r>
      <w:r>
        <w:rPr>
          <w:rFonts w:hint="eastAsia" w:ascii="宋体" w:hAnsi="宋体" w:cs="宋体"/>
          <w:b/>
          <w:color w:val="auto"/>
          <w:sz w:val="24"/>
          <w:highlight w:val="none"/>
        </w:rPr>
        <w:t xml:space="preserve">电子签章</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w:t>
      </w:r>
      <w:r>
        <w:rPr>
          <w:color w:val="auto"/>
          <w:highlight w:val="none"/>
        </w:rPr>
      </w:r>
      <w:r>
        <w:rPr>
          <w:color w:val="auto"/>
          <w:highlight w:val="none"/>
        </w:rPr>
      </w:r>
    </w:p>
    <w:p>
      <w:pPr>
        <w:jc w:val="center"/>
        <w:spacing w:line="460" w:lineRule="exact"/>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声明</w:t>
      </w:r>
      <w:r>
        <w:rPr>
          <w:color w:val="auto"/>
          <w:highlight w:val="none"/>
        </w:rPr>
      </w:r>
      <w:r>
        <w:rPr>
          <w:color w:val="auto"/>
          <w:highlight w:val="none"/>
        </w:rPr>
      </w:r>
    </w:p>
    <w:p>
      <w:pPr>
        <w:ind w:right="28"/>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我单位在参加</w:t>
      </w:r>
      <w:r>
        <w:rPr>
          <w:rFonts w:hint="eastAsia" w:ascii="宋体" w:hAnsi="宋体" w:cs="宋体"/>
          <w:b/>
          <w:bCs/>
          <w:color w:val="auto"/>
          <w:sz w:val="24"/>
          <w:highlight w:val="none"/>
          <w:u w:val="single"/>
          <w:lang w:eastAsia="zh-CN"/>
        </w:rPr>
        <w:t xml:space="preserve">医用X射线摄影系统</w:t>
      </w:r>
      <w:r>
        <w:rPr>
          <w:rFonts w:hint="eastAsia" w:ascii="宋体" w:hAnsi="宋体" w:cs="宋体"/>
          <w:color w:val="auto"/>
          <w:sz w:val="24"/>
          <w:highlight w:val="none"/>
        </w:rPr>
        <w:t xml:space="preserve">项目（</w:t>
      </w:r>
      <w:r>
        <w:rPr>
          <w:rFonts w:hint="eastAsia" w:ascii="宋体" w:hAnsi="宋体" w:cs="宋体"/>
          <w:color w:val="auto"/>
          <w:sz w:val="24"/>
          <w:highlight w:val="none"/>
          <w:lang w:eastAsia="zh-CN"/>
        </w:rPr>
        <w:t xml:space="preserve">苏采云编号</w:t>
      </w:r>
      <w:r>
        <w:rPr>
          <w:rFonts w:hint="eastAsia" w:ascii="宋体" w:hAnsi="宋体" w:cs="宋体"/>
          <w:color w:val="auto"/>
          <w:sz w:val="24"/>
          <w:highlight w:val="none"/>
        </w:rPr>
        <w:t xml:space="preserve">：</w:t>
      </w:r>
      <w:r>
        <w:rPr>
          <w:rFonts w:hint="eastAsia" w:ascii="宋体" w:hAnsi="宋体" w:cs="宋体"/>
          <w:b/>
          <w:bCs/>
          <w:color w:val="auto"/>
          <w:sz w:val="24"/>
          <w:highlight w:val="none"/>
          <w:u w:val="single"/>
          <w:lang w:eastAsia="zh-CN"/>
        </w:rPr>
        <w:t xml:space="preserve">JSZC-320300-SHGK-G2026-0051</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lang w:eastAsia="zh-CN"/>
        </w:rPr>
        <w:t xml:space="preserve">编号</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1214-26410</w:t>
      </w:r>
      <w:r>
        <w:rPr>
          <w:rFonts w:hint="eastAsia" w:ascii="宋体" w:hAnsi="宋体" w:cs="宋体"/>
          <w:color w:val="auto"/>
          <w:sz w:val="24"/>
          <w:szCs w:val="24"/>
          <w:highlight w:val="none"/>
          <w:u w:val="single"/>
          <w:lang w:val="en-US" w:eastAsia="zh-CN"/>
        </w:rPr>
        <w:t xml:space="preserve">6271</w:t>
      </w:r>
      <w:r>
        <w:rPr>
          <w:rFonts w:hint="eastAsia" w:ascii="宋体" w:hAnsi="宋体" w:cs="宋体"/>
          <w:color w:val="auto"/>
          <w:sz w:val="24"/>
          <w:szCs w:val="24"/>
          <w:highlight w:val="none"/>
          <w:u w:val="single"/>
        </w:rPr>
        <w:t xml:space="preserve">WDX</w:t>
      </w:r>
      <w:r>
        <w:rPr>
          <w:rFonts w:hint="eastAsia" w:ascii="宋体" w:hAnsi="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rPr>
          <w:color w:val="auto"/>
          <w:highlight w:val="none"/>
        </w:rPr>
      </w:r>
      <w:r>
        <w:rPr>
          <w:color w:val="auto"/>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我单位对上述声明的真实性负责。如有虚假，将依法承担相应责任。</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color w:val="auto"/>
          <w:highlight w:val="none"/>
        </w:rPr>
      </w:r>
      <w:r>
        <w:rPr>
          <w:color w:val="auto"/>
          <w:highlight w:val="none"/>
        </w:rP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color w:val="auto"/>
          <w:highlight w:val="none"/>
        </w:rPr>
      </w:r>
      <w:r>
        <w:rPr>
          <w:color w:val="auto"/>
          <w:highlight w:val="none"/>
        </w:rPr>
      </w:r>
    </w:p>
    <w:p>
      <w:pPr>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rPr>
          <w:color w:val="auto"/>
          <w:highlight w:val="none"/>
        </w:rPr>
      </w:r>
      <w:r>
        <w:rPr>
          <w:color w:val="auto"/>
          <w:highlight w:val="none"/>
        </w:rPr>
      </w:r>
    </w:p>
    <w:p>
      <w:pPr>
        <w:ind w:firstLine="45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 </w:t>
      </w:r>
      <w:r>
        <w:rPr>
          <w:color w:val="auto"/>
          <w:highlight w:val="none"/>
        </w:rPr>
      </w:r>
      <w:r>
        <w:rPr>
          <w:color w:val="auto"/>
          <w:highlight w:val="none"/>
        </w:rPr>
      </w:r>
    </w:p>
    <w:p>
      <w:pPr>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rPr>
          <w:color w:val="auto"/>
          <w:highlight w:val="none"/>
        </w:rPr>
      </w:r>
    </w:p>
    <w:p>
      <w:pPr>
        <w:spacing w:line="360" w:lineRule="auto"/>
        <w:rPr>
          <w:rFonts w:ascii="宋体" w:hAnsi="宋体" w:cs="宋体"/>
          <w:bCs/>
          <w:color w:val="auto"/>
          <w:sz w:val="28"/>
          <w:szCs w:val="28"/>
          <w:highlight w:val="none"/>
        </w:rPr>
      </w:pPr>
      <w:r>
        <w:rPr>
          <w:rFonts w:ascii="宋体" w:hAnsi="宋体" w:cs="宋体"/>
          <w:bCs/>
          <w:color w:val="auto"/>
          <w:sz w:val="28"/>
          <w:szCs w:val="28"/>
          <w:highlight w:val="none"/>
        </w:rPr>
      </w:r>
      <w:r>
        <w:rPr>
          <w:color w:val="auto"/>
          <w:highlight w:val="none"/>
        </w:rPr>
      </w:r>
      <w:r>
        <w:rPr>
          <w:color w:val="auto"/>
          <w:highlight w:val="none"/>
        </w:rPr>
      </w:r>
    </w:p>
    <w:p>
      <w:pPr>
        <w:spacing w:line="360" w:lineRule="auto"/>
        <w:rPr>
          <w:rFonts w:ascii="宋体" w:hAnsi="宋体" w:cs="宋体"/>
          <w:bCs/>
          <w:color w:val="auto"/>
          <w:sz w:val="28"/>
          <w:szCs w:val="28"/>
          <w:highlight w:val="none"/>
        </w:rPr>
        <w:outlineLvl w:val="2"/>
      </w:pPr>
      <w:r>
        <w:rPr>
          <w:rFonts w:hint="eastAsia" w:ascii="宋体" w:hAnsi="宋体" w:cs="宋体"/>
          <w:bCs/>
          <w:color w:val="auto"/>
          <w:sz w:val="28"/>
          <w:szCs w:val="28"/>
          <w:highlight w:val="none"/>
        </w:rPr>
        <w:t xml:space="preserve">二、本项目的特定资格要求</w:t>
      </w:r>
      <w:r>
        <w:rPr>
          <w:color w:val="auto"/>
          <w:highlight w:val="none"/>
        </w:rPr>
      </w:r>
      <w:r>
        <w:rPr>
          <w:color w:val="auto"/>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（1）投标产品如果属于医疗设备注册范畴的；投标人须根据投标产品的类别，提供《医疗器械经营企业许可证》或者《医疗器械经营备案凭证》（复印件）；</w:t>
      </w:r>
      <w:r>
        <w:rPr>
          <w:color w:val="auto"/>
          <w:highlight w:val="none"/>
        </w:rPr>
      </w:r>
      <w:r>
        <w:rPr>
          <w:color w:val="auto"/>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（2）投标产品如果属于医疗设备注册范畴的；投标人须提供投标产品的《医疗器械注册证》（复印件）；</w:t>
      </w:r>
      <w:r>
        <w:rPr>
          <w:color w:val="auto"/>
          <w:highlight w:val="none"/>
        </w:rPr>
      </w:r>
      <w:r>
        <w:rPr>
          <w:color w:val="auto"/>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）若投标人是投标产品的制造商，必须具备《辐射安全许可证》（具体范围中必须包含可生产及销售本次所投标的产品）；</w:t>
      </w:r>
      <w:r>
        <w:rPr>
          <w:color w:val="auto"/>
          <w:highlight w:val="none"/>
        </w:rPr>
      </w:r>
      <w:r>
        <w:rPr>
          <w:color w:val="auto"/>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若投标人是投标产品的代理经销商，必须具备《辐射安全许可证》（具体范围中必须包含可销售本次投标的产品），还须提供投标产品制造商的《辐射安全许可证》（具体范围中必须包含可生产本次所投标的产品）</w:t>
      </w:r>
      <w:r>
        <w:rPr>
          <w:color w:val="auto"/>
          <w:highlight w:val="none"/>
        </w:rPr>
      </w:r>
      <w:r>
        <w:rPr>
          <w:color w:val="auto"/>
          <w:highlight w:val="none"/>
        </w:rPr>
      </w:r>
    </w:p>
    <w:p>
      <w:pPr>
        <w:ind w:firstLine="60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p>
      <w:pPr>
        <w:rPr>
          <w:color w:val="auto"/>
          <w:highlight w:val="none"/>
        </w:rPr>
      </w:pPr>
      <w:r>
        <w:rPr>
          <w:color w:val="auto"/>
          <w:highlight w:val="none"/>
        </w:rPr>
      </w:r>
      <w:r>
        <w:rPr>
          <w:color w:val="auto"/>
          <w:highlight w:val="none"/>
        </w:rPr>
      </w:r>
      <w:r>
        <w:rPr>
          <w:color w:val="auto"/>
          <w:highlight w:val="none"/>
        </w:rPr>
      </w:r>
    </w:p>
    <w:p>
      <w:pPr>
        <w:rPr>
          <w:color w:val="auto"/>
          <w:highlight w:val="none"/>
        </w:rPr>
      </w:pPr>
      <w:r>
        <w:rPr>
          <w:rFonts w:hint="eastAsia"/>
          <w:color w:val="auto"/>
          <w:highlight w:val="none"/>
        </w:rPr>
        <w:br w:type="page" w:clear="all"/>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服务方案（如有）</w:t>
      </w:r>
      <w:r>
        <w:rPr>
          <w:color w:val="auto"/>
          <w:highlight w:val="none"/>
        </w:rPr>
      </w:r>
      <w:r>
        <w:rPr>
          <w:color w:val="auto"/>
          <w:highlight w:val="none"/>
        </w:rPr>
      </w:r>
    </w:p>
    <w:p>
      <w:pPr>
        <w:spacing w:line="460" w:lineRule="exact"/>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投标人根据本项目的采购需求及评分标准的要求编制项目服务方案，格式自拟</w:t>
      </w:r>
      <w:r>
        <w:rPr>
          <w:color w:val="auto"/>
          <w:highlight w:val="none"/>
        </w:rPr>
      </w:r>
      <w:r>
        <w:rPr>
          <w:color w:val="auto"/>
          <w:highlight w:val="none"/>
        </w:rPr>
      </w:r>
    </w:p>
    <w:p>
      <w:pPr>
        <w:rPr>
          <w:color w:val="auto"/>
          <w:highlight w:val="none"/>
        </w:rPr>
      </w:pPr>
      <w:r>
        <w:rPr>
          <w:color w:val="auto"/>
          <w:highlight w:val="none"/>
        </w:rPr>
      </w:r>
      <w:r>
        <w:rPr>
          <w:color w:val="auto"/>
          <w:highlight w:val="none"/>
        </w:rPr>
      </w:r>
      <w:r>
        <w:rPr>
          <w:color w:val="auto"/>
          <w:highlight w:val="none"/>
        </w:rP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rPr>
          <w:color w:val="auto"/>
          <w:highlight w:val="none"/>
        </w:rPr>
      </w:r>
      <w:r>
        <w:rPr>
          <w:color w:val="auto"/>
          <w:highlight w:val="none"/>
        </w:rP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8"/>
          <w:szCs w:val="28"/>
          <w:highlight w:val="none"/>
        </w:rPr>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业绩情况表（如有）</w:t>
      </w:r>
      <w:r>
        <w:rPr>
          <w:color w:val="auto"/>
          <w:highlight w:val="none"/>
        </w:rPr>
      </w:r>
      <w:r>
        <w:rPr>
          <w:color w:val="auto"/>
          <w:highlight w:val="none"/>
        </w:rPr>
      </w:r>
    </w:p>
    <w:tbl>
      <w:tblPr>
        <w:tblStyle w:val="907"/>
        <w:tblW w:w="0" w:type="auto"/>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408"/>
        <w:gridCol w:w="1498"/>
        <w:gridCol w:w="727"/>
        <w:gridCol w:w="1354"/>
        <w:gridCol w:w="1613"/>
        <w:gridCol w:w="1261"/>
      </w:tblGrid>
      <w:tr>
        <w:trPr>
          <w:trHeight w:val="567"/>
        </w:trPr>
        <w:tc>
          <w:tcPr>
            <w:tcW w:w="7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color w:val="auto"/>
                <w:highlight w:val="none"/>
              </w:rPr>
            </w:r>
            <w:r>
              <w:rPr>
                <w:color w:val="auto"/>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货物名称</w:t>
            </w:r>
            <w:r>
              <w:rPr>
                <w:color w:val="auto"/>
                <w:highlight w:val="none"/>
              </w:rPr>
            </w:r>
            <w:r>
              <w:rPr>
                <w:color w:val="auto"/>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规格型号</w:t>
            </w:r>
            <w:r>
              <w:rPr>
                <w:color w:val="auto"/>
                <w:highlight w:val="none"/>
              </w:rPr>
            </w:r>
            <w:r>
              <w:rPr>
                <w:color w:val="auto"/>
                <w:highlight w:val="none"/>
              </w:rPr>
            </w:r>
          </w:p>
        </w:tc>
        <w:tc>
          <w:tcPr>
            <w:tcW w:w="73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数量</w:t>
            </w:r>
            <w:r>
              <w:rPr>
                <w:color w:val="auto"/>
                <w:highlight w:val="none"/>
              </w:rPr>
            </w:r>
            <w:r>
              <w:rPr>
                <w:color w:val="auto"/>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采购人</w:t>
            </w:r>
            <w:r>
              <w:rPr>
                <w:color w:val="auto"/>
                <w:highlight w:val="none"/>
              </w:rPr>
            </w:r>
            <w:r>
              <w:rPr>
                <w:color w:val="auto"/>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联系人/电话</w:t>
            </w:r>
            <w:r>
              <w:rPr>
                <w:color w:val="auto"/>
                <w:highlight w:val="none"/>
              </w:rPr>
            </w:r>
            <w:r>
              <w:rPr>
                <w:color w:val="auto"/>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签订日期</w:t>
            </w:r>
            <w:r>
              <w:rPr>
                <w:color w:val="auto"/>
                <w:highlight w:val="none"/>
              </w:rPr>
            </w:r>
            <w:r>
              <w:rPr>
                <w:color w:val="auto"/>
                <w:highlight w:val="none"/>
              </w:rPr>
            </w:r>
          </w:p>
        </w:tc>
      </w:tr>
      <w:tr>
        <w:trPr>
          <w:trHeight w:val="567"/>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trHeight w:val="567"/>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trHeight w:val="574"/>
        </w:trPr>
        <w:tc>
          <w:tcPr>
            <w:tcW w:w="75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44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54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73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39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6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c>
          <w:tcPr>
            <w:tcW w:w="129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bl>
    <w:p>
      <w:pPr>
        <w:rPr>
          <w:rFonts w:ascii="宋体" w:hAnsi="宋体" w:cs="宋体"/>
          <w:color w:val="auto"/>
          <w:sz w:val="24"/>
          <w:highlight w:val="none"/>
        </w:rPr>
      </w:pPr>
      <w:r>
        <w:rPr>
          <w:rFonts w:hint="eastAsia" w:ascii="宋体" w:hAnsi="宋体" w:cs="宋体"/>
          <w:color w:val="auto"/>
          <w:sz w:val="24"/>
          <w:highlight w:val="none"/>
        </w:rPr>
        <w:t xml:space="preserve">注：</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1.投标人须提供上述业绩合同复印件及评分标准中其他资料；</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2.所有合同复印件应清晰，应能体现合同签订时间、双方签名盖章等内容；</w:t>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t xml:space="preserve">3.投标人应在不涉及商业秘密的前提下尽可能提供详细的合同复印件内容。</w:t>
      </w:r>
      <w:r>
        <w:rPr>
          <w:color w:val="auto"/>
          <w:highlight w:val="none"/>
        </w:rPr>
      </w:r>
      <w:r>
        <w:rPr>
          <w:color w:val="auto"/>
          <w:highlight w:val="none"/>
        </w:rPr>
      </w:r>
    </w:p>
    <w:p>
      <w:pPr>
        <w:spacing w:before="100" w:after="100" w:line="479" w:lineRule="atLeast"/>
        <w:rPr>
          <w:rFonts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b/>
          <w:bCs/>
          <w:color w:val="auto"/>
          <w:sz w:val="28"/>
          <w:szCs w:val="28"/>
          <w:highlight w:val="none"/>
        </w:rPr>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价格扣除证明文件</w:t>
      </w:r>
      <w:r>
        <w:rPr>
          <w:color w:val="auto"/>
          <w:highlight w:val="none"/>
        </w:rPr>
      </w:r>
      <w:r>
        <w:rPr>
          <w:color w:val="auto"/>
          <w:highlight w:val="none"/>
        </w:rP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（1）中小企业声明函格式</w:t>
      </w:r>
      <w:r>
        <w:rPr>
          <w:color w:val="auto"/>
          <w:highlight w:val="none"/>
        </w:rPr>
      </w:r>
      <w:r>
        <w:rPr>
          <w:color w:val="auto"/>
          <w:highlight w:val="none"/>
        </w:rPr>
      </w:r>
    </w:p>
    <w:p>
      <w:pPr>
        <w:spacing w:before="100" w:after="100"/>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lang w:eastAsia="zh-CN"/>
        </w:rPr>
        <w:t xml:space="preserve">苏采云编号</w:t>
      </w:r>
      <w:r>
        <w:rPr>
          <w:rFonts w:hint="eastAsia" w:ascii="宋体" w:hAnsi="宋体" w:cs="宋体"/>
          <w:color w:val="auto"/>
          <w:sz w:val="28"/>
          <w:szCs w:val="28"/>
          <w:highlight w:val="none"/>
        </w:rPr>
        <w:t xml:space="preserve">：</w:t>
      </w:r>
      <w:r>
        <w:rPr>
          <w:color w:val="auto"/>
          <w:highlight w:val="none"/>
        </w:rPr>
      </w:r>
      <w:r>
        <w:rPr>
          <w:color w:val="auto"/>
          <w:highlight w:val="none"/>
        </w:rPr>
      </w:r>
    </w:p>
    <w:p>
      <w:pP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：1214-26410</w:t>
      </w:r>
      <w:r>
        <w:rPr>
          <w:rFonts w:hint="eastAsia" w:ascii="宋体" w:hAnsi="宋体" w:cs="宋体"/>
          <w:color w:val="auto"/>
          <w:sz w:val="30"/>
          <w:szCs w:val="30"/>
          <w:highlight w:val="none"/>
          <w:lang w:val="en-US" w:eastAsia="zh-CN"/>
        </w:rPr>
        <w:t xml:space="preserve">6271</w:t>
      </w:r>
      <w:r>
        <w:rPr>
          <w:rFonts w:hint="eastAsia" w:ascii="宋体" w:hAnsi="宋体" w:cs="宋体"/>
          <w:color w:val="auto"/>
          <w:sz w:val="30"/>
          <w:szCs w:val="30"/>
          <w:highlight w:val="none"/>
        </w:rPr>
        <w:t xml:space="preserve">WDX</w:t>
      </w:r>
      <w:r>
        <w:rPr>
          <w:color w:val="auto"/>
          <w:highlight w:val="none"/>
        </w:rPr>
      </w:r>
      <w:r>
        <w:rPr>
          <w:color w:val="auto"/>
          <w:highlight w:val="none"/>
        </w:rPr>
      </w:r>
    </w:p>
    <w:p>
      <w:pP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项目名称：</w:t>
      </w:r>
      <w:r>
        <w:rPr>
          <w:color w:val="auto"/>
          <w:highlight w:val="none"/>
        </w:rPr>
      </w:r>
      <w:r>
        <w:rPr>
          <w:color w:val="auto"/>
          <w:highlight w:val="none"/>
        </w:rPr>
      </w:r>
    </w:p>
    <w:p>
      <w:pPr>
        <w:ind w:firstLine="480"/>
        <w:rPr>
          <w:rFonts w:ascii="宋体" w:hAnsi="宋体" w:cs="宋体"/>
          <w:color w:val="auto"/>
          <w:sz w:val="28"/>
          <w:szCs w:val="28"/>
          <w:highlight w:val="none"/>
        </w:rPr>
      </w:pPr>
      <w:r>
        <w:rPr>
          <w:rFonts w:hint="eastAsia" w:ascii="宋体" w:hAnsi="宋体" w:cs="宋体"/>
          <w:color w:val="auto"/>
          <w:sz w:val="28"/>
          <w:szCs w:val="28"/>
          <w:highlight w:val="none"/>
        </w:rPr>
        <w:t xml:space="preserve">本公司郑重声明，根据《政府采购促进中小企业发展管理办法》（财库[2020]46号）的规定，本公司参加（</w:t>
      </w:r>
      <w:r>
        <w:rPr>
          <w:rFonts w:hint="eastAsia" w:ascii="宋体" w:hAnsi="宋体" w:cs="宋体"/>
          <w:color w:val="auto"/>
          <w:sz w:val="28"/>
          <w:szCs w:val="28"/>
          <w:highlight w:val="none"/>
          <w:u w:val="single"/>
        </w:rPr>
        <w:t xml:space="preserve">徐州市儿童医院</w:t>
      </w:r>
      <w:r>
        <w:rPr>
          <w:rFonts w:hint="eastAsia" w:ascii="宋体" w:hAnsi="宋体" w:cs="宋体"/>
          <w:color w:val="auto"/>
          <w:sz w:val="28"/>
          <w:szCs w:val="28"/>
          <w:highlight w:val="none"/>
        </w:rPr>
        <w:t xml:space="preserve">）的（</w:t>
      </w:r>
      <w:r>
        <w:rPr>
          <w:rFonts w:hint="eastAsia" w:ascii="宋体" w:hAnsi="宋体" w:cs="宋体"/>
          <w:color w:val="auto"/>
          <w:sz w:val="28"/>
          <w:szCs w:val="28"/>
          <w:highlight w:val="none"/>
          <w:u w:val="single"/>
          <w:lang w:eastAsia="zh-CN"/>
        </w:rPr>
        <w:t xml:space="preserve">医用X射线摄影系统</w:t>
      </w:r>
      <w:r>
        <w:rPr>
          <w:rFonts w:hint="eastAsia" w:ascii="宋体" w:hAnsi="宋体" w:cs="宋体"/>
          <w:color w:val="auto"/>
          <w:sz w:val="28"/>
          <w:szCs w:val="28"/>
          <w:highlight w:val="none"/>
        </w:rPr>
        <w:t xml:space="preserve">）采购活动，提供的货物全部由符合政策要求的中小企业制造。相关企业的具体情况如下：</w:t>
      </w:r>
      <w:r>
        <w:rPr>
          <w:color w:val="auto"/>
          <w:highlight w:val="none"/>
        </w:rPr>
      </w:r>
      <w:r>
        <w:rPr>
          <w:color w:val="auto"/>
          <w:highlight w:val="none"/>
        </w:rP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u w:val="single"/>
          <w:lang w:eastAsia="zh-CN"/>
        </w:rPr>
        <w:t xml:space="preserve">医用X射线摄影系统</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请填写或勾选！</w:t>
      </w:r>
      <w:r>
        <w:rPr>
          <w:rFonts w:hint="eastAsia" w:ascii="宋体" w:hAnsi="宋体" w:cs="宋体"/>
          <w:color w:val="auto"/>
          <w:sz w:val="28"/>
          <w:szCs w:val="28"/>
          <w:highlight w:val="none"/>
        </w:rPr>
        <w:t xml:space="preserve">）；</w:t>
      </w:r>
      <w:r>
        <w:rPr>
          <w:color w:val="auto"/>
          <w:highlight w:val="none"/>
        </w:rPr>
      </w:r>
      <w:r>
        <w:rPr>
          <w:color w:val="auto"/>
          <w:highlight w:val="none"/>
        </w:rP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请填写或勾选！</w:t>
      </w:r>
      <w:r>
        <w:rPr>
          <w:rFonts w:hint="eastAsia" w:ascii="宋体" w:hAnsi="宋体" w:cs="宋体"/>
          <w:color w:val="auto"/>
          <w:sz w:val="28"/>
          <w:szCs w:val="28"/>
          <w:highlight w:val="none"/>
        </w:rPr>
        <w:t xml:space="preserve">）；</w:t>
      </w:r>
      <w:r>
        <w:rPr>
          <w:color w:val="auto"/>
          <w:highlight w:val="none"/>
        </w:rPr>
      </w:r>
      <w:r>
        <w:rPr>
          <w:color w:val="auto"/>
          <w:highlight w:val="none"/>
        </w:rP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u w:val="single"/>
        </w:rPr>
        <w:t xml:space="preserve">标的名称</w:t>
      </w:r>
      <w:r>
        <w:rPr>
          <w:rFonts w:hint="eastAsia" w:ascii="宋体" w:hAnsi="宋体" w:cs="宋体"/>
          <w:color w:val="auto"/>
          <w:sz w:val="28"/>
          <w:szCs w:val="28"/>
          <w:highlight w:val="none"/>
        </w:rPr>
        <w:t xml:space="preserve">），属于（</w:t>
      </w:r>
      <w:r>
        <w:rPr>
          <w:rFonts w:hint="eastAsia" w:ascii="宋体" w:hAnsi="宋体" w:cs="宋体"/>
          <w:color w:val="auto"/>
          <w:sz w:val="28"/>
          <w:szCs w:val="28"/>
          <w:highlight w:val="none"/>
          <w:u w:val="single"/>
        </w:rPr>
        <w:t xml:space="preserve">工业</w:t>
      </w:r>
      <w:r>
        <w:rPr>
          <w:rFonts w:hint="eastAsia" w:ascii="宋体" w:hAnsi="宋体" w:cs="宋体"/>
          <w:color w:val="auto"/>
          <w:sz w:val="28"/>
          <w:szCs w:val="28"/>
          <w:highlight w:val="none"/>
        </w:rPr>
        <w:t xml:space="preserve">）行业；制造商为（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）（企业名称），从业人员（</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）人，营业收入为（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万元），资产总额为（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万元），属于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（□中型企业、□小型企业、□微型企业，</w:t>
      </w:r>
      <w:r>
        <w:rPr>
          <w:rFonts w:hint="eastAsia" w:ascii="宋体" w:hAnsi="宋体" w:cs="宋体"/>
          <w:color w:val="auto"/>
          <w:sz w:val="28"/>
          <w:szCs w:val="28"/>
          <w:highlight w:val="none"/>
        </w:rPr>
        <w:t xml:space="preserve">请填写或勾选！</w:t>
      </w:r>
      <w:r>
        <w:rPr>
          <w:rFonts w:hint="eastAsia" w:ascii="宋体" w:hAnsi="宋体" w:cs="宋体"/>
          <w:color w:val="auto"/>
          <w:sz w:val="28"/>
          <w:szCs w:val="28"/>
          <w:highlight w:val="none"/>
        </w:rPr>
        <w:t xml:space="preserve">）；</w:t>
      </w:r>
      <w:r>
        <w:rPr>
          <w:color w:val="auto"/>
          <w:highlight w:val="none"/>
        </w:rPr>
      </w:r>
      <w:r>
        <w:rPr>
          <w:color w:val="auto"/>
          <w:highlight w:val="none"/>
        </w:rP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w:t>
      </w:r>
      <w:r>
        <w:rPr>
          <w:color w:val="auto"/>
          <w:highlight w:val="none"/>
        </w:rPr>
      </w:r>
      <w:r>
        <w:rPr>
          <w:color w:val="auto"/>
          <w:highlight w:val="none"/>
        </w:rPr>
      </w:r>
    </w:p>
    <w:p>
      <w:pPr>
        <w:pStyle w:val="965"/>
        <w:ind w:left="0"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以上企业，不属于大企业的分支机构，不存在控股股东为大企业的情形，也不存在与大企业的负责人为同一人的情形。</w:t>
      </w:r>
      <w:r>
        <w:rPr>
          <w:color w:val="auto"/>
          <w:highlight w:val="none"/>
        </w:rPr>
      </w:r>
      <w:r>
        <w:rPr>
          <w:color w:val="auto"/>
          <w:highlight w:val="none"/>
        </w:rPr>
      </w:r>
    </w:p>
    <w:p>
      <w:pPr>
        <w:ind w:firstLine="560"/>
        <w:rPr>
          <w:rFonts w:ascii="宋体" w:hAnsi="宋体" w:cs="宋体"/>
          <w:color w:val="auto"/>
          <w:sz w:val="28"/>
          <w:szCs w:val="28"/>
          <w:highlight w:val="none"/>
        </w:rPr>
      </w:pPr>
      <w:r>
        <w:rPr>
          <w:rFonts w:hint="eastAsia" w:ascii="宋体" w:hAnsi="宋体" w:cs="宋体"/>
          <w:color w:val="auto"/>
          <w:sz w:val="28"/>
          <w:szCs w:val="28"/>
          <w:highlight w:val="none"/>
        </w:rPr>
        <w:t xml:space="preserve">本企业对上述声明内容的真实性负责。如有虚假，将依法承担相应责任。</w:t>
      </w:r>
      <w:r>
        <w:rPr>
          <w:color w:val="auto"/>
          <w:highlight w:val="none"/>
        </w:rPr>
      </w:r>
      <w:r>
        <w:rPr>
          <w:color w:val="auto"/>
          <w:highlight w:val="none"/>
        </w:rPr>
      </w:r>
    </w:p>
    <w:p>
      <w:pPr>
        <w:pStyle w:val="965"/>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rPr>
          <w:color w:val="auto"/>
          <w:highlight w:val="none"/>
        </w:rPr>
      </w:r>
    </w:p>
    <w:p>
      <w:pPr>
        <w:pStyle w:val="965"/>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企业名称（电子签章）：</w:t>
      </w:r>
      <w:r>
        <w:rPr>
          <w:color w:val="auto"/>
          <w:highlight w:val="none"/>
        </w:rPr>
      </w:r>
      <w:r>
        <w:rPr>
          <w:color w:val="auto"/>
          <w:highlight w:val="none"/>
        </w:rPr>
      </w:r>
    </w:p>
    <w:p>
      <w:pPr>
        <w:pStyle w:val="965"/>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日期：  年  月  日</w:t>
      </w:r>
      <w:r>
        <w:rPr>
          <w:color w:val="auto"/>
          <w:highlight w:val="none"/>
        </w:rPr>
      </w:r>
      <w:r>
        <w:rPr>
          <w:color w:val="auto"/>
          <w:highlight w:val="none"/>
        </w:rPr>
      </w:r>
    </w:p>
    <w:p>
      <w:pPr>
        <w:pStyle w:val="965"/>
        <w:ind w:left="0"/>
        <w:jc w:val="left"/>
        <w:spacing w:after="0"/>
        <w:rPr>
          <w:rFonts w:ascii="宋体" w:hAnsi="宋体" w:cs="宋体"/>
          <w:b/>
          <w:bCs/>
          <w:color w:val="auto"/>
          <w:sz w:val="28"/>
          <w:szCs w:val="28"/>
          <w:highlight w:val="none"/>
        </w:rPr>
      </w:pPr>
      <w:r>
        <w:rPr>
          <w:rFonts w:ascii="宋体" w:hAnsi="宋体" w:cs="宋体"/>
          <w:b/>
          <w:bCs/>
          <w:color w:val="auto"/>
          <w:sz w:val="28"/>
          <w:szCs w:val="28"/>
          <w:highlight w:val="none"/>
        </w:rPr>
      </w:r>
      <w:r>
        <w:rPr>
          <w:color w:val="auto"/>
          <w:highlight w:val="none"/>
        </w:rPr>
      </w:r>
      <w:r>
        <w:rPr>
          <w:color w:val="auto"/>
          <w:highlight w:val="none"/>
        </w:rPr>
      </w:r>
    </w:p>
    <w:p>
      <w:pPr>
        <w:pStyle w:val="965"/>
        <w:ind w:left="0"/>
        <w:jc w:val="left"/>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说明：</w:t>
      </w:r>
      <w:r>
        <w:rPr>
          <w:color w:val="auto"/>
          <w:highlight w:val="none"/>
        </w:rPr>
      </w:r>
      <w:r>
        <w:rPr>
          <w:color w:val="auto"/>
          <w:highlight w:val="none"/>
        </w:rP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color w:val="auto"/>
          <w:highlight w:val="none"/>
        </w:rPr>
      </w:r>
      <w:r>
        <w:rPr>
          <w:color w:val="auto"/>
          <w:highlight w:val="none"/>
        </w:rP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2、从业人员、营业收入、资产总额填报供应商上一年度数据，无上一年度数据的新成立企业可不填报。</w:t>
      </w:r>
      <w:r>
        <w:rPr>
          <w:color w:val="auto"/>
          <w:highlight w:val="none"/>
        </w:rPr>
      </w:r>
      <w:r>
        <w:rPr>
          <w:color w:val="auto"/>
          <w:highlight w:val="none"/>
        </w:rP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3、中标、成交供应商为小型、微型企业的，采购人或者其委托的采购代理机构有权随中标、成交结果同时公告其《中小企业声明函》，接受社会监督。</w:t>
      </w:r>
      <w:r>
        <w:rPr>
          <w:color w:val="auto"/>
          <w:highlight w:val="none"/>
        </w:rPr>
      </w:r>
      <w:r>
        <w:rPr>
          <w:color w:val="auto"/>
          <w:highlight w:val="none"/>
        </w:rP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rPr>
          <w:color w:val="auto"/>
          <w:highlight w:val="none"/>
        </w:rPr>
      </w:r>
      <w:r>
        <w:rPr>
          <w:color w:val="auto"/>
          <w:highlight w:val="none"/>
        </w:rPr>
      </w:r>
    </w:p>
    <w:p>
      <w:pPr>
        <w:pStyle w:val="965"/>
        <w:ind w:left="0"/>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5、供应商提供的《中小企业声明函》与事实不符的，依照《中华人民共和国政府采购法》第七十七条第一款的规定追究法律责任。</w:t>
      </w:r>
      <w:r>
        <w:rPr>
          <w:color w:val="auto"/>
          <w:highlight w:val="none"/>
        </w:rPr>
      </w:r>
      <w:r>
        <w:rPr>
          <w:color w:val="auto"/>
          <w:highlight w:val="none"/>
        </w:rPr>
      </w:r>
    </w:p>
    <w:p>
      <w:pPr>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rPr>
          <w:color w:val="auto"/>
          <w:highlight w:val="none"/>
        </w:rPr>
      </w:r>
      <w:r>
        <w:rPr>
          <w:color w:val="auto"/>
          <w:highlight w:val="none"/>
        </w:rPr>
      </w:r>
    </w:p>
    <w:p>
      <w:pPr>
        <w:pStyle w:val="958"/>
        <w:jc w:val="center"/>
        <w:rPr>
          <w:rFonts w:ascii="宋体" w:hAnsi="宋体" w:cs="宋体"/>
          <w:color w:val="auto"/>
          <w:sz w:val="24"/>
          <w:highlight w:val="none"/>
        </w:rPr>
      </w:pP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693035" cy="3864610"/>
                <wp:effectExtent l="0" t="0" r="2540" b="2540"/>
                <wp:docPr id="7"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9"/>
                        <a:stretch/>
                      </pic:blipFill>
                      <pic:spPr bwMode="auto">
                        <a:xfrm>
                          <a:off x="0" y="0"/>
                          <a:ext cx="2693035" cy="3864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2.0pt;height:304.3pt;mso-wrap-distance-left:0.0pt;mso-wrap-distance-top:0.0pt;mso-wrap-distance-right:0.0pt;mso-wrap-distance-bottom:0.0pt;" stroked="f">
                <v:path textboxrect="0,0,0,0"/>
                <v:imagedata r:id="rId19" o:title=""/>
              </v:shape>
            </w:pict>
          </mc:Fallback>
        </mc:AlternateContent>
      </w:r>
      <w:r>
        <w:rPr>
          <w:color w:val="auto"/>
          <w:highlight w:val="none"/>
        </w:rPr>
      </w:r>
      <w:r>
        <w:rPr>
          <w:color w:val="auto"/>
          <w:highlight w:val="none"/>
        </w:rP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color w:val="auto"/>
          <w:highlight w:val="none"/>
        </w:rP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（2）残疾人福利性单位声明函格式</w:t>
      </w:r>
      <w:r>
        <w:rPr>
          <w:color w:val="auto"/>
          <w:highlight w:val="none"/>
        </w:rPr>
      </w:r>
      <w:r>
        <w:rPr>
          <w:color w:val="auto"/>
          <w:highlight w:val="none"/>
        </w:rPr>
      </w:r>
    </w:p>
    <w:p>
      <w:pPr>
        <w:spacing w:line="479" w:lineRule="atLeast"/>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rPr>
          <w:color w:val="auto"/>
          <w:highlight w:val="none"/>
        </w:rPr>
      </w:r>
      <w:r>
        <w:rPr>
          <w:color w:val="auto"/>
          <w:highlight w:val="none"/>
        </w:rPr>
      </w:r>
    </w:p>
    <w:p>
      <w:pPr>
        <w:spacing w:line="360" w:lineRule="auto"/>
        <w:rPr>
          <w:rFonts w:hint="eastAsia"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lang w:eastAsia="zh-CN"/>
        </w:rPr>
        <w:t xml:space="preserve">苏采云编号</w:t>
      </w:r>
      <w:r>
        <w:rPr>
          <w:rFonts w:hint="eastAsia" w:ascii="宋体" w:hAnsi="宋体" w:cs="宋体"/>
          <w:color w:val="auto"/>
          <w:spacing w:val="6"/>
          <w:sz w:val="28"/>
          <w:szCs w:val="28"/>
          <w:highlight w:val="none"/>
        </w:rPr>
        <w:t xml:space="preserve">：</w:t>
      </w:r>
      <w:r>
        <w:rPr>
          <w:color w:val="auto"/>
          <w:highlight w:val="none"/>
        </w:rPr>
      </w:r>
      <w:r>
        <w:rPr>
          <w:color w:val="auto"/>
          <w:highlight w:val="none"/>
        </w:rPr>
      </w:r>
    </w:p>
    <w:p>
      <w:pPr>
        <w:spacing w:line="360" w:lineRule="auto"/>
        <w:rPr>
          <w:color w:val="auto"/>
          <w:highlight w:val="none"/>
        </w:rPr>
      </w:pPr>
      <w:r>
        <w:rPr>
          <w:rFonts w:hint="eastAsia" w:ascii="宋体" w:hAnsi="宋体" w:cs="宋体"/>
          <w:color w:val="auto"/>
          <w:sz w:val="30"/>
          <w:szCs w:val="30"/>
          <w:highlight w:val="none"/>
          <w:lang w:val="en-US" w:eastAsia="zh-CN"/>
        </w:rPr>
        <w:t xml:space="preserve">项目</w:t>
      </w:r>
      <w:r>
        <w:rPr>
          <w:rFonts w:hint="eastAsia" w:ascii="宋体" w:hAnsi="宋体" w:cs="宋体"/>
          <w:color w:val="auto"/>
          <w:sz w:val="30"/>
          <w:szCs w:val="30"/>
          <w:highlight w:val="none"/>
          <w:lang w:eastAsia="zh-CN"/>
        </w:rPr>
        <w:t xml:space="preserve">编号</w:t>
      </w:r>
      <w:r>
        <w:rPr>
          <w:rFonts w:hint="eastAsia" w:ascii="宋体" w:hAnsi="宋体" w:cs="宋体"/>
          <w:color w:val="auto"/>
          <w:sz w:val="30"/>
          <w:szCs w:val="30"/>
          <w:highlight w:val="none"/>
        </w:rPr>
        <w:t xml:space="preserve">：1214-26410</w:t>
      </w:r>
      <w:r>
        <w:rPr>
          <w:rFonts w:hint="eastAsia" w:ascii="宋体" w:hAnsi="宋体" w:cs="宋体"/>
          <w:color w:val="auto"/>
          <w:sz w:val="30"/>
          <w:szCs w:val="30"/>
          <w:highlight w:val="none"/>
          <w:lang w:val="en-US" w:eastAsia="zh-CN"/>
        </w:rPr>
        <w:t xml:space="preserve">6271</w:t>
      </w:r>
      <w:r>
        <w:rPr>
          <w:rFonts w:hint="eastAsia" w:ascii="宋体" w:hAnsi="宋体" w:cs="宋体"/>
          <w:color w:val="auto"/>
          <w:sz w:val="30"/>
          <w:szCs w:val="30"/>
          <w:highlight w:val="none"/>
        </w:rPr>
        <w:t xml:space="preserve">WDX</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项目名称：</w:t>
      </w:r>
      <w:r>
        <w:rPr>
          <w:color w:val="auto"/>
          <w:highlight w:val="none"/>
        </w:rPr>
      </w:r>
      <w:r>
        <w:rPr>
          <w:color w:val="auto"/>
          <w:highlight w:val="none"/>
        </w:rPr>
      </w:r>
    </w:p>
    <w:p>
      <w:pPr>
        <w:ind w:firstLine="624"/>
        <w:spacing w:line="360" w:lineRule="auto"/>
        <w:rPr>
          <w:rFonts w:ascii="宋体" w:hAnsi="宋体" w:cs="宋体"/>
          <w:color w:val="auto"/>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pacing w:val="6"/>
          <w:sz w:val="28"/>
          <w:szCs w:val="28"/>
          <w:highlight w:val="none"/>
        </w:rPr>
      </w:r>
      <w:r>
        <w:rPr>
          <w:color w:val="auto"/>
          <w:highlight w:val="none"/>
        </w:rPr>
      </w:r>
      <w:r>
        <w:rPr>
          <w:color w:val="auto"/>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本单位郑重声明，根据《财政部 民政部 中国残疾人联合会关于促进残疾人就业政府采购政策的通知》（财库</w:t>
      </w:r>
      <w:r>
        <w:rPr>
          <w:rFonts w:hint="eastAsia" w:ascii="宋体" w:hAnsi="宋体" w:cs="宋体"/>
          <w:color w:val="auto"/>
          <w:sz w:val="28"/>
          <w:szCs w:val="28"/>
          <w:highlight w:val="none"/>
        </w:rPr>
        <w:t xml:space="preserve">〔2017〕 141</w:t>
      </w:r>
      <w:r>
        <w:rPr>
          <w:rFonts w:hint="eastAsia" w:ascii="宋体" w:hAnsi="宋体" w:cs="宋体"/>
          <w:color w:val="auto"/>
          <w:spacing w:val="6"/>
          <w:sz w:val="28"/>
          <w:szCs w:val="28"/>
          <w:highlight w:val="none"/>
        </w:rPr>
        <w:t xml:space="preserve">号）的规定，本单位为符合条件的残疾人福利性单位，且本单位参加</w:t>
      </w:r>
      <w:r>
        <w:rPr>
          <w:rFonts w:hint="eastAsia" w:ascii="宋体" w:hAnsi="宋体" w:cs="宋体"/>
          <w:color w:val="auto"/>
          <w:sz w:val="28"/>
          <w:szCs w:val="28"/>
          <w:highlight w:val="none"/>
          <w:u w:val="single"/>
        </w:rPr>
        <w:t xml:space="preserve">    </w:t>
      </w:r>
      <w:r>
        <w:rPr>
          <w:rFonts w:hint="eastAsia" w:ascii="宋体" w:hAnsi="宋体" w:cs="宋体"/>
          <w:color w:val="auto"/>
          <w:spacing w:val="6"/>
          <w:sz w:val="28"/>
          <w:szCs w:val="28"/>
          <w:highlight w:val="none"/>
        </w:rPr>
        <w:t xml:space="preserve">单位的</w:t>
      </w:r>
      <w:r>
        <w:rPr>
          <w:rFonts w:hint="eastAsia" w:ascii="宋体" w:hAnsi="宋体" w:cs="宋体"/>
          <w:color w:val="auto"/>
          <w:sz w:val="28"/>
          <w:szCs w:val="28"/>
          <w:highlight w:val="none"/>
          <w:u w:val="single"/>
        </w:rPr>
        <w:t xml:space="preserve">       </w:t>
      </w:r>
      <w:r>
        <w:rPr>
          <w:rFonts w:hint="eastAsia" w:ascii="宋体" w:hAnsi="宋体" w:cs="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color w:val="auto"/>
          <w:highlight w:val="none"/>
        </w:rPr>
      </w:r>
      <w:r>
        <w:rPr>
          <w:color w:val="auto"/>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本单位对上述声明的真实性负责。如有虚假，将依法承担相应责任。</w:t>
      </w:r>
      <w:r>
        <w:rPr>
          <w:color w:val="auto"/>
          <w:highlight w:val="none"/>
        </w:rPr>
      </w:r>
      <w:r>
        <w:rPr>
          <w:color w:val="auto"/>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rPr>
          <w:color w:val="auto"/>
          <w:highlight w:val="none"/>
        </w:rPr>
      </w:r>
      <w:r>
        <w:rPr>
          <w:color w:val="auto"/>
          <w:highlight w:val="none"/>
        </w:rPr>
      </w:r>
    </w:p>
    <w:p>
      <w:pPr>
        <w:ind w:firstLine="624"/>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6"/>
          <w:sz w:val="28"/>
          <w:szCs w:val="28"/>
          <w:highlight w:val="none"/>
        </w:rPr>
        <w:t xml:space="preserve"> </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（电子签章）</w:t>
      </w:r>
      <w:r>
        <w:rPr>
          <w:color w:val="auto"/>
          <w:highlight w:val="none"/>
        </w:rPr>
      </w:r>
      <w:r>
        <w:rPr>
          <w:color w:val="auto"/>
          <w:highlight w:val="none"/>
        </w:rPr>
      </w:r>
    </w:p>
    <w:p>
      <w:pPr>
        <w:ind w:firstLine="4500"/>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rPr>
          <w:color w:val="auto"/>
          <w:highlight w:val="none"/>
        </w:rPr>
      </w:r>
      <w:r>
        <w:rPr>
          <w:color w:val="auto"/>
          <w:highlight w:val="none"/>
        </w:rPr>
      </w:r>
    </w:p>
    <w:p>
      <w:pPr>
        <w:spacing w:line="360" w:lineRule="auto"/>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日期： 年 月 日</w:t>
      </w:r>
      <w:r>
        <w:rPr>
          <w:color w:val="auto"/>
          <w:highlight w:val="none"/>
        </w:rPr>
      </w:r>
      <w:r>
        <w:rPr>
          <w:color w:val="auto"/>
          <w:highlight w:val="none"/>
        </w:rPr>
      </w:r>
    </w:p>
    <w:p>
      <w:pPr>
        <w:ind w:firstLine="45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rPr>
          <w:color w:val="auto"/>
          <w:highlight w:val="none"/>
        </w:rPr>
      </w:r>
    </w:p>
    <w:p>
      <w:pPr>
        <w:ind w:firstLine="600"/>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0"/>
          <w:highlight w:val="none"/>
        </w:rPr>
        <w:t xml:space="preserve"> </w:t>
      </w:r>
      <w:r>
        <w:rPr>
          <w:color w:val="auto"/>
          <w:highlight w:val="none"/>
        </w:rPr>
      </w:r>
      <w:r>
        <w:rPr>
          <w:color w:val="auto"/>
          <w:highlight w:val="none"/>
        </w:rPr>
      </w:r>
    </w:p>
    <w:p>
      <w:pPr>
        <w:ind w:firstLine="600"/>
        <w:jc w:val="center"/>
        <w:spacing w:line="479" w:lineRule="atLeast"/>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br w:type="page" w:clear="all"/>
      </w:r>
      <w:r>
        <w:rPr>
          <w:color w:val="auto"/>
          <w:highlight w:val="none"/>
        </w:rPr>
      </w:r>
      <w:r>
        <w:rPr>
          <w:color w:val="auto"/>
          <w:highlight w:val="none"/>
        </w:rPr>
      </w:r>
    </w:p>
    <w:p>
      <w:pPr>
        <w:ind w:firstLine="600"/>
        <w:jc w:val="center"/>
        <w:spacing w:line="479" w:lineRule="atLeast"/>
        <w:rPr>
          <w:rFonts w:ascii="宋体" w:hAnsi="宋体" w:cs="宋体"/>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rFonts w:ascii="宋体" w:hAnsi="宋体" w:cs="宋体"/>
          <w:color w:val="auto"/>
          <w:sz w:val="30"/>
          <w:highlight w:val="none"/>
        </w:rPr>
      </w:r>
      <w:r>
        <w:rPr>
          <w:color w:val="auto"/>
          <w:highlight w:val="none"/>
        </w:rPr>
      </w:r>
      <w:r>
        <w:rPr>
          <w:color w:val="auto"/>
          <w:highlight w:val="none"/>
        </w:rPr>
      </w:r>
    </w:p>
    <w:p>
      <w:pPr>
        <w:jc w:val="center"/>
        <w:spacing w:before="100" w:after="100"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2"/>
      </w:pPr>
      <w:r>
        <w:rPr>
          <w:rFonts w:hint="eastAsia" w:ascii="宋体" w:hAnsi="宋体" w:cs="宋体"/>
          <w:b/>
          <w:bCs/>
          <w:color w:val="auto"/>
          <w:sz w:val="32"/>
          <w:szCs w:val="32"/>
          <w:highlight w:val="none"/>
        </w:rPr>
        <w:t xml:space="preserve">（3）关于符合本国产品标准的声明函</w:t>
      </w:r>
      <w:r>
        <w:rPr>
          <w:color w:val="auto"/>
          <w:highlight w:val="none"/>
        </w:rPr>
      </w:r>
      <w:r>
        <w:rPr>
          <w:color w:val="auto"/>
          <w:highlight w:val="none"/>
        </w:rPr>
      </w:r>
    </w:p>
    <w:p>
      <w:pPr>
        <w:pStyle w:val="991"/>
        <w:jc w:val="both"/>
        <w:spacing w:before="0" w:beforeAutospacing="0" w:after="0" w:afterAutospacing="0"/>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b/>
          <w:bCs/>
          <w:color w:val="auto"/>
          <w:highlight w:val="none"/>
        </w:rPr>
      </w:r>
      <w:r>
        <w:rPr>
          <w:color w:val="auto"/>
          <w:highlight w:val="none"/>
        </w:rPr>
      </w:r>
      <w:r>
        <w:rPr>
          <w:color w:val="auto"/>
          <w:highlight w:val="none"/>
        </w:rP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auto"/>
          <w:highlight w:val="none"/>
        </w:rPr>
      </w:r>
      <w:r>
        <w:rPr>
          <w:color w:val="auto"/>
          <w:highlight w:val="none"/>
        </w:rP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w:t>
      </w:r>
      <w:r>
        <w:rPr>
          <w:rFonts w:hint="eastAsia"/>
          <w:b/>
          <w:bCs/>
          <w:color w:val="auto"/>
          <w:highlight w:val="none"/>
          <w:u w:val="single"/>
        </w:rPr>
        <w:t xml:space="preserve">（</w:t>
      </w:r>
      <w:r>
        <w:rPr>
          <w:rFonts w:hint="eastAsia"/>
          <w:b/>
          <w:bCs/>
          <w:color w:val="auto"/>
          <w:highlight w:val="none"/>
          <w:u w:val="single"/>
          <w:lang w:eastAsia="zh-CN"/>
        </w:rPr>
        <w:t xml:space="preserve">医用X射线摄影系统</w:t>
      </w:r>
      <w:r>
        <w:rPr>
          <w:rFonts w:hint="eastAsia"/>
          <w:b/>
          <w:bCs/>
          <w:color w:val="auto"/>
          <w:highlight w:val="none"/>
          <w:u w:val="single"/>
        </w:rPr>
        <w:t xml:space="preserve">）</w:t>
      </w:r>
      <w:r>
        <w:rPr>
          <w:rFonts w:hint="eastAsia"/>
          <w:b/>
          <w:bCs/>
          <w:color w:val="auto"/>
          <w:highlight w:val="none"/>
          <w:vertAlign w:val="superscript"/>
        </w:rPr>
        <w:t xml:space="preserve">1</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b/>
          <w:bCs/>
          <w:color w:val="auto"/>
          <w:highlight w:val="none"/>
          <w:vertAlign w:val="superscript"/>
        </w:rPr>
        <w:t xml:space="preserve">2</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b/>
          <w:bCs/>
          <w:color w:val="auto"/>
          <w:highlight w:val="none"/>
          <w:vertAlign w:val="superscript"/>
        </w:rPr>
        <w:t xml:space="preserve">3</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b/>
          <w:bCs/>
          <w:color w:val="auto"/>
          <w:highlight w:val="none"/>
          <w:vertAlign w:val="superscript"/>
        </w:rPr>
        <w:t xml:space="preserve">4</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b/>
          <w:bCs/>
          <w:color w:val="auto"/>
          <w:highlight w:val="none"/>
          <w:vertAlign w:val="superscript"/>
        </w:rPr>
        <w:t xml:space="preserve">5</w:t>
      </w:r>
      <w:r>
        <w:rPr>
          <w:rFonts w:hint="eastAsia"/>
          <w:color w:val="auto"/>
          <w:highlight w:val="none"/>
        </w:rPr>
        <w:t xml:space="preserve">在中国境内完成。</w:t>
      </w:r>
      <w:r>
        <w:rPr>
          <w:color w:val="auto"/>
          <w:highlight w:val="none"/>
        </w:rPr>
      </w:r>
      <w:r>
        <w:rPr>
          <w:color w:val="auto"/>
          <w:highlight w:val="none"/>
        </w:rP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w:t>
      </w:r>
      <w:r>
        <w:rPr>
          <w:rFonts w:hint="eastAsia"/>
          <w:b/>
          <w:bCs/>
          <w:color w:val="auto"/>
          <w:highlight w:val="none"/>
          <w:u w:val="single"/>
        </w:rPr>
        <w:t xml:space="preserve">（产品名称2）</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在中国境内完成。</w:t>
      </w:r>
      <w:r>
        <w:rPr>
          <w:color w:val="auto"/>
          <w:highlight w:val="none"/>
        </w:rPr>
      </w:r>
      <w:r>
        <w:rPr>
          <w:color w:val="auto"/>
          <w:highlight w:val="none"/>
        </w:rP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w:t>
      </w:r>
      <w:r>
        <w:rPr>
          <w:rFonts w:hint="eastAsia"/>
          <w:b/>
          <w:bCs/>
          <w:color w:val="auto"/>
          <w:highlight w:val="none"/>
          <w:u w:val="single"/>
        </w:rPr>
        <w:t xml:space="preserve">（产品名称3）</w:t>
      </w:r>
      <w:r>
        <w:rPr>
          <w:rFonts w:hint="eastAsia"/>
          <w:color w:val="auto"/>
          <w:highlight w:val="none"/>
        </w:rPr>
        <w:t xml:space="preserve">，生产厂为</w:t>
      </w:r>
      <w:r>
        <w:rPr>
          <w:rFonts w:hint="eastAsia"/>
          <w:color w:val="auto"/>
          <w:highlight w:val="none"/>
          <w:u w:val="single"/>
        </w:rPr>
        <w:t xml:space="preserve">（</w:t>
      </w:r>
      <w:r>
        <w:rPr>
          <w:rFonts w:hint="eastAsia"/>
          <w:b/>
          <w:bCs/>
          <w:color w:val="auto"/>
          <w:highlight w:val="none"/>
          <w:u w:val="single"/>
        </w:rPr>
        <w:t xml:space="preserve">厂名</w:t>
      </w:r>
      <w:r>
        <w:rPr>
          <w:rFonts w:hint="eastAsia"/>
          <w:color w:val="auto"/>
          <w:highlight w:val="none"/>
          <w:u w:val="single"/>
        </w:rPr>
        <w:t xml:space="preserve">）</w:t>
      </w:r>
      <w:r>
        <w:rPr>
          <w:rFonts w:hint="eastAsia"/>
          <w:color w:val="auto"/>
          <w:highlight w:val="none"/>
        </w:rPr>
        <w:t xml:space="preserve">，厂址为</w:t>
      </w:r>
      <w:r>
        <w:rPr>
          <w:rFonts w:hint="eastAsia"/>
          <w:color w:val="auto"/>
          <w:highlight w:val="none"/>
          <w:u w:val="single"/>
        </w:rPr>
        <w:t xml:space="preserve">（</w:t>
      </w:r>
      <w:r>
        <w:rPr>
          <w:rFonts w:hint="eastAsia"/>
          <w:b/>
          <w:bCs/>
          <w:color w:val="auto"/>
          <w:highlight w:val="none"/>
          <w:u w:val="single"/>
        </w:rPr>
        <w:t xml:space="preserve">生产厂址</w:t>
      </w:r>
      <w:r>
        <w:rPr>
          <w:rFonts w:hint="eastAsia"/>
          <w:color w:val="auto"/>
          <w:highlight w:val="none"/>
          <w:u w:val="single"/>
        </w:rPr>
        <w:t xml:space="preserve">）</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的中国境内生产的组件成本占比≥</w:t>
      </w:r>
      <w:r>
        <w:rPr>
          <w:rFonts w:hint="eastAsia"/>
          <w:color w:val="auto"/>
          <w:highlight w:val="none"/>
          <w:u w:val="single"/>
        </w:rPr>
        <w:t xml:space="preserve">  /  </w:t>
      </w:r>
      <w:r>
        <w:rPr>
          <w:rFonts w:hint="eastAsia"/>
          <w:color w:val="auto"/>
          <w:highlight w:val="none"/>
        </w:rPr>
        <w:t xml:space="preserve">。</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在中国境内生产。</w:t>
      </w:r>
      <w:r>
        <w:rPr>
          <w:rFonts w:hint="eastAsia"/>
          <w:color w:val="auto"/>
          <w:highlight w:val="none"/>
          <w:u w:val="single"/>
        </w:rPr>
        <w:t xml:space="preserve">  /  </w:t>
      </w:r>
      <w:r>
        <w:rPr>
          <w:rFonts w:hint="eastAsia"/>
          <w:color w:val="auto"/>
          <w:highlight w:val="none"/>
        </w:rPr>
        <w:t xml:space="preserve">的</w:t>
      </w:r>
      <w:r>
        <w:rPr>
          <w:rFonts w:hint="eastAsia"/>
          <w:color w:val="auto"/>
          <w:highlight w:val="none"/>
          <w:u w:val="single"/>
        </w:rPr>
        <w:t xml:space="preserve">  /  </w:t>
      </w:r>
      <w:r>
        <w:rPr>
          <w:rFonts w:hint="eastAsia"/>
          <w:color w:val="auto"/>
          <w:highlight w:val="none"/>
        </w:rPr>
        <w:t xml:space="preserve">在中国境内完成。</w:t>
      </w:r>
      <w:r>
        <w:rPr>
          <w:color w:val="auto"/>
          <w:highlight w:val="none"/>
        </w:rPr>
      </w:r>
      <w:r>
        <w:rPr>
          <w:color w:val="auto"/>
          <w:highlight w:val="none"/>
        </w:rP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w:t>
      </w:r>
      <w:r>
        <w:rPr>
          <w:color w:val="auto"/>
          <w:highlight w:val="none"/>
        </w:rPr>
      </w:r>
      <w:r>
        <w:rPr>
          <w:color w:val="auto"/>
          <w:highlight w:val="none"/>
        </w:rPr>
      </w:r>
    </w:p>
    <w:p>
      <w:pPr>
        <w:pStyle w:val="991"/>
        <w:ind w:firstLine="420"/>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本公司（单位）对上述声明内容的真实性负责。如有虚假，愿承担相应法律责任。</w:t>
      </w:r>
      <w:r>
        <w:rPr>
          <w:color w:val="auto"/>
          <w:highlight w:val="none"/>
        </w:rPr>
      </w:r>
      <w:r>
        <w:rPr>
          <w:color w:val="auto"/>
          <w:highlight w:val="none"/>
        </w:rPr>
      </w:r>
    </w:p>
    <w:p>
      <w:pPr>
        <w:pStyle w:val="991"/>
        <w:spacing w:before="0" w:beforeAutospacing="0" w:after="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 </w:t>
      </w:r>
      <w:r>
        <w:rPr>
          <w:color w:val="auto"/>
          <w:highlight w:val="none"/>
        </w:rPr>
      </w:r>
      <w:r>
        <w:rPr>
          <w:color w:val="auto"/>
          <w:highlight w:val="none"/>
        </w:rPr>
      </w:r>
    </w:p>
    <w:p>
      <w:pPr>
        <w:pStyle w:val="991"/>
        <w:jc w:val="both"/>
        <w:spacing w:before="0" w:beforeAutospacing="0" w:after="0" w:afterAutospacing="0" w:line="288" w:lineRule="auto"/>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shd w:val="clear" w:color="auto" w:fill="ffffff"/>
        </w:rPr>
        <w:t xml:space="preserve">公司（单位）名称（电子签章）：　        </w:t>
      </w:r>
      <w:r>
        <w:rPr>
          <w:color w:val="auto"/>
          <w:highlight w:val="none"/>
        </w:rPr>
      </w:r>
      <w:r>
        <w:rPr>
          <w:color w:val="auto"/>
          <w:highlight w:val="none"/>
        </w:rPr>
      </w:r>
    </w:p>
    <w:p>
      <w:pPr>
        <w:pStyle w:val="991"/>
        <w:jc w:val="both"/>
        <w:spacing w:before="0" w:beforeAutospacing="0" w:after="0" w:afterAutospacing="0" w:line="288" w:lineRule="auto"/>
        <w:shd w:val="clear" w:color="auto" w:fill="ffffff"/>
        <w:rPr>
          <w:b/>
          <w:bCs/>
          <w:color w:val="auto"/>
          <w:highlight w:val="none"/>
          <w:shd w:val="clear" w:color="auto" w:fill="ffffff"/>
        </w:rPr>
        <w:pBdr>
          <w:top w:val="none" w:color="000000" w:sz="0" w:space="0"/>
          <w:left w:val="none" w:color="000000" w:sz="0" w:space="0"/>
          <w:bottom w:val="none" w:color="000000" w:sz="0" w:space="0"/>
          <w:right w:val="none" w:color="000000" w:sz="0" w:space="0"/>
        </w:pBdr>
      </w:pPr>
      <w:r>
        <w:rPr>
          <w:b/>
          <w:bCs/>
          <w:color w:val="auto"/>
          <w:highlight w:val="none"/>
          <w:shd w:val="clear" w:color="auto" w:fill="ffffff"/>
        </w:rPr>
      </w:r>
      <w:r>
        <w:rPr>
          <w:color w:val="auto"/>
          <w:highlight w:val="none"/>
        </w:rPr>
      </w:r>
      <w:r>
        <w:rPr>
          <w:color w:val="auto"/>
          <w:highlight w:val="none"/>
        </w:rPr>
      </w:r>
    </w:p>
    <w:p>
      <w:pPr>
        <w:pStyle w:val="991"/>
        <w:jc w:val="both"/>
        <w:spacing w:before="0" w:beforeAutospacing="0" w:after="0" w:afterAutospacing="0" w:line="288" w:lineRule="auto"/>
        <w:shd w:val="clear" w:color="auto" w:fill="ffffff"/>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shd w:val="clear" w:color="auto" w:fill="ffffff"/>
        </w:rPr>
        <w:t xml:space="preserve">日期：  年  月  日</w:t>
      </w:r>
      <w:r>
        <w:rPr>
          <w:color w:val="auto"/>
          <w:highlight w:val="none"/>
        </w:rPr>
      </w:r>
      <w:r>
        <w:rPr>
          <w:color w:val="auto"/>
          <w:highlight w:val="none"/>
        </w:rPr>
      </w:r>
    </w:p>
    <w:p>
      <w:pPr>
        <w:pStyle w:val="991"/>
        <w:spacing w:before="30" w:beforeAutospacing="0" w:after="30" w:afterAutospacing="0" w:line="288" w:lineRule="auto"/>
        <w:shd w:val="clear" w:color="auto" w:fill="ffffff"/>
        <w:rPr>
          <w:color w:val="auto"/>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注：</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1.产品如有型号，请在“产品名称”栏一并填写。</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2.生产厂名与厂址应与生产厂营业执照载明的相关信息保持一致。</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3.该产品的中国境内生产的组件成本占比相关要求实施前，“规定比例”栏可不填，下同。</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4.该产品的关键组件要求实施前，“关键组件”栏可不填，下同。</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shd w:val="clear" w:color="auto" w:fill="ffffff"/>
        </w:rPr>
        <w:t xml:space="preserve">5.该产品的关键工序要求实施前，“关键工序”栏可不填，下同。</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6.《声明函》中标注“</w:t>
      </w:r>
      <w:r>
        <w:rPr>
          <w:rFonts w:hint="eastAsia"/>
          <w:color w:val="auto"/>
          <w:highlight w:val="none"/>
          <w:u w:val="single"/>
        </w:rPr>
        <w:t xml:space="preserve">  / </w:t>
      </w:r>
      <w:r>
        <w:rPr>
          <w:rFonts w:hint="eastAsia"/>
          <w:color w:val="auto"/>
          <w:highlight w:val="none"/>
        </w:rPr>
        <w:t xml:space="preserve">”的地方无需填写。</w:t>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rPr>
          <w:color w:val="auto"/>
          <w:highlight w:val="none"/>
        </w:rPr>
      </w:r>
    </w:p>
    <w:p>
      <w:pPr>
        <w:rPr>
          <w:rFonts w:ascii="宋体" w:hAnsi="宋体" w:cs="宋体"/>
          <w:color w:val="auto"/>
          <w:sz w:val="24"/>
          <w:highlight w:val="none"/>
        </w:rPr>
      </w:pPr>
      <w:r>
        <w:rPr>
          <w:rFonts w:hint="eastAsia" w:ascii="宋体" w:hAnsi="宋体" w:cs="宋体"/>
          <w:color w:val="auto"/>
          <w:sz w:val="24"/>
          <w:highlight w:val="none"/>
        </w:rPr>
        <w:br w:type="page" w:clear="all"/>
      </w:r>
      <w:r>
        <w:rPr>
          <w:color w:val="auto"/>
          <w:highlight w:val="none"/>
        </w:rPr>
      </w:r>
      <w:r>
        <w:rPr>
          <w:color w:val="auto"/>
          <w:highlight w:val="none"/>
        </w:rPr>
      </w:r>
    </w:p>
    <w:p>
      <w:pPr>
        <w:numPr>
          <w:ilvl w:val="0"/>
          <w:numId w:val="12"/>
        </w:numPr>
        <w:ind w:firstLine="0"/>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其他材料（如有）</w:t>
      </w:r>
      <w:r>
        <w:rPr>
          <w:color w:val="auto"/>
          <w:highlight w:val="none"/>
        </w:rPr>
      </w:r>
      <w:r>
        <w:rPr>
          <w:color w:val="auto"/>
          <w:highlight w:val="none"/>
        </w:rP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请在此文档中增加投标人认为需要提供的其他相关内容</w:t>
      </w:r>
      <w:r>
        <w:rPr>
          <w:color w:val="auto"/>
          <w:highlight w:val="none"/>
        </w:rPr>
      </w:r>
      <w:r>
        <w:rPr>
          <w:color w:val="auto"/>
          <w:highlight w:val="none"/>
        </w:rP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（包括资格要求、评分办法、采购需求中涉及的佐证资料及其他投标人认为有必要提供的资料），如没有请将此空文档上传。</w:t>
      </w:r>
      <w:r>
        <w:rPr>
          <w:color w:val="auto"/>
          <w:highlight w:val="none"/>
        </w:rPr>
      </w:r>
      <w:r>
        <w:rPr>
          <w:color w:val="auto"/>
          <w:highlight w:val="none"/>
        </w:rPr>
      </w:r>
    </w:p>
    <w:p>
      <w:pPr>
        <w:jc w:val="cente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color w:val="auto"/>
          <w:highlight w:val="none"/>
        </w:rP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例如（1）配置清单（如有）</w:t>
      </w:r>
      <w:r>
        <w:rPr>
          <w:color w:val="auto"/>
          <w:highlight w:val="none"/>
        </w:rPr>
      </w:r>
      <w:r>
        <w:rPr>
          <w:color w:val="auto"/>
          <w:highlight w:val="none"/>
        </w:rP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（格式自拟）</w:t>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例如（2）备品、配套零部件、易损易耗件价格表（如有）</w:t>
      </w:r>
      <w:r>
        <w:rPr>
          <w:color w:val="auto"/>
          <w:highlight w:val="none"/>
        </w:rPr>
      </w:r>
      <w:r>
        <w:rPr>
          <w:color w:val="auto"/>
          <w:highlight w:val="none"/>
        </w:rPr>
      </w:r>
    </w:p>
    <w:p>
      <w:pPr>
        <w:jc w:val="center"/>
        <w:rPr>
          <w:rFonts w:ascii="宋体" w:hAnsi="宋体" w:cs="宋体"/>
          <w:b/>
          <w:color w:val="auto"/>
          <w:sz w:val="24"/>
          <w:highlight w:val="none"/>
        </w:rPr>
      </w:pPr>
      <w:r>
        <w:rPr>
          <w:rFonts w:hint="eastAsia" w:ascii="宋体" w:hAnsi="宋体" w:cs="宋体"/>
          <w:b/>
          <w:color w:val="auto"/>
          <w:sz w:val="24"/>
          <w:highlight w:val="none"/>
        </w:rPr>
        <w:t xml:space="preserve">（免费质保期满后价格）</w:t>
      </w:r>
      <w:r>
        <w:rPr>
          <w:color w:val="auto"/>
          <w:highlight w:val="none"/>
        </w:rPr>
      </w:r>
      <w:r>
        <w:rPr>
          <w:color w:val="auto"/>
          <w:highlight w:val="none"/>
        </w:rPr>
      </w:r>
    </w:p>
    <w:tbl>
      <w:tblPr>
        <w:tblStyle w:val="907"/>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44"/>
        <w:gridCol w:w="845"/>
        <w:gridCol w:w="2208"/>
        <w:gridCol w:w="1326"/>
        <w:gridCol w:w="688"/>
        <w:gridCol w:w="976"/>
        <w:gridCol w:w="957"/>
        <w:gridCol w:w="9"/>
        <w:gridCol w:w="748"/>
        <w:gridCol w:w="9"/>
      </w:tblGrid>
      <w:tr>
        <w:trPr>
          <w:trHeight w:val="625"/>
        </w:trPr>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序号</w:t>
            </w:r>
            <w:r>
              <w:rPr>
                <w:color w:val="auto"/>
                <w:highlight w:val="none"/>
              </w:rPr>
            </w:r>
            <w:r>
              <w:rPr>
                <w:color w:val="auto"/>
                <w:highlight w:val="none"/>
              </w:rPr>
            </w:r>
          </w:p>
        </w:tc>
        <w:tc>
          <w:tcPr>
            <w:tcMar>
              <w:left w:w="108" w:type="dxa"/>
              <w:top w:w="0" w:type="dxa"/>
              <w:right w:w="108" w:type="dxa"/>
              <w:bottom w:w="0" w:type="dxa"/>
            </w:tcMar>
            <w:tcW w:w="862"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名称</w:t>
            </w:r>
            <w:r>
              <w:rPr>
                <w:color w:val="auto"/>
                <w:highlight w:val="none"/>
              </w:rPr>
            </w:r>
            <w:r>
              <w:rPr>
                <w:color w:val="auto"/>
                <w:highlight w:val="none"/>
              </w:rPr>
            </w:r>
          </w:p>
        </w:tc>
        <w:tc>
          <w:tcPr>
            <w:tcMar>
              <w:left w:w="108" w:type="dxa"/>
              <w:top w:w="0" w:type="dxa"/>
              <w:right w:w="108" w:type="dxa"/>
              <w:bottom w:w="0" w:type="dxa"/>
            </w:tcMar>
            <w:tcW w:w="2286"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备件名称</w:t>
            </w:r>
            <w:r>
              <w:rPr>
                <w:color w:val="auto"/>
                <w:highlight w:val="none"/>
              </w:rPr>
            </w:r>
            <w:r>
              <w:rPr>
                <w:color w:val="auto"/>
                <w:highlight w:val="none"/>
              </w:rPr>
            </w:r>
          </w:p>
        </w:tc>
        <w:tc>
          <w:tcPr>
            <w:tcMar>
              <w:left w:w="108" w:type="dxa"/>
              <w:top w:w="0" w:type="dxa"/>
              <w:right w:w="108" w:type="dxa"/>
              <w:bottom w:w="0" w:type="dxa"/>
            </w:tcMar>
            <w:tcW w:w="1365"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数量</w:t>
            </w:r>
            <w:r>
              <w:rPr>
                <w:color w:val="auto"/>
                <w:highlight w:val="none"/>
              </w:rPr>
            </w:r>
            <w:r>
              <w:rPr>
                <w:color w:val="auto"/>
                <w:highlight w:val="none"/>
              </w:rPr>
            </w:r>
          </w:p>
        </w:tc>
        <w:tc>
          <w:tcPr>
            <w:tcMar>
              <w:left w:w="108" w:type="dxa"/>
              <w:top w:w="0" w:type="dxa"/>
              <w:right w:w="108" w:type="dxa"/>
              <w:bottom w:w="0" w:type="dxa"/>
            </w:tcMar>
            <w:tcW w:w="698" w:type="dxa"/>
            <w:vAlign w:val="center"/>
            <w:vMerge w:val="restart"/>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单位</w:t>
            </w:r>
            <w:r>
              <w:rPr>
                <w:color w:val="auto"/>
                <w:highlight w:val="none"/>
              </w:rPr>
            </w:r>
            <w:r>
              <w:rPr>
                <w:color w:val="auto"/>
                <w:highlight w:val="none"/>
              </w:rPr>
            </w:r>
          </w:p>
        </w:tc>
        <w:tc>
          <w:tcPr>
            <w:gridSpan w:val="3"/>
            <w:tcMar>
              <w:left w:w="108" w:type="dxa"/>
              <w:top w:w="0" w:type="dxa"/>
              <w:right w:w="108" w:type="dxa"/>
              <w:bottom w:w="0" w:type="dxa"/>
            </w:tcMar>
            <w:tcW w:w="1987"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价格（元）</w:t>
            </w:r>
            <w:r>
              <w:rPr>
                <w:color w:val="auto"/>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备注</w:t>
            </w:r>
            <w:r>
              <w:rPr>
                <w:color w:val="auto"/>
                <w:highlight w:val="none"/>
              </w:rPr>
            </w:r>
            <w:r>
              <w:rPr>
                <w:color w:val="auto"/>
                <w:highlight w:val="none"/>
              </w:rPr>
            </w:r>
          </w:p>
        </w:tc>
      </w:tr>
      <w:tr>
        <w:trPr>
          <w:gridAfter w:val="1"/>
          <w:trHeight w:val="625"/>
        </w:trPr>
        <w:tc>
          <w:tcPr>
            <w:tcW w:w="0" w:type="auto"/>
            <w:vMerge w:val="continue"/>
            <w:textDirection w:val="lrTb"/>
            <w:noWrap w:val="false"/>
          </w:tcPr>
          <w:p>
            <w:pPr>
              <w:rPr>
                <w:rFonts w:ascii="宋体" w:hAnsi="宋体" w:cs="宋体"/>
                <w:sz w:val="24"/>
              </w:rPr>
            </w:pPr>
            <w:r>
              <w:rPr>
                <w:rFonts w:ascii="宋体" w:hAnsi="宋体" w:cs="宋体"/>
                <w:sz w:val="24"/>
              </w:rPr>
            </w:r>
            <w:r/>
          </w:p>
        </w:tc>
        <w:tc>
          <w:tcPr>
            <w:tcW w:w="0" w:type="auto"/>
            <w:vMerge w:val="continue"/>
            <w:textDirection w:val="lrTb"/>
            <w:noWrap w:val="false"/>
          </w:tcPr>
          <w:p>
            <w:pPr>
              <w:rPr>
                <w:rFonts w:ascii="宋体" w:hAnsi="宋体" w:cs="宋体"/>
                <w:sz w:val="24"/>
              </w:rPr>
            </w:pPr>
            <w:r>
              <w:rPr>
                <w:rFonts w:ascii="宋体" w:hAnsi="宋体" w:cs="宋体"/>
                <w:sz w:val="24"/>
              </w:rPr>
            </w:r>
            <w:r/>
          </w:p>
        </w:tc>
        <w:tc>
          <w:tcPr>
            <w:tcW w:w="2286" w:type="dxa"/>
            <w:vMerge w:val="continue"/>
            <w:textDirection w:val="lrTb"/>
            <w:noWrap w:val="false"/>
          </w:tcPr>
          <w:p>
            <w:pPr>
              <w:rPr>
                <w:rFonts w:ascii="宋体" w:hAnsi="宋体" w:cs="宋体"/>
                <w:sz w:val="24"/>
              </w:rPr>
            </w:pPr>
            <w:r>
              <w:rPr>
                <w:rFonts w:ascii="宋体" w:hAnsi="宋体" w:cs="宋体"/>
                <w:sz w:val="24"/>
              </w:rPr>
            </w:r>
            <w:r/>
          </w:p>
        </w:tc>
        <w:tc>
          <w:tcPr>
            <w:tcW w:w="1365" w:type="dxa"/>
            <w:vMerge w:val="continue"/>
            <w:textDirection w:val="lrTb"/>
            <w:noWrap w:val="false"/>
          </w:tcPr>
          <w:p>
            <w:pPr>
              <w:rPr>
                <w:rFonts w:ascii="宋体" w:hAnsi="宋体" w:cs="宋体"/>
                <w:sz w:val="24"/>
              </w:rPr>
            </w:pPr>
            <w:r>
              <w:rPr>
                <w:rFonts w:ascii="宋体" w:hAnsi="宋体" w:cs="宋体"/>
                <w:sz w:val="24"/>
              </w:rPr>
            </w:r>
            <w:r/>
          </w:p>
        </w:tc>
        <w:tc>
          <w:tcPr>
            <w:tcW w:w="0" w:type="auto"/>
            <w:vMerge w:val="continue"/>
            <w:textDirection w:val="lrTb"/>
            <w:noWrap w:val="false"/>
          </w:tcPr>
          <w:p>
            <w:pPr>
              <w:rPr>
                <w:rFonts w:ascii="宋体" w:hAnsi="宋体" w:cs="宋体"/>
                <w:sz w:val="24"/>
              </w:rPr>
            </w:pPr>
            <w:r>
              <w:rPr>
                <w:rFonts w:ascii="宋体" w:hAnsi="宋体" w:cs="宋体"/>
                <w:sz w:val="24"/>
              </w:rPr>
            </w: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单价</w:t>
            </w:r>
            <w:r>
              <w:rPr>
                <w:color w:val="auto"/>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总价</w:t>
            </w:r>
            <w:r>
              <w:rPr>
                <w:color w:val="auto"/>
                <w:highlight w:val="none"/>
              </w:rPr>
            </w:r>
            <w:r>
              <w:rPr>
                <w:color w:val="auto"/>
                <w:highlight w:val="none"/>
              </w:rPr>
            </w:r>
          </w:p>
        </w:tc>
        <w:tc>
          <w:tcPr>
            <w:gridSpan w:val="2"/>
            <w:tcW w:w="0" w:type="auto"/>
            <w:textDirection w:val="lrTb"/>
            <w:noWrap w:val="false"/>
          </w:tcPr>
          <w:p>
            <w:pPr>
              <w:rPr>
                <w:rFonts w:ascii="宋体" w:hAnsi="宋体" w:cs="宋体"/>
                <w:color w:val="auto"/>
                <w:sz w:val="24"/>
                <w:highlight w:val="none"/>
              </w:rPr>
            </w:pPr>
            <w:r>
              <w:rPr>
                <w:rFonts w:ascii="宋体" w:hAnsi="宋体" w:cs="宋体"/>
                <w:color w:val="auto"/>
                <w:sz w:val="24"/>
                <w:highlight w:val="none"/>
              </w:rPr>
            </w:r>
            <w:r>
              <w:rPr>
                <w:color w:val="auto"/>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r>
      <w:tr>
        <w:trPr>
          <w:gridAfter w:val="1"/>
          <w:trHeight w:val="625"/>
        </w:trPr>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862"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2286"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1365"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698"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9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tcMar>
              <w:left w:w="108" w:type="dxa"/>
              <w:top w:w="0" w:type="dxa"/>
              <w:right w:w="108" w:type="dxa"/>
              <w:bottom w:w="0" w:type="dxa"/>
            </w:tcMar>
            <w:tcW w:w="979"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c>
          <w:tcPr>
            <w:gridSpan w:val="2"/>
            <w:tcMar>
              <w:left w:w="108" w:type="dxa"/>
              <w:top w:w="0" w:type="dxa"/>
              <w:right w:w="108" w:type="dxa"/>
              <w:bottom w:w="0" w:type="dxa"/>
            </w:tcMar>
            <w:tcW w:w="770" w:type="dxa"/>
            <w:vAlign w:val="center"/>
            <w:textDirection w:val="lrTb"/>
            <w:noWrap w:val="false"/>
          </w:tcPr>
          <w:p>
            <w:pPr>
              <w:jc w:val="center"/>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rPr>
                <w:color w:val="auto"/>
                <w:highlight w:val="none"/>
              </w:rPr>
            </w:r>
            <w:r>
              <w:rPr>
                <w:color w:val="auto"/>
                <w:highlight w:val="none"/>
              </w:rPr>
            </w:r>
          </w:p>
        </w:tc>
      </w:tr>
    </w:tbl>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color w:val="auto"/>
          <w:highlight w:val="none"/>
        </w:rPr>
      </w:r>
    </w:p>
    <w:p>
      <w:pPr>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8"/>
          <w:highlight w:val="none"/>
        </w:rPr>
      </w:r>
      <w:r>
        <w:rPr>
          <w:color w:val="auto"/>
          <w:highlight w:val="none"/>
        </w:rPr>
      </w:r>
      <w:r>
        <w:rPr>
          <w:color w:val="auto"/>
          <w:highlight w:val="none"/>
        </w:rPr>
      </w:r>
    </w:p>
    <w:p>
      <w:pPr>
        <w:pStyle w:val="991"/>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rPr>
          <w:color w:val="auto"/>
          <w:highlight w:val="none"/>
        </w:rPr>
      </w:r>
      <w:r>
        <w:rPr>
          <w:color w:val="auto"/>
          <w:highlight w:val="none"/>
        </w:rPr>
      </w:r>
    </w:p>
    <w:p>
      <w:pPr>
        <w:pStyle w:val="991"/>
        <w:ind w:firstLine="420"/>
        <w:spacing w:before="30" w:beforeAutospacing="0" w:after="30" w:afterAutospacing="0" w:line="288" w:lineRule="auto"/>
        <w:shd w:val="clear" w:color="auto" w:fill="ffffff"/>
        <w:rPr>
          <w:color w:val="auto"/>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587" w:bottom="567" w:left="1587" w:header="851" w:footer="992" w:gutter="0"/>
          <w:cols w:num="1" w:sep="0" w:space="0" w:equalWidth="1"/>
          <w:docGrid w:linePitch="360"/>
        </w:sectPr>
      </w:pPr>
      <w:r>
        <w:rPr>
          <w:color w:val="auto"/>
          <w:highlight w:val="none"/>
        </w:rPr>
      </w:r>
      <w:r>
        <w:rPr>
          <w:color w:val="auto"/>
          <w:highlight w:val="none"/>
        </w:rPr>
      </w:r>
      <w:r>
        <w:rPr>
          <w:color w:val="auto"/>
          <w:highlight w:val="none"/>
        </w:rPr>
      </w:r>
    </w:p>
    <w:p>
      <w:pPr>
        <w:jc w:val="center"/>
        <w:spacing w:line="360" w:lineRule="auto"/>
        <w:rPr>
          <w:rFonts w:ascii="宋体" w:hAnsi="宋体" w:cs="宋体"/>
          <w:b/>
          <w:bCs/>
          <w:color w:val="auto"/>
          <w:sz w:val="32"/>
          <w:szCs w:val="32"/>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cs="宋体"/>
          <w:b/>
          <w:bCs/>
          <w:color w:val="auto"/>
          <w:sz w:val="32"/>
          <w:szCs w:val="32"/>
          <w:highlight w:val="none"/>
        </w:rPr>
        <w:t xml:space="preserve">十、预付款保函支付条款模板</w:t>
      </w:r>
      <w:r>
        <w:rPr>
          <w:color w:val="auto"/>
          <w:highlight w:val="none"/>
        </w:rPr>
      </w:r>
      <w:r>
        <w:rPr>
          <w:color w:val="auto"/>
          <w:highlight w:val="none"/>
        </w:rPr>
      </w:r>
    </w:p>
    <w:p>
      <w:pPr>
        <w:spacing w:line="360" w:lineRule="auto"/>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r>
      <w:r>
        <w:rPr>
          <w:color w:val="auto"/>
          <w:highlight w:val="none"/>
        </w:rPr>
      </w:r>
      <w:r>
        <w:rPr>
          <w:color w:val="auto"/>
          <w:highlight w:val="none"/>
        </w:rP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符合条件一：提交预付款保函的</w:t>
      </w:r>
      <w:r>
        <w:rPr>
          <w:color w:val="auto"/>
          <w:highlight w:val="none"/>
        </w:rPr>
      </w:r>
      <w:r>
        <w:rPr>
          <w:color w:val="auto"/>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（1）合同签订且乙方向甲方出具预付款保函后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个工作日内，由甲方根据审批流程办理政府采购资金结算手续，经审核后支付给乙方合同价款的百分之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color w:val="auto"/>
          <w:highlight w:val="none"/>
        </w:rP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color w:val="auto"/>
          <w:highlight w:val="none"/>
        </w:rPr>
      </w:r>
      <w:r>
        <w:rPr>
          <w:color w:val="auto"/>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color w:val="auto"/>
          <w:highlight w:val="none"/>
        </w:rPr>
      </w:r>
    </w:p>
    <w:p>
      <w:pPr>
        <w:ind w:firstLine="605"/>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rPr>
          <w:color w:val="auto"/>
          <w:highlight w:val="none"/>
        </w:rPr>
      </w:r>
      <w:r>
        <w:rPr>
          <w:color w:val="auto"/>
          <w:highlight w:val="none"/>
        </w:rP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符合条件二：不提交预付款保函的</w:t>
      </w:r>
      <w:r>
        <w:rPr>
          <w:color w:val="auto"/>
          <w:highlight w:val="none"/>
        </w:rPr>
      </w:r>
      <w:r>
        <w:rPr>
          <w:color w:val="auto"/>
          <w:highlight w:val="none"/>
        </w:rP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（1）合同签订后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个工作日内，由甲方根据审批流程办理政府采购资金结算手续，经审核后支付合同价款的百分之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color w:val="auto"/>
          <w:highlight w:val="none"/>
        </w:rPr>
      </w:r>
    </w:p>
    <w:p>
      <w:pPr>
        <w:ind w:firstLine="602"/>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乙方需提交的支付文件：乙方出具的全额正式发票。</w:t>
      </w:r>
      <w:r>
        <w:rPr>
          <w:color w:val="auto"/>
          <w:highlight w:val="none"/>
        </w:rPr>
      </w:r>
      <w:r>
        <w:rPr>
          <w:color w:val="auto"/>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（2）合同标的全部交付并安装完毕并验收合格后，由甲方根据审批流程办理政府采购资金结算手续，经审核后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个工作日内，甲方应支付合同价款的百分之</w:t>
      </w:r>
      <w:r>
        <w:rPr>
          <w:rFonts w:hint="eastAsia" w:ascii="宋体" w:hAnsi="宋体" w:cs="宋体"/>
          <w:color w:val="auto"/>
          <w:sz w:val="24"/>
          <w:highlight w:val="none"/>
          <w:u w:val="single"/>
        </w:rPr>
        <w:t xml:space="preserve">XX（  XX%），</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color w:val="auto"/>
          <w:highlight w:val="none"/>
        </w:rPr>
      </w:r>
      <w:r>
        <w:rPr>
          <w:color w:val="auto"/>
          <w:highlight w:val="none"/>
        </w:rPr>
      </w:r>
    </w:p>
    <w:p>
      <w:pPr>
        <w:ind w:firstLine="605"/>
        <w:spacing w:line="480" w:lineRule="exact"/>
        <w:rPr>
          <w:rFonts w:ascii="宋体" w:hAnsi="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w:t>
      </w:r>
      <w:r>
        <w:rPr>
          <w:color w:val="auto"/>
          <w:highlight w:val="none"/>
        </w:rPr>
      </w:r>
      <w:r>
        <w:rPr>
          <w:color w:val="auto"/>
          <w:highlight w:val="none"/>
        </w:rPr>
      </w:r>
    </w:p>
    <w:p>
      <w:pPr>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注:</w:t>
      </w:r>
      <w:r>
        <w:rPr>
          <w:color w:val="auto"/>
          <w:highlight w:val="none"/>
        </w:rPr>
      </w:r>
      <w:r>
        <w:rPr>
          <w:color w:val="auto"/>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1、付款条件一中，出具预付款保函后支付的合同款应当与保函金额一致。</w:t>
      </w:r>
      <w:r>
        <w:rPr>
          <w:color w:val="auto"/>
          <w:highlight w:val="none"/>
        </w:rPr>
      </w:r>
      <w:r>
        <w:rPr>
          <w:color w:val="auto"/>
          <w:highlight w:val="none"/>
        </w:rPr>
      </w:r>
    </w:p>
    <w:p>
      <w:pPr>
        <w:ind w:firstLine="560"/>
        <w:spacing w:line="480" w:lineRule="exac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 </w:t>
      </w:r>
      <w:r>
        <w:rPr>
          <w:color w:val="auto"/>
          <w:highlight w:val="none"/>
        </w:rPr>
      </w:r>
      <w:r>
        <w:rPr>
          <w:color w:val="auto"/>
          <w:highlight w:val="none"/>
        </w:rPr>
      </w:r>
    </w:p>
    <w:p>
      <w:pPr>
        <w:rPr>
          <w:rFonts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 </w:t>
      </w:r>
      <w:r>
        <w:rPr>
          <w:color w:val="auto"/>
          <w:highlight w:val="none"/>
        </w:rPr>
      </w:r>
      <w:r>
        <w:rPr>
          <w:color w:val="auto"/>
          <w:highlight w:val="none"/>
        </w:rPr>
      </w:r>
    </w:p>
    <w:p>
      <w:pPr>
        <w:rPr>
          <w:rFonts w:ascii="宋体" w:hAnsi="宋体" w:cs="宋体"/>
          <w:color w:val="auto"/>
          <w:highlight w:val="none"/>
        </w:rPr>
      </w:pPr>
      <w:r>
        <w:rPr>
          <w:rFonts w:ascii="宋体" w:hAnsi="宋体" w:cs="宋体"/>
          <w:color w:val="auto"/>
          <w:highlight w:val="none"/>
        </w:rPr>
      </w:r>
      <w:r>
        <w:rPr>
          <w:color w:val="auto"/>
          <w:highlight w:val="none"/>
        </w:rPr>
      </w:r>
      <w:r>
        <w:rPr>
          <w:color w:val="auto"/>
          <w:highlight w:val="none"/>
        </w:rPr>
      </w:r>
    </w:p>
    <w:sectPr>
      <w:footnotePr/>
      <w:endnotePr/>
      <w:type w:val="nextPage"/>
      <w:pgSz w:w="11906" w:h="16838" w:orient="portrait"/>
      <w:pgMar w:top="1417" w:right="1587" w:bottom="567" w:left="158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Courier New">
    <w:panose1 w:val="02070309020205020404"/>
  </w:font>
  <w:font w:name="微软雅黑">
    <w:panose1 w:val="020B0503020204020204"/>
  </w:font>
  <w:font w:name="Calibri">
    <w:panose1 w:val="020F0502020204030204"/>
  </w:font>
  <w:font w:name="寰蒋闆呴粦">
    <w:panose1 w:val="020B0503020202020204"/>
  </w:font>
  <w:font w:name="仿宋_GB2312">
    <w:panose1 w:val="02010609060101010101"/>
  </w:font>
  <w:font w:name="黑体">
    <w:panose1 w:val="02010609060101010101"/>
  </w:font>
  <w:font w:name="Calibri Light">
    <w:panose1 w:val="020F0302020204030204"/>
  </w:font>
  <w:font w:name="Symbol">
    <w:panose1 w:val="05050102010706020507"/>
  </w:font>
  <w:font w:name="新宋体">
    <w:panose1 w:val="0201060903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25</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tabs>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43</w:t>
                    </w:r>
                    <w:r>
                      <w:fldChar w:fldCharType="end"/>
                    </w:r>
                    <w:r>
                      <w:t xml:space="preserve"> / </w:t>
                    </w:r>
                    <w:r>
                      <w:fldChar w:fldCharType="begin"/>
                    </w:r>
                    <w:r>
                      <w:instrText xml:space="preserve"> NUMPAGES  \* MERGEFORMAT </w:instrText>
                    </w:r>
                    <w:r>
                      <w:fldChar w:fldCharType="separate"/>
                    </w:r>
                    <w:r>
                      <w:t xml:space="preserve">61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ottom w:val="single" w:color="000000" w:sz="4" w:space="0"/>
      </w:pBdr>
    </w:pPr>
    <w:r>
      <w:rPr>
        <w:rFonts w:hint="eastAsia" w:ascii="宋体" w:hAnsi="宋体" w:cs="宋体"/>
        <w:color w:val="000000"/>
      </w:rPr>
      <w:t xml:space="preserve">徐州市儿童医院    </w:t>
    </w:r>
    <w:r>
      <w:rPr>
        <w:rFonts w:hint="eastAsia" w:ascii="宋体" w:hAnsi="宋体" w:cs="宋体"/>
        <w:color w:val="000000"/>
        <w:lang w:eastAsia="zh-CN"/>
      </w:rPr>
      <w:t xml:space="preserve">医用X射线摄影系统</w:t>
    </w:r>
    <w:r>
      <w:rPr>
        <w:rFonts w:hint="eastAsia" w:ascii="宋体" w:hAnsi="宋体" w:cs="宋体"/>
        <w:color w:val="000000"/>
      </w:rPr>
      <w:t xml:space="preserve">    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Cs w:val="21"/>
      </w:rPr>
      <w:pBdr>
        <w:bottom w:val="single" w:color="000000" w:sz="4" w:space="0"/>
      </w:pBdr>
    </w:pPr>
    <w:r>
      <w:rPr>
        <w:rFonts w:hint="eastAsia"/>
        <w:sz w:val="18"/>
        <w:szCs w:val="18"/>
        <w:lang w:eastAsia="zh-CN"/>
      </w:rPr>
      <w:t xml:space="preserve">医用X射线摄影系统</w:t>
    </w:r>
    <w:r>
      <w:rPr>
        <w:rFonts w:hint="eastAsia"/>
        <w:sz w:val="18"/>
        <w:szCs w:val="18"/>
      </w:rPr>
      <w:t xml:space="preserve">项目招标文件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rPr>
      <w:pBdr>
        <w:bottom w:val="single" w:color="000000" w:sz="4" w:space="0"/>
      </w:pBdr>
    </w:pPr>
    <w:r>
      <w:rPr>
        <w:rFonts w:hint="eastAsia"/>
        <w:sz w:val="18"/>
        <w:szCs w:val="18"/>
      </w:rPr>
      <w:t xml:space="preserve">徐州市儿童医院  </w:t>
    </w:r>
    <w:r>
      <w:rPr>
        <w:rFonts w:hint="eastAsia"/>
        <w:sz w:val="18"/>
        <w:szCs w:val="18"/>
        <w:lang w:eastAsia="zh-CN"/>
      </w:rPr>
      <w:t xml:space="preserve">医用X射线摄影系统</w:t>
    </w:r>
    <w:r>
      <w:rPr>
        <w:rFonts w:hint="eastAsia"/>
        <w:sz w:val="18"/>
      </w:rPr>
      <w:t xml:space="preserve">项目招标文件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ascii="宋体" w:hAnsi="宋体" w:cs="宋体"/>
        <w:color w:val="000000"/>
        <w:sz w:val="18"/>
        <w:szCs w:val="18"/>
      </w:rPr>
      <w:t xml:space="preserve">徐州市儿童医院 </w:t>
    </w:r>
    <w:r>
      <w:rPr>
        <w:rFonts w:hint="eastAsia" w:ascii="宋体" w:hAnsi="宋体" w:cs="宋体"/>
        <w:color w:val="000000"/>
        <w:sz w:val="18"/>
        <w:szCs w:val="18"/>
        <w:lang w:eastAsia="zh-CN"/>
      </w:rPr>
      <w:t xml:space="preserve">医用X射线摄影系统</w:t>
    </w:r>
    <w:r>
      <w:rPr>
        <w:rFonts w:hint="eastAsia" w:ascii="宋体" w:hAnsi="宋体" w:cs="宋体"/>
        <w:color w:val="000000"/>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32"/>
        <w:szCs w:val="3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space"/>
      <w:lvlText w:val="%1. "/>
      <w:lvlJc w:val="left"/>
      <w:pPr>
        <w:ind w:left="907" w:hanging="907"/>
      </w:pPr>
    </w:lvl>
    <w:lvl w:ilvl="1">
      <w:start w:val="1"/>
      <w:numFmt w:val="decimal"/>
      <w:isLgl w:val="false"/>
      <w:suff w:val="space"/>
      <w:lvlText w:val="%1.%2 "/>
      <w:lvlJc w:val="left"/>
      <w:pPr>
        <w:ind w:left="794" w:hanging="794"/>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19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9"/>
  </w:num>
  <w:num w:numId="3">
    <w:abstractNumId w:val="11"/>
  </w:num>
  <w:num w:numId="4">
    <w:abstractNumId w:val="10"/>
  </w:num>
  <w:num w:numId="5">
    <w:abstractNumId w:val="2"/>
  </w:num>
  <w:num w:numId="6">
    <w:abstractNumId w:val="12"/>
  </w:num>
  <w:num w:numId="7">
    <w:abstractNumId w:val="3"/>
  </w:num>
  <w:num w:numId="8">
    <w:abstractNumId w:val="4"/>
  </w:num>
  <w:num w:numId="9">
    <w:abstractNumId w:val="6"/>
  </w:num>
  <w:num w:numId="10">
    <w:abstractNumId w:val="14"/>
  </w:num>
  <w:num w:numId="11">
    <w:abstractNumId w:val="13"/>
  </w:num>
  <w:num w:numId="12">
    <w:abstractNumId w:val="1"/>
  </w:num>
  <w:num w:numId="13">
    <w:abstractNumId w:val="0"/>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6">
    <w:name w:val="Plain Table 1"/>
    <w:basedOn w:val="9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2"/>
    <w:basedOn w:val="9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3"/>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9">
    <w:name w:val="Plain Table 4"/>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0">
    <w:name w:val="Plain Table 5"/>
    <w:basedOn w:val="9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1">
    <w:name w:val="Grid Table 1 Light"/>
    <w:basedOn w:val="9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2">
    <w:name w:val="Grid Table 2"/>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3">
    <w:name w:val="Grid Table 3"/>
    <w:basedOn w:val="9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basedOn w:val="9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5 Dark"/>
    <w:basedOn w:val="9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6 Colorful"/>
    <w:basedOn w:val="9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7">
    <w:name w:val="Grid Table 7 Colorful"/>
    <w:basedOn w:val="9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8">
    <w:name w:val="List Table 1 Light"/>
    <w:basedOn w:val="9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name w:val="List Table 2"/>
    <w:basedOn w:val="9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0">
    <w:name w:val="List Table 3"/>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w:basedOn w:val="9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5 Dark"/>
    <w:basedOn w:val="9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basedOn w:val="9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7 Colorful"/>
    <w:basedOn w:val="9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5">
    <w:name w:val="TOC Heading"/>
    <w:uiPriority w:val="39"/>
    <w:unhideWhenUsed/>
  </w:style>
  <w:style w:type="paragraph" w:styleId="89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7">
    <w:name w:val="Heading 1"/>
    <w:basedOn w:val="896"/>
    <w:next w:val="896"/>
    <w:uiPriority w:val="9"/>
    <w:qFormat/>
    <w:pPr>
      <w:keepLines/>
      <w:keepNext/>
      <w:spacing w:before="480" w:after="200"/>
      <w:outlineLvl w:val="0"/>
    </w:pPr>
    <w:rPr>
      <w:rFonts w:ascii="Arial" w:hAnsi="Arial" w:eastAsia="Arial" w:cs="Arial"/>
      <w:sz w:val="40"/>
      <w:szCs w:val="40"/>
    </w:rPr>
  </w:style>
  <w:style w:type="paragraph" w:styleId="898">
    <w:name w:val="Heading 2"/>
    <w:basedOn w:val="896"/>
    <w:next w:val="908"/>
    <w:uiPriority w:val="9"/>
    <w:unhideWhenUsed/>
    <w:qFormat/>
    <w:pPr>
      <w:keepLines/>
      <w:keepNext/>
      <w:outlineLvl w:val="1"/>
    </w:pPr>
    <w:rPr>
      <w:rFonts w:ascii="Arial" w:hAnsi="Arial" w:cs="Arial"/>
      <w:sz w:val="24"/>
    </w:rPr>
  </w:style>
  <w:style w:type="paragraph" w:styleId="899">
    <w:name w:val="Heading 3"/>
    <w:basedOn w:val="896"/>
    <w:next w:val="896"/>
    <w:uiPriority w:val="9"/>
    <w:unhideWhenUsed/>
    <w:qFormat/>
    <w:pPr>
      <w:keepLines/>
      <w:keepNext/>
      <w:spacing w:before="320" w:after="200"/>
      <w:outlineLvl w:val="2"/>
    </w:pPr>
    <w:rPr>
      <w:rFonts w:ascii="Arial" w:hAnsi="Arial" w:eastAsia="Arial" w:cs="Arial"/>
      <w:sz w:val="30"/>
      <w:szCs w:val="30"/>
    </w:rPr>
  </w:style>
  <w:style w:type="paragraph" w:styleId="900">
    <w:name w:val="Heading 4"/>
    <w:basedOn w:val="896"/>
    <w:next w:val="896"/>
    <w:uiPriority w:val="9"/>
    <w:unhideWhenUsed/>
    <w:qFormat/>
    <w:pPr>
      <w:keepLines/>
      <w:keepNext/>
      <w:spacing w:before="320" w:after="200"/>
      <w:outlineLvl w:val="3"/>
    </w:pPr>
    <w:rPr>
      <w:rFonts w:ascii="Arial" w:hAnsi="Arial" w:eastAsia="Arial" w:cs="Arial"/>
      <w:b/>
      <w:bCs/>
      <w:sz w:val="26"/>
      <w:szCs w:val="26"/>
    </w:rPr>
  </w:style>
  <w:style w:type="paragraph" w:styleId="901">
    <w:name w:val="Heading 5"/>
    <w:basedOn w:val="896"/>
    <w:next w:val="896"/>
    <w:uiPriority w:val="9"/>
    <w:unhideWhenUsed/>
    <w:qFormat/>
    <w:pPr>
      <w:keepLines/>
      <w:keepNext/>
      <w:spacing w:before="320" w:after="200"/>
      <w:outlineLvl w:val="4"/>
    </w:pPr>
    <w:rPr>
      <w:rFonts w:ascii="Arial" w:hAnsi="Arial" w:eastAsia="Arial" w:cs="Arial"/>
      <w:b/>
      <w:bCs/>
      <w:sz w:val="24"/>
    </w:rPr>
  </w:style>
  <w:style w:type="paragraph" w:styleId="902">
    <w:name w:val="Heading 6"/>
    <w:basedOn w:val="896"/>
    <w:next w:val="896"/>
    <w:uiPriority w:val="9"/>
    <w:unhideWhenUsed/>
    <w:qFormat/>
    <w:pPr>
      <w:keepLines/>
      <w:keepNext/>
      <w:spacing w:before="320" w:after="200"/>
      <w:outlineLvl w:val="5"/>
    </w:pPr>
    <w:rPr>
      <w:rFonts w:ascii="Arial" w:hAnsi="Arial" w:eastAsia="Arial" w:cs="Arial"/>
      <w:b/>
      <w:bCs/>
      <w:sz w:val="22"/>
      <w:szCs w:val="22"/>
    </w:rPr>
  </w:style>
  <w:style w:type="paragraph" w:styleId="903">
    <w:name w:val="Heading 7"/>
    <w:basedOn w:val="896"/>
    <w:next w:val="896"/>
    <w:uiPriority w:val="9"/>
    <w:unhideWhenUsed/>
    <w:qFormat/>
    <w:pPr>
      <w:keepLines/>
      <w:keepNext/>
      <w:spacing w:before="320" w:after="200"/>
      <w:outlineLvl w:val="6"/>
    </w:pPr>
    <w:rPr>
      <w:rFonts w:ascii="Arial" w:hAnsi="Arial" w:eastAsia="Arial" w:cs="Arial"/>
      <w:b/>
      <w:bCs/>
      <w:i/>
      <w:iCs/>
      <w:sz w:val="22"/>
      <w:szCs w:val="22"/>
    </w:rPr>
  </w:style>
  <w:style w:type="paragraph" w:styleId="904">
    <w:name w:val="Heading 8"/>
    <w:basedOn w:val="896"/>
    <w:next w:val="896"/>
    <w:uiPriority w:val="9"/>
    <w:unhideWhenUsed/>
    <w:qFormat/>
    <w:pPr>
      <w:keepLines/>
      <w:keepNext/>
      <w:spacing w:before="320" w:after="200"/>
      <w:outlineLvl w:val="7"/>
    </w:pPr>
    <w:rPr>
      <w:rFonts w:ascii="Arial" w:hAnsi="Arial" w:eastAsia="Arial" w:cs="Arial"/>
      <w:i/>
      <w:iCs/>
      <w:sz w:val="22"/>
      <w:szCs w:val="22"/>
    </w:rPr>
  </w:style>
  <w:style w:type="paragraph" w:styleId="905">
    <w:name w:val="Heading 9"/>
    <w:basedOn w:val="896"/>
    <w:next w:val="896"/>
    <w:uiPriority w:val="9"/>
    <w:unhideWhenUsed/>
    <w:qFormat/>
    <w:pPr>
      <w:keepLines/>
      <w:keepNext/>
      <w:spacing w:before="320" w:after="200"/>
      <w:outlineLvl w:val="8"/>
    </w:pPr>
    <w:rPr>
      <w:rFonts w:ascii="Arial" w:hAnsi="Arial" w:eastAsia="Arial" w:cs="Arial"/>
      <w:i/>
      <w:iCs/>
      <w:szCs w:val="21"/>
    </w:rPr>
  </w:style>
  <w:style w:type="character" w:styleId="906" w:default="1">
    <w:name w:val="Default Paragraph Font"/>
    <w:uiPriority w:val="1"/>
    <w:semiHidden/>
    <w:unhideWhenUsed/>
    <w:qFormat/>
  </w:style>
  <w:style w:type="table" w:styleId="907" w:default="1">
    <w:name w:val="Normal Table"/>
    <w:uiPriority w:val="99"/>
    <w:semiHidden/>
    <w:unhideWhenUsed/>
    <w:qFormat/>
    <w:tblPr>
      <w:tblCellMar>
        <w:left w:w="108" w:type="dxa"/>
        <w:top w:w="0" w:type="dxa"/>
        <w:right w:w="108" w:type="dxa"/>
        <w:bottom w:w="0" w:type="dxa"/>
      </w:tblCellMar>
    </w:tblPr>
  </w:style>
  <w:style w:type="paragraph" w:styleId="908">
    <w:name w:val="Normal Indent"/>
    <w:basedOn w:val="896"/>
    <w:next w:val="896"/>
    <w:uiPriority w:val="0"/>
    <w:qFormat/>
    <w:pPr>
      <w:ind w:firstLine="420"/>
    </w:pPr>
    <w:rPr>
      <w:szCs w:val="21"/>
    </w:rPr>
  </w:style>
  <w:style w:type="paragraph" w:styleId="909">
    <w:name w:val="toc 7"/>
    <w:basedOn w:val="896"/>
    <w:next w:val="896"/>
    <w:uiPriority w:val="39"/>
    <w:unhideWhenUsed/>
    <w:qFormat/>
    <w:pPr>
      <w:ind w:left="1701"/>
      <w:spacing w:after="57"/>
    </w:pPr>
  </w:style>
  <w:style w:type="paragraph" w:styleId="910">
    <w:name w:val="Caption"/>
    <w:basedOn w:val="896"/>
    <w:next w:val="89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1">
    <w:name w:val="annotation text"/>
    <w:basedOn w:val="896"/>
    <w:uiPriority w:val="99"/>
    <w:semiHidden/>
    <w:unhideWhenUsed/>
    <w:qFormat/>
    <w:pPr>
      <w:jc w:val="left"/>
    </w:pPr>
  </w:style>
  <w:style w:type="paragraph" w:styleId="912">
    <w:name w:val="Body Text"/>
    <w:basedOn w:val="896"/>
    <w:next w:val="896"/>
    <w:uiPriority w:val="99"/>
    <w:qFormat/>
    <w:rPr>
      <w:rFonts w:ascii="宋体" w:hAnsi="宋体" w:cs="宋体"/>
      <w:sz w:val="24"/>
      <w:lang w:val="zh-CN" w:bidi="zh-CN"/>
    </w:rPr>
  </w:style>
  <w:style w:type="paragraph" w:styleId="913">
    <w:name w:val="Body Text Indent"/>
    <w:basedOn w:val="896"/>
    <w:uiPriority w:val="99"/>
    <w:unhideWhenUsed/>
    <w:qFormat/>
    <w:pPr>
      <w:ind w:firstLine="630"/>
    </w:pPr>
    <w:rPr>
      <w:sz w:val="32"/>
      <w:szCs w:val="20"/>
    </w:rPr>
  </w:style>
  <w:style w:type="paragraph" w:styleId="914">
    <w:name w:val="index 4"/>
    <w:basedOn w:val="896"/>
    <w:next w:val="896"/>
    <w:uiPriority w:val="99"/>
    <w:unhideWhenUsed/>
    <w:qFormat/>
    <w:pPr>
      <w:ind w:left="600"/>
    </w:pPr>
    <w:rPr>
      <w:rFonts w:asciiTheme="minorHAnsi" w:hAnsiTheme="minorHAnsi" w:eastAsiaTheme="minorEastAsia" w:cstheme="minorBidi"/>
      <w:szCs w:val="22"/>
    </w:rPr>
  </w:style>
  <w:style w:type="paragraph" w:styleId="915">
    <w:name w:val="toc 5"/>
    <w:basedOn w:val="896"/>
    <w:next w:val="896"/>
    <w:uiPriority w:val="39"/>
    <w:unhideWhenUsed/>
    <w:qFormat/>
    <w:pPr>
      <w:ind w:left="1134"/>
      <w:spacing w:after="57"/>
    </w:pPr>
  </w:style>
  <w:style w:type="paragraph" w:styleId="916">
    <w:name w:val="toc 3"/>
    <w:basedOn w:val="896"/>
    <w:next w:val="896"/>
    <w:uiPriority w:val="39"/>
    <w:unhideWhenUsed/>
    <w:qFormat/>
    <w:pPr>
      <w:ind w:left="567"/>
      <w:spacing w:after="57"/>
    </w:pPr>
  </w:style>
  <w:style w:type="paragraph" w:styleId="917">
    <w:name w:val="toc 8"/>
    <w:basedOn w:val="896"/>
    <w:next w:val="896"/>
    <w:uiPriority w:val="39"/>
    <w:unhideWhenUsed/>
    <w:qFormat/>
    <w:pPr>
      <w:ind w:left="1984"/>
      <w:spacing w:after="57"/>
    </w:pPr>
  </w:style>
  <w:style w:type="paragraph" w:styleId="918">
    <w:name w:val="endnote text"/>
    <w:basedOn w:val="896"/>
    <w:uiPriority w:val="99"/>
    <w:semiHidden/>
    <w:unhideWhenUsed/>
    <w:qFormat/>
    <w:rPr>
      <w:sz w:val="20"/>
    </w:rPr>
  </w:style>
  <w:style w:type="paragraph" w:styleId="919">
    <w:name w:val="Footer"/>
    <w:basedOn w:val="896"/>
    <w:uiPriority w:val="99"/>
    <w:unhideWhenUsed/>
    <w:qFormat/>
    <w:pPr>
      <w:tabs>
        <w:tab w:val="center" w:pos="7143" w:leader="none"/>
        <w:tab w:val="right" w:pos="14287" w:leader="none"/>
      </w:tabs>
    </w:pPr>
  </w:style>
  <w:style w:type="paragraph" w:styleId="920">
    <w:name w:val="Header"/>
    <w:basedOn w:val="896"/>
    <w:uiPriority w:val="99"/>
    <w:unhideWhenUsed/>
    <w:qFormat/>
    <w:pPr>
      <w:tabs>
        <w:tab w:val="center" w:pos="7143" w:leader="none"/>
        <w:tab w:val="right" w:pos="14287" w:leader="none"/>
      </w:tabs>
    </w:pPr>
  </w:style>
  <w:style w:type="paragraph" w:styleId="921">
    <w:name w:val="toc 1"/>
    <w:basedOn w:val="896"/>
    <w:next w:val="896"/>
    <w:uiPriority w:val="39"/>
    <w:unhideWhenUsed/>
    <w:qFormat/>
    <w:pPr>
      <w:spacing w:after="57"/>
    </w:pPr>
  </w:style>
  <w:style w:type="paragraph" w:styleId="922">
    <w:name w:val="toc 4"/>
    <w:basedOn w:val="896"/>
    <w:next w:val="896"/>
    <w:uiPriority w:val="39"/>
    <w:unhideWhenUsed/>
    <w:qFormat/>
    <w:pPr>
      <w:ind w:left="850"/>
      <w:spacing w:after="57"/>
    </w:pPr>
  </w:style>
  <w:style w:type="paragraph" w:styleId="923">
    <w:name w:val="Subtitle"/>
    <w:basedOn w:val="896"/>
    <w:next w:val="896"/>
    <w:uiPriority w:val="11"/>
    <w:qFormat/>
    <w:pPr>
      <w:spacing w:before="200" w:after="200"/>
    </w:pPr>
    <w:rPr>
      <w:sz w:val="24"/>
    </w:rPr>
  </w:style>
  <w:style w:type="paragraph" w:styleId="924">
    <w:name w:val="footnote text"/>
    <w:basedOn w:val="896"/>
    <w:uiPriority w:val="99"/>
    <w:semiHidden/>
    <w:unhideWhenUsed/>
    <w:qFormat/>
    <w:pPr>
      <w:spacing w:after="40"/>
    </w:pPr>
    <w:rPr>
      <w:sz w:val="18"/>
    </w:rPr>
  </w:style>
  <w:style w:type="paragraph" w:styleId="925">
    <w:name w:val="toc 6"/>
    <w:basedOn w:val="896"/>
    <w:next w:val="896"/>
    <w:uiPriority w:val="39"/>
    <w:unhideWhenUsed/>
    <w:qFormat/>
    <w:pPr>
      <w:ind w:left="1417"/>
      <w:spacing w:after="57"/>
    </w:pPr>
  </w:style>
  <w:style w:type="paragraph" w:styleId="926">
    <w:name w:val="table of figures"/>
    <w:basedOn w:val="896"/>
    <w:next w:val="896"/>
    <w:uiPriority w:val="99"/>
    <w:unhideWhenUsed/>
    <w:qFormat/>
  </w:style>
  <w:style w:type="paragraph" w:styleId="927">
    <w:name w:val="toc 2"/>
    <w:basedOn w:val="896"/>
    <w:next w:val="896"/>
    <w:uiPriority w:val="39"/>
    <w:unhideWhenUsed/>
    <w:qFormat/>
    <w:pPr>
      <w:ind w:left="283"/>
      <w:spacing w:after="57"/>
    </w:pPr>
  </w:style>
  <w:style w:type="paragraph" w:styleId="928">
    <w:name w:val="toc 9"/>
    <w:basedOn w:val="896"/>
    <w:next w:val="896"/>
    <w:uiPriority w:val="39"/>
    <w:unhideWhenUsed/>
    <w:qFormat/>
    <w:pPr>
      <w:ind w:left="2268"/>
      <w:spacing w:after="57"/>
    </w:pPr>
  </w:style>
  <w:style w:type="paragraph" w:styleId="929">
    <w:name w:val="Normal (Web)"/>
    <w:basedOn w:val="896"/>
    <w:uiPriority w:val="99"/>
    <w:semiHidden/>
    <w:unhideWhenUsed/>
    <w:qFormat/>
    <w:pPr>
      <w:jc w:val="left"/>
      <w:spacing w:beforeAutospacing="1" w:afterAutospacing="1"/>
    </w:pPr>
    <w:rPr>
      <w:sz w:val="24"/>
    </w:rPr>
  </w:style>
  <w:style w:type="paragraph" w:styleId="930">
    <w:name w:val="Title"/>
    <w:basedOn w:val="896"/>
    <w:next w:val="896"/>
    <w:uiPriority w:val="10"/>
    <w:qFormat/>
    <w:pPr>
      <w:contextualSpacing/>
      <w:spacing w:before="300" w:after="200"/>
    </w:pPr>
    <w:rPr>
      <w:sz w:val="48"/>
      <w:szCs w:val="48"/>
    </w:rPr>
  </w:style>
  <w:style w:type="paragraph" w:styleId="931">
    <w:name w:val="Body Text First Indent 2"/>
    <w:basedOn w:val="913"/>
    <w:uiPriority w:val="99"/>
    <w:unhideWhenUsed/>
    <w:qFormat/>
    <w:pPr>
      <w:ind w:left="420" w:firstLine="420"/>
      <w:spacing w:after="120"/>
    </w:pPr>
    <w:rPr>
      <w:rFonts w:ascii="Times New Roman" w:hAnsi="Times New Roman"/>
      <w:sz w:val="21"/>
      <w:szCs w:val="24"/>
    </w:rPr>
  </w:style>
  <w:style w:type="table" w:styleId="93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Strong"/>
    <w:basedOn w:val="906"/>
    <w:uiPriority w:val="0"/>
    <w:qFormat/>
    <w:rPr>
      <w:b/>
    </w:r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标题 31"/>
    <w:basedOn w:val="896"/>
    <w:next w:val="896"/>
    <w:link w:val="938"/>
    <w:uiPriority w:val="9"/>
    <w:unhideWhenUsed/>
    <w:qFormat/>
    <w:pPr>
      <w:keepLines/>
      <w:keepNext/>
      <w:spacing w:before="260" w:after="260" w:line="416" w:lineRule="auto"/>
      <w:outlineLvl w:val="2"/>
    </w:pPr>
    <w:rPr>
      <w:b/>
      <w:bCs/>
      <w:sz w:val="32"/>
      <w:szCs w:val="32"/>
    </w:rPr>
  </w:style>
  <w:style w:type="character" w:styleId="938" w:customStyle="1">
    <w:name w:val="标题 3 Char"/>
    <w:basedOn w:val="939"/>
    <w:link w:val="937"/>
    <w:uiPriority w:val="9"/>
    <w:qFormat/>
    <w:rPr>
      <w:rFonts w:ascii="Times New Roman" w:hAnsi="Times New Roman" w:eastAsia="宋体" w:cs="Times New Roman"/>
      <w:b/>
      <w:bCs/>
      <w:sz w:val="32"/>
      <w:szCs w:val="32"/>
    </w:rPr>
  </w:style>
  <w:style w:type="character" w:styleId="939" w:customStyle="1">
    <w:name w:val="默认段落字体1"/>
    <w:uiPriority w:val="1"/>
    <w:unhideWhenUsed/>
    <w:qFormat/>
  </w:style>
  <w:style w:type="paragraph" w:styleId="940" w:customStyle="1">
    <w:name w:val="标题 11"/>
    <w:basedOn w:val="896"/>
    <w:next w:val="896"/>
    <w:link w:val="949"/>
    <w:uiPriority w:val="0"/>
    <w:qFormat/>
    <w:pPr>
      <w:jc w:val="center"/>
      <w:keepLines/>
      <w:keepNext/>
      <w:spacing w:line="578" w:lineRule="auto"/>
      <w:outlineLvl w:val="0"/>
    </w:pPr>
    <w:rPr>
      <w:rFonts w:eastAsia="新宋体"/>
      <w:b/>
      <w:bCs/>
      <w:sz w:val="30"/>
      <w:szCs w:val="44"/>
    </w:rPr>
  </w:style>
  <w:style w:type="paragraph" w:styleId="941" w:customStyle="1">
    <w:name w:val="标题 211"/>
    <w:basedOn w:val="896"/>
    <w:next w:val="896"/>
    <w:link w:val="950"/>
    <w:uiPriority w:val="9"/>
    <w:unhideWhenUsed/>
    <w:qFormat/>
    <w:pPr>
      <w:keepLines/>
      <w:keepNext/>
      <w:spacing w:before="260" w:after="260" w:line="416" w:lineRule="auto"/>
      <w:outlineLvl w:val="1"/>
    </w:pPr>
    <w:rPr>
      <w:rFonts w:ascii="Calibri Light" w:hAnsi="Calibri Light" w:eastAsia="黑体"/>
      <w:b/>
      <w:bCs/>
      <w:sz w:val="32"/>
      <w:szCs w:val="32"/>
    </w:rPr>
  </w:style>
  <w:style w:type="paragraph" w:styleId="942" w:customStyle="1">
    <w:name w:val="标题 41"/>
    <w:basedOn w:val="896"/>
    <w:next w:val="896"/>
    <w:link w:val="951"/>
    <w:uiPriority w:val="9"/>
    <w:unhideWhenUsed/>
    <w:qFormat/>
    <w:pPr>
      <w:keepLines/>
      <w:keepNext/>
      <w:spacing w:before="320" w:after="200"/>
      <w:outlineLvl w:val="3"/>
    </w:pPr>
    <w:rPr>
      <w:rFonts w:ascii="Arial" w:hAnsi="Arial" w:eastAsia="Arial" w:cs="Arial"/>
      <w:b/>
      <w:bCs/>
      <w:sz w:val="26"/>
      <w:szCs w:val="26"/>
    </w:rPr>
  </w:style>
  <w:style w:type="paragraph" w:styleId="943" w:customStyle="1">
    <w:name w:val="标题 51"/>
    <w:basedOn w:val="896"/>
    <w:next w:val="896"/>
    <w:link w:val="952"/>
    <w:uiPriority w:val="9"/>
    <w:unhideWhenUsed/>
    <w:qFormat/>
    <w:pPr>
      <w:keepLines/>
      <w:keepNext/>
      <w:spacing w:before="320" w:after="200"/>
      <w:outlineLvl w:val="4"/>
    </w:pPr>
    <w:rPr>
      <w:rFonts w:ascii="Arial" w:hAnsi="Arial" w:eastAsia="Arial" w:cs="Arial"/>
      <w:b/>
      <w:bCs/>
      <w:sz w:val="24"/>
    </w:rPr>
  </w:style>
  <w:style w:type="paragraph" w:styleId="944" w:customStyle="1">
    <w:name w:val="标题 61"/>
    <w:basedOn w:val="896"/>
    <w:next w:val="896"/>
    <w:link w:val="953"/>
    <w:uiPriority w:val="9"/>
    <w:unhideWhenUsed/>
    <w:qFormat/>
    <w:pPr>
      <w:keepLines/>
      <w:keepNext/>
      <w:spacing w:before="320" w:after="200"/>
      <w:outlineLvl w:val="5"/>
    </w:pPr>
    <w:rPr>
      <w:rFonts w:ascii="Arial" w:hAnsi="Arial" w:eastAsia="Arial" w:cs="Arial"/>
      <w:b/>
      <w:bCs/>
      <w:sz w:val="22"/>
      <w:szCs w:val="22"/>
    </w:rPr>
  </w:style>
  <w:style w:type="paragraph" w:styleId="945" w:customStyle="1">
    <w:name w:val="标题 71"/>
    <w:basedOn w:val="896"/>
    <w:next w:val="896"/>
    <w:link w:val="954"/>
    <w:uiPriority w:val="9"/>
    <w:unhideWhenUsed/>
    <w:qFormat/>
    <w:pPr>
      <w:keepLines/>
      <w:keepNext/>
      <w:spacing w:before="320" w:after="200"/>
      <w:outlineLvl w:val="6"/>
    </w:pPr>
    <w:rPr>
      <w:rFonts w:ascii="Arial" w:hAnsi="Arial" w:eastAsia="Arial" w:cs="Arial"/>
      <w:b/>
      <w:bCs/>
      <w:i/>
      <w:iCs/>
      <w:sz w:val="22"/>
      <w:szCs w:val="22"/>
    </w:rPr>
  </w:style>
  <w:style w:type="paragraph" w:styleId="946" w:customStyle="1">
    <w:name w:val="标题 81"/>
    <w:basedOn w:val="896"/>
    <w:next w:val="896"/>
    <w:link w:val="955"/>
    <w:uiPriority w:val="9"/>
    <w:unhideWhenUsed/>
    <w:qFormat/>
    <w:pPr>
      <w:keepLines/>
      <w:keepNext/>
      <w:spacing w:before="320" w:after="200"/>
      <w:outlineLvl w:val="7"/>
    </w:pPr>
    <w:rPr>
      <w:rFonts w:ascii="Arial" w:hAnsi="Arial" w:eastAsia="Arial" w:cs="Arial"/>
      <w:i/>
      <w:iCs/>
      <w:sz w:val="22"/>
      <w:szCs w:val="22"/>
    </w:rPr>
  </w:style>
  <w:style w:type="paragraph" w:styleId="947" w:customStyle="1">
    <w:name w:val="标题 91"/>
    <w:basedOn w:val="896"/>
    <w:next w:val="896"/>
    <w:link w:val="956"/>
    <w:uiPriority w:val="9"/>
    <w:unhideWhenUsed/>
    <w:qFormat/>
    <w:pPr>
      <w:keepLines/>
      <w:keepNext/>
      <w:spacing w:before="320" w:after="200"/>
      <w:outlineLvl w:val="8"/>
    </w:pPr>
    <w:rPr>
      <w:rFonts w:ascii="Arial" w:hAnsi="Arial" w:eastAsia="Arial" w:cs="Arial"/>
      <w:i/>
      <w:iCs/>
      <w:szCs w:val="21"/>
    </w:rPr>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标题 1 Char"/>
    <w:basedOn w:val="939"/>
    <w:link w:val="940"/>
    <w:uiPriority w:val="0"/>
    <w:qFormat/>
    <w:rPr>
      <w:rFonts w:ascii="Times New Roman" w:hAnsi="Times New Roman" w:eastAsia="新宋体" w:cs="Times New Roman"/>
      <w:b/>
      <w:bCs/>
      <w:sz w:val="30"/>
      <w:szCs w:val="44"/>
    </w:rPr>
  </w:style>
  <w:style w:type="character" w:styleId="950" w:customStyle="1">
    <w:name w:val="标题 2 Char"/>
    <w:basedOn w:val="939"/>
    <w:link w:val="941"/>
    <w:uiPriority w:val="9"/>
    <w:qFormat/>
    <w:rPr>
      <w:rFonts w:ascii="Calibri Light" w:hAnsi="Calibri Light" w:eastAsia="黑体" w:cs="Times New Roman"/>
      <w:b/>
      <w:bCs/>
      <w:sz w:val="32"/>
      <w:szCs w:val="32"/>
    </w:rPr>
  </w:style>
  <w:style w:type="character" w:styleId="951" w:customStyle="1">
    <w:name w:val="标题 4 Char"/>
    <w:basedOn w:val="939"/>
    <w:link w:val="942"/>
    <w:uiPriority w:val="9"/>
    <w:qFormat/>
    <w:rPr>
      <w:rFonts w:ascii="Arial" w:hAnsi="Arial" w:eastAsia="Arial" w:cs="Arial"/>
      <w:b/>
      <w:bCs/>
      <w:sz w:val="26"/>
      <w:szCs w:val="26"/>
    </w:rPr>
  </w:style>
  <w:style w:type="character" w:styleId="952" w:customStyle="1">
    <w:name w:val="标题 5 Char"/>
    <w:basedOn w:val="939"/>
    <w:link w:val="943"/>
    <w:uiPriority w:val="9"/>
    <w:qFormat/>
    <w:rPr>
      <w:rFonts w:ascii="Arial" w:hAnsi="Arial" w:eastAsia="Arial" w:cs="Arial"/>
      <w:b/>
      <w:bCs/>
      <w:sz w:val="24"/>
      <w:szCs w:val="24"/>
    </w:rPr>
  </w:style>
  <w:style w:type="character" w:styleId="953" w:customStyle="1">
    <w:name w:val="标题 6 Char"/>
    <w:basedOn w:val="939"/>
    <w:link w:val="944"/>
    <w:uiPriority w:val="9"/>
    <w:qFormat/>
    <w:rPr>
      <w:rFonts w:ascii="Arial" w:hAnsi="Arial" w:eastAsia="Arial" w:cs="Arial"/>
      <w:b/>
      <w:bCs/>
      <w:sz w:val="22"/>
      <w:szCs w:val="22"/>
    </w:rPr>
  </w:style>
  <w:style w:type="character" w:styleId="954" w:customStyle="1">
    <w:name w:val="标题 7 Char"/>
    <w:basedOn w:val="939"/>
    <w:link w:val="945"/>
    <w:uiPriority w:val="9"/>
    <w:qFormat/>
    <w:rPr>
      <w:rFonts w:ascii="Arial" w:hAnsi="Arial" w:eastAsia="Arial" w:cs="Arial"/>
      <w:b/>
      <w:bCs/>
      <w:i/>
      <w:iCs/>
      <w:sz w:val="22"/>
      <w:szCs w:val="22"/>
    </w:rPr>
  </w:style>
  <w:style w:type="character" w:styleId="955" w:customStyle="1">
    <w:name w:val="标题 8 Char"/>
    <w:basedOn w:val="939"/>
    <w:link w:val="946"/>
    <w:uiPriority w:val="9"/>
    <w:qFormat/>
    <w:rPr>
      <w:rFonts w:ascii="Arial" w:hAnsi="Arial" w:eastAsia="Arial" w:cs="Arial"/>
      <w:i/>
      <w:iCs/>
      <w:sz w:val="22"/>
      <w:szCs w:val="22"/>
    </w:rPr>
  </w:style>
  <w:style w:type="character" w:styleId="956" w:customStyle="1">
    <w:name w:val="标题 9 Char"/>
    <w:basedOn w:val="939"/>
    <w:link w:val="947"/>
    <w:uiPriority w:val="9"/>
    <w:qFormat/>
    <w:rPr>
      <w:rFonts w:ascii="Arial" w:hAnsi="Arial" w:eastAsia="Arial" w:cs="Arial"/>
      <w:i/>
      <w:iCs/>
      <w:sz w:val="21"/>
      <w:szCs w:val="21"/>
    </w:rPr>
  </w:style>
  <w:style w:type="paragraph" w:styleId="957" w:customStyle="1">
    <w:name w:val="目录 71"/>
    <w:basedOn w:val="896"/>
    <w:next w:val="896"/>
    <w:uiPriority w:val="39"/>
    <w:unhideWhenUsed/>
    <w:qFormat/>
    <w:pPr>
      <w:ind w:left="1701"/>
      <w:spacing w:after="57"/>
    </w:pPr>
  </w:style>
  <w:style w:type="paragraph" w:styleId="958" w:customStyle="1">
    <w:name w:val="正文缩进111"/>
    <w:basedOn w:val="896"/>
    <w:uiPriority w:val="0"/>
    <w:qFormat/>
    <w:pPr>
      <w:ind w:firstLine="420"/>
    </w:pPr>
  </w:style>
  <w:style w:type="paragraph" w:styleId="959" w:customStyle="1">
    <w:name w:val="题注1"/>
    <w:basedOn w:val="896"/>
    <w:next w:val="896"/>
    <w:uiPriority w:val="35"/>
    <w:unhideWhenUsed/>
    <w:qFormat/>
    <w:pPr>
      <w:spacing w:line="276" w:lineRule="auto"/>
    </w:pPr>
    <w:rPr>
      <w:b/>
      <w:bCs/>
      <w:color w:val="5b9bd5"/>
      <w:sz w:val="18"/>
      <w:szCs w:val="18"/>
    </w:rPr>
  </w:style>
  <w:style w:type="paragraph" w:styleId="960" w:customStyle="1">
    <w:name w:val="索引 511"/>
    <w:basedOn w:val="896"/>
    <w:next w:val="896"/>
    <w:uiPriority w:val="0"/>
    <w:qFormat/>
    <w:pPr>
      <w:ind w:left="798"/>
      <w:jc w:val="left"/>
    </w:pPr>
    <w:rPr>
      <w:rFonts w:ascii="Calibri" w:hAnsi="Calibri"/>
    </w:rPr>
  </w:style>
  <w:style w:type="paragraph" w:styleId="961" w:customStyle="1">
    <w:name w:val="批注文字1"/>
    <w:basedOn w:val="896"/>
    <w:link w:val="962"/>
    <w:uiPriority w:val="0"/>
    <w:unhideWhenUsed/>
    <w:qFormat/>
    <w:pPr>
      <w:jc w:val="left"/>
    </w:pPr>
  </w:style>
  <w:style w:type="character" w:styleId="962" w:customStyle="1">
    <w:name w:val="批注文字 Char"/>
    <w:basedOn w:val="939"/>
    <w:link w:val="961"/>
    <w:uiPriority w:val="0"/>
    <w:semiHidden/>
    <w:qFormat/>
    <w:rPr>
      <w:rFonts w:ascii="Times New Roman" w:hAnsi="Times New Roman" w:eastAsia="宋体" w:cs="Times New Roman"/>
      <w:sz w:val="21"/>
      <w:szCs w:val="24"/>
    </w:rPr>
  </w:style>
  <w:style w:type="paragraph" w:styleId="963" w:customStyle="1">
    <w:name w:val="正文文本12"/>
    <w:basedOn w:val="896"/>
    <w:next w:val="896"/>
    <w:link w:val="964"/>
    <w:uiPriority w:val="99"/>
    <w:qFormat/>
    <w:pPr>
      <w:spacing w:after="120"/>
    </w:pPr>
    <w:rPr>
      <w:rFonts w:ascii="Calibri" w:hAnsi="Calibri"/>
    </w:rPr>
  </w:style>
  <w:style w:type="character" w:styleId="964" w:customStyle="1">
    <w:name w:val="正文文本 Char"/>
    <w:basedOn w:val="939"/>
    <w:link w:val="963"/>
    <w:uiPriority w:val="99"/>
    <w:qFormat/>
    <w:rPr>
      <w:rFonts w:ascii="Calibri" w:hAnsi="Calibri" w:eastAsia="宋体" w:cs="Times New Roman"/>
      <w:sz w:val="21"/>
      <w:szCs w:val="24"/>
    </w:rPr>
  </w:style>
  <w:style w:type="paragraph" w:styleId="965" w:customStyle="1">
    <w:name w:val="正文文本缩进11"/>
    <w:basedOn w:val="896"/>
    <w:uiPriority w:val="0"/>
    <w:qFormat/>
    <w:pPr>
      <w:ind w:left="420"/>
      <w:spacing w:after="120"/>
    </w:pPr>
    <w:rPr>
      <w:rFonts w:ascii="Calibri" w:hAnsi="Calibri"/>
    </w:rPr>
  </w:style>
  <w:style w:type="paragraph" w:styleId="966" w:customStyle="1">
    <w:name w:val="文本块1"/>
    <w:basedOn w:val="896"/>
    <w:uiPriority w:val="99"/>
    <w:unhideWhenUsed/>
    <w:qFormat/>
    <w:pPr>
      <w:ind w:left="1440" w:right="1440"/>
      <w:spacing w:after="120"/>
    </w:pPr>
  </w:style>
  <w:style w:type="paragraph" w:styleId="967" w:customStyle="1">
    <w:name w:val="索引 41"/>
    <w:basedOn w:val="896"/>
    <w:next w:val="896"/>
    <w:uiPriority w:val="99"/>
    <w:qFormat/>
    <w:pPr>
      <w:ind w:left="600"/>
    </w:pPr>
    <w:rPr>
      <w:rFonts w:ascii="Calibri" w:hAnsi="Calibri"/>
    </w:rPr>
  </w:style>
  <w:style w:type="paragraph" w:styleId="968" w:customStyle="1">
    <w:name w:val="目录 51"/>
    <w:basedOn w:val="896"/>
    <w:next w:val="896"/>
    <w:uiPriority w:val="39"/>
    <w:unhideWhenUsed/>
    <w:qFormat/>
    <w:pPr>
      <w:ind w:left="1134"/>
      <w:spacing w:after="57"/>
    </w:pPr>
  </w:style>
  <w:style w:type="paragraph" w:styleId="969" w:customStyle="1">
    <w:name w:val="目录 31"/>
    <w:basedOn w:val="896"/>
    <w:next w:val="896"/>
    <w:uiPriority w:val="39"/>
    <w:unhideWhenUsed/>
    <w:qFormat/>
    <w:pPr>
      <w:ind w:left="567"/>
      <w:spacing w:after="57"/>
    </w:pPr>
  </w:style>
  <w:style w:type="paragraph" w:styleId="970" w:customStyle="1">
    <w:name w:val="纯文本12"/>
    <w:basedOn w:val="896"/>
    <w:link w:val="971"/>
    <w:uiPriority w:val="0"/>
    <w:qFormat/>
    <w:rPr>
      <w:rFonts w:ascii="宋体" w:hAnsi="Courier New"/>
      <w:sz w:val="20"/>
      <w:szCs w:val="20"/>
    </w:rPr>
  </w:style>
  <w:style w:type="character" w:styleId="971" w:customStyle="1">
    <w:name w:val="纯文本 Char"/>
    <w:basedOn w:val="939"/>
    <w:link w:val="970"/>
    <w:uiPriority w:val="0"/>
    <w:qFormat/>
    <w:rPr>
      <w:rFonts w:ascii="宋体" w:hAnsi="Courier New"/>
      <w:sz w:val="20"/>
      <w:szCs w:val="20"/>
    </w:rPr>
  </w:style>
  <w:style w:type="paragraph" w:styleId="972" w:customStyle="1">
    <w:name w:val="目录 81"/>
    <w:basedOn w:val="896"/>
    <w:next w:val="896"/>
    <w:uiPriority w:val="39"/>
    <w:unhideWhenUsed/>
    <w:qFormat/>
    <w:pPr>
      <w:ind w:left="1984"/>
      <w:spacing w:after="57"/>
    </w:pPr>
  </w:style>
  <w:style w:type="paragraph" w:styleId="973" w:customStyle="1">
    <w:name w:val="日期1"/>
    <w:basedOn w:val="896"/>
    <w:next w:val="896"/>
    <w:uiPriority w:val="0"/>
    <w:qFormat/>
    <w:rPr>
      <w:rFonts w:eastAsia="仿宋_GB2312"/>
      <w:sz w:val="28"/>
      <w:szCs w:val="20"/>
    </w:rPr>
  </w:style>
  <w:style w:type="paragraph" w:styleId="974" w:customStyle="1">
    <w:name w:val="尾注文本1"/>
    <w:basedOn w:val="896"/>
    <w:link w:val="975"/>
    <w:uiPriority w:val="99"/>
    <w:unhideWhenUsed/>
    <w:qFormat/>
    <w:rPr>
      <w:sz w:val="20"/>
    </w:rPr>
  </w:style>
  <w:style w:type="character" w:styleId="975" w:customStyle="1">
    <w:name w:val="尾注文本 Char"/>
    <w:link w:val="974"/>
    <w:uiPriority w:val="99"/>
    <w:qFormat/>
    <w:rPr>
      <w:sz w:val="20"/>
    </w:rPr>
  </w:style>
  <w:style w:type="paragraph" w:styleId="976" w:customStyle="1">
    <w:name w:val="批注框文本1"/>
    <w:basedOn w:val="896"/>
    <w:link w:val="977"/>
    <w:uiPriority w:val="0"/>
    <w:qFormat/>
    <w:rPr>
      <w:sz w:val="18"/>
      <w:szCs w:val="18"/>
    </w:rPr>
  </w:style>
  <w:style w:type="character" w:styleId="977" w:customStyle="1">
    <w:name w:val="批注框文本 Char"/>
    <w:basedOn w:val="939"/>
    <w:link w:val="976"/>
    <w:uiPriority w:val="0"/>
    <w:qFormat/>
    <w:rPr>
      <w:rFonts w:ascii="Times New Roman" w:hAnsi="Times New Roman" w:eastAsia="宋体" w:cs="Times New Roman"/>
      <w:sz w:val="18"/>
      <w:szCs w:val="18"/>
    </w:rPr>
  </w:style>
  <w:style w:type="paragraph" w:styleId="978" w:customStyle="1">
    <w:name w:val="页脚11"/>
    <w:basedOn w:val="896"/>
    <w:link w:val="979"/>
    <w:uiPriority w:val="99"/>
    <w:qFormat/>
    <w:pPr>
      <w:jc w:val="left"/>
      <w:tabs>
        <w:tab w:val="center" w:pos="4153" w:leader="none"/>
        <w:tab w:val="right" w:pos="8306" w:leader="none"/>
      </w:tabs>
    </w:pPr>
    <w:rPr>
      <w:sz w:val="18"/>
      <w:szCs w:val="18"/>
    </w:rPr>
  </w:style>
  <w:style w:type="character" w:styleId="979" w:customStyle="1">
    <w:name w:val="页脚 Char"/>
    <w:basedOn w:val="939"/>
    <w:link w:val="978"/>
    <w:uiPriority w:val="99"/>
    <w:qFormat/>
    <w:rPr>
      <w:rFonts w:ascii="Times New Roman" w:hAnsi="Times New Roman" w:eastAsia="宋体" w:cs="Times New Roman"/>
      <w:sz w:val="18"/>
      <w:szCs w:val="18"/>
    </w:rPr>
  </w:style>
  <w:style w:type="paragraph" w:styleId="980" w:customStyle="1">
    <w:name w:val="页眉1"/>
    <w:basedOn w:val="896"/>
    <w:link w:val="981"/>
    <w:uiPriority w:val="99"/>
    <w:qFormat/>
    <w:pPr>
      <w:jc w:val="center"/>
      <w:tabs>
        <w:tab w:val="center" w:pos="4153" w:leader="none"/>
        <w:tab w:val="right" w:pos="8306" w:leader="none"/>
      </w:tabs>
      <w:pBdr>
        <w:bottom w:val="single" w:color="000000" w:sz="6" w:space="1"/>
      </w:pBdr>
    </w:pPr>
    <w:rPr>
      <w:sz w:val="18"/>
      <w:szCs w:val="18"/>
    </w:rPr>
  </w:style>
  <w:style w:type="character" w:styleId="981" w:customStyle="1">
    <w:name w:val="页眉 Char"/>
    <w:basedOn w:val="939"/>
    <w:link w:val="980"/>
    <w:uiPriority w:val="99"/>
    <w:qFormat/>
    <w:rPr>
      <w:rFonts w:ascii="Times New Roman" w:hAnsi="Times New Roman" w:eastAsia="宋体" w:cs="Times New Roman"/>
      <w:sz w:val="18"/>
      <w:szCs w:val="18"/>
    </w:rPr>
  </w:style>
  <w:style w:type="paragraph" w:styleId="982" w:customStyle="1">
    <w:name w:val="目录 1111"/>
    <w:basedOn w:val="896"/>
    <w:next w:val="896"/>
    <w:uiPriority w:val="39"/>
    <w:qFormat/>
  </w:style>
  <w:style w:type="paragraph" w:styleId="983" w:customStyle="1">
    <w:name w:val="目录 41"/>
    <w:basedOn w:val="896"/>
    <w:next w:val="896"/>
    <w:uiPriority w:val="39"/>
    <w:unhideWhenUsed/>
    <w:qFormat/>
    <w:pPr>
      <w:ind w:left="850"/>
      <w:spacing w:after="57"/>
    </w:pPr>
  </w:style>
  <w:style w:type="paragraph" w:styleId="984" w:customStyle="1">
    <w:name w:val="副标题1"/>
    <w:basedOn w:val="896"/>
    <w:next w:val="896"/>
    <w:link w:val="985"/>
    <w:uiPriority w:val="11"/>
    <w:qFormat/>
    <w:pPr>
      <w:spacing w:before="200" w:after="200"/>
    </w:pPr>
    <w:rPr>
      <w:sz w:val="24"/>
    </w:rPr>
  </w:style>
  <w:style w:type="character" w:styleId="985" w:customStyle="1">
    <w:name w:val="副标题 Char"/>
    <w:basedOn w:val="939"/>
    <w:link w:val="984"/>
    <w:uiPriority w:val="11"/>
    <w:qFormat/>
    <w:rPr>
      <w:sz w:val="24"/>
      <w:szCs w:val="24"/>
    </w:rPr>
  </w:style>
  <w:style w:type="paragraph" w:styleId="986" w:customStyle="1">
    <w:name w:val="脚注文本11"/>
    <w:basedOn w:val="896"/>
    <w:next w:val="960"/>
    <w:uiPriority w:val="0"/>
    <w:qFormat/>
    <w:pPr>
      <w:jc w:val="left"/>
    </w:pPr>
    <w:rPr>
      <w:rFonts w:ascii="宋体" w:eastAsia="Times New Roman"/>
      <w:sz w:val="18"/>
      <w:szCs w:val="18"/>
    </w:rPr>
  </w:style>
  <w:style w:type="paragraph" w:styleId="987" w:customStyle="1">
    <w:name w:val="目录 61"/>
    <w:basedOn w:val="896"/>
    <w:next w:val="896"/>
    <w:uiPriority w:val="39"/>
    <w:unhideWhenUsed/>
    <w:qFormat/>
    <w:pPr>
      <w:ind w:left="1417"/>
      <w:spacing w:after="57"/>
    </w:pPr>
  </w:style>
  <w:style w:type="paragraph" w:styleId="988" w:customStyle="1">
    <w:name w:val="图表目录1"/>
    <w:basedOn w:val="896"/>
    <w:next w:val="896"/>
    <w:uiPriority w:val="99"/>
    <w:unhideWhenUsed/>
    <w:qFormat/>
  </w:style>
  <w:style w:type="paragraph" w:styleId="989" w:customStyle="1">
    <w:name w:val="目录 21"/>
    <w:basedOn w:val="896"/>
    <w:next w:val="896"/>
    <w:uiPriority w:val="39"/>
    <w:unhideWhenUsed/>
    <w:qFormat/>
    <w:pPr>
      <w:ind w:left="283"/>
      <w:spacing w:after="57"/>
    </w:pPr>
  </w:style>
  <w:style w:type="paragraph" w:styleId="990" w:customStyle="1">
    <w:name w:val="目录 91"/>
    <w:basedOn w:val="896"/>
    <w:next w:val="896"/>
    <w:uiPriority w:val="39"/>
    <w:unhideWhenUsed/>
    <w:qFormat/>
    <w:pPr>
      <w:ind w:left="2268"/>
      <w:spacing w:after="57"/>
    </w:pPr>
  </w:style>
  <w:style w:type="paragraph" w:styleId="991" w:customStyle="1">
    <w:name w:val="普通(网站)11"/>
    <w:basedOn w:val="896"/>
    <w:uiPriority w:val="0"/>
    <w:qFormat/>
    <w:pPr>
      <w:jc w:val="left"/>
      <w:spacing w:before="100" w:beforeAutospacing="1" w:after="100" w:afterAutospacing="1"/>
      <w:widowControl/>
    </w:pPr>
    <w:rPr>
      <w:rFonts w:ascii="宋体" w:hAnsi="宋体" w:cs="宋体"/>
      <w:sz w:val="24"/>
    </w:rPr>
  </w:style>
  <w:style w:type="paragraph" w:styleId="992" w:customStyle="1">
    <w:name w:val="标题1"/>
    <w:basedOn w:val="896"/>
    <w:next w:val="896"/>
    <w:link w:val="993"/>
    <w:uiPriority w:val="10"/>
    <w:qFormat/>
    <w:pPr>
      <w:contextualSpacing/>
      <w:spacing w:before="300" w:after="200"/>
    </w:pPr>
    <w:rPr>
      <w:sz w:val="48"/>
      <w:szCs w:val="48"/>
    </w:rPr>
  </w:style>
  <w:style w:type="character" w:styleId="993" w:customStyle="1">
    <w:name w:val="标题 Char"/>
    <w:basedOn w:val="939"/>
    <w:link w:val="992"/>
    <w:uiPriority w:val="10"/>
    <w:qFormat/>
    <w:rPr>
      <w:sz w:val="48"/>
      <w:szCs w:val="48"/>
    </w:rPr>
  </w:style>
  <w:style w:type="paragraph" w:styleId="994" w:customStyle="1">
    <w:name w:val="批注主题1"/>
    <w:basedOn w:val="961"/>
    <w:next w:val="961"/>
    <w:link w:val="995"/>
    <w:uiPriority w:val="0"/>
    <w:unhideWhenUsed/>
    <w:qFormat/>
    <w:rPr>
      <w:b/>
      <w:bCs/>
    </w:rPr>
  </w:style>
  <w:style w:type="character" w:styleId="995" w:customStyle="1">
    <w:name w:val="批注主题 Char"/>
    <w:basedOn w:val="962"/>
    <w:link w:val="994"/>
    <w:uiPriority w:val="0"/>
    <w:semiHidden/>
    <w:qFormat/>
    <w:rPr>
      <w:rFonts w:ascii="Times New Roman" w:hAnsi="Times New Roman" w:eastAsia="宋体" w:cs="Times New Roman"/>
      <w:b/>
      <w:bCs/>
      <w:sz w:val="21"/>
      <w:szCs w:val="24"/>
    </w:rPr>
  </w:style>
  <w:style w:type="paragraph" w:styleId="996" w:customStyle="1">
    <w:name w:val="正文首行缩进1"/>
    <w:basedOn w:val="963"/>
    <w:next w:val="997"/>
    <w:uiPriority w:val="0"/>
    <w:qFormat/>
    <w:pPr>
      <w:ind w:firstLine="420"/>
    </w:pPr>
  </w:style>
  <w:style w:type="paragraph" w:styleId="997" w:customStyle="1">
    <w:name w:val="正文首行缩进 21"/>
    <w:basedOn w:val="965"/>
    <w:next w:val="896"/>
    <w:uiPriority w:val="0"/>
    <w:qFormat/>
    <w:pPr>
      <w:ind w:firstLine="420"/>
      <w:spacing w:line="360" w:lineRule="auto"/>
    </w:pPr>
    <w:rPr>
      <w:color w:val="000000"/>
      <w:sz w:val="20"/>
    </w:rPr>
  </w:style>
  <w:style w:type="table" w:styleId="998" w:customStyle="1">
    <w:name w:val="网格型1"/>
    <w:basedOn w:val="948"/>
    <w:uiPriority w:val="39"/>
    <w:qFormat/>
    <w:tblPr/>
  </w:style>
  <w:style w:type="character" w:styleId="999" w:customStyle="1">
    <w:name w:val="要点1"/>
    <w:basedOn w:val="939"/>
    <w:uiPriority w:val="22"/>
    <w:qFormat/>
    <w:rPr>
      <w:b/>
      <w:vanish/>
    </w:rPr>
  </w:style>
  <w:style w:type="character" w:styleId="1000" w:customStyle="1">
    <w:name w:val="尾注引用1"/>
    <w:basedOn w:val="939"/>
    <w:uiPriority w:val="99"/>
    <w:unhideWhenUsed/>
    <w:qFormat/>
    <w:rPr>
      <w:vertAlign w:val="superscript"/>
    </w:rPr>
  </w:style>
  <w:style w:type="character" w:styleId="1001" w:customStyle="1">
    <w:name w:val="页码1"/>
    <w:basedOn w:val="939"/>
    <w:uiPriority w:val="0"/>
    <w:qFormat/>
  </w:style>
  <w:style w:type="character" w:styleId="1002" w:customStyle="1">
    <w:name w:val="已访问的超链接1"/>
    <w:basedOn w:val="939"/>
    <w:uiPriority w:val="99"/>
    <w:unhideWhenUsed/>
    <w:qFormat/>
    <w:rPr>
      <w:color w:val="800080"/>
      <w:u w:val="none"/>
    </w:rPr>
  </w:style>
  <w:style w:type="character" w:styleId="1003" w:customStyle="1">
    <w:name w:val="强调1"/>
    <w:basedOn w:val="939"/>
    <w:uiPriority w:val="20"/>
    <w:qFormat/>
    <w:rPr>
      <w:b/>
    </w:rPr>
  </w:style>
  <w:style w:type="character" w:styleId="1004" w:customStyle="1">
    <w:name w:val="HTML 定义1"/>
    <w:basedOn w:val="939"/>
    <w:uiPriority w:val="99"/>
    <w:unhideWhenUsed/>
    <w:qFormat/>
  </w:style>
  <w:style w:type="character" w:styleId="1005" w:customStyle="1">
    <w:name w:val="HTML 打字机1"/>
    <w:basedOn w:val="939"/>
    <w:uiPriority w:val="99"/>
    <w:unhideWhenUsed/>
    <w:qFormat/>
    <w:rPr>
      <w:rFonts w:ascii="monospace" w:hAnsi="monospace" w:eastAsia="monospace" w:cs="monospace"/>
      <w:sz w:val="20"/>
    </w:rPr>
  </w:style>
  <w:style w:type="character" w:styleId="1006" w:customStyle="1">
    <w:name w:val="HTML 缩写1"/>
    <w:basedOn w:val="939"/>
    <w:uiPriority w:val="99"/>
    <w:unhideWhenUsed/>
    <w:qFormat/>
  </w:style>
  <w:style w:type="character" w:styleId="1007" w:customStyle="1">
    <w:name w:val="HTML 变量1"/>
    <w:basedOn w:val="939"/>
    <w:uiPriority w:val="99"/>
    <w:unhideWhenUsed/>
    <w:qFormat/>
  </w:style>
  <w:style w:type="character" w:styleId="1008" w:customStyle="1">
    <w:name w:val="超链接1"/>
    <w:basedOn w:val="939"/>
    <w:uiPriority w:val="99"/>
    <w:unhideWhenUsed/>
    <w:qFormat/>
    <w:rPr>
      <w:color w:val="0000ff"/>
      <w:u w:val="none"/>
    </w:rPr>
  </w:style>
  <w:style w:type="character" w:styleId="1009" w:customStyle="1">
    <w:name w:val="HTML 代码1"/>
    <w:basedOn w:val="939"/>
    <w:uiPriority w:val="99"/>
    <w:unhideWhenUsed/>
    <w:qFormat/>
    <w:rPr>
      <w:rFonts w:ascii="monospace" w:hAnsi="monospace" w:eastAsia="monospace" w:cs="monospace"/>
      <w:sz w:val="20"/>
    </w:rPr>
  </w:style>
  <w:style w:type="character" w:styleId="1010" w:customStyle="1">
    <w:name w:val="批注引用1"/>
    <w:basedOn w:val="939"/>
    <w:uiPriority w:val="0"/>
    <w:unhideWhenUsed/>
    <w:qFormat/>
    <w:rPr>
      <w:sz w:val="21"/>
      <w:szCs w:val="21"/>
    </w:rPr>
  </w:style>
  <w:style w:type="character" w:styleId="1011" w:customStyle="1">
    <w:name w:val="HTML 引文1"/>
    <w:basedOn w:val="939"/>
    <w:uiPriority w:val="99"/>
    <w:unhideWhenUsed/>
    <w:qFormat/>
  </w:style>
  <w:style w:type="character" w:styleId="1012" w:customStyle="1">
    <w:name w:val="脚注引用1"/>
    <w:basedOn w:val="939"/>
    <w:uiPriority w:val="99"/>
    <w:unhideWhenUsed/>
    <w:qFormat/>
    <w:rPr>
      <w:vertAlign w:val="superscript"/>
    </w:rPr>
  </w:style>
  <w:style w:type="character" w:styleId="1013" w:customStyle="1">
    <w:name w:val="HTML 键盘1"/>
    <w:basedOn w:val="939"/>
    <w:uiPriority w:val="99"/>
    <w:unhideWhenUsed/>
    <w:qFormat/>
    <w:rPr>
      <w:rFonts w:ascii="monospace" w:hAnsi="monospace" w:eastAsia="monospace" w:cs="monospace"/>
      <w:sz w:val="20"/>
    </w:rPr>
  </w:style>
  <w:style w:type="character" w:styleId="1014" w:customStyle="1">
    <w:name w:val="HTML 样本1"/>
    <w:basedOn w:val="939"/>
    <w:uiPriority w:val="99"/>
    <w:unhideWhenUsed/>
    <w:qFormat/>
    <w:rPr>
      <w:rFonts w:ascii="monospace" w:hAnsi="monospace" w:eastAsia="monospace" w:cs="monospace"/>
    </w:rPr>
  </w:style>
  <w:style w:type="character" w:styleId="1015" w:customStyle="1">
    <w:name w:val="wyg1"/>
    <w:uiPriority w:val="6"/>
    <w:qFormat/>
    <w:rPr>
      <w:rFonts w:ascii="Times New Roman" w:hAnsi="Times New Roman" w:eastAsia="宋体" w:cs="Times New Roman"/>
      <w:sz w:val="21"/>
      <w:szCs w:val="24"/>
      <w:lang w:val="en-US" w:eastAsia="zh-CN" w:bidi="ar-SA"/>
    </w:rPr>
  </w:style>
  <w:style w:type="paragraph" w:styleId="1016" w:customStyle="1">
    <w:name w:val="正文缩进1"/>
    <w:basedOn w:val="896"/>
    <w:uiPriority w:val="0"/>
    <w:qFormat/>
    <w:pPr>
      <w:ind w:firstLine="420"/>
    </w:pPr>
  </w:style>
  <w:style w:type="character" w:styleId="1017" w:customStyle="1">
    <w:name w:val="Heading 4 Char"/>
    <w:basedOn w:val="939"/>
    <w:uiPriority w:val="9"/>
    <w:qFormat/>
    <w:rPr>
      <w:rFonts w:ascii="Arial" w:hAnsi="Arial" w:eastAsia="Arial" w:cs="Arial"/>
      <w:b/>
      <w:bCs/>
      <w:sz w:val="26"/>
      <w:szCs w:val="26"/>
    </w:rPr>
  </w:style>
  <w:style w:type="character" w:styleId="1018" w:customStyle="1">
    <w:name w:val="Heading 5 Char"/>
    <w:basedOn w:val="939"/>
    <w:uiPriority w:val="9"/>
    <w:qFormat/>
    <w:rPr>
      <w:rFonts w:ascii="Arial" w:hAnsi="Arial" w:eastAsia="Arial" w:cs="Arial"/>
      <w:b/>
      <w:bCs/>
      <w:sz w:val="24"/>
      <w:szCs w:val="24"/>
    </w:rPr>
  </w:style>
  <w:style w:type="character" w:styleId="1019" w:customStyle="1">
    <w:name w:val="Heading 6 Char"/>
    <w:basedOn w:val="939"/>
    <w:uiPriority w:val="9"/>
    <w:qFormat/>
    <w:rPr>
      <w:rFonts w:ascii="Arial" w:hAnsi="Arial" w:eastAsia="Arial" w:cs="Arial"/>
      <w:b/>
      <w:bCs/>
      <w:sz w:val="22"/>
      <w:szCs w:val="22"/>
    </w:rPr>
  </w:style>
  <w:style w:type="character" w:styleId="1020" w:customStyle="1">
    <w:name w:val="Heading 7 Char"/>
    <w:basedOn w:val="939"/>
    <w:uiPriority w:val="9"/>
    <w:qFormat/>
    <w:rPr>
      <w:rFonts w:ascii="Arial" w:hAnsi="Arial" w:eastAsia="Arial" w:cs="Arial"/>
      <w:b/>
      <w:bCs/>
      <w:i/>
      <w:iCs/>
      <w:sz w:val="22"/>
      <w:szCs w:val="22"/>
    </w:rPr>
  </w:style>
  <w:style w:type="character" w:styleId="1021" w:customStyle="1">
    <w:name w:val="Heading 8 Char"/>
    <w:basedOn w:val="939"/>
    <w:uiPriority w:val="9"/>
    <w:qFormat/>
    <w:rPr>
      <w:rFonts w:ascii="Arial" w:hAnsi="Arial" w:eastAsia="Arial" w:cs="Arial"/>
      <w:i/>
      <w:iCs/>
      <w:sz w:val="22"/>
      <w:szCs w:val="22"/>
    </w:rPr>
  </w:style>
  <w:style w:type="character" w:styleId="1022" w:customStyle="1">
    <w:name w:val="Heading 9 Char"/>
    <w:basedOn w:val="939"/>
    <w:uiPriority w:val="9"/>
    <w:qFormat/>
    <w:rPr>
      <w:rFonts w:ascii="Arial" w:hAnsi="Arial" w:eastAsia="Arial" w:cs="Arial"/>
      <w:i/>
      <w:iCs/>
      <w:sz w:val="21"/>
      <w:szCs w:val="21"/>
    </w:rPr>
  </w:style>
  <w:style w:type="character" w:styleId="1023" w:customStyle="1">
    <w:name w:val="Title Char"/>
    <w:basedOn w:val="939"/>
    <w:uiPriority w:val="10"/>
    <w:qFormat/>
    <w:rPr>
      <w:sz w:val="48"/>
      <w:szCs w:val="48"/>
    </w:rPr>
  </w:style>
  <w:style w:type="character" w:styleId="1024" w:customStyle="1">
    <w:name w:val="Subtitle Char"/>
    <w:basedOn w:val="939"/>
    <w:uiPriority w:val="11"/>
    <w:qFormat/>
    <w:rPr>
      <w:sz w:val="24"/>
      <w:szCs w:val="24"/>
    </w:rPr>
  </w:style>
  <w:style w:type="character" w:styleId="1025" w:customStyle="1">
    <w:name w:val="Quote Char"/>
    <w:uiPriority w:val="29"/>
    <w:qFormat/>
    <w:rPr>
      <w:i/>
    </w:rPr>
  </w:style>
  <w:style w:type="character" w:styleId="1026" w:customStyle="1">
    <w:name w:val="Intense Quote Char"/>
    <w:uiPriority w:val="30"/>
    <w:qFormat/>
    <w:rPr>
      <w:i/>
    </w:rPr>
  </w:style>
  <w:style w:type="character" w:styleId="1027" w:customStyle="1">
    <w:name w:val="Endnote Text Char"/>
    <w:uiPriority w:val="99"/>
    <w:qFormat/>
    <w:rPr>
      <w:sz w:val="20"/>
    </w:rPr>
  </w:style>
  <w:style w:type="paragraph" w:styleId="1028" w:customStyle="1">
    <w:name w:val="TOC 标题1"/>
    <w:uiPriority w:val="39"/>
    <w:unhideWhenUsed/>
    <w:qFormat/>
    <w:rPr>
      <w:rFonts w:ascii="Times New Roman" w:hAnsi="Times New Roman" w:eastAsia="宋体" w:cs="Times New Roman"/>
      <w:lang w:val="en-US" w:eastAsia="zh-CN" w:bidi="ar-SA"/>
    </w:rPr>
  </w:style>
  <w:style w:type="paragraph" w:styleId="1029" w:customStyle="1">
    <w:name w:val="一级条标题"/>
    <w:basedOn w:val="1030"/>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0" w:customStyle="1">
    <w:name w:val="章标题"/>
    <w:next w:val="103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1" w:customStyle="1">
    <w:name w:val="正文1"/>
    <w:basedOn w:val="1032"/>
    <w:next w:val="1034"/>
    <w:uiPriority w:val="0"/>
    <w:qFormat/>
    <w:pPr>
      <w:jc w:val="left"/>
      <w:spacing w:line="360" w:lineRule="atLeast"/>
    </w:pPr>
    <w:rPr>
      <w:rFonts w:ascii="宋体" w:hAnsi="Calibri"/>
      <w:sz w:val="24"/>
      <w:szCs w:val="20"/>
    </w:rPr>
  </w:style>
  <w:style w:type="paragraph" w:styleId="1032" w:customStyle="1">
    <w:name w:val="正文11"/>
    <w:next w:val="1033"/>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文本1"/>
    <w:basedOn w:val="1032"/>
    <w:uiPriority w:val="0"/>
    <w:qFormat/>
    <w:pPr>
      <w:spacing w:after="120"/>
    </w:pPr>
    <w:rPr>
      <w:lang w:eastAsia="en-US"/>
    </w:rPr>
  </w:style>
  <w:style w:type="paragraph" w:styleId="1034" w:customStyle="1">
    <w:name w:val="脚注文本1"/>
    <w:basedOn w:val="1031"/>
    <w:next w:val="1035"/>
    <w:uiPriority w:val="0"/>
    <w:qFormat/>
    <w:rPr>
      <w:rFonts w:eastAsia="Times New Roman"/>
      <w:sz w:val="18"/>
      <w:szCs w:val="18"/>
    </w:rPr>
  </w:style>
  <w:style w:type="paragraph" w:styleId="1035" w:customStyle="1">
    <w:name w:val="索引 51"/>
    <w:basedOn w:val="1031"/>
    <w:next w:val="1031"/>
    <w:uiPriority w:val="0"/>
    <w:qFormat/>
    <w:pPr>
      <w:ind w:left="798"/>
    </w:pPr>
    <w:rPr>
      <w:rFonts w:ascii="Calibri"/>
    </w:rPr>
  </w:style>
  <w:style w:type="paragraph" w:styleId="1036" w:customStyle="1">
    <w:name w:val="段"/>
    <w:basedOn w:val="1031"/>
    <w:next w:val="896"/>
    <w:uiPriority w:val="0"/>
    <w:qFormat/>
    <w:pPr>
      <w:ind w:firstLine="200"/>
      <w:widowControl/>
    </w:pPr>
    <w:rPr>
      <w:sz w:val="20"/>
    </w:rPr>
  </w:style>
  <w:style w:type="paragraph" w:styleId="1037" w:customStyle="1">
    <w:name w:val="目录 11"/>
    <w:basedOn w:val="1038"/>
    <w:next w:val="1032"/>
    <w:uiPriority w:val="0"/>
    <w:qFormat/>
    <w:pPr>
      <w:jc w:val="left"/>
      <w:spacing w:before="120" w:after="120"/>
      <w:widowControl/>
    </w:pPr>
    <w:rPr>
      <w:rFonts w:ascii="Calibri" w:hAnsi="Calibri" w:cs="Calibri"/>
      <w:b/>
      <w:bCs/>
      <w:caps/>
      <w:sz w:val="20"/>
      <w:szCs w:val="20"/>
    </w:rPr>
  </w:style>
  <w:style w:type="paragraph" w:styleId="1038" w:customStyle="1">
    <w:name w:val="正文12"/>
    <w:next w:val="1039"/>
    <w:uiPriority w:val="0"/>
    <w:qFormat/>
    <w:pPr>
      <w:jc w:val="both"/>
      <w:widowControl w:val="off"/>
    </w:pPr>
    <w:rPr>
      <w:rFonts w:ascii="Times New Roman" w:hAnsi="Times New Roman" w:eastAsia="宋体" w:cs="Times New Roman"/>
      <w:sz w:val="21"/>
      <w:szCs w:val="24"/>
      <w:lang w:val="en-US" w:eastAsia="zh-CN" w:bidi="ar-SA"/>
    </w:rPr>
  </w:style>
  <w:style w:type="paragraph" w:styleId="1039" w:customStyle="1">
    <w:name w:val="正文文本11"/>
    <w:basedOn w:val="1040"/>
    <w:next w:val="1029"/>
    <w:uiPriority w:val="0"/>
    <w:qFormat/>
    <w:pPr>
      <w:spacing w:after="120"/>
    </w:pPr>
  </w:style>
  <w:style w:type="paragraph" w:styleId="1040" w:customStyle="1">
    <w:name w:val="正文112"/>
    <w:next w:val="1039"/>
    <w:uiPriority w:val="0"/>
    <w:qFormat/>
    <w:pPr>
      <w:jc w:val="both"/>
      <w:widowControl w:val="off"/>
    </w:pPr>
    <w:rPr>
      <w:rFonts w:ascii="Times New Roman" w:hAnsi="Times New Roman" w:eastAsia="宋体" w:cs="Times New Roman"/>
      <w:sz w:val="21"/>
      <w:szCs w:val="24"/>
      <w:lang w:val="en-US" w:eastAsia="zh-CN" w:bidi="ar-SA"/>
    </w:rPr>
  </w:style>
  <w:style w:type="character" w:styleId="1041" w:customStyle="1">
    <w:name w:val="Heading 1 Char"/>
    <w:basedOn w:val="939"/>
    <w:uiPriority w:val="9"/>
    <w:qFormat/>
    <w:rPr>
      <w:rFonts w:ascii="Arial" w:hAnsi="Arial" w:eastAsia="Arial" w:cs="Arial"/>
      <w:sz w:val="40"/>
      <w:szCs w:val="40"/>
    </w:rPr>
  </w:style>
  <w:style w:type="character" w:styleId="1042" w:customStyle="1">
    <w:name w:val="Heading 2 Char"/>
    <w:basedOn w:val="939"/>
    <w:uiPriority w:val="9"/>
    <w:qFormat/>
    <w:rPr>
      <w:rFonts w:ascii="Arial" w:hAnsi="Arial" w:eastAsia="Arial" w:cs="Arial"/>
      <w:sz w:val="34"/>
    </w:rPr>
  </w:style>
  <w:style w:type="character" w:styleId="1043" w:customStyle="1">
    <w:name w:val="Heading 3 Char"/>
    <w:basedOn w:val="939"/>
    <w:uiPriority w:val="9"/>
    <w:qFormat/>
    <w:rPr>
      <w:rFonts w:ascii="Arial" w:hAnsi="Arial" w:eastAsia="Arial" w:cs="Arial"/>
      <w:sz w:val="30"/>
      <w:szCs w:val="30"/>
    </w:rPr>
  </w:style>
  <w:style w:type="paragraph" w:styleId="1044">
    <w:name w:val="No Spacing"/>
    <w:uiPriority w:val="1"/>
    <w:qFormat/>
    <w:rPr>
      <w:rFonts w:ascii="Times New Roman" w:hAnsi="Times New Roman" w:eastAsia="宋体" w:cs="Times New Roman"/>
      <w:lang w:val="en-US" w:eastAsia="zh-CN" w:bidi="ar-SA"/>
    </w:rPr>
  </w:style>
  <w:style w:type="paragraph" w:styleId="1045">
    <w:name w:val="Quote"/>
    <w:basedOn w:val="896"/>
    <w:next w:val="896"/>
    <w:link w:val="1046"/>
    <w:uiPriority w:val="29"/>
    <w:qFormat/>
    <w:pPr>
      <w:ind w:left="720" w:right="720"/>
    </w:pPr>
    <w:rPr>
      <w:i/>
    </w:rPr>
  </w:style>
  <w:style w:type="character" w:styleId="1046" w:customStyle="1">
    <w:name w:val="引用 字符"/>
    <w:link w:val="1045"/>
    <w:uiPriority w:val="29"/>
    <w:qFormat/>
    <w:rPr>
      <w:i/>
    </w:rPr>
  </w:style>
  <w:style w:type="paragraph" w:styleId="1047">
    <w:name w:val="Intense Quote"/>
    <w:basedOn w:val="896"/>
    <w:next w:val="896"/>
    <w:link w:val="10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8" w:customStyle="1">
    <w:name w:val="明显引用 字符"/>
    <w:link w:val="1047"/>
    <w:uiPriority w:val="30"/>
    <w:qFormat/>
    <w:rPr>
      <w:i/>
    </w:rPr>
  </w:style>
  <w:style w:type="character" w:styleId="1049" w:customStyle="1">
    <w:name w:val="Header Char"/>
    <w:basedOn w:val="939"/>
    <w:uiPriority w:val="99"/>
    <w:qFormat/>
  </w:style>
  <w:style w:type="character" w:styleId="1050" w:customStyle="1">
    <w:name w:val="Footer Char"/>
    <w:basedOn w:val="939"/>
    <w:uiPriority w:val="99"/>
    <w:qFormat/>
  </w:style>
  <w:style w:type="character" w:styleId="1051" w:customStyle="1">
    <w:name w:val="Caption Char"/>
    <w:uiPriority w:val="99"/>
    <w:qFormat/>
  </w:style>
  <w:style w:type="table" w:styleId="1052" w:customStyle="1">
    <w:name w:val="Table Grid Light"/>
    <w:basedOn w:val="948"/>
    <w:uiPriority w:val="59"/>
    <w:qFormat/>
    <w:tblPr/>
  </w:style>
  <w:style w:type="table" w:styleId="1053" w:customStyle="1">
    <w:name w:val="无格式表格 11"/>
    <w:basedOn w:val="948"/>
    <w:uiPriority w:val="59"/>
    <w:qFormat/>
    <w:tblPr/>
  </w:style>
  <w:style w:type="table" w:styleId="1054" w:customStyle="1">
    <w:name w:val="无格式表格 21"/>
    <w:basedOn w:val="948"/>
    <w:uiPriority w:val="59"/>
    <w:qFormat/>
    <w:tblPr/>
  </w:style>
  <w:style w:type="table" w:styleId="1055" w:customStyle="1">
    <w:name w:val="无格式表格 31"/>
    <w:basedOn w:val="948"/>
    <w:uiPriority w:val="99"/>
    <w:qFormat/>
    <w:tblPr/>
  </w:style>
  <w:style w:type="table" w:styleId="1056" w:customStyle="1">
    <w:name w:val="无格式表格 41"/>
    <w:basedOn w:val="948"/>
    <w:uiPriority w:val="99"/>
    <w:qFormat/>
    <w:tblPr/>
  </w:style>
  <w:style w:type="table" w:styleId="1057" w:customStyle="1">
    <w:name w:val="无格式表格 51"/>
    <w:basedOn w:val="948"/>
    <w:uiPriority w:val="99"/>
    <w:qFormat/>
    <w:tblPr/>
  </w:style>
  <w:style w:type="table" w:styleId="1058" w:customStyle="1">
    <w:name w:val="网格表 1 浅色1"/>
    <w:basedOn w:val="948"/>
    <w:uiPriority w:val="99"/>
    <w:qFormat/>
    <w:tblPr/>
  </w:style>
  <w:style w:type="table" w:styleId="1059" w:customStyle="1">
    <w:name w:val="Grid Table 1 Light - Accent 1"/>
    <w:basedOn w:val="948"/>
    <w:uiPriority w:val="99"/>
    <w:qFormat/>
    <w:tblPr/>
  </w:style>
  <w:style w:type="table" w:styleId="1060" w:customStyle="1">
    <w:name w:val="Grid Table 1 Light - Accent 2"/>
    <w:basedOn w:val="948"/>
    <w:uiPriority w:val="99"/>
    <w:qFormat/>
    <w:tblPr/>
  </w:style>
  <w:style w:type="table" w:styleId="1061" w:customStyle="1">
    <w:name w:val="Grid Table 1 Light - Accent 3"/>
    <w:basedOn w:val="948"/>
    <w:uiPriority w:val="99"/>
    <w:qFormat/>
    <w:tblPr/>
  </w:style>
  <w:style w:type="table" w:styleId="1062" w:customStyle="1">
    <w:name w:val="Grid Table 1 Light - Accent 4"/>
    <w:basedOn w:val="948"/>
    <w:uiPriority w:val="99"/>
    <w:qFormat/>
    <w:tblPr/>
  </w:style>
  <w:style w:type="table" w:styleId="1063" w:customStyle="1">
    <w:name w:val="Grid Table 1 Light - Accent 5"/>
    <w:basedOn w:val="948"/>
    <w:uiPriority w:val="99"/>
    <w:qFormat/>
    <w:tblPr/>
  </w:style>
  <w:style w:type="table" w:styleId="1064" w:customStyle="1">
    <w:name w:val="Grid Table 1 Light - Accent 6"/>
    <w:basedOn w:val="948"/>
    <w:uiPriority w:val="99"/>
    <w:qFormat/>
    <w:tblPr/>
  </w:style>
  <w:style w:type="table" w:styleId="1065" w:customStyle="1">
    <w:name w:val="网格表 21"/>
    <w:basedOn w:val="948"/>
    <w:uiPriority w:val="99"/>
    <w:qFormat/>
    <w:tblPr/>
  </w:style>
  <w:style w:type="table" w:styleId="1066" w:customStyle="1">
    <w:name w:val="Grid Table 2 - Accent 1"/>
    <w:basedOn w:val="948"/>
    <w:uiPriority w:val="99"/>
    <w:qFormat/>
    <w:tblPr/>
  </w:style>
  <w:style w:type="table" w:styleId="1067" w:customStyle="1">
    <w:name w:val="Grid Table 2 - Accent 2"/>
    <w:basedOn w:val="948"/>
    <w:uiPriority w:val="99"/>
    <w:qFormat/>
    <w:tblPr/>
  </w:style>
  <w:style w:type="table" w:styleId="1068" w:customStyle="1">
    <w:name w:val="Grid Table 2 - Accent 3"/>
    <w:basedOn w:val="948"/>
    <w:uiPriority w:val="99"/>
    <w:qFormat/>
    <w:tblPr/>
  </w:style>
  <w:style w:type="table" w:styleId="1069" w:customStyle="1">
    <w:name w:val="Grid Table 2 - Accent 4"/>
    <w:basedOn w:val="948"/>
    <w:uiPriority w:val="99"/>
    <w:qFormat/>
    <w:tblPr/>
  </w:style>
  <w:style w:type="table" w:styleId="1070" w:customStyle="1">
    <w:name w:val="Grid Table 2 - Accent 5"/>
    <w:basedOn w:val="948"/>
    <w:uiPriority w:val="99"/>
    <w:qFormat/>
    <w:tblPr/>
  </w:style>
  <w:style w:type="table" w:styleId="1071" w:customStyle="1">
    <w:name w:val="Grid Table 2 - Accent 6"/>
    <w:basedOn w:val="948"/>
    <w:uiPriority w:val="99"/>
    <w:qFormat/>
    <w:tblPr/>
  </w:style>
  <w:style w:type="table" w:styleId="1072" w:customStyle="1">
    <w:name w:val="网格表 31"/>
    <w:basedOn w:val="948"/>
    <w:uiPriority w:val="99"/>
    <w:qFormat/>
    <w:tblPr/>
  </w:style>
  <w:style w:type="table" w:styleId="1073" w:customStyle="1">
    <w:name w:val="Grid Table 3 - Accent 1"/>
    <w:basedOn w:val="948"/>
    <w:uiPriority w:val="99"/>
    <w:qFormat/>
    <w:tblPr/>
  </w:style>
  <w:style w:type="table" w:styleId="1074" w:customStyle="1">
    <w:name w:val="Grid Table 3 - Accent 2"/>
    <w:basedOn w:val="948"/>
    <w:uiPriority w:val="99"/>
    <w:qFormat/>
    <w:tblPr/>
  </w:style>
  <w:style w:type="table" w:styleId="1075" w:customStyle="1">
    <w:name w:val="Grid Table 3 - Accent 3"/>
    <w:basedOn w:val="948"/>
    <w:uiPriority w:val="99"/>
    <w:qFormat/>
    <w:tblPr/>
  </w:style>
  <w:style w:type="table" w:styleId="1076" w:customStyle="1">
    <w:name w:val="Grid Table 3 - Accent 4"/>
    <w:basedOn w:val="948"/>
    <w:uiPriority w:val="99"/>
    <w:qFormat/>
    <w:tblPr/>
  </w:style>
  <w:style w:type="table" w:styleId="1077" w:customStyle="1">
    <w:name w:val="Grid Table 3 - Accent 5"/>
    <w:basedOn w:val="948"/>
    <w:uiPriority w:val="99"/>
    <w:qFormat/>
    <w:tblPr/>
  </w:style>
  <w:style w:type="table" w:styleId="1078" w:customStyle="1">
    <w:name w:val="Grid Table 3 - Accent 6"/>
    <w:basedOn w:val="948"/>
    <w:uiPriority w:val="99"/>
    <w:qFormat/>
    <w:tblPr/>
  </w:style>
  <w:style w:type="table" w:styleId="1079" w:customStyle="1">
    <w:name w:val="网格表 41"/>
    <w:basedOn w:val="948"/>
    <w:uiPriority w:val="59"/>
    <w:qFormat/>
    <w:tblPr/>
  </w:style>
  <w:style w:type="table" w:styleId="1080" w:customStyle="1">
    <w:name w:val="Grid Table 4 - Accent 1"/>
    <w:basedOn w:val="948"/>
    <w:uiPriority w:val="59"/>
    <w:qFormat/>
    <w:tblPr/>
  </w:style>
  <w:style w:type="table" w:styleId="1081" w:customStyle="1">
    <w:name w:val="Grid Table 4 - Accent 2"/>
    <w:basedOn w:val="948"/>
    <w:uiPriority w:val="59"/>
    <w:qFormat/>
    <w:tblPr/>
  </w:style>
  <w:style w:type="table" w:styleId="1082" w:customStyle="1">
    <w:name w:val="Grid Table 4 - Accent 3"/>
    <w:basedOn w:val="948"/>
    <w:uiPriority w:val="59"/>
    <w:qFormat/>
    <w:tblPr/>
  </w:style>
  <w:style w:type="table" w:styleId="1083" w:customStyle="1">
    <w:name w:val="Grid Table 4 - Accent 4"/>
    <w:basedOn w:val="948"/>
    <w:uiPriority w:val="59"/>
    <w:qFormat/>
    <w:tblPr/>
  </w:style>
  <w:style w:type="table" w:styleId="1084" w:customStyle="1">
    <w:name w:val="Grid Table 4 - Accent 5"/>
    <w:basedOn w:val="948"/>
    <w:uiPriority w:val="59"/>
    <w:qFormat/>
    <w:tblPr/>
  </w:style>
  <w:style w:type="table" w:styleId="1085" w:customStyle="1">
    <w:name w:val="Grid Table 4 - Accent 6"/>
    <w:basedOn w:val="948"/>
    <w:uiPriority w:val="59"/>
    <w:qFormat/>
    <w:tblPr/>
  </w:style>
  <w:style w:type="table" w:styleId="1086" w:customStyle="1">
    <w:name w:val="网格表 5 深色1"/>
    <w:basedOn w:val="948"/>
    <w:uiPriority w:val="99"/>
    <w:qFormat/>
    <w:tblPr/>
  </w:style>
  <w:style w:type="table" w:styleId="1087" w:customStyle="1">
    <w:name w:val="Grid Table 5 Dark- Accent 1"/>
    <w:basedOn w:val="948"/>
    <w:uiPriority w:val="99"/>
    <w:qFormat/>
    <w:tblPr/>
  </w:style>
  <w:style w:type="table" w:styleId="1088" w:customStyle="1">
    <w:name w:val="Grid Table 5 Dark - Accent 2"/>
    <w:basedOn w:val="948"/>
    <w:uiPriority w:val="99"/>
    <w:qFormat/>
    <w:tblPr/>
  </w:style>
  <w:style w:type="table" w:styleId="1089" w:customStyle="1">
    <w:name w:val="Grid Table 5 Dark - Accent 3"/>
    <w:basedOn w:val="948"/>
    <w:uiPriority w:val="99"/>
    <w:qFormat/>
    <w:tblPr/>
  </w:style>
  <w:style w:type="table" w:styleId="1090" w:customStyle="1">
    <w:name w:val="Grid Table 5 Dark- Accent 4"/>
    <w:basedOn w:val="948"/>
    <w:uiPriority w:val="99"/>
    <w:qFormat/>
    <w:tblPr/>
  </w:style>
  <w:style w:type="table" w:styleId="1091" w:customStyle="1">
    <w:name w:val="Grid Table 5 Dark - Accent 5"/>
    <w:basedOn w:val="948"/>
    <w:uiPriority w:val="99"/>
    <w:qFormat/>
    <w:tblPr/>
  </w:style>
  <w:style w:type="table" w:styleId="1092" w:customStyle="1">
    <w:name w:val="Grid Table 5 Dark - Accent 6"/>
    <w:basedOn w:val="948"/>
    <w:uiPriority w:val="99"/>
    <w:qFormat/>
    <w:tblPr/>
  </w:style>
  <w:style w:type="table" w:styleId="1093" w:customStyle="1">
    <w:name w:val="网格表 6 彩色1"/>
    <w:basedOn w:val="948"/>
    <w:uiPriority w:val="99"/>
    <w:qFormat/>
    <w:tblPr/>
  </w:style>
  <w:style w:type="table" w:styleId="1094" w:customStyle="1">
    <w:name w:val="Grid Table 6 Colorful - Accent 1"/>
    <w:basedOn w:val="948"/>
    <w:uiPriority w:val="99"/>
    <w:qFormat/>
    <w:tblPr/>
  </w:style>
  <w:style w:type="table" w:styleId="1095" w:customStyle="1">
    <w:name w:val="Grid Table 6 Colorful - Accent 2"/>
    <w:basedOn w:val="948"/>
    <w:uiPriority w:val="99"/>
    <w:qFormat/>
    <w:tblPr/>
  </w:style>
  <w:style w:type="table" w:styleId="1096" w:customStyle="1">
    <w:name w:val="Grid Table 6 Colorful - Accent 3"/>
    <w:basedOn w:val="948"/>
    <w:uiPriority w:val="99"/>
    <w:qFormat/>
    <w:tblPr/>
  </w:style>
  <w:style w:type="table" w:styleId="1097" w:customStyle="1">
    <w:name w:val="Grid Table 6 Colorful - Accent 4"/>
    <w:basedOn w:val="948"/>
    <w:uiPriority w:val="99"/>
    <w:qFormat/>
    <w:tblPr/>
  </w:style>
  <w:style w:type="table" w:styleId="1098" w:customStyle="1">
    <w:name w:val="Grid Table 6 Colorful - Accent 5"/>
    <w:basedOn w:val="948"/>
    <w:uiPriority w:val="99"/>
    <w:qFormat/>
    <w:tblPr/>
  </w:style>
  <w:style w:type="table" w:styleId="1099" w:customStyle="1">
    <w:name w:val="Grid Table 6 Colorful - Accent 6"/>
    <w:basedOn w:val="948"/>
    <w:uiPriority w:val="99"/>
    <w:qFormat/>
    <w:tblPr/>
  </w:style>
  <w:style w:type="table" w:styleId="1100" w:customStyle="1">
    <w:name w:val="网格表 7 彩色1"/>
    <w:basedOn w:val="948"/>
    <w:uiPriority w:val="99"/>
    <w:qFormat/>
    <w:tblPr/>
  </w:style>
  <w:style w:type="table" w:styleId="1101" w:customStyle="1">
    <w:name w:val="Grid Table 7 Colorful - Accent 1"/>
    <w:basedOn w:val="948"/>
    <w:uiPriority w:val="99"/>
    <w:qFormat/>
    <w:tblPr/>
  </w:style>
  <w:style w:type="table" w:styleId="1102" w:customStyle="1">
    <w:name w:val="Grid Table 7 Colorful - Accent 2"/>
    <w:basedOn w:val="948"/>
    <w:uiPriority w:val="99"/>
    <w:qFormat/>
    <w:tblPr/>
  </w:style>
  <w:style w:type="table" w:styleId="1103" w:customStyle="1">
    <w:name w:val="Grid Table 7 Colorful - Accent 3"/>
    <w:basedOn w:val="948"/>
    <w:uiPriority w:val="99"/>
    <w:qFormat/>
    <w:tblPr/>
  </w:style>
  <w:style w:type="table" w:styleId="1104" w:customStyle="1">
    <w:name w:val="Grid Table 7 Colorful - Accent 4"/>
    <w:basedOn w:val="948"/>
    <w:uiPriority w:val="99"/>
    <w:qFormat/>
    <w:tblPr/>
  </w:style>
  <w:style w:type="table" w:styleId="1105" w:customStyle="1">
    <w:name w:val="Grid Table 7 Colorful - Accent 5"/>
    <w:basedOn w:val="948"/>
    <w:uiPriority w:val="99"/>
    <w:qFormat/>
    <w:tblPr/>
  </w:style>
  <w:style w:type="table" w:styleId="1106" w:customStyle="1">
    <w:name w:val="Grid Table 7 Colorful - Accent 6"/>
    <w:basedOn w:val="948"/>
    <w:uiPriority w:val="99"/>
    <w:qFormat/>
    <w:tblPr/>
  </w:style>
  <w:style w:type="table" w:styleId="1107" w:customStyle="1">
    <w:name w:val="清单表 1 浅色1"/>
    <w:basedOn w:val="948"/>
    <w:uiPriority w:val="99"/>
    <w:qFormat/>
    <w:tblPr/>
  </w:style>
  <w:style w:type="table" w:styleId="1108" w:customStyle="1">
    <w:name w:val="List Table 1 Light - Accent 1"/>
    <w:basedOn w:val="948"/>
    <w:uiPriority w:val="99"/>
    <w:qFormat/>
    <w:tblPr/>
  </w:style>
  <w:style w:type="table" w:styleId="1109" w:customStyle="1">
    <w:name w:val="List Table 1 Light - Accent 2"/>
    <w:basedOn w:val="948"/>
    <w:uiPriority w:val="99"/>
    <w:qFormat/>
    <w:tblPr/>
  </w:style>
  <w:style w:type="table" w:styleId="1110" w:customStyle="1">
    <w:name w:val="List Table 1 Light - Accent 3"/>
    <w:basedOn w:val="948"/>
    <w:uiPriority w:val="99"/>
    <w:qFormat/>
    <w:tblPr/>
  </w:style>
  <w:style w:type="table" w:styleId="1111" w:customStyle="1">
    <w:name w:val="List Table 1 Light - Accent 4"/>
    <w:basedOn w:val="948"/>
    <w:uiPriority w:val="99"/>
    <w:qFormat/>
    <w:tblPr/>
  </w:style>
  <w:style w:type="table" w:styleId="1112" w:customStyle="1">
    <w:name w:val="List Table 1 Light - Accent 5"/>
    <w:basedOn w:val="948"/>
    <w:uiPriority w:val="99"/>
    <w:qFormat/>
    <w:tblPr/>
  </w:style>
  <w:style w:type="table" w:styleId="1113" w:customStyle="1">
    <w:name w:val="List Table 1 Light - Accent 6"/>
    <w:basedOn w:val="948"/>
    <w:uiPriority w:val="99"/>
    <w:qFormat/>
    <w:tblPr/>
  </w:style>
  <w:style w:type="table" w:styleId="1114" w:customStyle="1">
    <w:name w:val="清单表 21"/>
    <w:basedOn w:val="948"/>
    <w:uiPriority w:val="99"/>
    <w:qFormat/>
    <w:tblPr/>
  </w:style>
  <w:style w:type="table" w:styleId="1115" w:customStyle="1">
    <w:name w:val="List Table 2 - Accent 1"/>
    <w:basedOn w:val="948"/>
    <w:uiPriority w:val="99"/>
    <w:qFormat/>
    <w:tblPr/>
  </w:style>
  <w:style w:type="table" w:styleId="1116" w:customStyle="1">
    <w:name w:val="List Table 2 - Accent 2"/>
    <w:basedOn w:val="948"/>
    <w:uiPriority w:val="99"/>
    <w:qFormat/>
    <w:tblPr/>
  </w:style>
  <w:style w:type="table" w:styleId="1117" w:customStyle="1">
    <w:name w:val="List Table 2 - Accent 3"/>
    <w:basedOn w:val="948"/>
    <w:uiPriority w:val="99"/>
    <w:qFormat/>
    <w:tblPr/>
  </w:style>
  <w:style w:type="table" w:styleId="1118" w:customStyle="1">
    <w:name w:val="List Table 2 - Accent 4"/>
    <w:basedOn w:val="948"/>
    <w:uiPriority w:val="99"/>
    <w:qFormat/>
    <w:tblPr/>
  </w:style>
  <w:style w:type="table" w:styleId="1119" w:customStyle="1">
    <w:name w:val="List Table 2 - Accent 5"/>
    <w:basedOn w:val="948"/>
    <w:uiPriority w:val="99"/>
    <w:qFormat/>
    <w:tblPr/>
  </w:style>
  <w:style w:type="table" w:styleId="1120" w:customStyle="1">
    <w:name w:val="List Table 2 - Accent 6"/>
    <w:basedOn w:val="948"/>
    <w:uiPriority w:val="99"/>
    <w:qFormat/>
    <w:tblPr/>
  </w:style>
  <w:style w:type="table" w:styleId="1121" w:customStyle="1">
    <w:name w:val="清单表 31"/>
    <w:basedOn w:val="948"/>
    <w:uiPriority w:val="99"/>
    <w:qFormat/>
    <w:tblPr/>
  </w:style>
  <w:style w:type="table" w:styleId="1122" w:customStyle="1">
    <w:name w:val="List Table 3 - Accent 1"/>
    <w:basedOn w:val="948"/>
    <w:uiPriority w:val="99"/>
    <w:qFormat/>
    <w:tblPr/>
  </w:style>
  <w:style w:type="table" w:styleId="1123" w:customStyle="1">
    <w:name w:val="List Table 3 - Accent 2"/>
    <w:basedOn w:val="948"/>
    <w:uiPriority w:val="99"/>
    <w:qFormat/>
    <w:tblPr/>
  </w:style>
  <w:style w:type="table" w:styleId="1124" w:customStyle="1">
    <w:name w:val="List Table 3 - Accent 3"/>
    <w:basedOn w:val="948"/>
    <w:uiPriority w:val="99"/>
    <w:qFormat/>
    <w:tblPr/>
  </w:style>
  <w:style w:type="table" w:styleId="1125" w:customStyle="1">
    <w:name w:val="List Table 3 - Accent 4"/>
    <w:basedOn w:val="948"/>
    <w:uiPriority w:val="99"/>
    <w:qFormat/>
    <w:tblPr/>
  </w:style>
  <w:style w:type="table" w:styleId="1126" w:customStyle="1">
    <w:name w:val="List Table 3 - Accent 5"/>
    <w:basedOn w:val="948"/>
    <w:uiPriority w:val="99"/>
    <w:qFormat/>
    <w:tblPr/>
  </w:style>
  <w:style w:type="table" w:styleId="1127" w:customStyle="1">
    <w:name w:val="List Table 3 - Accent 6"/>
    <w:basedOn w:val="948"/>
    <w:uiPriority w:val="99"/>
    <w:qFormat/>
    <w:tblPr/>
  </w:style>
  <w:style w:type="table" w:styleId="1128" w:customStyle="1">
    <w:name w:val="清单表 41"/>
    <w:basedOn w:val="948"/>
    <w:uiPriority w:val="99"/>
    <w:qFormat/>
    <w:tblPr/>
  </w:style>
  <w:style w:type="table" w:styleId="1129" w:customStyle="1">
    <w:name w:val="List Table 4 - Accent 1"/>
    <w:basedOn w:val="948"/>
    <w:uiPriority w:val="99"/>
    <w:qFormat/>
    <w:tblPr/>
  </w:style>
  <w:style w:type="table" w:styleId="1130" w:customStyle="1">
    <w:name w:val="List Table 4 - Accent 2"/>
    <w:basedOn w:val="948"/>
    <w:uiPriority w:val="99"/>
    <w:qFormat/>
    <w:tblPr/>
  </w:style>
  <w:style w:type="table" w:styleId="1131" w:customStyle="1">
    <w:name w:val="List Table 4 - Accent 3"/>
    <w:basedOn w:val="948"/>
    <w:uiPriority w:val="99"/>
    <w:qFormat/>
    <w:tblPr/>
  </w:style>
  <w:style w:type="table" w:styleId="1132" w:customStyle="1">
    <w:name w:val="List Table 4 - Accent 4"/>
    <w:basedOn w:val="948"/>
    <w:uiPriority w:val="99"/>
    <w:qFormat/>
    <w:tblPr/>
  </w:style>
  <w:style w:type="table" w:styleId="1133" w:customStyle="1">
    <w:name w:val="List Table 4 - Accent 5"/>
    <w:basedOn w:val="948"/>
    <w:uiPriority w:val="99"/>
    <w:qFormat/>
    <w:tblPr/>
  </w:style>
  <w:style w:type="table" w:styleId="1134" w:customStyle="1">
    <w:name w:val="List Table 4 - Accent 6"/>
    <w:basedOn w:val="948"/>
    <w:uiPriority w:val="99"/>
    <w:qFormat/>
    <w:tblPr/>
  </w:style>
  <w:style w:type="table" w:styleId="1135" w:customStyle="1">
    <w:name w:val="清单表 5 深色1"/>
    <w:basedOn w:val="948"/>
    <w:uiPriority w:val="99"/>
    <w:qFormat/>
    <w:tblPr/>
  </w:style>
  <w:style w:type="table" w:styleId="1136" w:customStyle="1">
    <w:name w:val="List Table 5 Dark - Accent 1"/>
    <w:basedOn w:val="948"/>
    <w:uiPriority w:val="99"/>
    <w:qFormat/>
    <w:tblPr/>
  </w:style>
  <w:style w:type="table" w:styleId="1137" w:customStyle="1">
    <w:name w:val="List Table 5 Dark - Accent 2"/>
    <w:basedOn w:val="948"/>
    <w:uiPriority w:val="99"/>
    <w:qFormat/>
    <w:tblPr/>
  </w:style>
  <w:style w:type="table" w:styleId="1138" w:customStyle="1">
    <w:name w:val="List Table 5 Dark - Accent 3"/>
    <w:basedOn w:val="948"/>
    <w:uiPriority w:val="99"/>
    <w:qFormat/>
    <w:tblPr/>
  </w:style>
  <w:style w:type="table" w:styleId="1139" w:customStyle="1">
    <w:name w:val="List Table 5 Dark - Accent 4"/>
    <w:basedOn w:val="948"/>
    <w:uiPriority w:val="99"/>
    <w:qFormat/>
    <w:tblPr/>
  </w:style>
  <w:style w:type="table" w:styleId="1140" w:customStyle="1">
    <w:name w:val="List Table 5 Dark - Accent 5"/>
    <w:basedOn w:val="948"/>
    <w:uiPriority w:val="99"/>
    <w:qFormat/>
    <w:tblPr/>
  </w:style>
  <w:style w:type="table" w:styleId="1141" w:customStyle="1">
    <w:name w:val="List Table 5 Dark - Accent 6"/>
    <w:basedOn w:val="948"/>
    <w:uiPriority w:val="99"/>
    <w:qFormat/>
    <w:tblPr/>
  </w:style>
  <w:style w:type="table" w:styleId="1142" w:customStyle="1">
    <w:name w:val="清单表 6 彩色1"/>
    <w:basedOn w:val="948"/>
    <w:uiPriority w:val="99"/>
    <w:qFormat/>
    <w:tblPr/>
  </w:style>
  <w:style w:type="table" w:styleId="1143" w:customStyle="1">
    <w:name w:val="List Table 6 Colorful - Accent 1"/>
    <w:basedOn w:val="948"/>
    <w:uiPriority w:val="99"/>
    <w:qFormat/>
    <w:tblPr/>
  </w:style>
  <w:style w:type="table" w:styleId="1144" w:customStyle="1">
    <w:name w:val="List Table 6 Colorful - Accent 2"/>
    <w:basedOn w:val="948"/>
    <w:uiPriority w:val="99"/>
    <w:qFormat/>
    <w:tblPr/>
  </w:style>
  <w:style w:type="table" w:styleId="1145" w:customStyle="1">
    <w:name w:val="List Table 6 Colorful - Accent 3"/>
    <w:basedOn w:val="948"/>
    <w:uiPriority w:val="99"/>
    <w:qFormat/>
    <w:tblPr/>
  </w:style>
  <w:style w:type="table" w:styleId="1146" w:customStyle="1">
    <w:name w:val="List Table 6 Colorful - Accent 4"/>
    <w:basedOn w:val="948"/>
    <w:uiPriority w:val="99"/>
    <w:qFormat/>
    <w:tblPr/>
  </w:style>
  <w:style w:type="table" w:styleId="1147" w:customStyle="1">
    <w:name w:val="List Table 6 Colorful - Accent 5"/>
    <w:basedOn w:val="948"/>
    <w:uiPriority w:val="99"/>
    <w:qFormat/>
    <w:tblPr/>
  </w:style>
  <w:style w:type="table" w:styleId="1148" w:customStyle="1">
    <w:name w:val="List Table 6 Colorful - Accent 6"/>
    <w:basedOn w:val="948"/>
    <w:uiPriority w:val="99"/>
    <w:qFormat/>
    <w:tblPr/>
  </w:style>
  <w:style w:type="table" w:styleId="1149" w:customStyle="1">
    <w:name w:val="清单表 7 彩色1"/>
    <w:basedOn w:val="948"/>
    <w:uiPriority w:val="99"/>
    <w:qFormat/>
    <w:tblPr/>
  </w:style>
  <w:style w:type="table" w:styleId="1150" w:customStyle="1">
    <w:name w:val="List Table 7 Colorful - Accent 1"/>
    <w:basedOn w:val="948"/>
    <w:uiPriority w:val="99"/>
    <w:qFormat/>
    <w:tblPr/>
  </w:style>
  <w:style w:type="table" w:styleId="1151" w:customStyle="1">
    <w:name w:val="List Table 7 Colorful - Accent 2"/>
    <w:basedOn w:val="948"/>
    <w:uiPriority w:val="99"/>
    <w:qFormat/>
    <w:tblPr/>
  </w:style>
  <w:style w:type="table" w:styleId="1152" w:customStyle="1">
    <w:name w:val="List Table 7 Colorful - Accent 3"/>
    <w:basedOn w:val="948"/>
    <w:uiPriority w:val="99"/>
    <w:qFormat/>
    <w:tblPr/>
  </w:style>
  <w:style w:type="table" w:styleId="1153" w:customStyle="1">
    <w:name w:val="List Table 7 Colorful - Accent 4"/>
    <w:basedOn w:val="948"/>
    <w:uiPriority w:val="99"/>
    <w:qFormat/>
    <w:tblPr/>
  </w:style>
  <w:style w:type="table" w:styleId="1154" w:customStyle="1">
    <w:name w:val="List Table 7 Colorful - Accent 5"/>
    <w:basedOn w:val="948"/>
    <w:uiPriority w:val="99"/>
    <w:qFormat/>
    <w:tblPr/>
  </w:style>
  <w:style w:type="table" w:styleId="1155" w:customStyle="1">
    <w:name w:val="List Table 7 Colorful - Accent 6"/>
    <w:basedOn w:val="948"/>
    <w:uiPriority w:val="99"/>
    <w:qFormat/>
    <w:tblPr/>
  </w:style>
  <w:style w:type="table" w:styleId="1156" w:customStyle="1">
    <w:name w:val="Lined - Accent"/>
    <w:basedOn w:val="948"/>
    <w:uiPriority w:val="99"/>
    <w:qFormat/>
    <w:rPr>
      <w:color w:val="404040"/>
    </w:rPr>
    <w:tblPr/>
  </w:style>
  <w:style w:type="table" w:styleId="1157" w:customStyle="1">
    <w:name w:val="Lined - Accent 1"/>
    <w:basedOn w:val="948"/>
    <w:uiPriority w:val="99"/>
    <w:qFormat/>
    <w:rPr>
      <w:color w:val="404040"/>
    </w:rPr>
    <w:tblPr/>
  </w:style>
  <w:style w:type="table" w:styleId="1158" w:customStyle="1">
    <w:name w:val="Lined - Accent 2"/>
    <w:basedOn w:val="948"/>
    <w:uiPriority w:val="99"/>
    <w:qFormat/>
    <w:rPr>
      <w:color w:val="404040"/>
    </w:rPr>
    <w:tblPr/>
  </w:style>
  <w:style w:type="table" w:styleId="1159" w:customStyle="1">
    <w:name w:val="Lined - Accent 3"/>
    <w:basedOn w:val="948"/>
    <w:uiPriority w:val="99"/>
    <w:qFormat/>
    <w:rPr>
      <w:color w:val="404040"/>
    </w:rPr>
    <w:tblPr/>
  </w:style>
  <w:style w:type="table" w:styleId="1160" w:customStyle="1">
    <w:name w:val="Lined - Accent 4"/>
    <w:basedOn w:val="948"/>
    <w:uiPriority w:val="99"/>
    <w:qFormat/>
    <w:rPr>
      <w:color w:val="404040"/>
    </w:rPr>
    <w:tblPr/>
  </w:style>
  <w:style w:type="table" w:styleId="1161" w:customStyle="1">
    <w:name w:val="Lined - Accent 5"/>
    <w:basedOn w:val="948"/>
    <w:uiPriority w:val="99"/>
    <w:qFormat/>
    <w:rPr>
      <w:color w:val="404040"/>
    </w:rPr>
    <w:tblPr/>
  </w:style>
  <w:style w:type="table" w:styleId="1162" w:customStyle="1">
    <w:name w:val="Lined - Accent 6"/>
    <w:basedOn w:val="948"/>
    <w:uiPriority w:val="99"/>
    <w:qFormat/>
    <w:rPr>
      <w:color w:val="404040"/>
    </w:rPr>
    <w:tblPr/>
  </w:style>
  <w:style w:type="table" w:styleId="1163" w:customStyle="1">
    <w:name w:val="Bordered &amp; Lined - Accent"/>
    <w:basedOn w:val="948"/>
    <w:uiPriority w:val="99"/>
    <w:qFormat/>
    <w:rPr>
      <w:color w:val="404040"/>
    </w:rPr>
    <w:tblPr/>
  </w:style>
  <w:style w:type="table" w:styleId="1164" w:customStyle="1">
    <w:name w:val="Bordered &amp; Lined - Accent 1"/>
    <w:basedOn w:val="948"/>
    <w:uiPriority w:val="99"/>
    <w:qFormat/>
    <w:rPr>
      <w:color w:val="404040"/>
    </w:rPr>
    <w:tblPr/>
  </w:style>
  <w:style w:type="table" w:styleId="1165" w:customStyle="1">
    <w:name w:val="Bordered &amp; Lined - Accent 2"/>
    <w:basedOn w:val="948"/>
    <w:uiPriority w:val="99"/>
    <w:qFormat/>
    <w:rPr>
      <w:color w:val="404040"/>
    </w:rPr>
    <w:tblPr/>
  </w:style>
  <w:style w:type="table" w:styleId="1166" w:customStyle="1">
    <w:name w:val="Bordered &amp; Lined - Accent 3"/>
    <w:basedOn w:val="948"/>
    <w:uiPriority w:val="99"/>
    <w:qFormat/>
    <w:rPr>
      <w:color w:val="404040"/>
    </w:rPr>
    <w:tblPr/>
  </w:style>
  <w:style w:type="table" w:styleId="1167" w:customStyle="1">
    <w:name w:val="Bordered &amp; Lined - Accent 4"/>
    <w:basedOn w:val="948"/>
    <w:uiPriority w:val="99"/>
    <w:qFormat/>
    <w:rPr>
      <w:color w:val="404040"/>
    </w:rPr>
    <w:tblPr/>
  </w:style>
  <w:style w:type="table" w:styleId="1168" w:customStyle="1">
    <w:name w:val="Bordered &amp; Lined - Accent 5"/>
    <w:basedOn w:val="948"/>
    <w:uiPriority w:val="99"/>
    <w:qFormat/>
    <w:rPr>
      <w:color w:val="404040"/>
    </w:rPr>
    <w:tblPr/>
  </w:style>
  <w:style w:type="table" w:styleId="1169" w:customStyle="1">
    <w:name w:val="Bordered &amp; Lined - Accent 6"/>
    <w:basedOn w:val="948"/>
    <w:uiPriority w:val="99"/>
    <w:qFormat/>
    <w:rPr>
      <w:color w:val="404040"/>
    </w:rPr>
    <w:tblPr/>
  </w:style>
  <w:style w:type="table" w:styleId="1170" w:customStyle="1">
    <w:name w:val="Bordered"/>
    <w:basedOn w:val="948"/>
    <w:uiPriority w:val="99"/>
    <w:qFormat/>
    <w:tblPr/>
  </w:style>
  <w:style w:type="table" w:styleId="1171" w:customStyle="1">
    <w:name w:val="Bordered - Accent 1"/>
    <w:basedOn w:val="948"/>
    <w:uiPriority w:val="99"/>
    <w:qFormat/>
    <w:tblPr/>
  </w:style>
  <w:style w:type="table" w:styleId="1172" w:customStyle="1">
    <w:name w:val="Bordered - Accent 2"/>
    <w:basedOn w:val="948"/>
    <w:uiPriority w:val="99"/>
    <w:qFormat/>
    <w:tblPr/>
  </w:style>
  <w:style w:type="table" w:styleId="1173" w:customStyle="1">
    <w:name w:val="Bordered - Accent 3"/>
    <w:basedOn w:val="948"/>
    <w:uiPriority w:val="99"/>
    <w:qFormat/>
    <w:tblPr/>
  </w:style>
  <w:style w:type="table" w:styleId="1174" w:customStyle="1">
    <w:name w:val="Bordered - Accent 4"/>
    <w:basedOn w:val="948"/>
    <w:uiPriority w:val="99"/>
    <w:qFormat/>
    <w:tblPr/>
  </w:style>
  <w:style w:type="table" w:styleId="1175" w:customStyle="1">
    <w:name w:val="Bordered - Accent 5"/>
    <w:basedOn w:val="948"/>
    <w:uiPriority w:val="99"/>
    <w:qFormat/>
    <w:tblPr/>
  </w:style>
  <w:style w:type="table" w:styleId="1176" w:customStyle="1">
    <w:name w:val="Bordered - Accent 6"/>
    <w:basedOn w:val="948"/>
    <w:uiPriority w:val="99"/>
    <w:qFormat/>
    <w:tblPr/>
  </w:style>
  <w:style w:type="character" w:styleId="1177" w:customStyle="1">
    <w:name w:val="Footnote Text Char"/>
    <w:uiPriority w:val="99"/>
    <w:qFormat/>
    <w:rPr>
      <w:sz w:val="18"/>
    </w:rPr>
  </w:style>
  <w:style w:type="paragraph" w:styleId="1178" w:customStyle="1">
    <w:name w:val="TOC 标题11"/>
    <w:uiPriority w:val="39"/>
    <w:unhideWhenUsed/>
    <w:qFormat/>
    <w:rPr>
      <w:rFonts w:ascii="Times New Roman" w:hAnsi="Times New Roman" w:eastAsia="宋体" w:cs="Times New Roman"/>
      <w:lang w:val="en-US" w:eastAsia="zh-CN" w:bidi="ar-SA"/>
    </w:rPr>
  </w:style>
  <w:style w:type="paragraph" w:styleId="1179" w:customStyle="1">
    <w:name w:val="p0"/>
    <w:basedOn w:val="896"/>
    <w:uiPriority w:val="0"/>
    <w:qFormat/>
    <w:pPr>
      <w:widowControl/>
    </w:pPr>
    <w:rPr>
      <w:szCs w:val="21"/>
    </w:rPr>
  </w:style>
  <w:style w:type="paragraph" w:styleId="1180">
    <w:name w:val="List Paragraph"/>
    <w:basedOn w:val="896"/>
    <w:uiPriority w:val="1"/>
    <w:qFormat/>
    <w:pPr>
      <w:ind w:firstLine="420"/>
    </w:pPr>
  </w:style>
  <w:style w:type="paragraph" w:styleId="118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82" w:customStyle="1">
    <w:name w:val="NormalCharacter1"/>
    <w:uiPriority w:val="0"/>
    <w:semiHidden/>
    <w:qFormat/>
    <w:rPr>
      <w:sz w:val="28"/>
      <w:lang w:val="en-US" w:eastAsia="zh-CN" w:bidi="ar-SA"/>
    </w:rPr>
  </w:style>
  <w:style w:type="paragraph" w:styleId="1183" w:customStyle="1">
    <w:name w:val="179"/>
    <w:basedOn w:val="896"/>
    <w:uiPriority w:val="0"/>
    <w:qFormat/>
    <w:pPr>
      <w:ind w:firstLine="420"/>
      <w:jc w:val="left"/>
      <w:widowControl/>
    </w:pPr>
    <w:rPr>
      <w:rFonts w:ascii="宋体" w:hAnsi="宋体"/>
      <w:sz w:val="24"/>
    </w:rPr>
  </w:style>
  <w:style w:type="paragraph" w:styleId="1184"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185" w:customStyle="1">
    <w:name w:val="标准"/>
    <w:basedOn w:val="896"/>
    <w:uiPriority w:val="0"/>
    <w:qFormat/>
    <w:pPr>
      <w:ind w:firstLine="200"/>
      <w:spacing w:line="360" w:lineRule="auto"/>
    </w:pPr>
    <w:rPr>
      <w:rFonts w:cs="宋体"/>
      <w:sz w:val="20"/>
      <w:szCs w:val="20"/>
    </w:rPr>
  </w:style>
  <w:style w:type="paragraph" w:styleId="1186" w:customStyle="1">
    <w:name w:val="_Style 11"/>
    <w:basedOn w:val="896"/>
    <w:next w:val="1180"/>
    <w:uiPriority w:val="34"/>
    <w:qFormat/>
    <w:pPr>
      <w:ind w:firstLine="420"/>
    </w:pPr>
    <w:rPr>
      <w:color w:val="000000"/>
      <w:szCs w:val="21"/>
    </w:rPr>
  </w:style>
  <w:style w:type="paragraph" w:styleId="1187" w:customStyle="1">
    <w:name w:val="BodyText1I21"/>
    <w:basedOn w:val="896"/>
    <w:uiPriority w:val="0"/>
    <w:qFormat/>
    <w:pPr>
      <w:ind w:firstLine="420"/>
      <w:spacing w:line="360" w:lineRule="auto"/>
      <w:widowControl/>
    </w:pPr>
    <w:rPr>
      <w:rFonts w:ascii="宋体" w:hAnsi="宋体"/>
      <w:sz w:val="20"/>
      <w:szCs w:val="20"/>
    </w:rPr>
  </w:style>
  <w:style w:type="paragraph" w:styleId="1188" w:customStyle="1">
    <w:name w:val="UserStyle_133"/>
    <w:basedOn w:val="896"/>
    <w:uiPriority w:val="0"/>
    <w:qFormat/>
    <w:pPr>
      <w:widowControl/>
    </w:pPr>
    <w:rPr>
      <w:rFonts w:ascii="Tahoma" w:hAnsi="Tahoma"/>
      <w:sz w:val="24"/>
    </w:rPr>
  </w:style>
  <w:style w:type="paragraph" w:styleId="1189" w:customStyle="1">
    <w:name w:val="AnnotationText1"/>
    <w:basedOn w:val="896"/>
    <w:link w:val="1190"/>
    <w:uiPriority w:val="0"/>
    <w:qFormat/>
    <w:pPr>
      <w:jc w:val="left"/>
      <w:widowControl/>
    </w:pPr>
  </w:style>
  <w:style w:type="character" w:styleId="1190" w:customStyle="1">
    <w:name w:val="UserStyle_12"/>
    <w:link w:val="1189"/>
    <w:uiPriority w:val="0"/>
    <w:qFormat/>
    <w:rPr>
      <w:rFonts w:ascii="Times New Roman" w:hAnsi="Times New Roman" w:eastAsia="宋体"/>
      <w:sz w:val="21"/>
      <w:szCs w:val="24"/>
    </w:rPr>
  </w:style>
  <w:style w:type="paragraph" w:styleId="1191" w:customStyle="1">
    <w:name w:val="UserStyle_115"/>
    <w:uiPriority w:val="0"/>
    <w:qFormat/>
    <w:rPr>
      <w:rFonts w:ascii="Times New Roman" w:hAnsi="Times New Roman" w:eastAsia="宋体" w:cs="Times New Roman"/>
      <w:color w:val="000000"/>
      <w:sz w:val="24"/>
      <w:szCs w:val="24"/>
      <w:lang w:val="en-US" w:eastAsia="zh-CN" w:bidi="ar-SA"/>
    </w:rPr>
  </w:style>
  <w:style w:type="paragraph" w:styleId="1192" w:customStyle="1">
    <w:name w:val="*正文-表格"/>
    <w:basedOn w:val="896"/>
    <w:uiPriority w:val="0"/>
    <w:qFormat/>
    <w:rPr>
      <w:sz w:val="24"/>
      <w:szCs w:val="20"/>
    </w:rPr>
  </w:style>
  <w:style w:type="character" w:styleId="1193" w:customStyle="1">
    <w:name w:val="font21"/>
    <w:basedOn w:val="906"/>
    <w:uiPriority w:val="0"/>
    <w:qFormat/>
    <w:rPr>
      <w:rFonts w:hint="eastAsia" w:ascii="宋体" w:hAnsi="宋体" w:eastAsia="宋体" w:cs="宋体"/>
      <w:b/>
      <w:bCs/>
      <w:color w:val="000000"/>
      <w:sz w:val="28"/>
      <w:szCs w:val="28"/>
      <w:u w:val="none"/>
    </w:rPr>
  </w:style>
  <w:style w:type="paragraph" w:styleId="1194" w:customStyle="1">
    <w:name w:val="标题 5（有编号）（绿盟科技）"/>
    <w:basedOn w:val="896"/>
    <w:next w:val="119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195"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196" w:customStyle="1">
    <w:name w:val="投标文件正文"/>
    <w:basedOn w:val="896"/>
    <w:uiPriority w:val="0"/>
    <w:qFormat/>
    <w:pPr>
      <w:ind w:firstLine="200"/>
      <w:spacing w:before="40" w:after="40" w:line="400" w:lineRule="exact"/>
    </w:pPr>
    <w:rPr>
      <w:sz w:val="24"/>
    </w:rPr>
  </w:style>
  <w:style w:type="paragraph" w:styleId="1197" w:customStyle="1">
    <w:name w:val="标题 21"/>
    <w:basedOn w:val="896"/>
    <w:next w:val="896"/>
    <w:uiPriority w:val="0"/>
    <w:qFormat/>
    <w:pPr>
      <w:jc w:val="left"/>
      <w:keepLines/>
      <w:keepNext/>
      <w:spacing w:before="50"/>
      <w:tabs>
        <w:tab w:val="left" w:pos="0" w:leader="none"/>
      </w:tabs>
    </w:pPr>
    <w:rPr>
      <w:rFonts w:ascii="Arial" w:hAnsi="Arial" w:eastAsia="黑体"/>
      <w:sz w:val="32"/>
      <w:szCs w:val="20"/>
    </w:rPr>
  </w:style>
  <w:style w:type="paragraph" w:styleId="1198" w:customStyle="1">
    <w:name w:val="BodyTextIndent1"/>
    <w:basedOn w:val="896"/>
    <w:next w:val="1199"/>
    <w:uiPriority w:val="0"/>
    <w:qFormat/>
    <w:pPr>
      <w:ind w:left="420"/>
      <w:spacing w:after="120"/>
    </w:pPr>
  </w:style>
  <w:style w:type="paragraph" w:styleId="1199" w:customStyle="1">
    <w:name w:val="EnvelopeReturn1"/>
    <w:basedOn w:val="896"/>
    <w:uiPriority w:val="0"/>
    <w:qFormat/>
    <w:rPr>
      <w:rFonts w:ascii="Arial" w:hAnsi="Arial"/>
    </w:rPr>
  </w:style>
  <w:style w:type="paragraph" w:styleId="1200" w:customStyle="1">
    <w:name w:val="Table Paragraph"/>
    <w:basedOn w:val="896"/>
    <w:uiPriority w:val="1"/>
    <w:qFormat/>
    <w:pPr>
      <w:ind w:left="107"/>
    </w:pPr>
    <w:rPr>
      <w:rFonts w:ascii="宋体" w:hAnsi="宋体" w:cs="宋体"/>
    </w:rPr>
  </w:style>
  <w:style w:type="paragraph" w:styleId="1201" w:customStyle="1">
    <w:name w:val="列出段落1"/>
    <w:basedOn w:val="896"/>
    <w:uiPriority w:val="34"/>
    <w:qFormat/>
    <w:pPr>
      <w:ind w:left="480"/>
      <w:jc w:val="left"/>
    </w:pPr>
    <w:rPr>
      <w:rFonts w:ascii="Calibri" w:hAnsi="Calibri" w:eastAsia="PMingLiU"/>
      <w:sz w:val="24"/>
      <w:szCs w:val="20"/>
      <w:lang w:eastAsia="zh-TW"/>
    </w:rPr>
  </w:style>
  <w:style w:type="paragraph" w:styleId="1202" w:customStyle="1">
    <w:name w:val="正文文本缩进1"/>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character" w:styleId="1203" w:customStyle="1">
    <w:name w:val="font51"/>
    <w:basedOn w:val="906"/>
    <w:uiPriority w:val="0"/>
    <w:qFormat/>
    <w:rPr>
      <w:rFonts w:hint="eastAsia" w:ascii="微软雅黑" w:hAnsi="微软雅黑" w:eastAsia="微软雅黑" w:cs="微软雅黑"/>
      <w:color w:val="000000"/>
      <w:sz w:val="16"/>
      <w:szCs w:val="16"/>
      <w:u w:val="none"/>
    </w:rPr>
  </w:style>
  <w:style w:type="character" w:styleId="1204" w:customStyle="1">
    <w:name w:val="font01"/>
    <w:basedOn w:val="939"/>
    <w:uiPriority w:val="0"/>
    <w:qFormat/>
    <w:rPr>
      <w:rFonts w:hint="eastAsia" w:ascii="微软雅黑" w:hAnsi="微软雅黑" w:eastAsia="微软雅黑" w:cs="微软雅黑"/>
      <w:color w:val="000000"/>
      <w:sz w:val="16"/>
      <w:szCs w:val="16"/>
      <w:u w:val="none"/>
    </w:rPr>
  </w:style>
  <w:style w:type="character" w:styleId="1205" w:customStyle="1">
    <w:name w:val="font31"/>
    <w:basedOn w:val="906"/>
    <w:uiPriority w:val="0"/>
    <w:qFormat/>
    <w:rPr>
      <w:rFonts w:hint="eastAsia" w:ascii="微软雅黑" w:hAnsi="微软雅黑" w:eastAsia="微软雅黑" w:cs="微软雅黑"/>
      <w:color w:val="000000"/>
      <w:sz w:val="16"/>
      <w:szCs w:val="16"/>
      <w:u w:val="none"/>
    </w:rPr>
  </w:style>
  <w:style w:type="character" w:styleId="1206" w:customStyle="1">
    <w:name w:val="font41"/>
    <w:basedOn w:val="906"/>
    <w:uiPriority w:val="0"/>
    <w:qFormat/>
    <w:rPr>
      <w:rFonts w:hint="eastAsia" w:ascii="宋体" w:hAnsi="宋体" w:eastAsia="宋体" w:cs="宋体"/>
      <w:color w:val="000000"/>
      <w:sz w:val="22"/>
      <w:szCs w:val="22"/>
      <w:u w:val="none"/>
    </w:rPr>
  </w:style>
  <w:style w:type="character" w:styleId="1207" w:customStyle="1">
    <w:name w:val="font61"/>
    <w:basedOn w:val="906"/>
    <w:uiPriority w:val="0"/>
    <w:qFormat/>
    <w:rPr>
      <w:rFonts w:hint="eastAsia" w:ascii="宋体" w:hAnsi="宋体" w:eastAsia="宋体" w:cs="宋体"/>
      <w:color w:val="000000"/>
      <w:sz w:val="20"/>
      <w:szCs w:val="20"/>
      <w:u w:val="none"/>
    </w:rPr>
  </w:style>
  <w:style w:type="character" w:styleId="1208" w:customStyle="1">
    <w:name w:val="font11"/>
    <w:basedOn w:val="906"/>
    <w:uiPriority w:val="0"/>
    <w:qFormat/>
    <w:rPr>
      <w:rFonts w:hint="eastAsia" w:ascii="宋体" w:hAnsi="宋体" w:eastAsia="宋体" w:cs="宋体"/>
      <w:color w:val="000000"/>
      <w:sz w:val="20"/>
      <w:szCs w:val="20"/>
      <w:u w:val="none"/>
    </w:rPr>
  </w:style>
  <w:style w:type="paragraph" w:styleId="1209" w:customStyle="1">
    <w:name w:val="正文111"/>
    <w:next w:val="1210"/>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210" w:customStyle="1">
    <w:name w:val="目录 111"/>
    <w:basedOn w:val="1209"/>
    <w:next w:val="1209"/>
    <w:uiPriority w:val="0"/>
    <w:qFormat/>
    <w:pPr>
      <w:jc w:val="left"/>
      <w:spacing w:line="240" w:lineRule="auto"/>
      <w:widowControl/>
    </w:pPr>
    <w:rPr>
      <w:rFonts w:ascii="Calibri" w:hAnsi="Calibri" w:eastAsia="宋体"/>
      <w:sz w:val="24"/>
      <w:szCs w:val="22"/>
    </w:rPr>
  </w:style>
  <w:style w:type="character" w:styleId="1211" w:customStyle="1">
    <w:name w:val="NormalCharacter11"/>
    <w:uiPriority w:val="0"/>
    <w:semiHidden/>
    <w:qFormat/>
    <w:rPr>
      <w:rFonts w:ascii="Times New Roman" w:hAnsi="Times New Roman" w:eastAsia="宋体" w:cs="Times New Roman"/>
      <w:sz w:val="21"/>
      <w:szCs w:val="24"/>
      <w:lang w:val="en-US" w:eastAsia="zh-CN" w:bidi="ar-SA"/>
    </w:rPr>
  </w:style>
  <w:style w:type="character" w:styleId="1212" w:customStyle="1">
    <w:name w:val="font71"/>
    <w:basedOn w:val="906"/>
    <w:uiPriority w:val="0"/>
    <w:qFormat/>
    <w:rPr>
      <w:rFonts w:hint="eastAsia" w:ascii="宋体" w:hAnsi="宋体" w:eastAsia="宋体" w:cs="宋体"/>
      <w:color w:val="000000"/>
      <w:sz w:val="21"/>
      <w:szCs w:val="21"/>
      <w:u w:val="none"/>
    </w:rPr>
  </w:style>
  <w:style w:type="character" w:styleId="1213" w:customStyle="1">
    <w:name w:val="font81"/>
    <w:basedOn w:val="939"/>
    <w:uiPriority w:val="0"/>
    <w:qFormat/>
    <w:rPr>
      <w:rFonts w:ascii="Times New Roman" w:hAnsi="Times New Roman" w:cs="Times New Roman"/>
      <w:color w:val="000000"/>
      <w:sz w:val="21"/>
      <w:szCs w:val="21"/>
      <w:u w:val="none"/>
    </w:rPr>
  </w:style>
  <w:style w:type="character" w:styleId="1214" w:customStyle="1">
    <w:name w:val="font91"/>
    <w:basedOn w:val="939"/>
    <w:uiPriority w:val="0"/>
    <w:qFormat/>
    <w:rPr>
      <w:rFonts w:hint="eastAsia" w:ascii="宋体" w:hAnsi="宋体" w:eastAsia="宋体" w:cs="宋体"/>
      <w:color w:val="000000"/>
      <w:sz w:val="21"/>
      <w:szCs w:val="21"/>
      <w:u w:val="none"/>
    </w:rPr>
  </w:style>
  <w:style w:type="paragraph" w:styleId="1215" w:customStyle="1">
    <w:name w:val="页脚1"/>
    <w:basedOn w:val="896"/>
    <w:uiPriority w:val="0"/>
    <w:qFormat/>
    <w:pPr>
      <w:jc w:val="left"/>
      <w:tabs>
        <w:tab w:val="center" w:pos="4153" w:leader="none"/>
        <w:tab w:val="right" w:pos="8306" w:leader="none"/>
      </w:tabs>
    </w:pPr>
    <w:rPr>
      <w:sz w:val="18"/>
      <w:szCs w:val="18"/>
    </w:rPr>
  </w:style>
  <w:style w:type="paragraph" w:styleId="1216" w:customStyle="1">
    <w:name w:val="列表段落1"/>
    <w:basedOn w:val="1031"/>
    <w:next w:val="896"/>
    <w:uiPriority w:val="99"/>
    <w:qFormat/>
    <w:pPr>
      <w:ind w:firstLine="420"/>
    </w:pPr>
  </w:style>
  <w:style w:type="paragraph" w:styleId="1217" w:customStyle="1">
    <w:name w:val="正文缩进11"/>
    <w:basedOn w:val="896"/>
    <w:uiPriority w:val="0"/>
    <w:unhideWhenUsed/>
    <w:qFormat/>
    <w:pPr>
      <w:ind w:firstLine="420"/>
    </w:pPr>
  </w:style>
  <w:style w:type="paragraph" w:styleId="1218" w:customStyle="1">
    <w:name w:val="列表段落2"/>
    <w:basedOn w:val="896"/>
    <w:uiPriority w:val="34"/>
    <w:qFormat/>
    <w:pPr>
      <w:contextualSpacing/>
      <w:ind w:left="720"/>
    </w:pPr>
  </w:style>
  <w:style w:type="paragraph" w:styleId="1219" w:customStyle="1">
    <w:name w:val="普通(网站)1"/>
    <w:basedOn w:val="896"/>
    <w:uiPriority w:val="0"/>
    <w:qFormat/>
    <w:pPr>
      <w:jc w:val="left"/>
      <w:spacing w:before="100" w:beforeAutospacing="1" w:after="100" w:afterAutospacing="1"/>
      <w:widowControl/>
    </w:pPr>
    <w:rPr>
      <w:rFonts w:ascii="宋体" w:hAnsi="宋体" w:cs="宋体"/>
      <w:color w:val="000000"/>
      <w:sz w:val="24"/>
      <w:szCs w:val="20"/>
    </w:rPr>
  </w:style>
  <w:style w:type="paragraph" w:styleId="1220" w:customStyle="1">
    <w:name w:val="纯文本11"/>
    <w:basedOn w:val="896"/>
    <w:uiPriority w:val="0"/>
    <w:qFormat/>
    <w:rPr>
      <w:rFonts w:ascii="宋体" w:hAnsi="Courier New"/>
      <w:szCs w:val="20"/>
    </w:rPr>
  </w:style>
  <w:style w:type="paragraph" w:styleId="1221" w:customStyle="1">
    <w:name w:val="纯文本1"/>
    <w:basedOn w:val="1031"/>
    <w:uiPriority w:val="0"/>
    <w:qFormat/>
    <w:rPr>
      <w:rFonts w:hAnsi="Courier New"/>
      <w:sz w:val="20"/>
    </w:rPr>
  </w:style>
  <w:style w:type="paragraph" w:styleId="1222" w:customStyle="1">
    <w:name w:val="Body text|21"/>
    <w:basedOn w:val="896"/>
    <w:uiPriority w:val="0"/>
    <w:qFormat/>
    <w:pPr>
      <w:spacing w:before="500" w:after="260" w:line="200" w:lineRule="exact"/>
      <w:shd w:val="clear" w:color="auto" w:fill="ffffff"/>
    </w:pPr>
    <w:rPr>
      <w:rFonts w:ascii="PMingLiU" w:hAnsi="PMingLiU" w:eastAsia="PMingLiU" w:cs="PMingLiU"/>
      <w:spacing w:val="10"/>
      <w:sz w:val="20"/>
      <w:szCs w:val="20"/>
    </w:rPr>
  </w:style>
  <w:style w:type="paragraph" w:styleId="1223" w:customStyle="1">
    <w:name w:val="null3"/>
    <w:hidden/>
    <w:uiPriority w:val="0"/>
    <w:qFormat/>
    <w:rPr>
      <w:rFonts w:hint="eastAsia" w:asciiTheme="minorHAnsi" w:hAnsiTheme="minorHAnsi" w:eastAsiaTheme="minorEastAsia" w:cstheme="minorBidi"/>
      <w:lang w:val="en-US" w:eastAsia="zh-CN" w:bidi="ar-SA"/>
    </w:rPr>
  </w:style>
  <w:style w:type="character" w:styleId="1224" w:customStyle="1">
    <w:name w:val="font111"/>
    <w:basedOn w:val="906"/>
    <w:uiPriority w:val="0"/>
    <w:qFormat/>
    <w:rPr>
      <w:rFonts w:hint="eastAsia" w:ascii="宋体" w:hAnsi="宋体" w:eastAsia="宋体" w:cs="宋体"/>
      <w:b/>
      <w:bCs/>
      <w:color w:val="000000"/>
      <w:sz w:val="20"/>
      <w:szCs w:val="20"/>
      <w:u w:val="none"/>
    </w:rPr>
  </w:style>
  <w:style w:type="numbering" w:styleId="12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吴冬晓</cp:lastModifiedBy>
  <cp:revision>7</cp:revision>
  <dcterms:created xsi:type="dcterms:W3CDTF">2026-05-21T08:02:00Z</dcterms:created>
  <dcterms:modified xsi:type="dcterms:W3CDTF">2026-06-08T07:29:28Z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2052-12.1.0.26895</vt:lpwstr>
  </property>
  <property fmtid="{D5CDD505-2E9C-101B-9397-08002B2CF9AE}" pid="4" name="ICV">
    <vt:lpwstr>34105767E2DB4DB1AC4DDFC63B8E7C6A_13</vt:lpwstr>
  </property>
</Properties>
</file>