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_GB2312" w:hAnsi="仿宋_GB2312" w:eastAsia="仿宋_GB2312" w:cs="仿宋_GB2312"/>
          <w:b/>
          <w:spacing w:val="76"/>
          <w:sz w:val="24"/>
        </w:rPr>
      </w:pPr>
      <w:r>
        <w:rPr>
          <w:rFonts w:hint="eastAsia" w:ascii="仿宋_GB2312" w:hAnsi="仿宋_GB2312" w:eastAsia="仿宋_GB2312" w:cs="仿宋_GB2312"/>
          <w:b/>
          <w:spacing w:val="76"/>
          <w:sz w:val="24"/>
        </w:rPr>
      </w:r>
      <w:r/>
    </w:p>
    <w:p>
      <w:pPr>
        <w:pStyle w:val="822"/>
        <w:jc w:val="center"/>
        <w:spacing w:line="920" w:lineRule="exact"/>
        <w:rPr>
          <w:rFonts w:hint="eastAsia" w:ascii="仿宋_GB2312" w:hAnsi="仿宋_GB2312" w:eastAsia="仿宋_GB2312" w:cs="仿宋_GB2312"/>
          <w:b/>
          <w:color w:val="auto"/>
          <w:sz w:val="72"/>
          <w:szCs w:val="72"/>
          <w:highlight w:val="none"/>
        </w:rPr>
      </w:pPr>
      <w:r>
        <w:rPr>
          <w:rFonts w:hint="eastAsia" w:ascii="仿宋_GB2312" w:hAnsi="仿宋_GB2312" w:eastAsia="仿宋_GB2312" w:cs="仿宋_GB2312"/>
          <w:b/>
          <w:color w:val="auto"/>
          <w:sz w:val="72"/>
          <w:szCs w:val="72"/>
          <w:highlight w:val="none"/>
        </w:rPr>
      </w:r>
      <w:r/>
    </w:p>
    <w:p>
      <w:pPr>
        <w:pStyle w:val="822"/>
        <w:jc w:val="center"/>
        <w:spacing w:line="920" w:lineRule="exact"/>
        <w:rPr>
          <w:rFonts w:hint="eastAsia" w:ascii="仿宋_GB2312" w:hAnsi="仿宋_GB2312" w:eastAsia="仿宋_GB2312" w:cs="仿宋_GB2312"/>
          <w:b/>
          <w:color w:val="auto"/>
          <w:spacing w:val="-20"/>
          <w:sz w:val="72"/>
          <w:szCs w:val="72"/>
          <w:highlight w:val="none"/>
        </w:rPr>
      </w:pPr>
      <w:r>
        <w:rPr>
          <w:rFonts w:hint="eastAsia" w:ascii="仿宋_GB2312" w:hAnsi="仿宋_GB2312" w:eastAsia="仿宋_GB2312" w:cs="仿宋_GB2312"/>
          <w:b/>
          <w:color w:val="auto"/>
          <w:sz w:val="72"/>
          <w:szCs w:val="72"/>
          <w:highlight w:val="none"/>
        </w:rPr>
        <w:t xml:space="preserve">竞争性磋商文件</w:t>
      </w:r>
      <w:r>
        <w:rPr>
          <w:rFonts w:hint="eastAsia" w:ascii="仿宋_GB2312" w:hAnsi="仿宋_GB2312" w:eastAsia="仿宋_GB2312" w:cs="仿宋_GB2312"/>
          <w:b/>
          <w:color w:val="auto"/>
          <w:spacing w:val="-20"/>
          <w:sz w:val="72"/>
          <w:szCs w:val="72"/>
          <w:highlight w:val="none"/>
        </w:rPr>
        <w:t xml:space="preserve"> </w:t>
      </w:r>
      <w:r/>
    </w:p>
    <w:p>
      <w:pPr>
        <w:pStyle w:val="822"/>
        <w:jc w:val="left"/>
        <w:spacing w:line="4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w:t>
      </w:r>
      <w:r/>
    </w:p>
    <w:p>
      <w:pPr>
        <w:pStyle w:val="834"/>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w:t>
      </w:r>
      <w:r/>
    </w:p>
    <w:p>
      <w:pPr>
        <w:pStyle w:val="822"/>
        <w:jc w:val="left"/>
        <w:spacing w:line="9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pStyle w:val="821"/>
        <w:rPr>
          <w:rFonts w:hint="eastAsia" w:ascii="仿宋_GB2312" w:hAnsi="仿宋_GB2312" w:eastAsia="仿宋_GB2312" w:cs="仿宋_GB2312"/>
          <w:color w:val="auto"/>
          <w:sz w:val="28"/>
          <w:szCs w:val="28"/>
          <w:highlight w:val="none"/>
        </w:rPr>
      </w:pPr>
      <w:r>
        <w:t xml:space="preserve">                   </w:t>
      </w:r>
      <w:r>
        <mc:AlternateContent>
          <mc:Choice Requires="wpg">
            <w:drawing>
              <wp:inline xmlns:wp="http://schemas.openxmlformats.org/drawingml/2006/wordprocessingDrawing" distT="0" distB="0" distL="0" distR="0">
                <wp:extent cx="2908536" cy="1916009"/>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645488" name=""/>
                        <pic:cNvPicPr>
                          <a:picLocks noChangeAspect="1"/>
                        </pic:cNvPicPr>
                        <pic:nvPr/>
                      </pic:nvPicPr>
                      <pic:blipFill>
                        <a:blip r:embed="rId16"/>
                        <a:stretch/>
                      </pic:blipFill>
                      <pic:spPr bwMode="auto">
                        <a:xfrm flipH="0" flipV="0">
                          <a:off x="0" y="0"/>
                          <a:ext cx="2908536" cy="191600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9.0pt;height:150.9pt;mso-wrap-distance-left:0.0pt;mso-wrap-distance-top:0.0pt;mso-wrap-distance-right:0.0pt;mso-wrap-distance-bottom:0.0pt;" stroked="false">
                <v:path textboxrect="0,0,0,0"/>
                <v:imagedata r:id="rId16" o:title=""/>
              </v:shape>
            </w:pict>
          </mc:Fallback>
        </mc:AlternateContent>
      </w:r>
      <w:r/>
    </w:p>
    <w:p>
      <w:pPr>
        <w:pStyle w:val="822"/>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pStyle w:val="821"/>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pStyle w:val="822"/>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pStyle w:val="821"/>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pStyle w:val="822"/>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pStyle w:val="1004"/>
        <w:ind w:firstLine="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1004"/>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1205"/>
        <w:jc w:val="left"/>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项目编号：</w:t>
      </w:r>
      <w:bookmarkStart w:id="0" w:name="OLE_LINK1"/>
      <w:r>
        <w:rPr>
          <w:rFonts w:hint="eastAsia" w:ascii="仿宋_GB2312" w:hAnsi="仿宋_GB2312" w:eastAsia="仿宋_GB2312" w:cs="仿宋_GB2312"/>
          <w:b/>
          <w:bCs/>
          <w:sz w:val="30"/>
          <w:szCs w:val="30"/>
          <w:lang w:val="en-US" w:eastAsia="zh-CN"/>
        </w:rPr>
        <w:t xml:space="preserve">JSZC-320381-SRGC-C2026-0007</w:t>
      </w:r>
      <w:bookmarkEnd w:id="0"/>
      <w:r/>
      <w:r/>
    </w:p>
    <w:p>
      <w:pPr>
        <w:ind w:firstLine="1205"/>
        <w:jc w:val="left"/>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30"/>
          <w:szCs w:val="30"/>
          <w:lang w:val="en-US" w:eastAsia="zh-CN"/>
        </w:rPr>
        <w:t xml:space="preserve">项目名称：新沂市2025年度国土变更调查与2026年日常变更调查项目</w:t>
      </w:r>
      <w:r/>
    </w:p>
    <w:p>
      <w:pPr>
        <w:ind w:firstLine="1205"/>
        <w:jc w:val="left"/>
        <w:spacing w:line="360" w:lineRule="auto"/>
        <w:rPr>
          <w:rFonts w:hint="eastAsia" w:ascii="仿宋_GB2312" w:hAnsi="仿宋_GB2312" w:eastAsia="仿宋_GB2312" w:cs="仿宋_GB2312"/>
          <w:b/>
          <w:bCs/>
          <w:sz w:val="30"/>
          <w:szCs w:val="30"/>
        </w:rPr>
      </w:pPr>
      <w:r>
        <w:rPr>
          <w:rFonts w:hint="eastAsia" w:ascii="仿宋_GB2312" w:hAnsi="仿宋_GB2312" w:eastAsia="仿宋_GB2312" w:cs="仿宋_GB2312"/>
          <w:b/>
          <w:bCs/>
          <w:sz w:val="30"/>
          <w:szCs w:val="30"/>
        </w:rPr>
        <w:t xml:space="preserve">采 购 人：新沂市自然资源和规划局</w:t>
      </w:r>
      <w:r/>
    </w:p>
    <w:p>
      <w:pPr>
        <w:ind w:firstLine="1205"/>
        <w:jc w:val="left"/>
        <w:spacing w:line="360" w:lineRule="auto"/>
        <w:rPr>
          <w:rFonts w:hint="eastAsia" w:ascii="仿宋_GB2312" w:hAnsi="仿宋_GB2312" w:eastAsia="仿宋_GB2312" w:cs="仿宋_GB2312"/>
          <w:b/>
          <w:bCs/>
          <w:sz w:val="30"/>
          <w:szCs w:val="30"/>
          <w:lang w:eastAsia="zh-CN"/>
        </w:rPr>
      </w:pPr>
      <w:r>
        <w:rPr>
          <w:rFonts w:hint="eastAsia" w:ascii="仿宋_GB2312" w:hAnsi="仿宋_GB2312" w:eastAsia="仿宋_GB2312" w:cs="仿宋_GB2312"/>
          <w:b/>
          <w:bCs/>
          <w:sz w:val="30"/>
          <w:szCs w:val="30"/>
        </w:rPr>
        <w:t xml:space="preserve">代理机构：</w:t>
      </w:r>
      <w:r>
        <w:rPr>
          <w:rFonts w:hint="eastAsia" w:ascii="仿宋_GB2312" w:hAnsi="仿宋_GB2312" w:eastAsia="仿宋_GB2312" w:cs="仿宋_GB2312"/>
          <w:b/>
          <w:bCs/>
          <w:sz w:val="30"/>
          <w:szCs w:val="30"/>
          <w:lang w:eastAsia="zh-CN"/>
        </w:rPr>
        <w:t xml:space="preserve">江苏盛仁工程项目管理有限公司</w:t>
      </w:r>
      <w:r/>
    </w:p>
    <w:p>
      <w:pPr>
        <w:ind w:firstLine="1205"/>
        <w:jc w:val="left"/>
        <w:spacing w:line="360" w:lineRule="auto"/>
        <w:rPr>
          <w:rFonts w:hint="eastAsia" w:ascii="仿宋_GB2312" w:hAnsi="仿宋_GB2312" w:eastAsia="仿宋_GB2312" w:cs="仿宋_GB2312"/>
        </w:rPr>
        <w:sectPr>
          <w:headerReference w:type="first" r:id="rId9"/>
          <w:footnotePr/>
          <w:endnotePr/>
          <w:type w:val="nextColumn"/>
          <w:pgSz w:w="11906" w:h="16838" w:orient="portrait"/>
          <w:pgMar w:top="1440" w:right="1588" w:bottom="1440" w:left="1588" w:header="624" w:footer="992" w:gutter="0"/>
          <w:pgNumType w:start="1"/>
          <w:cols w:num="1" w:sep="0" w:space="1701" w:equalWidth="1"/>
          <w:docGrid w:linePitch="360"/>
        </w:sectPr>
      </w:pPr>
      <w:r>
        <w:rPr>
          <w:rFonts w:hint="eastAsia" w:ascii="仿宋_GB2312" w:hAnsi="仿宋_GB2312" w:eastAsia="仿宋_GB2312" w:cs="仿宋_GB2312"/>
          <w:b/>
          <w:bCs/>
          <w:sz w:val="30"/>
          <w:szCs w:val="30"/>
        </w:rPr>
        <w:t xml:space="preserve">编制时间：</w:t>
      </w:r>
      <w:r>
        <w:rPr>
          <w:rFonts w:hint="eastAsia" w:ascii="仿宋_GB2312" w:hAnsi="仿宋_GB2312" w:eastAsia="仿宋_GB2312" w:cs="仿宋_GB2312"/>
          <w:b/>
          <w:bCs/>
          <w:sz w:val="30"/>
          <w:szCs w:val="30"/>
          <w:lang w:val="en-US" w:eastAsia="zh-CN"/>
        </w:rPr>
        <w:t xml:space="preserve">二零二六年六月</w:t>
      </w:r>
      <w:r>
        <w:rPr>
          <w:rFonts w:hint="eastAsia" w:ascii="仿宋_GB2312" w:hAnsi="仿宋_GB2312" w:eastAsia="仿宋_GB2312" w:cs="仿宋_GB2312"/>
        </w:rPr>
        <w:br w:type="page" w:clear="all"/>
      </w:r>
      <w:r/>
    </w:p>
    <w:p>
      <w:pPr>
        <w:pStyle w:val="838"/>
        <w:rPr>
          <w:rFonts w:hint="eastAsia" w:ascii="仿宋_GB2312" w:hAnsi="仿宋_GB2312" w:eastAsia="仿宋_GB2312" w:cs="仿宋_GB2312"/>
          <w:sz w:val="24"/>
        </w:rPr>
      </w:pPr>
      <w:r>
        <w:rPr>
          <w:rFonts w:hint="eastAsia" w:ascii="仿宋_GB2312" w:hAnsi="仿宋_GB2312" w:eastAsia="仿宋_GB2312" w:cs="仿宋_GB2312"/>
          <w:b/>
          <w:bCs/>
          <w:sz w:val="44"/>
          <w:szCs w:val="44"/>
        </w:rPr>
        <w:t xml:space="preserve">竞争性磋商文件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按照《中华人民共和国政府采购法》、《中华人民共和国政府采购法实施条例》及《政府采购非招标采购方式管理办法》的规定,受新沂市自然资源和规划局委托，</w:t>
      </w:r>
      <w:r>
        <w:rPr>
          <w:rFonts w:hint="eastAsia" w:ascii="仿宋_GB2312" w:hAnsi="仿宋_GB2312" w:eastAsia="仿宋_GB2312" w:cs="仿宋_GB2312"/>
          <w:sz w:val="24"/>
          <w:lang w:eastAsia="zh-CN"/>
        </w:rPr>
        <w:t xml:space="preserve">江苏盛仁工程项目管理有限公司</w:t>
      </w:r>
      <w:r>
        <w:rPr>
          <w:rFonts w:hint="eastAsia" w:ascii="仿宋_GB2312" w:hAnsi="仿宋_GB2312" w:eastAsia="仿宋_GB2312" w:cs="仿宋_GB2312"/>
          <w:sz w:val="24"/>
        </w:rPr>
        <w:t xml:space="preserve">对</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u w:val="single"/>
          <w:lang w:eastAsia="zh-CN"/>
        </w:rPr>
        <w:t xml:space="preserve">新沂市2025年度国土变更调查与2026年日常变更调查项目</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采取竞争性磋商发布公告方式进行采购。如贵单位有意与本单位合作，请按以下要求参加磋商。</w:t>
      </w:r>
      <w:r/>
    </w:p>
    <w:p>
      <w:pPr>
        <w:pStyle w:val="838"/>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第一章 项目说明</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一、采购人：新沂市自然资源和规划局</w:t>
      </w:r>
      <w:r/>
    </w:p>
    <w:p>
      <w:pPr>
        <w:ind w:firstLine="472"/>
        <w:spacing w:line="360" w:lineRule="auto"/>
        <w:rPr>
          <w:rFonts w:hint="eastAsia" w:ascii="仿宋_GB2312" w:hAnsi="仿宋_GB2312" w:eastAsia="仿宋_GB2312" w:cs="仿宋_GB2312"/>
          <w:b/>
          <w:sz w:val="24"/>
          <w:lang w:eastAsia="zh-CN"/>
        </w:rPr>
      </w:pPr>
      <w:r>
        <w:rPr>
          <w:rFonts w:hint="eastAsia" w:ascii="仿宋_GB2312" w:hAnsi="仿宋_GB2312" w:eastAsia="仿宋_GB2312" w:cs="仿宋_GB2312"/>
          <w:b/>
          <w:sz w:val="24"/>
        </w:rPr>
        <w:t xml:space="preserve">二、项目名称：</w:t>
      </w:r>
      <w:r>
        <w:rPr>
          <w:rFonts w:hint="eastAsia" w:ascii="仿宋_GB2312" w:hAnsi="仿宋_GB2312" w:eastAsia="仿宋_GB2312" w:cs="仿宋_GB2312"/>
          <w:b/>
          <w:sz w:val="24"/>
          <w:lang w:eastAsia="zh-CN"/>
        </w:rPr>
        <w:t xml:space="preserve">新沂市2025年度国土变更调查与2026年日常变更调查项目</w:t>
      </w:r>
      <w:r/>
    </w:p>
    <w:p>
      <w:pPr>
        <w:ind w:firstLine="472"/>
        <w:spacing w:line="360" w:lineRule="auto"/>
        <w:rPr>
          <w:rFonts w:hint="eastAsia" w:ascii="仿宋_GB2312" w:hAnsi="仿宋_GB2312" w:eastAsia="仿宋_GB2312" w:cs="仿宋_GB2312"/>
          <w:b/>
          <w:sz w:val="24"/>
          <w:highlight w:val="yellow"/>
          <w:lang w:eastAsia="zh-CN"/>
        </w:rPr>
      </w:pPr>
      <w:r>
        <w:rPr>
          <w:rFonts w:hint="eastAsia" w:ascii="仿宋_GB2312" w:hAnsi="仿宋_GB2312" w:eastAsia="仿宋_GB2312" w:cs="仿宋_GB2312"/>
          <w:b/>
          <w:sz w:val="24"/>
        </w:rPr>
        <w:t xml:space="preserve">三、项目编号：</w:t>
      </w:r>
      <w:r>
        <w:rPr>
          <w:rFonts w:hint="eastAsia" w:ascii="仿宋_GB2312" w:hAnsi="仿宋_GB2312" w:eastAsia="仿宋_GB2312" w:cs="仿宋_GB2312"/>
          <w:b/>
          <w:sz w:val="24"/>
          <w:lang w:eastAsia="zh-CN"/>
        </w:rPr>
        <w:t xml:space="preserve">JSZC-320381-SRGC-C2026-0007</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四、采购方式：本项目采用竞争性磋商采购。</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五、供应商资格条件：</w:t>
      </w:r>
      <w:r/>
    </w:p>
    <w:p>
      <w:pPr>
        <w:pStyle w:val="1005"/>
        <w:ind w:firstLine="472"/>
        <w:spacing w:line="46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 xml:space="preserve">5.1符合《中华人民共和国政府采购法》第二十二条的规定</w:t>
      </w:r>
      <w:r>
        <w:rPr>
          <w:rFonts w:hint="eastAsia" w:ascii="仿宋_GB2312" w:hAnsi="仿宋_GB2312" w:eastAsia="仿宋_GB2312" w:cs="仿宋_GB2312"/>
          <w:sz w:val="24"/>
          <w:szCs w:val="24"/>
          <w:lang w:eastAsia="zh-CN"/>
        </w:rPr>
        <w:t xml:space="preserve">。</w:t>
      </w:r>
      <w:r/>
    </w:p>
    <w:p>
      <w:pPr>
        <w:pStyle w:val="1005"/>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5.2 采购项目需要落实的政府采购政策：此项目属于专门面向中小微企业采购的项目</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供应商应为中小微企业、监狱企业、残疾人福利性单位。</w:t>
      </w:r>
      <w:r/>
    </w:p>
    <w:p>
      <w:pPr>
        <w:pStyle w:val="1005"/>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5.3（一）投标人基本条件</w:t>
      </w:r>
      <w:r/>
    </w:p>
    <w:p>
      <w:pPr>
        <w:pStyle w:val="1005"/>
        <w:numPr>
          <w:ilvl w:val="0"/>
          <w:numId w:val="0"/>
        </w:numPr>
        <w:ind w:firstLine="480"/>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1.</w:t>
      </w:r>
      <w:r>
        <w:rPr>
          <w:rFonts w:hint="eastAsia" w:ascii="仿宋_GB2312" w:hAnsi="仿宋_GB2312" w:eastAsia="仿宋_GB2312" w:cs="仿宋_GB2312"/>
          <w:sz w:val="24"/>
          <w:szCs w:val="24"/>
        </w:rPr>
        <w:t xml:space="preserve">具有独立承担民事责任的能力；</w:t>
      </w:r>
      <w:r/>
    </w:p>
    <w:p>
      <w:pPr>
        <w:pStyle w:val="1005"/>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2.具有良好的商业信誉和健全的财务会计制度；</w:t>
      </w:r>
      <w:r/>
    </w:p>
    <w:p>
      <w:pPr>
        <w:pStyle w:val="1005"/>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3.具有履行合同所必需的设备和专业技术能力；</w:t>
      </w:r>
      <w:r/>
    </w:p>
    <w:p>
      <w:pPr>
        <w:pStyle w:val="1005"/>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4.有依法缴纳税收和社会保障资金的良好记录；</w:t>
      </w:r>
      <w:r/>
    </w:p>
    <w:p>
      <w:pPr>
        <w:pStyle w:val="1005"/>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5.参加投标活动前三年内，在经营活动中没有重大违法记录；</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6.法律、行政法规规定的其他条件。</w:t>
      </w:r>
      <w:r/>
    </w:p>
    <w:p>
      <w:pPr>
        <w:ind w:firstLine="708"/>
        <w:jc w:val="left"/>
        <w:spacing w:line="400" w:lineRule="exact"/>
        <w:widowControl/>
        <w:rPr>
          <w:rFonts w:hint="eastAsia" w:ascii="仿宋_GB2312" w:hAnsi="仿宋_GB2312" w:eastAsia="仿宋_GB2312" w:cs="仿宋_GB2312"/>
          <w:b/>
          <w:color w:val="auto"/>
          <w:sz w:val="24"/>
        </w:rPr>
      </w:pPr>
      <w:r>
        <w:rPr>
          <w:rFonts w:hint="eastAsia" w:ascii="仿宋_GB2312" w:hAnsi="仿宋_GB2312" w:eastAsia="仿宋_GB2312" w:cs="仿宋_GB2312"/>
          <w:sz w:val="24"/>
        </w:rPr>
        <w:t xml:space="preserve">（二）项目要求投标人具备的特定</w:t>
      </w:r>
      <w:r>
        <w:rPr>
          <w:rFonts w:hint="eastAsia" w:ascii="仿宋_GB2312" w:hAnsi="仿宋_GB2312" w:eastAsia="仿宋_GB2312" w:cs="仿宋_GB2312"/>
          <w:color w:val="auto"/>
          <w:sz w:val="24"/>
        </w:rPr>
        <w:t xml:space="preserve">条件</w:t>
      </w:r>
      <w:r/>
    </w:p>
    <w:p>
      <w:pPr>
        <w:contextualSpacing/>
        <w:ind w:firstLine="472"/>
        <w:jc w:val="left"/>
        <w:spacing w:line="440" w:lineRule="exact"/>
        <w:widowControl/>
        <w:rPr>
          <w:rFonts w:hint="eastAsia" w:ascii="仿宋_GB2312" w:hAnsi="仿宋_GB2312" w:eastAsia="仿宋_GB2312" w:cs="仿宋_GB2312"/>
          <w:color w:val="auto"/>
          <w:sz w:val="24"/>
          <w:highlight w:val="yellow"/>
        </w:rPr>
      </w:pPr>
      <w:r/>
      <w:bookmarkStart w:id="9" w:name="_GoBack"/>
      <w:r>
        <w:rPr>
          <w:rFonts w:hint="eastAsia" w:ascii="仿宋_GB2312" w:hAnsi="仿宋_GB2312" w:eastAsia="仿宋_GB2312" w:cs="仿宋_GB2312"/>
          <w:color w:val="auto"/>
          <w:sz w:val="24"/>
          <w:highlight w:val="none"/>
        </w:rPr>
        <w:t xml:space="preserve">投标人须具有</w:t>
      </w:r>
      <w:r>
        <w:rPr>
          <w:rFonts w:hint="eastAsia" w:ascii="仿宋_GB2312" w:hAnsi="仿宋_GB2312" w:eastAsia="仿宋_GB2312" w:cs="仿宋_GB2312"/>
          <w:color w:val="auto"/>
          <w:sz w:val="24"/>
          <w:highlight w:val="none"/>
          <w:lang w:val="en-US" w:eastAsia="zh-CN"/>
        </w:rPr>
        <w:t xml:space="preserve">测绘行政主管部门颁发的乙级及以上测绘资质证书（</w:t>
      </w:r>
      <w:r>
        <w:rPr>
          <w:rFonts w:hint="eastAsia" w:ascii="仿宋_GB2312" w:hAnsi="仿宋_GB2312" w:eastAsia="仿宋_GB2312" w:cs="仿宋_GB2312"/>
          <w:color w:val="auto"/>
          <w:sz w:val="24"/>
          <w:szCs w:val="24"/>
          <w:highlight w:val="none"/>
          <w:lang w:val="en-US" w:eastAsia="zh-CN" w:bidi="ar"/>
        </w:rPr>
        <w:t xml:space="preserve">专业范围同时包括地理信息系统工程和</w:t>
      </w:r>
      <w:r>
        <w:rPr>
          <w:rFonts w:hint="eastAsia" w:ascii="仿宋_GB2312" w:hAnsi="仿宋_GB2312" w:eastAsia="仿宋_GB2312" w:cs="仿宋_GB2312"/>
          <w:color w:val="auto"/>
          <w:sz w:val="24"/>
          <w:highlight w:val="none"/>
          <w:lang w:val="en-US" w:eastAsia="zh-CN"/>
        </w:rPr>
        <w:t xml:space="preserve">界线与不动产测绘</w:t>
      </w:r>
      <w:r>
        <w:rPr>
          <w:rFonts w:hint="eastAsia" w:ascii="仿宋_GB2312" w:hAnsi="仿宋_GB2312" w:eastAsia="仿宋_GB2312" w:cs="仿宋_GB2312"/>
          <w:color w:val="auto"/>
          <w:sz w:val="24"/>
          <w:szCs w:val="24"/>
          <w:highlight w:val="none"/>
          <w:lang w:val="en-US" w:eastAsia="zh-CN" w:bidi="ar"/>
        </w:rPr>
        <w:t xml:space="preserve">）</w:t>
      </w:r>
      <w:bookmarkEnd w:id="9"/>
      <w:r>
        <w:rPr>
          <w:rFonts w:hint="eastAsia" w:ascii="仿宋_GB2312" w:hAnsi="仿宋_GB2312" w:eastAsia="仿宋_GB2312" w:cs="仿宋_GB2312"/>
          <w:color w:val="auto"/>
          <w:sz w:val="24"/>
          <w:szCs w:val="24"/>
          <w:highlight w:val="none"/>
          <w:lang w:val="en-US" w:eastAsia="zh-CN" w:bidi="ar"/>
        </w:rPr>
        <w:t xml:space="preserve">。</w:t>
      </w:r>
      <w:r/>
    </w:p>
    <w:p>
      <w:pPr>
        <w:contextualSpacing/>
        <w:ind w:firstLine="472"/>
        <w:jc w:val="left"/>
        <w:spacing w:line="44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eastAsia="zh-CN"/>
        </w:rPr>
        <w:t xml:space="preserve">（</w:t>
      </w:r>
      <w:r>
        <w:rPr>
          <w:rFonts w:hint="eastAsia" w:ascii="仿宋_GB2312" w:hAnsi="仿宋_GB2312" w:eastAsia="仿宋_GB2312" w:cs="仿宋_GB2312"/>
          <w:color w:val="000000"/>
          <w:sz w:val="24"/>
          <w:lang w:val="en-US" w:eastAsia="zh-CN"/>
        </w:rPr>
        <w:t xml:space="preserve">三</w:t>
      </w:r>
      <w:r>
        <w:rPr>
          <w:rFonts w:hint="eastAsia" w:ascii="仿宋_GB2312" w:hAnsi="仿宋_GB2312" w:eastAsia="仿宋_GB2312" w:cs="仿宋_GB2312"/>
          <w:color w:val="000000"/>
          <w:sz w:val="24"/>
          <w:lang w:eastAsia="zh-CN"/>
        </w:rPr>
        <w:t xml:space="preserve">）</w:t>
      </w:r>
      <w:r>
        <w:rPr>
          <w:rFonts w:hint="eastAsia" w:ascii="仿宋_GB2312" w:hAnsi="仿宋_GB2312" w:eastAsia="仿宋_GB2312" w:cs="仿宋_GB2312"/>
          <w:color w:val="000000"/>
          <w:sz w:val="24"/>
        </w:rPr>
        <w:t xml:space="preserve">本项目不接受联合体投标。</w:t>
      </w:r>
      <w:r/>
    </w:p>
    <w:p>
      <w:pPr>
        <w:contextualSpacing/>
        <w:ind w:firstLine="480"/>
        <w:jc w:val="left"/>
        <w:spacing w:line="44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5.4.查询及使用供应商信用记录：</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（1）由采购人查询信用信息；</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（2）查询渠道包括：</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①“信用中国”网（www.creditchina.gov.cn）；</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②“中国政府采购”网（www.ccgp.gov.cn）；</w:t>
      </w:r>
      <w:r/>
    </w:p>
    <w:p>
      <w:pPr>
        <w:ind w:firstLine="472"/>
        <w:spacing w:line="360" w:lineRule="auto"/>
        <w:rPr>
          <w:rFonts w:hint="eastAsia" w:ascii="仿宋_GB2312" w:hAnsi="仿宋_GB2312" w:eastAsia="仿宋_GB2312" w:cs="仿宋_GB2312"/>
          <w:color w:val="000000"/>
          <w:sz w:val="24"/>
          <w:highlight w:val="red"/>
        </w:rPr>
      </w:pPr>
      <w:r>
        <w:rPr>
          <w:rFonts w:hint="eastAsia" w:ascii="仿宋_GB2312" w:hAnsi="仿宋_GB2312" w:eastAsia="仿宋_GB2312" w:cs="仿宋_GB2312"/>
          <w:sz w:val="24"/>
        </w:rPr>
        <w:t xml:space="preserve">③</w:t>
      </w:r>
      <w:r>
        <w:rPr>
          <w:rFonts w:hint="eastAsia" w:ascii="仿宋_GB2312" w:hAnsi="仿宋_GB2312" w:eastAsia="仿宋_GB2312" w:cs="仿宋_GB2312"/>
          <w:color w:val="000000"/>
          <w:sz w:val="24"/>
        </w:rPr>
        <w:t xml:space="preserve">“信用江苏”网（http://credit.jiangsu.gov.cn/）；</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④</w:t>
      </w:r>
      <w:r>
        <w:rPr>
          <w:rFonts w:hint="eastAsia" w:ascii="仿宋_GB2312" w:hAnsi="仿宋_GB2312" w:eastAsia="仿宋_GB2312" w:cs="仿宋_GB2312"/>
          <w:color w:val="000000"/>
          <w:sz w:val="24"/>
        </w:rPr>
        <w:t xml:space="preserve">“信用中国(江苏徐州)”网</w:t>
      </w:r>
      <w:r>
        <w:rPr>
          <w:rFonts w:hint="eastAsia" w:ascii="仿宋_GB2312" w:hAnsi="仿宋_GB2312" w:eastAsia="仿宋_GB2312" w:cs="仿宋_GB2312"/>
          <w:sz w:val="24"/>
        </w:rPr>
        <w:t xml:space="preserve">（</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"http://www.xuzhoucredit.gov.cn" </w:instrText>
      </w:r>
      <w:r>
        <w:rPr>
          <w:rFonts w:hint="eastAsia" w:ascii="仿宋_GB2312" w:hAnsi="仿宋_GB2312" w:eastAsia="仿宋_GB2312" w:cs="仿宋_GB2312"/>
        </w:rPr>
        <w:fldChar w:fldCharType="separate"/>
      </w:r>
      <w:r>
        <w:rPr>
          <w:rFonts w:hint="eastAsia" w:ascii="仿宋_GB2312" w:hAnsi="仿宋_GB2312" w:eastAsia="仿宋_GB2312" w:cs="仿宋_GB2312"/>
          <w:sz w:val="24"/>
        </w:rPr>
        <w:t xml:space="preserve">http://www.xuzhoucredit.gov.cn</w:t>
      </w:r>
      <w:r>
        <w:rPr>
          <w:rFonts w:hint="eastAsia" w:ascii="仿宋_GB2312" w:hAnsi="仿宋_GB2312" w:eastAsia="仿宋_GB2312" w:cs="仿宋_GB2312"/>
          <w:sz w:val="24"/>
        </w:rPr>
        <w:fldChar w:fldCharType="end"/>
      </w:r>
      <w:r>
        <w:rPr>
          <w:rFonts w:hint="eastAsia" w:ascii="仿宋_GB2312" w:hAnsi="仿宋_GB2312" w:eastAsia="仿宋_GB2312" w:cs="仿宋_GB2312"/>
          <w:sz w:val="24"/>
        </w:rPr>
        <w:t xml:space="preserve">）；</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（3）截止时点（查询环节）：磋商结束前；</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（4）信用信息查询记录和证据留存方式：网页截屏打印，与其他采购文件一并保存；</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（5）信用信息的使用规则：</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采购活动；供应商信用评价结果参考期限从项目开标之日前三年起算，具体按照《江苏省政府采购信用管理暂行办法》（苏财规[2018]18号）执行。</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六、项目预算金额：</w:t>
      </w:r>
      <w:r>
        <w:rPr>
          <w:rFonts w:hint="eastAsia" w:ascii="仿宋_GB2312" w:hAnsi="仿宋_GB2312" w:eastAsia="仿宋_GB2312" w:cs="仿宋_GB2312"/>
          <w:b/>
          <w:sz w:val="24"/>
          <w:lang w:val="en-US" w:eastAsia="zh-CN"/>
        </w:rPr>
        <w:t xml:space="preserve">180</w:t>
      </w:r>
      <w:r>
        <w:rPr>
          <w:rFonts w:hint="eastAsia" w:ascii="仿宋_GB2312" w:hAnsi="仿宋_GB2312" w:eastAsia="仿宋_GB2312" w:cs="仿宋_GB2312"/>
          <w:b/>
          <w:sz w:val="24"/>
        </w:rPr>
        <w:t xml:space="preserve">万元，本项目不接受超过</w:t>
      </w:r>
      <w:r>
        <w:rPr>
          <w:rFonts w:hint="eastAsia" w:ascii="仿宋_GB2312" w:hAnsi="仿宋_GB2312" w:eastAsia="仿宋_GB2312" w:cs="仿宋_GB2312"/>
          <w:b/>
          <w:sz w:val="24"/>
          <w:lang w:val="en-US" w:eastAsia="zh-CN"/>
        </w:rPr>
        <w:t xml:space="preserve">180</w:t>
      </w:r>
      <w:r>
        <w:rPr>
          <w:rFonts w:hint="eastAsia" w:ascii="仿宋_GB2312" w:hAnsi="仿宋_GB2312" w:eastAsia="仿宋_GB2312" w:cs="仿宋_GB2312"/>
          <w:b/>
          <w:sz w:val="24"/>
        </w:rPr>
        <w:t xml:space="preserve">万元以上报价。</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七、采购需求：详见《磋商文件》第八章附件《采购需求》，采购人确定的采购项目属性为服务。</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八、合同草案条款：详见《磋商文件》第八章附件《合同草案条款》。</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九、报价要求：</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1、供应商报价为要约，采购人无承诺表示时视为未成交，采购人认为必要时可重新进行竞争性磋商采购或采取其它方式采购。</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2、按照《磋商报价表》要求填写首次报价：详见《磋商文件》第八章附件《磋商报价表》。</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3、报价包含本项目范围内的全部费用。供应商有漏报或不报的，采购人将视为有关费用已包括在本项目的报价中而不予支付。采购人不支付报价以外的任何费用。</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lang w:val="en-US" w:eastAsia="zh-CN"/>
        </w:rPr>
        <w:t xml:space="preserve">    </w:t>
      </w:r>
      <w:r>
        <w:rPr>
          <w:rFonts w:hint="eastAsia" w:ascii="仿宋_GB2312" w:hAnsi="仿宋_GB2312" w:eastAsia="仿宋_GB2312" w:cs="仿宋_GB2312"/>
          <w:b/>
          <w:sz w:val="24"/>
        </w:rPr>
        <w:t xml:space="preserve">第二章 招标代理服务费</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十、成交供应商在领取成交通知书前，缴纳招标代理服务费，收取标准见附件。</w:t>
      </w:r>
      <w:r/>
    </w:p>
    <w:p>
      <w:pPr>
        <w:pStyle w:val="838"/>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第三章 响应文件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b/>
          <w:sz w:val="24"/>
        </w:rPr>
        <w:t xml:space="preserve">十一、响应文件编制要求</w:t>
      </w:r>
      <w:r/>
    </w:p>
    <w:p>
      <w:pPr>
        <w:pStyle w:val="838"/>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第一部分 基本要求</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1、供应商应当按照《磋商文件》的要求编制响应文件，并对其提交的响应文件的真实性、合法性承担法律责任。</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2、电子响应文件要求</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（1）供应商应由其法定代表人或法定代表人授权代表在规定的网上响应时间，使用“政府采购客户端”编制电子响应文件，并在提交响应文件截止时间之前上传响应文件。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（2）供应商应对 CA 证书妥善保管，如被他人盗用投标，因此带来的结果均由供应商自行承担。</w:t>
      </w:r>
      <w:r/>
    </w:p>
    <w:p>
      <w:pPr>
        <w:ind w:firstLine="472"/>
        <w:spacing w:line="360" w:lineRule="auto"/>
        <w:rPr>
          <w:rFonts w:hint="eastAsia" w:ascii="仿宋_GB2312" w:hAnsi="仿宋_GB2312" w:eastAsia="仿宋_GB2312" w:cs="仿宋_GB2312"/>
          <w:b/>
          <w:bCs/>
          <w:sz w:val="24"/>
          <w:highlight w:val="none"/>
        </w:rPr>
      </w:pPr>
      <w:r>
        <w:rPr>
          <w:rFonts w:hint="eastAsia" w:ascii="仿宋_GB2312" w:hAnsi="仿宋_GB2312" w:eastAsia="仿宋_GB2312" w:cs="仿宋_GB2312"/>
          <w:sz w:val="24"/>
        </w:rPr>
        <w:t xml:space="preserve">（3）投标人应凭CA数字证书以及自备的能够登录“苏采云”系统的笔记本电脑，在达到开标时间</w:t>
      </w:r>
      <w:r>
        <w:rPr>
          <w:rFonts w:hint="eastAsia" w:ascii="仿宋_GB2312" w:hAnsi="仿宋_GB2312" w:eastAsia="仿宋_GB2312" w:cs="仿宋_GB2312"/>
          <w:sz w:val="24"/>
          <w:highlight w:val="none"/>
        </w:rPr>
        <w:t xml:space="preserve">后，使用CA数字证书解密各自投标文件。因此带来的结果均由供应商自行承担。</w:t>
      </w:r>
      <w:r>
        <w:rPr>
          <w:rFonts w:hint="eastAsia" w:ascii="仿宋_GB2312" w:hAnsi="仿宋_GB2312" w:eastAsia="仿宋_GB2312" w:cs="仿宋_GB2312"/>
          <w:b/>
          <w:bCs/>
          <w:sz w:val="24"/>
          <w:highlight w:val="none"/>
        </w:rPr>
        <w:t xml:space="preserve">本项目开标时间为：</w:t>
      </w:r>
      <w:r>
        <w:rPr>
          <w:rFonts w:hint="eastAsia" w:ascii="仿宋_GB2312" w:hAnsi="仿宋_GB2312" w:eastAsia="仿宋_GB2312" w:cs="仿宋_GB2312"/>
          <w:b/>
          <w:bCs/>
          <w:sz w:val="24"/>
          <w:highlight w:val="none"/>
          <w:lang w:eastAsia="zh-CN"/>
        </w:rPr>
        <w:t xml:space="preserve">202</w:t>
      </w:r>
      <w:r>
        <w:rPr>
          <w:rFonts w:hint="eastAsia" w:ascii="仿宋_GB2312" w:hAnsi="仿宋_GB2312" w:eastAsia="仿宋_GB2312" w:cs="仿宋_GB2312"/>
          <w:b/>
          <w:bCs/>
          <w:sz w:val="24"/>
          <w:highlight w:val="none"/>
          <w:lang w:val="en-US" w:eastAsia="zh-CN"/>
        </w:rPr>
        <w:t xml:space="preserve">6</w:t>
      </w:r>
      <w:r>
        <w:rPr>
          <w:rFonts w:hint="eastAsia" w:ascii="仿宋_GB2312" w:hAnsi="仿宋_GB2312" w:eastAsia="仿宋_GB2312" w:cs="仿宋_GB2312"/>
          <w:b/>
          <w:bCs/>
          <w:sz w:val="24"/>
          <w:highlight w:val="none"/>
          <w:lang w:eastAsia="zh-CN"/>
        </w:rPr>
        <w:t xml:space="preserve">年</w:t>
      </w:r>
      <w:bookmarkStart w:id="1" w:name="OLE_LINK2"/>
      <w:r>
        <w:rPr>
          <w:rFonts w:hint="eastAsia" w:ascii="仿宋_GB2312" w:hAnsi="仿宋_GB2312" w:eastAsia="仿宋_GB2312" w:cs="仿宋_GB2312"/>
          <w:b/>
          <w:bCs/>
          <w:sz w:val="24"/>
          <w:highlight w:val="none"/>
          <w:lang w:val="en-US" w:eastAsia="zh-CN"/>
        </w:rPr>
        <w:t xml:space="preserve">06</w:t>
      </w:r>
      <w:r>
        <w:rPr>
          <w:rFonts w:hint="eastAsia" w:ascii="仿宋_GB2312" w:hAnsi="仿宋_GB2312" w:eastAsia="仿宋_GB2312" w:cs="仿宋_GB2312"/>
          <w:b/>
          <w:bCs/>
          <w:sz w:val="24"/>
          <w:highlight w:val="none"/>
          <w:lang w:eastAsia="zh-CN"/>
        </w:rPr>
        <w:t xml:space="preserve">月</w:t>
      </w:r>
      <w:r>
        <w:rPr>
          <w:rFonts w:hint="eastAsia" w:ascii="仿宋_GB2312" w:hAnsi="仿宋_GB2312" w:eastAsia="仿宋_GB2312" w:cs="仿宋_GB2312"/>
          <w:b/>
          <w:bCs/>
          <w:sz w:val="24"/>
          <w:highlight w:val="none"/>
          <w:lang w:val="en-US" w:eastAsia="zh-CN"/>
        </w:rPr>
        <w:t xml:space="preserve">26</w:t>
      </w:r>
      <w:r>
        <w:rPr>
          <w:rFonts w:hint="eastAsia" w:ascii="仿宋_GB2312" w:hAnsi="仿宋_GB2312" w:eastAsia="仿宋_GB2312" w:cs="仿宋_GB2312"/>
          <w:b/>
          <w:bCs/>
          <w:sz w:val="24"/>
          <w:highlight w:val="none"/>
          <w:lang w:eastAsia="zh-CN"/>
        </w:rPr>
        <w:t xml:space="preserve">日</w:t>
      </w:r>
      <w:bookmarkEnd w:id="1"/>
      <w:r>
        <w:rPr>
          <w:rFonts w:hint="eastAsia" w:ascii="仿宋_GB2312" w:hAnsi="仿宋_GB2312" w:eastAsia="仿宋_GB2312" w:cs="仿宋_GB2312"/>
          <w:b/>
          <w:bCs/>
          <w:sz w:val="24"/>
          <w:highlight w:val="none"/>
        </w:rPr>
        <w:t xml:space="preserve">北京时间上午09：30分。 </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（4）供应商应当对《磋商文件》提出的要求和条件作出实质性响应，并在电子投标系统逐条应答。</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（5）供应商应对要求提供的资格证明文件（如资质证书、资格证书）、技术资料（如白皮书、彩页、手册、检测报告等）原件扫描上传。</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3、获取竞争性磋商文件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（1）潜在供应商访问电子招标投标交易平台的网络地址和方法：</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①登录 http://jszfcg.jsczt.cn/ ，或进入徐州政府采购网--业务工作--用户登录，点击“苏采云”进入系统。</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"http://218.3.177.171:8088/Home/HomeDetails?type=13&amp;articleid=48474397-614b-4e09-ba87-56241d82e743" \t "http://218.3.177.171:8088/Home/_blank" \o "“苏采云”系统政务CA办理材料、操作手册及控件下载" </w:instrText>
      </w:r>
      <w:r>
        <w:rPr>
          <w:rFonts w:hint="eastAsia" w:ascii="仿宋_GB2312" w:hAnsi="仿宋_GB2312" w:eastAsia="仿宋_GB2312" w:cs="仿宋_GB2312"/>
        </w:rPr>
        <w:fldChar w:fldCharType="separate"/>
      </w:r>
      <w:r>
        <w:rPr>
          <w:rFonts w:hint="eastAsia" w:ascii="仿宋_GB2312" w:hAnsi="仿宋_GB2312" w:eastAsia="仿宋_GB2312" w:cs="仿宋_GB2312"/>
          <w:sz w:val="24"/>
        </w:rPr>
        <w:t xml:space="preserve">“苏采云”系统政务CA办理材料、操作手册及控件下载</w:t>
      </w:r>
      <w:r>
        <w:rPr>
          <w:rFonts w:hint="eastAsia" w:ascii="仿宋_GB2312" w:hAnsi="仿宋_GB2312" w:eastAsia="仿宋_GB2312" w:cs="仿宋_GB2312"/>
          <w:sz w:val="24"/>
        </w:rPr>
        <w:fldChar w:fldCharType="end"/>
      </w:r>
      <w:r>
        <w:rPr>
          <w:rFonts w:hint="eastAsia" w:ascii="仿宋_GB2312" w:hAnsi="仿宋_GB2312" w:eastAsia="仿宋_GB2312" w:cs="仿宋_GB2312"/>
          <w:sz w:val="24"/>
        </w:rPr>
        <w:t xml:space="preserve">》。</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投标客户端工具及供应商操作手册可访问徐州市政府采购网，选中“业务工作”，“下载专区”进行下载《江苏省政府采购管理交易系统（苏采云）供应商操作手册及政府采购客户端》。</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（2）采购代理机构将数据电文形式的采购文件加载至电子招标投标交易平台，供潜在供应商下载或者查阅。</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（3）售价：免费。</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（4）技术支持</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如有疑问，请联系客服人员。（工作时间：法定工作日9:00-17:00）</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进入政府采购交易系统，遇到任何问题，请联系</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电话：0516-67669051 、0516-67669158</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附：</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① 江苏省政府采购管理交易系统（苏采云）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4、有下列情形之一的，其投标无效：</w:t>
      </w:r>
      <w:r/>
    </w:p>
    <w:p>
      <w:pPr>
        <w:ind w:left="0" w:firstLine="48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w:t>
      </w:r>
      <w:r>
        <w:rPr>
          <w:rFonts w:hint="eastAsia" w:ascii="仿宋_GB2312" w:hAnsi="仿宋_GB2312" w:eastAsia="仿宋_GB2312" w:cs="仿宋_GB2312"/>
          <w:sz w:val="24"/>
          <w:lang w:val="en-US" w:eastAsia="zh-CN"/>
        </w:rPr>
        <w:t xml:space="preserve">1</w:t>
      </w:r>
      <w:r>
        <w:rPr>
          <w:rFonts w:hint="eastAsia" w:ascii="仿宋_GB2312" w:hAnsi="仿宋_GB2312" w:eastAsia="仿宋_GB2312" w:cs="仿宋_GB2312"/>
          <w:sz w:val="24"/>
        </w:rPr>
        <w:t xml:space="preserve">)电子响应文件未按规定期限投标的；</w:t>
      </w:r>
      <w:r/>
    </w:p>
    <w:p>
      <w:pPr>
        <w:ind w:left="0" w:firstLine="48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(2)电子响应文件未按磋商文件要求签章的； </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(3)供应商未在规定时间内解密电子响应文件的；</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(4)不同供应商响应文件内容存在非正常一致、项目组成员出现同一人、响应文件中错误（或异常）一致或雷同、电子文档信息一致或雷同的、报价呈规律性差异的。</w:t>
      </w:r>
      <w:r/>
    </w:p>
    <w:p>
      <w:pPr>
        <w:pStyle w:val="838"/>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第二部分 响应文件的组成</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（一）《承诺书》（加盖</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，格式见《磋商文件》附件）；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（二）《磋商报价表》（加盖</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，格式见《磋商文件》附件）；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（三）其他文件，包括：</w:t>
      </w:r>
      <w:r/>
    </w:p>
    <w:p>
      <w:pPr>
        <w:ind w:firstLine="472"/>
        <w:spacing w:line="360" w:lineRule="auto"/>
        <w:rPr>
          <w:rFonts w:hint="eastAsia" w:ascii="仿宋_GB2312" w:hAnsi="仿宋_GB2312" w:eastAsia="仿宋_GB2312" w:cs="仿宋_GB2312"/>
          <w:b/>
          <w:bCs/>
          <w:color w:val="auto"/>
          <w:sz w:val="24"/>
        </w:rPr>
      </w:pPr>
      <w:r>
        <w:rPr>
          <w:rFonts w:hint="eastAsia" w:ascii="仿宋_GB2312" w:hAnsi="仿宋_GB2312" w:eastAsia="仿宋_GB2312" w:cs="仿宋_GB2312"/>
          <w:b/>
          <w:bCs/>
          <w:color w:val="auto"/>
          <w:sz w:val="24"/>
        </w:rPr>
        <w:t xml:space="preserve">1、供应商的资格证明文件（必须提供，否则投标将被拒绝）</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1</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具有独立承担民事责任的能力，提供投标人合法有效的法人的营业执照或其他组织应提供合法证明文件的原件扫描件(加盖电子签章)。</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2</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财务状况报告，至少提供：即提供投标人的本项目开标时间前6个月内任何1月（不含开标当月）的资产负债表原件的扫描件1份；投标人的本项目开标时间前6个月内任何1月（不含开标当月）利润表月报表原件的扫描件1份(加盖电子签章)。</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3</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加盖电子签章)；</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4</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具备履行合同所必需的设备和专业技术能力的证明材料提供具备履行合同所必需的设备和专业技术能力的书面声明（加盖电子签章，格式见《磋商文件》附件）；</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5</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投标人参加政府采购活动前3年内在经营活动中没有重大违法记录的书面声明（加盖电子签章，格式见《磋商文件》附件）。</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6</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此项目属于专门面向中小微企业采购的项目，供应商应为中小微企业、监狱企业、残疾人福利性单位。提供《中小企业声明函》（必须提供，填写完整，加盖电子签章，如不填写完整，视为无效，格式见《磋商文件》附件）。</w:t>
      </w:r>
      <w:r/>
    </w:p>
    <w:p>
      <w:pPr>
        <w:ind w:firstLine="472"/>
        <w:spacing w:line="360" w:lineRule="auto"/>
        <w:rPr>
          <w:rFonts w:hint="eastAsia" w:ascii="仿宋_GB2312" w:hAnsi="仿宋_GB2312" w:eastAsia="仿宋_GB2312" w:cs="仿宋_GB2312"/>
          <w:b w:val="0"/>
          <w:bCs w:val="0"/>
          <w:color w:val="auto"/>
          <w:sz w:val="24"/>
          <w:highlight w:val="none"/>
          <w:lang w:val="en-US" w:eastAsia="zh-CN"/>
        </w:rPr>
      </w:pPr>
      <w:r>
        <w:rPr>
          <w:rFonts w:hint="eastAsia" w:ascii="仿宋_GB2312" w:hAnsi="仿宋_GB2312" w:eastAsia="仿宋_GB2312" w:cs="仿宋_GB2312"/>
          <w:b w:val="0"/>
          <w:bCs w:val="0"/>
          <w:color w:val="auto"/>
          <w:sz w:val="24"/>
          <w:highlight w:val="none"/>
        </w:rPr>
        <w:t xml:space="preserve">（</w:t>
      </w:r>
      <w:r>
        <w:rPr>
          <w:rFonts w:hint="eastAsia" w:ascii="仿宋_GB2312" w:hAnsi="仿宋_GB2312" w:eastAsia="仿宋_GB2312" w:cs="仿宋_GB2312"/>
          <w:b w:val="0"/>
          <w:bCs w:val="0"/>
          <w:color w:val="auto"/>
          <w:sz w:val="24"/>
          <w:highlight w:val="none"/>
          <w:lang w:val="en-US" w:eastAsia="zh-CN"/>
        </w:rPr>
        <w:t xml:space="preserve">7</w:t>
      </w:r>
      <w:r>
        <w:rPr>
          <w:rFonts w:hint="eastAsia" w:ascii="仿宋_GB2312" w:hAnsi="仿宋_GB2312" w:eastAsia="仿宋_GB2312" w:cs="仿宋_GB2312"/>
          <w:b w:val="0"/>
          <w:bCs w:val="0"/>
          <w:color w:val="auto"/>
          <w:sz w:val="24"/>
          <w:highlight w:val="none"/>
        </w:rPr>
        <w:t xml:space="preserve">）</w:t>
      </w:r>
      <w:r>
        <w:rPr>
          <w:rFonts w:hint="eastAsia" w:ascii="仿宋_GB2312" w:hAnsi="仿宋_GB2312" w:eastAsia="仿宋_GB2312" w:cs="仿宋_GB2312"/>
          <w:b w:val="0"/>
          <w:bCs w:val="0"/>
          <w:color w:val="auto"/>
          <w:sz w:val="24"/>
          <w:highlight w:val="none"/>
          <w:shd w:val="clear" w:color="auto" w:fill="auto"/>
        </w:rPr>
        <w:t xml:space="preserve">投标人须具有测绘行政主管部门颁发的</w:t>
      </w:r>
      <w:r>
        <w:rPr>
          <w:rFonts w:hint="eastAsia" w:ascii="仿宋_GB2312" w:hAnsi="仿宋_GB2312" w:eastAsia="仿宋_GB2312" w:cs="仿宋_GB2312"/>
          <w:color w:val="auto"/>
          <w:sz w:val="24"/>
          <w:highlight w:val="none"/>
          <w:lang w:val="en-US" w:eastAsia="zh-CN"/>
        </w:rPr>
        <w:t xml:space="preserve">乙级及以上测绘资质证书（</w:t>
      </w:r>
      <w:r>
        <w:rPr>
          <w:rFonts w:hint="eastAsia" w:ascii="仿宋_GB2312" w:hAnsi="仿宋_GB2312" w:eastAsia="仿宋_GB2312" w:cs="仿宋_GB2312"/>
          <w:color w:val="auto"/>
          <w:sz w:val="24"/>
          <w:szCs w:val="24"/>
          <w:highlight w:val="none"/>
          <w:lang w:val="en-US" w:eastAsia="zh-CN" w:bidi="ar"/>
        </w:rPr>
        <w:t xml:space="preserve">专业范围同时包括地理信息系统工程和</w:t>
      </w:r>
      <w:r>
        <w:rPr>
          <w:rFonts w:hint="eastAsia" w:ascii="仿宋_GB2312" w:hAnsi="仿宋_GB2312" w:eastAsia="仿宋_GB2312" w:cs="仿宋_GB2312"/>
          <w:color w:val="auto"/>
          <w:sz w:val="24"/>
          <w:highlight w:val="none"/>
          <w:lang w:val="en-US" w:eastAsia="zh-CN"/>
        </w:rPr>
        <w:t xml:space="preserve">界线与不动产测绘</w:t>
      </w:r>
      <w:r>
        <w:rPr>
          <w:rFonts w:hint="eastAsia" w:ascii="仿宋_GB2312" w:hAnsi="仿宋_GB2312" w:eastAsia="仿宋_GB2312" w:cs="仿宋_GB2312"/>
          <w:color w:val="auto"/>
          <w:sz w:val="24"/>
          <w:szCs w:val="24"/>
          <w:highlight w:val="none"/>
          <w:lang w:val="en-US" w:eastAsia="zh-CN" w:bidi="ar"/>
        </w:rPr>
        <w:t xml:space="preserve">）。</w:t>
      </w:r>
      <w:r>
        <w:rPr>
          <w:rFonts w:hint="eastAsia" w:ascii="仿宋_GB2312" w:hAnsi="仿宋_GB2312" w:eastAsia="仿宋_GB2312" w:cs="仿宋_GB2312"/>
          <w:b w:val="0"/>
          <w:bCs w:val="0"/>
          <w:color w:val="auto"/>
          <w:sz w:val="24"/>
          <w:highlight w:val="none"/>
          <w:lang w:val="en-US" w:eastAsia="zh-CN"/>
        </w:rPr>
        <w:t xml:space="preserve">（原件扫描上传</w:t>
      </w:r>
      <w:r>
        <w:rPr>
          <w:rFonts w:hint="eastAsia" w:ascii="仿宋_GB2312" w:hAnsi="仿宋_GB2312" w:eastAsia="仿宋_GB2312" w:cs="仿宋_GB2312"/>
          <w:b w:val="0"/>
          <w:bCs w:val="0"/>
          <w:color w:val="auto"/>
          <w:sz w:val="24"/>
          <w:highlight w:val="none"/>
        </w:rPr>
        <w:t xml:space="preserve">并加盖电子签章</w:t>
      </w:r>
      <w:r>
        <w:rPr>
          <w:rFonts w:hint="eastAsia" w:ascii="仿宋_GB2312" w:hAnsi="仿宋_GB2312" w:eastAsia="仿宋_GB2312" w:cs="仿宋_GB2312"/>
          <w:b w:val="0"/>
          <w:bCs w:val="0"/>
          <w:color w:val="auto"/>
          <w:sz w:val="24"/>
          <w:highlight w:val="none"/>
          <w:lang w:val="en-US" w:eastAsia="zh-CN"/>
        </w:rPr>
        <w:t xml:space="preserve">）。</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2、授权委托书</w:t>
      </w:r>
      <w:r>
        <w:rPr>
          <w:rFonts w:hint="eastAsia" w:ascii="仿宋_GB2312" w:hAnsi="仿宋_GB2312" w:eastAsia="仿宋_GB2312" w:cs="仿宋_GB2312"/>
          <w:color w:val="auto"/>
          <w:sz w:val="24"/>
        </w:rPr>
        <w:t xml:space="preserve">（原件扫描上传并加盖电子签章，格式见《磋商文件》附件）；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3、偏离表</w:t>
      </w:r>
      <w:r>
        <w:rPr>
          <w:rFonts w:hint="eastAsia" w:ascii="仿宋_GB2312" w:hAnsi="仿宋_GB2312" w:eastAsia="仿宋_GB2312" w:cs="仿宋_GB2312"/>
          <w:color w:val="auto"/>
          <w:sz w:val="24"/>
        </w:rPr>
        <w:t xml:space="preserve">（上传并加盖电子签章，格式见《磋商文件》附件）；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4、投标所要求的其他证明材料等（如有）</w:t>
      </w:r>
      <w:r>
        <w:rPr>
          <w:rFonts w:hint="eastAsia" w:ascii="仿宋_GB2312" w:hAnsi="仿宋_GB2312" w:eastAsia="仿宋_GB2312" w:cs="仿宋_GB2312"/>
          <w:color w:val="auto"/>
          <w:sz w:val="24"/>
        </w:rPr>
        <w:t xml:space="preserve">；</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5、供应商为监狱企业的，提供省级以上监狱管理局、戒毒管理局（含新疆生产建设兵团）出具的属于监狱企业的证明文件原件扫描上传并加盖电子签章。</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注：具体以《财政部 司法部关于政府采购支持监狱企业发展有关问题的通知》（财库〔2014〕68号）的规定为准(非必须提供）。</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6、供应商如为中小企业（含中型、小型、微型企业，下同）的，需提供《中小企业声明函》（上传并加盖电子签章，填写完整。格式见《磋商文件》附件）。《中小企业声明函》查询渠道参考工业和信息化部发布的中小企业规模自测小程序。</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注：中小微企业，应当符合以下条件：</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投标人为残疾人福利性单位的，视同小微企业，提供《残疾人福利性单位声明函》（原件扫描并加盖电子签章，格式见《磋商文件》附件）。具体以《关于促进残疾人就业政府采购政策的通知》（财库〔2017〕141号）的规定为准。</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投标人为监狱企业的，视同小微企业，提供省级以上监狱管理局、戒毒管理局（含新疆生产建设兵团）出具的属于监狱企业的证明文件原件扫描上传并加盖电子签章。具体以《财政部 司法部关于政府采购支持监狱企业发展有关问题的通知》（财库〔2014〕68号）的规定为准。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7、供应商为享受政府采购支持政策的残疾人福利性单位的，提供《残疾人福利性单位声明函》（上传并加盖电子签章，格式见《磋商文件》附件，非必须提供）。</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享受政府采购支持政策的残疾人福利性单位应当同时满足以下条件：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（一）安置的残疾人占本单位在职职工人数的比例不低于25%（含25%），并且安置的残疾人人数不少于10人（含10人）；</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（二）依法与安置的每位残疾人签订了一年以上（含一年）的劳动合同或服务协议；</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（三）为安置的每位残疾人按月足额缴纳了基本养老保险、基本医疗保险、失业保险、工伤保险和生育保险等社会保险费；</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（四）通过银行等金融机构向安置的每位残疾人，按月支付了不低于单位所在区县适用的经省级人民政府批准的月最低工资标准的工资；</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（五）提供本单位制造的货物、承担的工程或者服务（以下简称产品），或者提供其他残疾人福利性单位制造的货物（不包括使用非残疾人福利性单位注册商标的货物）。</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具体以《三部门联合发布关于促进残疾人就业政府采购政策的通知》（财库〔2017〕141号）规定为准。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8、“环境标志产品” 有关证明材料（如有）。</w:t>
      </w:r>
      <w:r/>
    </w:p>
    <w:p>
      <w:pPr>
        <w:ind w:firstLine="708"/>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所选用的产品列入中华人民共和国财政部、中华人民共和国环境保护部发布的“环境标志产品政府采购清单”，且在有效时间内（即“首次响应文件开启时间”当天在“认证证书有效截止日期”内）的，提供环境标志产品” 有关证明材料原件扫描上传并加盖电子签章。</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9、“节能产品” 有关证明材料（如有）。</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所选用的产品列入中华人民共和国财政部、中华人民共和国国家发展和改革委员会发布的“节能产品政府采购清单”，且在有效时间内（即首次响应文件开启时间”当天在“认证证书有效截止日期”内）的，提供“节能产品” 有关证明材料原件扫描上传并加盖电子签章。</w:t>
      </w:r>
      <w:r/>
    </w:p>
    <w:p>
      <w:pPr>
        <w:pStyle w:val="838"/>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第四章 磋商相关说明</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十二、评审程序：</w:t>
      </w:r>
      <w:r/>
    </w:p>
    <w:p>
      <w:pPr>
        <w:ind w:firstLine="472"/>
        <w:spacing w:line="360" w:lineRule="auto"/>
        <w:rPr>
          <w:rFonts w:hint="eastAsia" w:ascii="仿宋_GB2312" w:hAnsi="仿宋_GB2312" w:eastAsia="仿宋_GB2312" w:cs="仿宋_GB2312"/>
          <w:b/>
          <w:bCs/>
          <w:color w:val="ff0000"/>
          <w:sz w:val="24"/>
        </w:rPr>
      </w:pPr>
      <w:r>
        <w:rPr>
          <w:rFonts w:hint="eastAsia" w:ascii="仿宋_GB2312" w:hAnsi="仿宋_GB2312" w:eastAsia="仿宋_GB2312" w:cs="仿宋_GB2312"/>
          <w:sz w:val="24"/>
        </w:rPr>
        <w:t xml:space="preserve">磋商方式：</w:t>
      </w:r>
      <w:r>
        <w:rPr>
          <w:rFonts w:hint="eastAsia" w:ascii="仿宋" w:hAnsi="仿宋" w:eastAsia="仿宋" w:cs="仿宋"/>
          <w:bCs/>
          <w:color w:val="auto"/>
          <w:sz w:val="24"/>
          <w:szCs w:val="24"/>
          <w:highlight w:val="none"/>
        </w:rPr>
        <w:t xml:space="preserve">磋商方式：</w:t>
      </w:r>
      <w:r>
        <w:rPr>
          <w:rFonts w:hint="eastAsia" w:ascii="仿宋" w:hAnsi="仿宋" w:eastAsia="仿宋" w:cs="仿宋"/>
          <w:color w:val="auto"/>
          <w:sz w:val="24"/>
          <w:szCs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color w:val="auto"/>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b/>
          <w:color w:val="auto"/>
          <w:sz w:val="24"/>
          <w:szCs w:val="24"/>
          <w:highlight w:val="none"/>
          <w:lang w:eastAsia="zh-CN"/>
        </w:rPr>
        <w:t xml:space="preserve">，磋商结束后，请及时对磋商进行磋商函响应，未响应的视同放弃</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         </w:t>
      </w:r>
      <w:r>
        <w:rPr>
          <w:rFonts w:hint="eastAsia" w:ascii="仿宋_GB2312" w:hAnsi="仿宋_GB2312" w:eastAsia="仿宋_GB2312" w:cs="仿宋_GB2312"/>
          <w:b/>
          <w:bCs/>
          <w:sz w:val="24"/>
        </w:rPr>
        <w:t xml:space="preserve">本项目报价采用二轮报价，投标人应凭CA数字证书以及自备的能够登录“苏采云”系统的电脑在规定时间内进行二轮报价，</w:t>
      </w:r>
      <w:r>
        <w:rPr>
          <w:rFonts w:hint="eastAsia" w:ascii="仿宋_GB2312" w:hAnsi="仿宋_GB2312" w:eastAsia="仿宋_GB2312" w:cs="仿宋_GB2312"/>
          <w:b/>
          <w:bCs/>
          <w:color w:val="ff0000"/>
          <w:sz w:val="24"/>
        </w:rPr>
        <w:t xml:space="preserve">如未报价，视为响应无效，将不参与后续评标。</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经磋商确定最终采购需求和提交最后报价的供应商后，由磋商小组采用综合评分法对提交最后报价的供应商的响应文件和最后报价进行综合评分。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按响应无效处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注：评审过程中出现下列情形之一的，评审委员会应当启动异常低价投标（响应）审查程序：</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①投标（响应）报价低于采购项目预算50%的，即投标（响应）报价&lt;采购项目预算×50%；</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②投标（响应）报价低于最高限价45%的，即投标（响应）报价&lt;采购项目预算×45%；</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③评审委员会认定的供应商报价过低、有可能影响产品质量或者不能诚信履约的其他情形。</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相关内容和要求见：《中华人民共和国政府采购法》、《中华人民共和国政府采购法实施条例》及《政府采购竞争性磋商采购方式管理暂行办法》</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在评审过程中，磋商小组应当要求其在评审现场合理的时间内提供成本构成书面说明，并递交相关证明材料。供应商书面说明应当按照国家财务会计制度的规定要求，逐项就供应商提供的货物和服务的主营业务成本（应根据供应商企业类型予以区别）、税金及附加、销售费用、管理费用、财务费用等成本构成事项详细陈述。</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书面说明应当签字确认或者加盖公章，否则无效。书面说明的签字确认，供应商为法人的，由其法定代表人或者授权代表签字确认；供应商为其他组织的，由其主要负责人或者授权代表签字确认；供应商为自然人的，由其本人或者授权代表签字确认。</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磋商小组应当将其响应文件作为无效响应处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相关内容和要求见：《中华人民共和国政府采购法》、《中华人民共和国政府采购法实施条例》及《政府采购竞争性磋商采购方式管理暂行办法》。</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十三、评审方法和评审标准：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1、评审方法：综合评分法</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评审标准：本项目选用综合评分法，即竞争性磋商响应文件满足竞争性磋商文件全部实质性要求，且按照评审因素的量化指标评审得分最高的供应商为成交候选人。综合评分的主要因素是：报价、技术、综合实力、实施方案、售后服务，以及相应的比重或者权值等。详见《磋商文件》第八章附件《评分细则》。</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十四、磋商过程中可能实质性变动的内容：</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在磋商过程中，磋商小组可以根据《磋商文件》和磋商情况实质性变动采购需求中的技术、服务要求以及合同草案条款。</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 xml:space="preserve">十五、</w:t>
      </w:r>
      <w:r>
        <w:rPr>
          <w:rFonts w:hint="eastAsia" w:ascii="仿宋_GB2312" w:hAnsi="仿宋_GB2312" w:eastAsia="仿宋_GB2312" w:cs="仿宋_GB2312"/>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38"/>
        <w:rPr>
          <w:rFonts w:hint="eastAsia" w:ascii="仿宋_GB2312" w:hAnsi="仿宋_GB2312" w:eastAsia="仿宋_GB2312" w:cs="仿宋_GB2312"/>
          <w:bCs w:val="0"/>
          <w:sz w:val="24"/>
          <w:szCs w:val="24"/>
        </w:rPr>
      </w:pPr>
      <w:r>
        <w:rPr>
          <w:rFonts w:hint="eastAsia" w:ascii="仿宋_GB2312" w:hAnsi="仿宋_GB2312" w:eastAsia="仿宋_GB2312" w:cs="仿宋_GB2312"/>
          <w:sz w:val="24"/>
          <w:szCs w:val="24"/>
        </w:rPr>
        <w:t xml:space="preserve">第五章 确定成交供应商及合同签订等</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十六、成交结果确认：</w:t>
      </w:r>
      <w:r/>
    </w:p>
    <w:p>
      <w:pPr>
        <w:ind w:firstLine="472"/>
        <w:spacing w:line="360" w:lineRule="auto"/>
        <w:rPr>
          <w:rFonts w:hint="eastAsia" w:ascii="仿宋_GB2312" w:hAnsi="仿宋_GB2312" w:eastAsia="仿宋_GB2312" w:cs="仿宋_GB2312"/>
          <w:bCs/>
          <w:sz w:val="24"/>
        </w:rPr>
      </w:pPr>
      <w:r>
        <w:rPr>
          <w:rFonts w:hint="eastAsia" w:ascii="仿宋_GB2312" w:hAnsi="仿宋_GB2312" w:eastAsia="仿宋_GB2312" w:cs="仿宋_GB2312"/>
          <w:bCs/>
          <w:sz w:val="24"/>
        </w:rPr>
        <w:t xml:space="preserve">采购代理机构在竞争性磋商结束后2个工作日内将评审报告送达采购人。采购人在收到评审报告后5个工作日内，按照评审报告中提出的成交候选人得分由高到低的排序原则确定成交供应商。采购人逾期未确定成交供应商且不提出异议的，视为确定评审报告提出的排序第一的供应商为成交供应商。成交供应商拒绝签订政府采购合同的，采购人可以按照以上原则确定其他供应商作为成交供应商并签订政府采购合同，也可以重新开展采购活动。</w:t>
      </w:r>
      <w:r/>
    </w:p>
    <w:p>
      <w:pPr>
        <w:ind w:firstLine="472"/>
        <w:spacing w:line="360" w:lineRule="auto"/>
        <w:rPr>
          <w:rFonts w:hint="eastAsia" w:ascii="仿宋_GB2312" w:hAnsi="仿宋_GB2312" w:eastAsia="仿宋_GB2312" w:cs="仿宋_GB2312"/>
          <w:bCs/>
          <w:sz w:val="24"/>
        </w:rPr>
      </w:pPr>
      <w:r>
        <w:rPr>
          <w:rFonts w:hint="eastAsia" w:ascii="仿宋_GB2312" w:hAnsi="仿宋_GB2312" w:eastAsia="仿宋_GB2312" w:cs="仿宋_GB2312"/>
          <w:b/>
          <w:sz w:val="24"/>
        </w:rPr>
        <w:t xml:space="preserve">十七、</w:t>
      </w:r>
      <w:r>
        <w:rPr>
          <w:rFonts w:hint="eastAsia" w:ascii="仿宋_GB2312" w:hAnsi="仿宋_GB2312" w:eastAsia="仿宋_GB2312" w:cs="仿宋_GB2312"/>
          <w:bCs/>
          <w:sz w:val="24"/>
        </w:rPr>
        <w:t xml:space="preserve">采购人有权对供应商的响应文件的真实性进行核实。如供应商不能提供有效文件，将被采购人认定为具有《中华人民共和国政府采购法》第七十七条所规定的“提供虚假材料谋取中标、成交的”情形，有权取消成交供应商，同时供应商承担相应的法律责任</w:t>
      </w:r>
      <w:r/>
    </w:p>
    <w:p>
      <w:pPr>
        <w:ind w:firstLine="472"/>
        <w:spacing w:line="360" w:lineRule="auto"/>
        <w:rPr>
          <w:rFonts w:hint="eastAsia" w:ascii="仿宋_GB2312" w:hAnsi="仿宋_GB2312" w:eastAsia="仿宋_GB2312" w:cs="仿宋_GB2312"/>
          <w:bCs/>
          <w:sz w:val="24"/>
        </w:rPr>
      </w:pPr>
      <w:r>
        <w:rPr>
          <w:rFonts w:hint="eastAsia" w:ascii="仿宋_GB2312" w:hAnsi="仿宋_GB2312" w:eastAsia="仿宋_GB2312" w:cs="仿宋_GB2312"/>
          <w:b/>
          <w:sz w:val="24"/>
        </w:rPr>
        <w:t xml:space="preserve">十八、</w:t>
      </w:r>
      <w:r>
        <w:rPr>
          <w:rFonts w:hint="eastAsia" w:ascii="仿宋_GB2312" w:hAnsi="仿宋_GB2312" w:eastAsia="仿宋_GB2312" w:cs="仿宋_GB2312"/>
          <w:bCs/>
          <w:sz w:val="24"/>
        </w:rPr>
        <w:t xml:space="preserve">采购人与成交供应商应当在成交通知书发出之日起30日内，按照《磋商文件》确定的合同文本以及采购标的、规格型号、采购金额、采购数量、技术和服务要求等事项签订政府采购合同。采购人应当自政府采购合同签订之日起2个工作日内，将政府采购合同在省级以上人民政府财政部门指定的媒体上公告。</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十九、成交结果公告</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自在采购结果确认后，采购代理机构将在法定网站发布成交公告，将采购结果告知采购当事人，成交结果在</w:t>
      </w:r>
      <w:r>
        <w:rPr>
          <w:rFonts w:hint="eastAsia" w:ascii="仿宋_GB2312" w:hAnsi="仿宋_GB2312" w:eastAsia="仿宋_GB2312" w:cs="仿宋_GB2312"/>
          <w:b/>
          <w:sz w:val="24"/>
        </w:rPr>
        <w:t xml:space="preserve">徐州政府采购网https://czj.xz.gov.cn/zfcg/index.html</w:t>
      </w:r>
      <w:r>
        <w:rPr>
          <w:rFonts w:hint="eastAsia" w:ascii="仿宋_GB2312" w:hAnsi="仿宋_GB2312" w:eastAsia="仿宋_GB2312" w:cs="仿宋_GB2312"/>
          <w:sz w:val="24"/>
        </w:rPr>
        <w:t xml:space="preserve">上公布。</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采购人：新</w:t>
      </w:r>
      <w:r>
        <w:rPr>
          <w:rFonts w:hint="eastAsia" w:ascii="仿宋_GB2312" w:hAnsi="仿宋_GB2312" w:eastAsia="仿宋_GB2312" w:cs="仿宋_GB2312"/>
          <w:sz w:val="24"/>
          <w:lang w:eastAsia="zh-CN"/>
        </w:rPr>
        <w:t xml:space="preserve">沂市自然资源和规划局</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 xml:space="preserve">联系人：马云波</w:t>
      </w:r>
      <w:r/>
    </w:p>
    <w:p>
      <w:pPr>
        <w:ind w:firstLine="472"/>
        <w:spacing w:line="360" w:lineRule="auto"/>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eastAsia="zh-CN"/>
        </w:rPr>
        <w:t xml:space="preserve">联系电话：15852291515</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 xml:space="preserve">采购代理公司：江苏盛仁工程项目管理有限公司</w:t>
      </w:r>
      <w:r/>
    </w:p>
    <w:p>
      <w:pPr>
        <w:ind w:firstLine="472"/>
        <w:spacing w:line="360" w:lineRule="auto"/>
        <w:rPr>
          <w:rFonts w:hint="eastAsia" w:ascii="仿宋_GB2312" w:hAnsi="仿宋_GB2312" w:eastAsia="仿宋_GB2312" w:cs="仿宋_GB2312"/>
          <w:sz w:val="24"/>
          <w:lang w:val="en-US" w:eastAsia="zh-CN"/>
        </w:rPr>
      </w:pPr>
      <w:r/>
      <w:bookmarkStart w:id="2" w:name="OLE_LINK3"/>
      <w:r>
        <w:rPr>
          <w:rFonts w:hint="eastAsia" w:ascii="仿宋_GB2312" w:hAnsi="仿宋_GB2312" w:eastAsia="仿宋_GB2312" w:cs="仿宋_GB2312"/>
          <w:sz w:val="24"/>
          <w:lang w:eastAsia="zh-CN"/>
        </w:rPr>
        <w:t xml:space="preserve">联系人：</w:t>
      </w:r>
      <w:bookmarkStart w:id="3" w:name="OLE_LINK4"/>
      <w:r>
        <w:rPr>
          <w:rFonts w:hint="eastAsia" w:ascii="仿宋_GB2312" w:hAnsi="仿宋_GB2312" w:eastAsia="仿宋_GB2312" w:cs="仿宋_GB2312"/>
          <w:sz w:val="24"/>
          <w:lang w:eastAsia="zh-CN"/>
        </w:rPr>
        <w:t xml:space="preserve">靳西朋</w:t>
      </w:r>
      <w:bookmarkEnd w:id="3"/>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 xml:space="preserve">电  话：</w:t>
      </w:r>
      <w:bookmarkStart w:id="4" w:name="OLE_LINK5"/>
      <w:r>
        <w:rPr>
          <w:rFonts w:hint="eastAsia" w:ascii="仿宋_GB2312" w:hAnsi="仿宋_GB2312" w:eastAsia="仿宋_GB2312" w:cs="仿宋_GB2312"/>
          <w:sz w:val="24"/>
          <w:lang w:eastAsia="zh-CN"/>
        </w:rPr>
        <w:t xml:space="preserve">18751599972</w:t>
      </w:r>
      <w:bookmarkEnd w:id="2"/>
      <w:r/>
      <w:bookmarkEnd w:id="4"/>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 xml:space="preserve">联系地址：</w:t>
      </w:r>
      <w:bookmarkStart w:id="5" w:name="OLE_LINK6"/>
      <w:r>
        <w:rPr>
          <w:rFonts w:hint="eastAsia" w:ascii="仿宋_GB2312" w:hAnsi="仿宋_GB2312" w:eastAsia="仿宋_GB2312" w:cs="仿宋_GB2312"/>
          <w:sz w:val="24"/>
          <w:lang w:eastAsia="zh-CN"/>
        </w:rPr>
        <w:t xml:space="preserve">宿迁市宿城区兴邦商住楼2#13楼</w:t>
      </w:r>
      <w:bookmarkEnd w:id="5"/>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br w:type="page" w:clear="all"/>
      </w:r>
      <w:r/>
    </w:p>
    <w:p>
      <w:pPr>
        <w:pStyle w:val="83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第六章 磋商文件的澄清或者修改</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二十、《磋商文件》的澄清或者修改：</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38"/>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第七章 询问和质疑</w:t>
      </w:r>
      <w:r/>
    </w:p>
    <w:p>
      <w:pPr>
        <w:ind w:firstLine="472"/>
        <w:spacing w:line="360" w:lineRule="auto"/>
        <w:widowControl/>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二十一、询问和质疑：</w:t>
      </w:r>
      <w:r/>
    </w:p>
    <w:p>
      <w:pPr>
        <w:ind w:firstLine="472"/>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对政府采购活动事项有疑问的，向采购人提出询问；供应商认为采购文件、采购过程和中标、成交结果使自己的权益受到损害的，可以在知道或者应知其权益受到损害之日起七个工作日内，以书面形式向采购代理机构和采购人提出质疑。询问和质疑由采购代理机构和采购人依法处理。</w:t>
      </w:r>
      <w:r/>
    </w:p>
    <w:p>
      <w:pPr>
        <w:ind w:firstLine="472"/>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政府采购投诉网上平台，请登陆江苏政务服务网站（http://xzxy.jszwfw.gov.cn），选择新沂市--个人服务--按部门--市财政局--政府采购投诉处理--在线办理。（注意在线办理前须注册江苏政务服务网站帐号）。</w:t>
      </w:r>
      <w:r/>
    </w:p>
    <w:p>
      <w:pPr>
        <w:ind w:firstLine="472"/>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质疑接收人： </w:t>
      </w:r>
      <w:r>
        <w:rPr>
          <w:rFonts w:hint="eastAsia" w:ascii="仿宋_GB2312" w:hAnsi="仿宋_GB2312" w:eastAsia="仿宋_GB2312" w:cs="仿宋_GB2312"/>
          <w:sz w:val="24"/>
          <w:lang w:eastAsia="zh-CN"/>
        </w:rPr>
        <w:t xml:space="preserve">靳西朋</w:t>
      </w:r>
      <w:r>
        <w:rPr>
          <w:rFonts w:hint="eastAsia" w:ascii="仿宋_GB2312" w:hAnsi="仿宋_GB2312" w:eastAsia="仿宋_GB2312" w:cs="仿宋_GB2312"/>
          <w:color w:val="auto"/>
          <w:sz w:val="24"/>
        </w:rPr>
        <w:t xml:space="preserve">      </w:t>
      </w:r>
      <w:r/>
    </w:p>
    <w:p>
      <w:pPr>
        <w:ind w:firstLine="472"/>
        <w:spacing w:line="360" w:lineRule="auto"/>
        <w:widowControl/>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联系电话： </w:t>
      </w:r>
      <w:r>
        <w:rPr>
          <w:rFonts w:hint="eastAsia" w:ascii="仿宋_GB2312" w:hAnsi="仿宋_GB2312" w:eastAsia="仿宋_GB2312" w:cs="仿宋_GB2312"/>
          <w:sz w:val="24"/>
          <w:lang w:eastAsia="zh-CN"/>
        </w:rPr>
        <w:t xml:space="preserve">18751599972</w:t>
      </w:r>
      <w:r/>
    </w:p>
    <w:p>
      <w:pPr>
        <w:ind w:firstLine="472"/>
        <w:spacing w:line="360" w:lineRule="auto"/>
        <w:widowControl/>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地址：</w:t>
      </w:r>
      <w:r>
        <w:rPr>
          <w:rFonts w:hint="eastAsia" w:ascii="仿宋_GB2312" w:hAnsi="仿宋_GB2312" w:eastAsia="仿宋_GB2312" w:cs="仿宋_GB2312"/>
          <w:sz w:val="24"/>
          <w:lang w:eastAsia="zh-CN"/>
        </w:rPr>
        <w:t xml:space="preserve"> 宿迁市宿城区兴邦商住楼2#13楼</w:t>
      </w:r>
      <w:r/>
    </w:p>
    <w:p>
      <w:pPr>
        <w:pStyle w:val="838"/>
        <w:numPr>
          <w:ilvl w:val="0"/>
          <w:numId w:val="1"/>
        </w:num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br w:type="page" w:clear="all"/>
      </w:r>
      <w:r>
        <w:rPr>
          <w:rFonts w:hint="eastAsia" w:ascii="仿宋_GB2312" w:hAnsi="仿宋_GB2312" w:eastAsia="仿宋_GB2312" w:cs="仿宋_GB2312"/>
          <w:sz w:val="24"/>
          <w:szCs w:val="24"/>
        </w:rPr>
        <w:t xml:space="preserve">附  件</w:t>
      </w:r>
      <w:r/>
    </w:p>
    <w:p>
      <w:pPr>
        <w:ind w:firstLine="472"/>
        <w:spacing w:line="360" w:lineRule="auto"/>
        <w:widowControl/>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二十二、附件：附后</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1、《评分细则》</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2、《采购需求》</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3、《磋商报价表》</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4、《偏离表》</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5、《承诺书》</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6、《法人授权委托书》</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7、《供应商参加政府采购活动前3年内在经营活动中没有重大违法记录的书面声明》</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8、《中小企业声明函》</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9、《残疾人福利性单位声明函》</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10、《方案》</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11、《合同草案条款》</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12、《具备履行合同所必需的设备和专业技术能力的书面声明》</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13、《招标代理服务收费标准》</w:t>
      </w:r>
      <w:r/>
    </w:p>
    <w:p>
      <w:pPr>
        <w:pStyle w:val="1007"/>
        <w:rPr>
          <w:rFonts w:hint="eastAsia" w:ascii="仿宋_GB2312" w:hAnsi="仿宋_GB2312" w:eastAsia="仿宋_GB2312" w:cs="仿宋_GB2312"/>
          <w:sz w:val="24"/>
        </w:rPr>
      </w:pPr>
      <w:r>
        <w:rPr>
          <w:rFonts w:hint="eastAsia" w:ascii="仿宋_GB2312" w:hAnsi="仿宋_GB2312" w:eastAsia="仿宋_GB2312" w:cs="仿宋_GB2312"/>
          <w:sz w:val="24"/>
        </w:rPr>
      </w:r>
      <w:r/>
    </w:p>
    <w:p>
      <w:pPr>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827"/>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827"/>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827"/>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827"/>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827"/>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br w:type="page" w:clear="all"/>
      </w:r>
      <w:r/>
    </w:p>
    <w:p>
      <w:pPr>
        <w:ind w:firstLine="480"/>
        <w:jc w:val="center"/>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1、评分细则</w:t>
      </w:r>
      <w:bookmarkStart w:id="6" w:name="第六章__采购需求"/>
      <w:r/>
      <w:bookmarkEnd w:id="6"/>
      <w:r/>
      <w:r/>
    </w:p>
    <w:p>
      <w:pPr>
        <w:rPr>
          <w:rStyle w:val="999"/>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tbl>
      <w:tblPr>
        <w:tblStyle w:val="777"/>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319"/>
        <w:gridCol w:w="6521"/>
        <w:gridCol w:w="5"/>
      </w:tblGrid>
      <w:tr>
        <w:trPr>
          <w:jc w:val="center"/>
          <w:trHeight w:val="699"/>
        </w:trPr>
        <w:tc>
          <w:tcPr>
            <w:tcMar>
              <w:left w:w="108" w:type="dxa"/>
              <w:top w:w="0" w:type="dxa"/>
              <w:right w:w="108" w:type="dxa"/>
              <w:bottom w:w="0" w:type="dxa"/>
            </w:tcMar>
            <w:tcW w:w="721" w:type="dxa"/>
            <w:vAlign w:val="center"/>
            <w:textDirection w:val="lrTb"/>
            <w:noWrap w:val="false"/>
          </w:tcPr>
          <w:p>
            <w:pPr>
              <w:ind w:right="0"/>
              <w:spacing w:before="0" w:after="0" w:line="300" w:lineRule="atLeast"/>
              <w:rPr>
                <w:rFonts w:hint="eastAsia" w:ascii="仿宋_GB2312" w:hAnsi="仿宋_GB2312" w:eastAsia="仿宋_GB2312" w:cs="仿宋_GB2312"/>
                <w:b/>
                <w:color w:val="auto"/>
                <w:sz w:val="22"/>
                <w:szCs w:val="2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auto"/>
                <w:sz w:val="22"/>
                <w:szCs w:val="22"/>
              </w:rPr>
            </w:r>
            <w:r/>
          </w:p>
        </w:tc>
        <w:tc>
          <w:tcPr>
            <w:tcMar>
              <w:left w:w="108" w:type="dxa"/>
              <w:top w:w="0" w:type="dxa"/>
              <w:right w:w="108" w:type="dxa"/>
              <w:bottom w:w="0" w:type="dxa"/>
            </w:tcMar>
            <w:tcW w:w="1319" w:type="dxa"/>
            <w:vAlign w:val="center"/>
            <w:textDirection w:val="lrTb"/>
            <w:noWrap w:val="false"/>
          </w:tcPr>
          <w:p>
            <w:pPr>
              <w:ind w:right="0"/>
              <w:jc w:val="center"/>
              <w:spacing w:before="0" w:after="0" w:line="300" w:lineRule="atLeast"/>
              <w:rPr>
                <w:rFonts w:hint="eastAsia" w:ascii="仿宋_GB2312" w:hAnsi="仿宋_GB2312" w:eastAsia="仿宋_GB2312" w:cs="仿宋_GB2312"/>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auto"/>
                <w:sz w:val="22"/>
                <w:szCs w:val="22"/>
                <w:lang w:val="en-US" w:eastAsia="zh-CN"/>
              </w:rPr>
              <w:t xml:space="preserve">评审项目</w:t>
            </w:r>
            <w:r/>
          </w:p>
        </w:tc>
        <w:tc>
          <w:tcPr>
            <w:gridSpan w:val="2"/>
            <w:tcMar>
              <w:left w:w="108" w:type="dxa"/>
              <w:top w:w="0" w:type="dxa"/>
              <w:right w:w="108" w:type="dxa"/>
              <w:bottom w:w="0" w:type="dxa"/>
            </w:tcMar>
            <w:tcW w:w="6526" w:type="dxa"/>
            <w:vAlign w:val="center"/>
            <w:textDirection w:val="lrTb"/>
            <w:noWrap w:val="false"/>
          </w:tcPr>
          <w:p>
            <w:pPr>
              <w:ind w:right="0"/>
              <w:jc w:val="center"/>
              <w:spacing w:before="0" w:after="0" w:line="300" w:lineRule="atLeast"/>
              <w:rPr>
                <w:rFonts w:hint="eastAsia" w:ascii="仿宋_GB2312" w:hAnsi="仿宋_GB2312" w:eastAsia="仿宋_GB2312" w:cs="仿宋_GB2312"/>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auto"/>
                <w:sz w:val="22"/>
                <w:szCs w:val="22"/>
              </w:rPr>
              <w:t xml:space="preserve">评分标准</w:t>
            </w:r>
            <w:r/>
          </w:p>
        </w:tc>
      </w:tr>
      <w:tr>
        <w:trPr>
          <w:jc w:val="center"/>
          <w:trHeight w:val="1619"/>
        </w:trPr>
        <w:tc>
          <w:tcPr>
            <w:tcMar>
              <w:left w:w="108" w:type="dxa"/>
              <w:top w:w="0" w:type="dxa"/>
              <w:right w:w="108" w:type="dxa"/>
              <w:bottom w:w="0" w:type="dxa"/>
            </w:tcMar>
            <w:tcW w:w="721" w:type="dxa"/>
            <w:vAlign w:val="center"/>
            <w:textDirection w:val="lrTb"/>
            <w:noWrap w:val="false"/>
          </w:tcPr>
          <w:p>
            <w:pPr>
              <w:pStyle w:val="1069"/>
              <w:jc w:val="center"/>
              <w:spacing w:line="360" w:lineRule="auto"/>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t xml:space="preserve">价格部分</w:t>
            </w:r>
            <w:r/>
          </w:p>
          <w:p>
            <w:pPr>
              <w:jc w:val="center"/>
              <w:rPr>
                <w:rFonts w:hint="eastAsia" w:ascii="仿宋_GB2312" w:hAnsi="仿宋_GB2312" w:eastAsia="仿宋_GB2312" w:cs="仿宋_GB2312"/>
                <w:color w:val="auto"/>
                <w:sz w:val="22"/>
                <w:szCs w:val="22"/>
                <w:lang w:val="en-US" w:eastAsia="zh-CN"/>
              </w:rPr>
            </w:pPr>
            <w:r>
              <w:rPr>
                <w:rFonts w:hint="eastAsia" w:ascii="仿宋_GB2312" w:hAnsi="仿宋_GB2312" w:eastAsia="仿宋_GB2312" w:cs="仿宋_GB2312"/>
                <w:color w:val="auto"/>
                <w:sz w:val="22"/>
                <w:szCs w:val="22"/>
              </w:rPr>
              <w:t xml:space="preserve">（</w:t>
            </w:r>
            <w:r>
              <w:rPr>
                <w:rFonts w:hint="eastAsia" w:ascii="仿宋_GB2312" w:hAnsi="仿宋_GB2312" w:eastAsia="仿宋_GB2312" w:cs="仿宋_GB2312"/>
                <w:color w:val="auto"/>
                <w:sz w:val="22"/>
                <w:szCs w:val="22"/>
                <w:lang w:val="en-US" w:eastAsia="zh-CN"/>
              </w:rPr>
              <w:t xml:space="preserve">1</w:t>
            </w:r>
            <w:r>
              <w:rPr>
                <w:rFonts w:hint="eastAsia" w:ascii="仿宋_GB2312" w:hAnsi="仿宋_GB2312" w:eastAsia="仿宋_GB2312" w:cs="仿宋_GB2312"/>
                <w:color w:val="auto"/>
                <w:sz w:val="22"/>
                <w:szCs w:val="22"/>
              </w:rPr>
              <w:t xml:space="preserve">0分）</w:t>
            </w:r>
            <w:r/>
          </w:p>
        </w:tc>
        <w:tc>
          <w:tcPr>
            <w:tcMar>
              <w:left w:w="108" w:type="dxa"/>
              <w:top w:w="0" w:type="dxa"/>
              <w:right w:w="108" w:type="dxa"/>
              <w:bottom w:w="0" w:type="dxa"/>
            </w:tcMar>
            <w:tcW w:w="1319" w:type="dxa"/>
            <w:vAlign w:val="center"/>
            <w:textDirection w:val="lrTb"/>
            <w:noWrap w:val="false"/>
          </w:tcPr>
          <w:p>
            <w:pPr>
              <w:pStyle w:val="1069"/>
              <w:jc w:val="center"/>
              <w:spacing w:line="360" w:lineRule="auto"/>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t xml:space="preserve">价格分</w:t>
            </w:r>
            <w:r/>
          </w:p>
          <w:p>
            <w:pPr>
              <w:pStyle w:val="1069"/>
              <w:jc w:val="center"/>
              <w:spacing w:line="360" w:lineRule="auto"/>
              <w:rPr>
                <w:rFonts w:hint="eastAsia" w:ascii="仿宋_GB2312" w:hAnsi="仿宋_GB2312" w:eastAsia="仿宋_GB2312" w:cs="仿宋_GB2312"/>
                <w:color w:val="auto"/>
                <w:sz w:val="22"/>
                <w:szCs w:val="22"/>
                <w:lang w:val="en-US" w:eastAsia="zh-CN"/>
              </w:rPr>
            </w:pPr>
            <w:r>
              <w:rPr>
                <w:rFonts w:hint="eastAsia" w:ascii="仿宋_GB2312" w:hAnsi="仿宋_GB2312" w:eastAsia="仿宋_GB2312" w:cs="仿宋_GB2312"/>
                <w:color w:val="auto"/>
                <w:sz w:val="22"/>
                <w:szCs w:val="22"/>
              </w:rPr>
              <w:t xml:space="preserve">（</w:t>
            </w:r>
            <w:r>
              <w:rPr>
                <w:rFonts w:hint="eastAsia" w:ascii="仿宋_GB2312" w:hAnsi="仿宋_GB2312" w:eastAsia="仿宋_GB2312" w:cs="仿宋_GB2312"/>
                <w:color w:val="auto"/>
                <w:sz w:val="22"/>
                <w:szCs w:val="22"/>
                <w:lang w:val="en-US" w:eastAsia="zh-CN"/>
              </w:rPr>
              <w:t xml:space="preserve">1</w:t>
            </w:r>
            <w:r>
              <w:rPr>
                <w:rFonts w:hint="eastAsia" w:ascii="仿宋_GB2312" w:hAnsi="仿宋_GB2312" w:eastAsia="仿宋_GB2312" w:cs="仿宋_GB2312"/>
                <w:color w:val="auto"/>
                <w:sz w:val="22"/>
                <w:szCs w:val="22"/>
              </w:rPr>
              <w:t xml:space="preserve">0分）</w:t>
            </w:r>
            <w:r/>
          </w:p>
        </w:tc>
        <w:tc>
          <w:tcPr>
            <w:gridSpan w:val="2"/>
            <w:tcMar>
              <w:left w:w="108" w:type="dxa"/>
              <w:top w:w="0" w:type="dxa"/>
              <w:right w:w="108" w:type="dxa"/>
              <w:bottom w:w="0" w:type="dxa"/>
            </w:tcMar>
            <w:tcW w:w="6526" w:type="dxa"/>
            <w:vAlign w:val="center"/>
            <w:textDirection w:val="lrTb"/>
            <w:noWrap w:val="false"/>
          </w:tcPr>
          <w:p>
            <w:pPr>
              <w:ind w:right="0"/>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lang w:val="en-US" w:eastAsia="zh-CN"/>
              </w:rPr>
              <w:t xml:space="preserve">本项目价格评分采用低价优先法计算，即满足磋商文件要求且投标价格最低的有效投标报价为评标基准价，其价格分为满分。其他供应商报价得分：投标报价得分=(评标基准价／投标报价)×10（四舍五入后保留小数点后两位)。</w:t>
            </w:r>
            <w:r/>
          </w:p>
        </w:tc>
      </w:tr>
      <w:tr>
        <w:trPr>
          <w:jc w:val="center"/>
          <w:trHeight w:val="1140"/>
        </w:trPr>
        <w:tc>
          <w:tcPr>
            <w:tcMar>
              <w:left w:w="108" w:type="dxa"/>
              <w:top w:w="0" w:type="dxa"/>
              <w:right w:w="108" w:type="dxa"/>
              <w:bottom w:w="0" w:type="dxa"/>
            </w:tcMar>
            <w:tcW w:w="721" w:type="dxa"/>
            <w:vAlign w:val="center"/>
            <w:vMerge w:val="restart"/>
            <w:textDirection w:val="lrTb"/>
            <w:noWrap w:val="false"/>
          </w:tcPr>
          <w:p>
            <w:pPr>
              <w:ind w:left="0" w:right="0" w:firstLine="0"/>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lang w:val="en-US" w:eastAsia="zh-CN"/>
              </w:rPr>
              <w:t xml:space="preserve">商务部分（23分）</w:t>
            </w:r>
            <w:r/>
          </w:p>
        </w:tc>
        <w:tc>
          <w:tcPr>
            <w:tcMar>
              <w:left w:w="108" w:type="dxa"/>
              <w:top w:w="0" w:type="dxa"/>
              <w:right w:w="108" w:type="dxa"/>
              <w:bottom w:w="0" w:type="dxa"/>
            </w:tcMar>
            <w:tcW w:w="1319" w:type="dxa"/>
            <w:vAlign w:val="center"/>
            <w:textDirection w:val="lrTb"/>
            <w:noWrap w:val="false"/>
          </w:tcPr>
          <w:p>
            <w:pPr>
              <w:ind w:left="0" w:right="0" w:firstLine="0"/>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lang w:val="en-US" w:eastAsia="zh-CN"/>
              </w:rPr>
              <w:t xml:space="preserve">投标人业绩（4分）</w:t>
            </w:r>
            <w:r/>
          </w:p>
        </w:tc>
        <w:tc>
          <w:tcPr>
            <w:gridSpan w:val="2"/>
            <w:tcMar>
              <w:left w:w="108" w:type="dxa"/>
              <w:top w:w="0" w:type="dxa"/>
              <w:right w:w="108" w:type="dxa"/>
              <w:bottom w:w="0" w:type="dxa"/>
            </w:tcMar>
            <w:tcW w:w="6526" w:type="dxa"/>
            <w:vAlign w:val="top"/>
            <w:textDirection w:val="lrTb"/>
            <w:noWrap w:val="false"/>
          </w:tcPr>
          <w:p>
            <w:pPr>
              <w:ind w:left="0" w:right="0" w:firstLine="0"/>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lang w:val="en-US" w:eastAsia="zh-CN"/>
              </w:rPr>
              <w:t xml:space="preserve">自2023年06月01日以来（以合同签订日期为准）投标人承接过类似项目的业绩证明材料，每提供一个得2分，最高得4分；（提供中标通知书、合同原件扫描上传并加盖电子签章，二者必须同时具备，否则不得分；测绘单位间分包或转包的合同不计分）。</w:t>
            </w:r>
            <w:r/>
          </w:p>
        </w:tc>
      </w:tr>
      <w:tr>
        <w:trPr>
          <w:jc w:val="center"/>
          <w:trHeight w:val="1464"/>
        </w:trPr>
        <w:tc>
          <w:tcPr>
            <w:tcW w:w="721" w:type="dxa"/>
            <w:vAlign w:val="top"/>
            <w:vMerge w:val="continue"/>
            <w:textDirection w:val="lrTb"/>
            <w:noWrap w:val="false"/>
          </w:tcPr>
          <w:p>
            <w:pPr>
              <w:spacing w:after="0" w:line="240" w:lineRule="auto"/>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r>
            <w:r/>
          </w:p>
        </w:tc>
        <w:tc>
          <w:tcPr>
            <w:tcMar>
              <w:left w:w="108" w:type="dxa"/>
              <w:top w:w="0" w:type="dxa"/>
              <w:right w:w="108" w:type="dxa"/>
              <w:bottom w:w="0" w:type="dxa"/>
            </w:tcMar>
            <w:tcW w:w="1319" w:type="dxa"/>
            <w:vAlign w:val="center"/>
            <w:textDirection w:val="lrTb"/>
            <w:noWrap w:val="false"/>
          </w:tcPr>
          <w:p>
            <w:pPr>
              <w:ind w:left="0" w:right="0" w:firstLine="0"/>
              <w:spacing w:before="0" w:after="0" w:line="300" w:lineRule="atLeast"/>
              <w:rPr>
                <w:rFonts w:hint="eastAsia" w:ascii="仿宋_GB2312" w:hAnsi="仿宋_GB2312" w:eastAsia="仿宋_GB2312" w:cs="仿宋_GB2312"/>
                <w:color w:val="auto"/>
                <w:sz w:val="22"/>
                <w:szCs w:val="2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lang w:val="en-US" w:eastAsia="zh-CN"/>
              </w:rPr>
              <w:t xml:space="preserve">企业资信</w:t>
            </w:r>
            <w:r>
              <w:rPr>
                <w:rFonts w:hint="eastAsia" w:ascii="仿宋_GB2312" w:hAnsi="仿宋_GB2312" w:eastAsia="仿宋_GB2312" w:cs="仿宋_GB2312"/>
                <w:color w:val="auto"/>
                <w:sz w:val="22"/>
                <w:szCs w:val="22"/>
              </w:rPr>
              <w:t xml:space="preserve">（</w:t>
            </w:r>
            <w:r>
              <w:rPr>
                <w:rFonts w:hint="eastAsia" w:ascii="仿宋_GB2312" w:hAnsi="仿宋_GB2312" w:eastAsia="仿宋_GB2312" w:cs="仿宋_GB2312"/>
                <w:color w:val="auto"/>
                <w:sz w:val="22"/>
                <w:szCs w:val="22"/>
                <w:lang w:val="en-US" w:eastAsia="zh-CN"/>
              </w:rPr>
              <w:t xml:space="preserve">4</w:t>
            </w:r>
            <w:r>
              <w:rPr>
                <w:rFonts w:hint="eastAsia" w:ascii="仿宋_GB2312" w:hAnsi="仿宋_GB2312" w:eastAsia="仿宋_GB2312" w:cs="仿宋_GB2312"/>
                <w:color w:val="auto"/>
                <w:sz w:val="22"/>
                <w:szCs w:val="22"/>
              </w:rPr>
              <w:t xml:space="preserve">分）</w:t>
            </w:r>
            <w:r/>
          </w:p>
        </w:tc>
        <w:tc>
          <w:tcPr>
            <w:gridSpan w:val="2"/>
            <w:tcMar>
              <w:left w:w="108" w:type="dxa"/>
              <w:top w:w="0" w:type="dxa"/>
              <w:right w:w="108" w:type="dxa"/>
              <w:bottom w:w="0" w:type="dxa"/>
            </w:tcMar>
            <w:tcW w:w="6526" w:type="dxa"/>
            <w:vAlign w:val="center"/>
            <w:textDirection w:val="lrTb"/>
            <w:noWrap w:val="false"/>
          </w:tcPr>
          <w:p>
            <w:pPr>
              <w:numPr>
                <w:ilvl w:val="0"/>
                <w:numId w:val="0"/>
              </w:numPr>
              <w:ind w:right="0"/>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rPr>
              <w:t xml:space="preserve">投标人具</w:t>
            </w:r>
            <w:r>
              <w:rPr>
                <w:rFonts w:hint="eastAsia" w:ascii="仿宋_GB2312" w:hAnsi="仿宋_GB2312" w:eastAsia="仿宋_GB2312" w:cs="仿宋_GB2312"/>
                <w:color w:val="auto"/>
                <w:sz w:val="22"/>
                <w:szCs w:val="22"/>
                <w:highlight w:val="none"/>
              </w:rPr>
              <w:t xml:space="preserve">有有效期内的质量管理体系认证证书、</w:t>
            </w:r>
            <w:r>
              <w:rPr>
                <w:rFonts w:hint="eastAsia" w:ascii="仿宋_GB2312" w:hAnsi="仿宋_GB2312" w:eastAsia="仿宋_GB2312" w:cs="仿宋_GB2312"/>
                <w:color w:val="auto"/>
                <w:sz w:val="22"/>
                <w:szCs w:val="22"/>
                <w:highlight w:val="none"/>
                <w:lang w:val="en-US" w:eastAsia="zh-CN"/>
              </w:rPr>
              <w:t xml:space="preserve">测量管理体系认证证书、企业诚信管理体系认证</w:t>
            </w:r>
            <w:r>
              <w:rPr>
                <w:rFonts w:hint="eastAsia" w:ascii="仿宋_GB2312" w:hAnsi="仿宋_GB2312" w:eastAsia="仿宋_GB2312" w:cs="仿宋_GB2312"/>
                <w:color w:val="auto"/>
                <w:sz w:val="22"/>
                <w:szCs w:val="22"/>
                <w:highlight w:val="none"/>
              </w:rPr>
              <w:t xml:space="preserve">证书，</w:t>
            </w:r>
            <w:r>
              <w:rPr>
                <w:rFonts w:hint="eastAsia" w:ascii="仿宋_GB2312" w:hAnsi="仿宋_GB2312" w:eastAsia="仿宋_GB2312" w:cs="仿宋_GB2312"/>
                <w:color w:val="auto"/>
                <w:sz w:val="22"/>
                <w:szCs w:val="22"/>
                <w:highlight w:val="none"/>
                <w:lang w:eastAsia="zh-CN"/>
              </w:rPr>
              <w:t xml:space="preserve">具备其中一个证书得</w:t>
            </w:r>
            <w:r>
              <w:rPr>
                <w:rFonts w:hint="eastAsia" w:ascii="仿宋_GB2312" w:hAnsi="仿宋_GB2312" w:eastAsia="仿宋_GB2312" w:cs="仿宋_GB2312"/>
                <w:color w:val="auto"/>
                <w:sz w:val="22"/>
                <w:szCs w:val="22"/>
                <w:highlight w:val="none"/>
                <w:lang w:val="en-US" w:eastAsia="zh-CN"/>
              </w:rPr>
              <w:t xml:space="preserve">1分，具备其中两个证书得2分，三个证书</w:t>
            </w:r>
            <w:r>
              <w:rPr>
                <w:rFonts w:hint="eastAsia" w:ascii="仿宋_GB2312" w:hAnsi="仿宋_GB2312" w:eastAsia="仿宋_GB2312" w:cs="仿宋_GB2312"/>
                <w:color w:val="auto"/>
                <w:sz w:val="22"/>
                <w:szCs w:val="22"/>
                <w:lang w:val="en-US" w:eastAsia="zh-CN"/>
              </w:rPr>
              <w:t xml:space="preserve">同时具备得4分。否则不得分。</w:t>
            </w:r>
            <w:r/>
          </w:p>
          <w:p>
            <w:pPr>
              <w:ind w:left="0" w:right="0" w:firstLine="0"/>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rPr>
              <w:t xml:space="preserve">投标文件中需提供证书原件</w:t>
            </w:r>
            <w:r>
              <w:rPr>
                <w:rFonts w:hint="eastAsia" w:ascii="仿宋_GB2312" w:hAnsi="仿宋_GB2312" w:eastAsia="仿宋_GB2312" w:cs="仿宋_GB2312"/>
                <w:color w:val="auto"/>
                <w:sz w:val="22"/>
                <w:szCs w:val="22"/>
                <w:lang w:val="en-US" w:eastAsia="zh-CN"/>
              </w:rPr>
              <w:t xml:space="preserve">扫描件加盖电子签章。</w:t>
            </w:r>
            <w:r/>
          </w:p>
        </w:tc>
      </w:tr>
      <w:tr>
        <w:trPr>
          <w:jc w:val="center"/>
          <w:trHeight w:val="1847"/>
        </w:trPr>
        <w:tc>
          <w:tcPr>
            <w:tcW w:w="721" w:type="dxa"/>
            <w:vAlign w:val="top"/>
            <w:vMerge w:val="continue"/>
            <w:textDirection w:val="lrTb"/>
            <w:noWrap w:val="false"/>
          </w:tcPr>
          <w:p>
            <w:pPr>
              <w:spacing w:after="0" w:line="240" w:lineRule="auto"/>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r>
            <w:r/>
          </w:p>
        </w:tc>
        <w:tc>
          <w:tcPr>
            <w:tcMar>
              <w:left w:w="108" w:type="dxa"/>
              <w:top w:w="0" w:type="dxa"/>
              <w:right w:w="108" w:type="dxa"/>
              <w:bottom w:w="0" w:type="dxa"/>
            </w:tcMar>
            <w:tcW w:w="1319" w:type="dxa"/>
            <w:vAlign w:val="center"/>
            <w:textDirection w:val="lrTb"/>
            <w:noWrap w:val="false"/>
          </w:tcPr>
          <w:p>
            <w:pPr>
              <w:pStyle w:val="1069"/>
              <w:jc w:val="both"/>
              <w:spacing w:line="360" w:lineRule="auto"/>
              <w:rPr>
                <w:rFonts w:hint="eastAsia" w:ascii="仿宋_GB2312" w:hAnsi="仿宋_GB2312" w:eastAsia="仿宋_GB2312" w:cs="仿宋_GB2312"/>
                <w:color w:val="auto"/>
                <w:sz w:val="22"/>
                <w:szCs w:val="22"/>
                <w:lang w:val="en-US" w:eastAsia="zh-CN"/>
              </w:rPr>
            </w:pPr>
            <w:r>
              <w:rPr>
                <w:rFonts w:hint="eastAsia" w:ascii="仿宋_GB2312" w:hAnsi="仿宋_GB2312" w:eastAsia="仿宋_GB2312" w:cs="仿宋_GB2312"/>
                <w:color w:val="auto"/>
                <w:sz w:val="22"/>
                <w:szCs w:val="22"/>
                <w:lang w:val="en-US" w:eastAsia="zh-CN"/>
              </w:rPr>
              <w:t xml:space="preserve">项目组人员（15</w:t>
            </w:r>
            <w:r>
              <w:rPr>
                <w:rFonts w:hint="eastAsia" w:ascii="仿宋_GB2312" w:hAnsi="仿宋_GB2312" w:eastAsia="仿宋_GB2312" w:cs="仿宋_GB2312"/>
                <w:color w:val="auto"/>
                <w:sz w:val="22"/>
                <w:szCs w:val="22"/>
              </w:rPr>
              <w:t xml:space="preserve">分）</w:t>
            </w:r>
            <w:r/>
          </w:p>
        </w:tc>
        <w:tc>
          <w:tcPr>
            <w:gridSpan w:val="2"/>
            <w:tcMar>
              <w:left w:w="108" w:type="dxa"/>
              <w:top w:w="0" w:type="dxa"/>
              <w:right w:w="108" w:type="dxa"/>
              <w:bottom w:w="0" w:type="dxa"/>
            </w:tcMar>
            <w:tcW w:w="6526" w:type="dxa"/>
            <w:vAlign w:val="center"/>
            <w:textDirection w:val="lrTb"/>
            <w:noWrap w:val="false"/>
          </w:tcPr>
          <w:p>
            <w:pPr>
              <w:numPr>
                <w:ilvl w:val="0"/>
                <w:numId w:val="2"/>
              </w:numPr>
              <w:ind w:left="0" w:right="0" w:firstLine="210"/>
              <w:spacing w:before="0" w:after="0" w:line="300" w:lineRule="atLeast"/>
              <w:rPr>
                <w:rFonts w:hint="eastAsia"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拟派</w:t>
            </w:r>
            <w:r>
              <w:rPr>
                <w:rFonts w:hint="eastAsia" w:ascii="仿宋_GB2312" w:hAnsi="仿宋_GB2312" w:eastAsia="仿宋_GB2312" w:cs="仿宋_GB2312"/>
                <w:color w:val="auto"/>
                <w:sz w:val="22"/>
                <w:szCs w:val="22"/>
                <w:highlight w:val="none"/>
              </w:rPr>
              <w:t xml:space="preserve">项目负责人具有</w:t>
            </w:r>
            <w:r>
              <w:rPr>
                <w:rFonts w:hint="eastAsia" w:ascii="仿宋_GB2312" w:hAnsi="仿宋_GB2312" w:eastAsia="仿宋_GB2312" w:cs="仿宋_GB2312"/>
                <w:color w:val="auto"/>
                <w:sz w:val="22"/>
                <w:szCs w:val="22"/>
                <w:highlight w:val="none"/>
                <w:lang w:val="en-US" w:eastAsia="zh-CN"/>
              </w:rPr>
              <w:t xml:space="preserve">测绘中级工程师职称证书的得0.3分，具有</w:t>
            </w:r>
            <w:r>
              <w:rPr>
                <w:rFonts w:hint="eastAsia" w:ascii="仿宋_GB2312" w:hAnsi="仿宋_GB2312" w:eastAsia="仿宋_GB2312" w:cs="仿宋_GB2312"/>
                <w:color w:val="auto"/>
                <w:sz w:val="22"/>
                <w:szCs w:val="22"/>
                <w:highlight w:val="none"/>
              </w:rPr>
              <w:t xml:space="preserve">测绘</w:t>
            </w:r>
            <w:r>
              <w:rPr>
                <w:rFonts w:hint="eastAsia" w:ascii="仿宋_GB2312" w:hAnsi="仿宋_GB2312" w:eastAsia="仿宋_GB2312" w:cs="仿宋_GB2312"/>
                <w:color w:val="auto"/>
                <w:sz w:val="22"/>
                <w:szCs w:val="22"/>
                <w:highlight w:val="none"/>
                <w:lang w:val="en-US" w:eastAsia="zh-CN"/>
              </w:rPr>
              <w:t xml:space="preserve">高</w:t>
            </w:r>
            <w:r>
              <w:rPr>
                <w:rFonts w:hint="eastAsia" w:ascii="仿宋_GB2312" w:hAnsi="仿宋_GB2312" w:eastAsia="仿宋_GB2312" w:cs="仿宋_GB2312"/>
                <w:color w:val="auto"/>
                <w:sz w:val="22"/>
                <w:szCs w:val="22"/>
                <w:highlight w:val="none"/>
                <w:lang w:eastAsia="zh-CN"/>
              </w:rPr>
              <w:t xml:space="preserve">级</w:t>
            </w:r>
            <w:r>
              <w:rPr>
                <w:rFonts w:hint="eastAsia" w:ascii="仿宋_GB2312" w:hAnsi="仿宋_GB2312" w:eastAsia="仿宋_GB2312" w:cs="仿宋_GB2312"/>
                <w:color w:val="auto"/>
                <w:sz w:val="22"/>
                <w:szCs w:val="22"/>
                <w:highlight w:val="none"/>
                <w:lang w:val="en-US" w:eastAsia="zh-CN"/>
              </w:rPr>
              <w:t xml:space="preserve">及以上</w:t>
            </w:r>
            <w:r>
              <w:rPr>
                <w:rFonts w:hint="eastAsia" w:ascii="仿宋_GB2312" w:hAnsi="仿宋_GB2312" w:eastAsia="仿宋_GB2312" w:cs="仿宋_GB2312"/>
                <w:color w:val="auto"/>
                <w:sz w:val="22"/>
                <w:szCs w:val="22"/>
                <w:highlight w:val="none"/>
              </w:rPr>
              <w:t xml:space="preserve">工程师职称证书</w:t>
            </w:r>
            <w:r>
              <w:rPr>
                <w:rFonts w:hint="eastAsia" w:ascii="仿宋_GB2312" w:hAnsi="仿宋_GB2312" w:eastAsia="仿宋_GB2312" w:cs="仿宋_GB2312"/>
                <w:color w:val="auto"/>
                <w:sz w:val="22"/>
                <w:szCs w:val="22"/>
                <w:highlight w:val="none"/>
                <w:lang w:val="en-US" w:eastAsia="zh-CN"/>
              </w:rPr>
              <w:t xml:space="preserve">的得1分；同时具有</w:t>
            </w:r>
            <w:r>
              <w:rPr>
                <w:rFonts w:hint="eastAsia" w:ascii="仿宋_GB2312" w:hAnsi="仿宋_GB2312" w:eastAsia="仿宋_GB2312" w:cs="仿宋_GB2312"/>
                <w:color w:val="auto"/>
                <w:sz w:val="22"/>
                <w:szCs w:val="22"/>
                <w:highlight w:val="none"/>
              </w:rPr>
              <w:t xml:space="preserve">注册测绘师资格证书和</w:t>
            </w:r>
            <w:r>
              <w:rPr>
                <w:rFonts w:hint="eastAsia" w:ascii="仿宋_GB2312" w:hAnsi="仿宋_GB2312" w:eastAsia="仿宋_GB2312" w:cs="仿宋_GB2312"/>
                <w:color w:val="auto"/>
                <w:sz w:val="22"/>
                <w:szCs w:val="22"/>
                <w:highlight w:val="none"/>
                <w:lang w:val="en-US" w:eastAsia="zh-CN"/>
              </w:rPr>
              <w:t xml:space="preserve">测绘成果管理人员岗位培训合格证书</w:t>
            </w:r>
            <w:r>
              <w:rPr>
                <w:rFonts w:hint="eastAsia" w:ascii="仿宋_GB2312" w:hAnsi="仿宋_GB2312" w:eastAsia="仿宋_GB2312" w:cs="仿宋_GB2312"/>
                <w:color w:val="auto"/>
                <w:sz w:val="22"/>
                <w:szCs w:val="22"/>
                <w:highlight w:val="none"/>
              </w:rPr>
              <w:t xml:space="preserve">的得</w:t>
            </w:r>
            <w:r>
              <w:rPr>
                <w:rFonts w:hint="eastAsia" w:ascii="仿宋_GB2312" w:hAnsi="仿宋_GB2312" w:eastAsia="仿宋_GB2312" w:cs="仿宋_GB2312"/>
                <w:color w:val="auto"/>
                <w:sz w:val="22"/>
                <w:szCs w:val="22"/>
                <w:highlight w:val="none"/>
                <w:lang w:val="en-US" w:eastAsia="zh-CN"/>
              </w:rPr>
              <w:t xml:space="preserve">2</w:t>
            </w:r>
            <w:r>
              <w:rPr>
                <w:rFonts w:hint="eastAsia" w:ascii="仿宋_GB2312" w:hAnsi="仿宋_GB2312" w:eastAsia="仿宋_GB2312" w:cs="仿宋_GB2312"/>
                <w:color w:val="auto"/>
                <w:sz w:val="22"/>
                <w:szCs w:val="22"/>
                <w:highlight w:val="none"/>
              </w:rPr>
              <w:t xml:space="preserve">分</w:t>
            </w:r>
            <w:r>
              <w:rPr>
                <w:rFonts w:hint="eastAsia" w:ascii="仿宋_GB2312" w:hAnsi="仿宋_GB2312" w:eastAsia="仿宋_GB2312" w:cs="仿宋_GB2312"/>
                <w:color w:val="auto"/>
                <w:sz w:val="22"/>
                <w:szCs w:val="22"/>
                <w:highlight w:val="none"/>
                <w:lang w:eastAsia="zh-CN"/>
              </w:rPr>
              <w:t xml:space="preserve">。</w:t>
            </w:r>
            <w:r>
              <w:rPr>
                <w:rFonts w:hint="eastAsia" w:ascii="仿宋_GB2312" w:hAnsi="仿宋_GB2312" w:eastAsia="仿宋_GB2312" w:cs="仿宋_GB2312"/>
                <w:color w:val="auto"/>
                <w:sz w:val="22"/>
                <w:szCs w:val="22"/>
                <w:highlight w:val="none"/>
                <w:lang w:val="en-US" w:eastAsia="zh-CN"/>
              </w:rPr>
              <w:t xml:space="preserve">本项最高得3分。</w:t>
            </w:r>
            <w:r/>
          </w:p>
          <w:p>
            <w:pPr>
              <w:numPr>
                <w:ilvl w:val="0"/>
                <w:numId w:val="2"/>
              </w:numPr>
              <w:ind w:left="0" w:right="0" w:firstLine="210"/>
              <w:spacing w:before="0" w:after="0" w:line="300" w:lineRule="atLeast"/>
              <w:rPr>
                <w:rFonts w:hint="eastAsia"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拟派技术负责人具有测绘中级工程师职称证书的得0.3分，具有</w:t>
            </w:r>
            <w:r>
              <w:rPr>
                <w:rFonts w:hint="eastAsia" w:ascii="仿宋_GB2312" w:hAnsi="仿宋_GB2312" w:eastAsia="仿宋_GB2312" w:cs="仿宋_GB2312"/>
                <w:color w:val="auto"/>
                <w:sz w:val="22"/>
                <w:szCs w:val="22"/>
                <w:highlight w:val="none"/>
              </w:rPr>
              <w:t xml:space="preserve">测绘</w:t>
            </w:r>
            <w:r>
              <w:rPr>
                <w:rFonts w:hint="eastAsia" w:ascii="仿宋_GB2312" w:hAnsi="仿宋_GB2312" w:eastAsia="仿宋_GB2312" w:cs="仿宋_GB2312"/>
                <w:color w:val="auto"/>
                <w:sz w:val="22"/>
                <w:szCs w:val="22"/>
                <w:highlight w:val="none"/>
                <w:lang w:val="en-US" w:eastAsia="zh-CN"/>
              </w:rPr>
              <w:t xml:space="preserve">高</w:t>
            </w:r>
            <w:r>
              <w:rPr>
                <w:rFonts w:hint="eastAsia" w:ascii="仿宋_GB2312" w:hAnsi="仿宋_GB2312" w:eastAsia="仿宋_GB2312" w:cs="仿宋_GB2312"/>
                <w:color w:val="auto"/>
                <w:sz w:val="22"/>
                <w:szCs w:val="22"/>
                <w:highlight w:val="none"/>
                <w:lang w:eastAsia="zh-CN"/>
              </w:rPr>
              <w:t xml:space="preserve">级</w:t>
            </w:r>
            <w:r>
              <w:rPr>
                <w:rFonts w:hint="eastAsia" w:ascii="仿宋_GB2312" w:hAnsi="仿宋_GB2312" w:eastAsia="仿宋_GB2312" w:cs="仿宋_GB2312"/>
                <w:color w:val="auto"/>
                <w:sz w:val="22"/>
                <w:szCs w:val="22"/>
                <w:highlight w:val="none"/>
                <w:lang w:val="en-US" w:eastAsia="zh-CN"/>
              </w:rPr>
              <w:t xml:space="preserve">及以上工程师职称证书的得1分；同时具有注册测绘师资格证书和</w:t>
            </w:r>
            <w:r>
              <w:rPr>
                <w:rFonts w:hint="eastAsia" w:ascii="仿宋_GB2312" w:hAnsi="仿宋_GB2312" w:eastAsia="仿宋_GB2312" w:cs="仿宋_GB2312"/>
                <w:color w:val="000000"/>
                <w:sz w:val="22"/>
                <w:szCs w:val="22"/>
                <w:highlight w:val="none"/>
                <w:lang w:val="en-US" w:eastAsia="zh-CN" w:bidi="ar-SA"/>
              </w:rPr>
              <w:t xml:space="preserve">高级信息系统项目管理师</w:t>
            </w:r>
            <w:r>
              <w:rPr>
                <w:rFonts w:hint="eastAsia" w:ascii="仿宋_GB2312" w:hAnsi="仿宋_GB2312" w:eastAsia="仿宋_GB2312" w:cs="仿宋_GB2312"/>
                <w:color w:val="auto"/>
                <w:sz w:val="22"/>
                <w:szCs w:val="22"/>
                <w:highlight w:val="none"/>
                <w:lang w:val="en-US" w:eastAsia="zh-CN"/>
              </w:rPr>
              <w:t xml:space="preserve">证书的得2分。本项最高得3分。</w:t>
            </w:r>
            <w:r/>
          </w:p>
          <w:p>
            <w:pPr>
              <w:numPr>
                <w:ilvl w:val="0"/>
                <w:numId w:val="2"/>
              </w:numPr>
              <w:ind w:left="0" w:right="0" w:firstLine="210"/>
              <w:spacing w:before="0" w:after="0" w:line="300" w:lineRule="atLeast"/>
              <w:rPr>
                <w:rFonts w:hint="eastAsia"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拟派质量负责人测绘中级工程师职称证书的得0.3分，具有</w:t>
            </w:r>
            <w:r>
              <w:rPr>
                <w:rFonts w:hint="eastAsia" w:ascii="仿宋_GB2312" w:hAnsi="仿宋_GB2312" w:eastAsia="仿宋_GB2312" w:cs="仿宋_GB2312"/>
                <w:color w:val="auto"/>
                <w:sz w:val="22"/>
                <w:szCs w:val="22"/>
                <w:highlight w:val="none"/>
              </w:rPr>
              <w:t xml:space="preserve">测绘</w:t>
            </w:r>
            <w:r>
              <w:rPr>
                <w:rFonts w:hint="eastAsia" w:ascii="仿宋_GB2312" w:hAnsi="仿宋_GB2312" w:eastAsia="仿宋_GB2312" w:cs="仿宋_GB2312"/>
                <w:color w:val="auto"/>
                <w:sz w:val="22"/>
                <w:szCs w:val="22"/>
                <w:highlight w:val="none"/>
                <w:lang w:val="en-US" w:eastAsia="zh-CN"/>
              </w:rPr>
              <w:t xml:space="preserve">高</w:t>
            </w:r>
            <w:r>
              <w:rPr>
                <w:rFonts w:hint="eastAsia" w:ascii="仿宋_GB2312" w:hAnsi="仿宋_GB2312" w:eastAsia="仿宋_GB2312" w:cs="仿宋_GB2312"/>
                <w:color w:val="auto"/>
                <w:sz w:val="22"/>
                <w:szCs w:val="22"/>
                <w:highlight w:val="none"/>
                <w:lang w:eastAsia="zh-CN"/>
              </w:rPr>
              <w:t xml:space="preserve">级</w:t>
            </w:r>
            <w:r>
              <w:rPr>
                <w:rFonts w:hint="eastAsia" w:ascii="仿宋_GB2312" w:hAnsi="仿宋_GB2312" w:eastAsia="仿宋_GB2312" w:cs="仿宋_GB2312"/>
                <w:color w:val="auto"/>
                <w:sz w:val="22"/>
                <w:szCs w:val="22"/>
                <w:highlight w:val="none"/>
                <w:lang w:val="en-US" w:eastAsia="zh-CN"/>
              </w:rPr>
              <w:t xml:space="preserve">及以上工程师职称证书的得1分；同时具有测绘地理信息质量检查培训合格证书和测绘成果管理人员岗位培训合格证书的得2分。本项最高得3分。</w:t>
            </w:r>
            <w:r/>
          </w:p>
          <w:p>
            <w:pPr>
              <w:numPr>
                <w:ilvl w:val="0"/>
                <w:numId w:val="2"/>
              </w:numPr>
              <w:ind w:left="0" w:right="0" w:firstLine="210"/>
              <w:spacing w:before="0" w:after="0" w:line="300" w:lineRule="atLeast"/>
              <w:rPr>
                <w:rFonts w:hint="eastAsia"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除上述负责人外拟投入其他技术人员同时具有中级及以上工程师职称证书和不动产测绘员职业资格证书的每有两人得1分，本项最高得6分。</w:t>
            </w:r>
            <w:r/>
          </w:p>
          <w:p>
            <w:pPr>
              <w:ind w:left="0" w:right="0" w:firstLine="0"/>
              <w:spacing w:before="0" w:after="0" w:line="300" w:lineRule="atLeast"/>
              <w:rPr>
                <w:rFonts w:hint="eastAsia" w:ascii="仿宋_GB2312" w:hAnsi="仿宋_GB2312" w:eastAsia="仿宋_GB2312" w:cs="仿宋_GB2312"/>
                <w:color w:val="auto"/>
                <w:sz w:val="22"/>
                <w:szCs w:val="2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rPr>
              <w:t xml:space="preserve">（以上人员不可重复计算，并提供上述人员</w:t>
            </w:r>
            <w:r>
              <w:rPr>
                <w:rFonts w:hint="eastAsia" w:ascii="仿宋_GB2312" w:hAnsi="仿宋_GB2312" w:eastAsia="仿宋_GB2312" w:cs="仿宋_GB2312"/>
                <w:color w:val="auto"/>
                <w:sz w:val="22"/>
                <w:szCs w:val="22"/>
                <w:highlight w:val="none"/>
                <w:lang w:val="en-US" w:eastAsia="zh-CN"/>
              </w:rPr>
              <w:t xml:space="preserve">相关证书原件扫描件和工作单位在职证明材料原件扫描件</w:t>
            </w:r>
            <w:r>
              <w:rPr>
                <w:rFonts w:hint="eastAsia" w:ascii="仿宋_GB2312" w:hAnsi="仿宋_GB2312" w:eastAsia="仿宋_GB2312" w:cs="仿宋_GB2312"/>
                <w:color w:val="auto"/>
                <w:sz w:val="22"/>
                <w:szCs w:val="22"/>
                <w:highlight w:val="none"/>
              </w:rPr>
              <w:t xml:space="preserve">加盖公章</w:t>
            </w:r>
            <w:r>
              <w:rPr>
                <w:rFonts w:hint="eastAsia" w:ascii="仿宋_GB2312" w:hAnsi="仿宋_GB2312" w:eastAsia="仿宋_GB2312" w:cs="仿宋_GB2312"/>
                <w:color w:val="auto"/>
                <w:sz w:val="22"/>
                <w:szCs w:val="22"/>
                <w:highlight w:val="none"/>
                <w:lang w:val="en-US" w:eastAsia="zh-CN"/>
              </w:rPr>
              <w:t xml:space="preserve">并加盖电子签章</w:t>
            </w:r>
            <w:r>
              <w:rPr>
                <w:rFonts w:hint="eastAsia" w:ascii="仿宋_GB2312" w:hAnsi="仿宋_GB2312" w:eastAsia="仿宋_GB2312" w:cs="仿宋_GB2312"/>
                <w:color w:val="auto"/>
                <w:sz w:val="22"/>
                <w:szCs w:val="22"/>
                <w:highlight w:val="none"/>
                <w:lang w:eastAsia="zh-CN"/>
              </w:rPr>
              <w:t xml:space="preserve">，</w:t>
            </w:r>
            <w:r>
              <w:rPr>
                <w:rFonts w:hint="eastAsia" w:ascii="仿宋_GB2312" w:hAnsi="仿宋_GB2312" w:eastAsia="仿宋_GB2312" w:cs="仿宋_GB2312"/>
                <w:color w:val="auto"/>
                <w:sz w:val="22"/>
                <w:szCs w:val="22"/>
                <w:highlight w:val="none"/>
              </w:rPr>
              <w:t xml:space="preserve">未提供不得分）</w:t>
            </w:r>
            <w:r/>
          </w:p>
        </w:tc>
      </w:tr>
      <w:tr>
        <w:trPr>
          <w:gridAfter w:val="1"/>
          <w:jc w:val="center"/>
          <w:trHeight w:val="557"/>
        </w:trPr>
        <w:tc>
          <w:tcPr>
            <w:tcW w:w="721" w:type="dxa"/>
            <w:vAlign w:val="center"/>
            <w:vMerge w:val="restart"/>
            <w:textDirection w:val="lrTb"/>
            <w:noWrap w:val="false"/>
          </w:tcPr>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sz w:val="22"/>
                <w:szCs w:val="22"/>
              </w:rPr>
            </w:pPr>
            <w:r>
              <w:rPr>
                <w:rFonts w:hint="eastAsia" w:ascii="仿宋_GB2312" w:hAnsi="仿宋_GB2312" w:eastAsia="仿宋_GB2312" w:cs="仿宋_GB2312"/>
                <w:color w:val="000000"/>
                <w:sz w:val="22"/>
                <w:szCs w:val="22"/>
              </w:rPr>
              <w:t xml:space="preserve">技术</w:t>
            </w:r>
            <w:r>
              <w:rPr>
                <w:rFonts w:hint="eastAsia" w:ascii="仿宋_GB2312" w:hAnsi="仿宋_GB2312" w:eastAsia="仿宋_GB2312" w:cs="仿宋_GB2312"/>
                <w:color w:val="000000"/>
                <w:sz w:val="22"/>
                <w:szCs w:val="22"/>
                <w:lang w:val="en-US" w:eastAsia="zh-CN"/>
              </w:rPr>
              <w:t xml:space="preserve">部分（67分）</w:t>
            </w:r>
            <w:r/>
          </w:p>
        </w:tc>
        <w:tc>
          <w:tcPr>
            <w:tcW w:w="1319" w:type="dxa"/>
            <w:vAlign w:val="center"/>
            <w:textDirection w:val="lrTb"/>
            <w:noWrap w:val="false"/>
          </w:tcPr>
          <w:p>
            <w:pPr>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rPr>
              <w:t xml:space="preserve">项目需求理解及分析</w:t>
            </w: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lang w:val="en-US" w:eastAsia="zh-CN"/>
              </w:rPr>
              <w:t xml:space="preserve">10分）</w:t>
            </w:r>
            <w:r/>
          </w:p>
        </w:tc>
        <w:tc>
          <w:tcPr>
            <w:tcW w:w="6521" w:type="dxa"/>
            <w:vAlign w:val="top"/>
            <w:textDirection w:val="lrTb"/>
            <w:noWrap w:val="false"/>
          </w:tcPr>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根据投标人提供的</w:t>
            </w:r>
            <w:r>
              <w:rPr>
                <w:rFonts w:hint="eastAsia" w:ascii="仿宋_GB2312" w:hAnsi="仿宋_GB2312" w:eastAsia="仿宋_GB2312" w:cs="仿宋_GB2312"/>
                <w:color w:val="auto"/>
                <w:sz w:val="22"/>
                <w:szCs w:val="22"/>
                <w:highlight w:val="none"/>
              </w:rPr>
              <w:t xml:space="preserve">项目需求理解及分析</w:t>
            </w:r>
            <w:r>
              <w:rPr>
                <w:rFonts w:hint="eastAsia" w:ascii="仿宋_GB2312" w:hAnsi="仿宋_GB2312" w:eastAsia="仿宋_GB2312" w:cs="仿宋_GB2312"/>
                <w:color w:val="auto"/>
                <w:sz w:val="22"/>
                <w:szCs w:val="22"/>
                <w:highlight w:val="none"/>
                <w:lang w:val="en-US" w:eastAsia="zh-CN" w:bidi="ar-SA"/>
              </w:rPr>
              <w:t xml:space="preserve">方案</w:t>
            </w:r>
            <w:r>
              <w:rPr>
                <w:rFonts w:hint="eastAsia" w:ascii="仿宋_GB2312" w:hAnsi="仿宋_GB2312" w:eastAsia="仿宋_GB2312" w:cs="仿宋_GB2312"/>
                <w:color w:val="auto"/>
                <w:sz w:val="22"/>
                <w:szCs w:val="22"/>
                <w:highlight w:val="none"/>
                <w:lang w:val="en-US" w:eastAsia="zh-CN"/>
              </w:rPr>
              <w:t xml:space="preserve">（方案具体、思路清晰，分析情况）进行打分。</w:t>
            </w:r>
            <w:r/>
          </w:p>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(1)以上内容不存在瑕疵10分;</w:t>
            </w:r>
            <w:r/>
          </w:p>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(2)以上内容存在1处瑕疵:8分;</w:t>
            </w:r>
            <w:r/>
          </w:p>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(3)以上内容存在2处瑕疵:6分;</w:t>
            </w:r>
            <w:r/>
          </w:p>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(4)以上内容存在3处瑕疵:4分;</w:t>
            </w:r>
            <w:r/>
          </w:p>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(5)以上内容存在4处瑕疵:2分;</w:t>
            </w:r>
            <w:r/>
          </w:p>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(6)未提供方案或不满足要求或内容存在5处及以上瑕疵:0 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color w:val="auto"/>
                <w:sz w:val="22"/>
                <w:szCs w:val="22"/>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gridAfter w:val="1"/>
          <w:jc w:val="center"/>
          <w:trHeight w:val="1629"/>
        </w:trPr>
        <w:tc>
          <w:tcPr>
            <w:tcW w:w="721"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319" w:type="dxa"/>
            <w:vAlign w:val="center"/>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技术方案</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15</w:t>
            </w:r>
            <w:r>
              <w:rPr>
                <w:rFonts w:hint="eastAsia" w:ascii="仿宋_GB2312" w:hAnsi="仿宋_GB2312" w:eastAsia="仿宋_GB2312" w:cs="仿宋_GB2312"/>
                <w:color w:val="000000"/>
                <w:sz w:val="22"/>
                <w:szCs w:val="22"/>
              </w:rPr>
              <w:t xml:space="preserve">分）</w:t>
            </w:r>
            <w:r/>
          </w:p>
        </w:tc>
        <w:tc>
          <w:tcPr>
            <w:tcW w:w="6521" w:type="dxa"/>
            <w:vAlign w:val="top"/>
            <w:textDirection w:val="lrTb"/>
            <w:noWrap w:val="false"/>
          </w:tcPr>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根据投标人提供的项目技术方案</w:t>
            </w:r>
            <w:r>
              <w:rPr>
                <w:rFonts w:hint="eastAsia" w:ascii="仿宋_GB2312" w:hAnsi="仿宋_GB2312" w:eastAsia="仿宋_GB2312" w:cs="仿宋_GB2312"/>
                <w:sz w:val="22"/>
                <w:szCs w:val="22"/>
                <w:lang w:val="en-US" w:eastAsia="zh-CN" w:bidi="ar-SA"/>
              </w:rPr>
              <w:t xml:space="preserve">（方案具体、思路清晰，有架构图且详细，具有系统设计功能）进行打分。</w:t>
            </w:r>
            <w:r/>
          </w:p>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(1)以上内容不存在瑕疵15分;</w:t>
            </w:r>
            <w:r/>
          </w:p>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(2)以上内容存在1处瑕疵:12分;</w:t>
            </w:r>
            <w:r/>
          </w:p>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(3)以上内容存在2处瑕疵:9分;</w:t>
            </w:r>
            <w:r/>
          </w:p>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(4)以上内容存在3处瑕疵:6分;</w:t>
            </w:r>
            <w:r/>
          </w:p>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(5)以上内容存在4处瑕疵:3分;</w:t>
            </w:r>
            <w:r/>
          </w:p>
          <w:p>
            <w:pPr>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highlight w:val="none"/>
                <w:lang w:val="en-US" w:eastAsia="zh-CN"/>
              </w:rPr>
              <w:t xml:space="preserve">(6)</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1</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w:t>
            </w:r>
            <w:r/>
          </w:p>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(7)未提供方案或不满足要求或内容存在6处及以上瑕疵:0 分。</w:t>
            </w:r>
            <w:r/>
          </w:p>
          <w:p>
            <w:pPr>
              <w:jc w:val="left"/>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bidi="ar-SA"/>
              </w:rPr>
              <w:t xml:space="preserve">(本项所称“瑕疵”是指内容缺项、不完整或缺少关键点;非专门针对本项目或不适用本项目特性、套用其他项目内容;对同一问题前后表述矛盾;存在逻辑</w:t>
            </w:r>
            <w:r>
              <w:rPr>
                <w:rFonts w:hint="eastAsia" w:ascii="仿宋_GB2312" w:hAnsi="仿宋_GB2312" w:eastAsia="仿宋_GB2312" w:cs="仿宋_GB2312"/>
                <w:color w:val="auto"/>
                <w:sz w:val="22"/>
                <w:szCs w:val="22"/>
                <w:highlight w:val="none"/>
                <w:lang w:val="en-US" w:eastAsia="zh-CN" w:bidi="ar-SA"/>
              </w:rPr>
              <w:t xml:space="preserve">漏洞</w:t>
            </w:r>
            <w:r>
              <w:rPr>
                <w:rFonts w:hint="eastAsia" w:ascii="仿宋_GB2312" w:hAnsi="仿宋_GB2312" w:eastAsia="仿宋_GB2312" w:cs="仿宋_GB2312"/>
                <w:sz w:val="22"/>
                <w:szCs w:val="22"/>
                <w:lang w:val="en-US" w:eastAsia="zh-CN" w:bidi="ar-SA"/>
              </w:rPr>
              <w:t xml:space="preserve">、科学原理或常识错误;不利于本项目目标的实现、现有技术条件下不可能出现的情形等任意一种情形)。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tc>
        <w:tc>
          <w:tcPr>
            <w:tcW w:w="1319" w:type="dxa"/>
            <w:vAlign w:val="center"/>
            <w:textDirection w:val="lrTb"/>
            <w:noWrap w:val="false"/>
          </w:tcPr>
          <w:p>
            <w:pPr>
              <w:jc w:val="center"/>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项目管理</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10</w:t>
            </w:r>
            <w:r>
              <w:rPr>
                <w:rFonts w:hint="eastAsia" w:ascii="仿宋_GB2312" w:hAnsi="仿宋_GB2312" w:eastAsia="仿宋_GB2312" w:cs="仿宋_GB2312"/>
                <w:color w:val="000000"/>
                <w:sz w:val="22"/>
                <w:szCs w:val="22"/>
              </w:rPr>
              <w:t xml:space="preserve">分）</w:t>
            </w:r>
            <w:r/>
          </w:p>
        </w:tc>
        <w:tc>
          <w:tcPr>
            <w:tcW w:w="6521" w:type="dxa"/>
            <w:vAlign w:val="top"/>
            <w:textDirection w:val="lrTb"/>
            <w:noWrap w:val="false"/>
          </w:tcPr>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lang w:val="en-US" w:eastAsia="zh-CN"/>
              </w:rPr>
              <w:t xml:space="preserve">根据供应商提供的</w:t>
            </w:r>
            <w:r>
              <w:rPr>
                <w:rFonts w:hint="eastAsia" w:ascii="仿宋_GB2312" w:hAnsi="仿宋_GB2312" w:eastAsia="仿宋_GB2312" w:cs="仿宋_GB2312"/>
                <w:sz w:val="22"/>
                <w:szCs w:val="22"/>
              </w:rPr>
              <w:t xml:space="preserve">项目管理</w:t>
            </w: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highlight w:val="none"/>
              </w:rPr>
              <w:t xml:space="preserve">机构及制度方案有明确的部门职责，工作流程完整、科学、可行，各类规章制度健全规范</w:t>
            </w:r>
            <w:r>
              <w:rPr>
                <w:rFonts w:hint="eastAsia" w:ascii="仿宋_GB2312" w:hAnsi="仿宋_GB2312" w:eastAsia="仿宋_GB2312" w:cs="仿宋_GB2312"/>
                <w:sz w:val="22"/>
                <w:szCs w:val="22"/>
                <w:highlight w:val="none"/>
                <w:lang w:val="en-US" w:eastAsia="zh-CN"/>
              </w:rPr>
              <w:t xml:space="preserve">）进行评价打分</w:t>
            </w:r>
            <w:r>
              <w:rPr>
                <w:rFonts w:hint="eastAsia" w:ascii="仿宋_GB2312" w:hAnsi="仿宋_GB2312" w:eastAsia="仿宋_GB2312" w:cs="仿宋_GB2312"/>
                <w:sz w:val="22"/>
                <w:szCs w:val="22"/>
                <w:highlight w:val="none"/>
              </w:rPr>
              <w:t xml:space="preserve">。</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(1)以上内容不存在瑕疵:</w:t>
            </w:r>
            <w:r>
              <w:rPr>
                <w:rFonts w:hint="eastAsia" w:ascii="仿宋_GB2312" w:hAnsi="仿宋_GB2312" w:eastAsia="仿宋_GB2312" w:cs="仿宋_GB2312"/>
                <w:sz w:val="22"/>
                <w:szCs w:val="22"/>
                <w:highlight w:val="none"/>
                <w:lang w:val="en-US" w:eastAsia="zh-CN"/>
              </w:rPr>
              <w:t xml:space="preserve">10</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(2)以上内容存在1处瑕疵:</w:t>
            </w:r>
            <w:r>
              <w:rPr>
                <w:rFonts w:hint="eastAsia" w:ascii="仿宋_GB2312" w:hAnsi="仿宋_GB2312" w:eastAsia="仿宋_GB2312" w:cs="仿宋_GB2312"/>
                <w:sz w:val="22"/>
                <w:szCs w:val="22"/>
                <w:highlight w:val="none"/>
                <w:lang w:val="en-US" w:eastAsia="zh-CN"/>
              </w:rPr>
              <w:t xml:space="preserve">8</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rPr>
              <w:t xml:space="preserve">(3)以上内容存在2处瑕疵:</w:t>
            </w:r>
            <w:r>
              <w:rPr>
                <w:rFonts w:hint="eastAsia" w:ascii="仿宋_GB2312" w:hAnsi="仿宋_GB2312" w:eastAsia="仿宋_GB2312" w:cs="仿宋_GB2312"/>
                <w:sz w:val="22"/>
                <w:szCs w:val="22"/>
                <w:highlight w:val="none"/>
                <w:lang w:val="en-US" w:eastAsia="zh-CN"/>
              </w:rPr>
              <w:t xml:space="preserve">6</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w:t>
            </w:r>
            <w:r>
              <w:rPr>
                <w:rFonts w:hint="eastAsia" w:ascii="仿宋_GB2312" w:hAnsi="仿宋_GB2312" w:eastAsia="仿宋_GB2312" w:cs="仿宋_GB2312"/>
                <w:sz w:val="22"/>
                <w:szCs w:val="22"/>
                <w:highlight w:val="none"/>
                <w:lang w:val="en-US" w:eastAsia="zh-CN"/>
              </w:rPr>
              <w:t xml:space="preserve">6</w:t>
            </w:r>
            <w:r>
              <w:rPr>
                <w:rFonts w:hint="eastAsia" w:ascii="仿宋_GB2312" w:hAnsi="仿宋_GB2312" w:eastAsia="仿宋_GB2312" w:cs="仿宋_GB2312"/>
                <w:sz w:val="22"/>
                <w:szCs w:val="22"/>
                <w:highlight w:val="none"/>
              </w:rPr>
              <w:t xml:space="preserve">)未提供方案或不满足</w:t>
            </w:r>
            <w:r>
              <w:rPr>
                <w:rFonts w:hint="eastAsia" w:ascii="仿宋_GB2312" w:hAnsi="仿宋_GB2312" w:eastAsia="仿宋_GB2312" w:cs="仿宋_GB2312"/>
                <w:color w:val="auto"/>
                <w:sz w:val="22"/>
                <w:szCs w:val="22"/>
                <w:highlight w:val="none"/>
              </w:rPr>
              <w:t xml:space="preserve">要求或</w:t>
            </w:r>
            <w:r>
              <w:rPr>
                <w:rFonts w:hint="eastAsia" w:ascii="仿宋_GB2312" w:hAnsi="仿宋_GB2312" w:eastAsia="仿宋_GB2312" w:cs="仿宋_GB2312"/>
                <w:sz w:val="22"/>
                <w:szCs w:val="22"/>
                <w:highlight w:val="none"/>
              </w:rPr>
              <w:t xml:space="preserve">内容存在</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处及以上瑕疵:0 分。</w:t>
            </w:r>
            <w:r/>
          </w:p>
          <w:p>
            <w:pPr>
              <w:rPr>
                <w:rFonts w:hint="eastAsia" w:ascii="仿宋_GB2312" w:hAnsi="仿宋_GB2312" w:eastAsia="仿宋_GB2312" w:cs="仿宋_GB2312"/>
                <w:sz w:val="22"/>
                <w:szCs w:val="22"/>
                <w:highlight w:val="none"/>
                <w:lang w:val="en-US" w:eastAsia="zh-CN" w:bidi="ar-SA"/>
              </w:rPr>
            </w:pPr>
            <w:r>
              <w:rPr>
                <w:rFonts w:hint="eastAsia" w:ascii="仿宋_GB2312" w:hAnsi="仿宋_GB2312" w:eastAsia="仿宋_GB2312" w:cs="仿宋_GB2312"/>
                <w:sz w:val="22"/>
                <w:szCs w:val="22"/>
                <w:lang w:val="en-US" w:eastAsia="zh-CN" w:bidi="ar-SA"/>
              </w:rPr>
              <w:t xml:space="preserve">(本项所称“瑕疵”是指内容缺项、不完整或缺少关键点;非专门针对本项目或不适用本项目特性、套用其他项目内容;对同一问题前后表述矛盾;存在逻辑</w:t>
            </w:r>
            <w:r>
              <w:rPr>
                <w:rFonts w:hint="eastAsia" w:ascii="仿宋_GB2312" w:hAnsi="仿宋_GB2312" w:eastAsia="仿宋_GB2312" w:cs="仿宋_GB2312"/>
                <w:color w:val="auto"/>
                <w:sz w:val="22"/>
                <w:szCs w:val="22"/>
                <w:highlight w:val="none"/>
                <w:lang w:val="en-US" w:eastAsia="zh-CN" w:bidi="ar-SA"/>
              </w:rPr>
              <w:t xml:space="preserve">漏洞</w:t>
            </w:r>
            <w:r>
              <w:rPr>
                <w:rFonts w:hint="eastAsia" w:ascii="仿宋_GB2312" w:hAnsi="仿宋_GB2312" w:eastAsia="仿宋_GB2312" w:cs="仿宋_GB2312"/>
                <w:sz w:val="22"/>
                <w:szCs w:val="22"/>
                <w:lang w:val="en-US" w:eastAsia="zh-CN" w:bidi="ar-SA"/>
              </w:rPr>
              <w:t xml:space="preserve">、科学原理或常识错误;不利于本项目目标的实现、现有技术条件下不可能出现的情形等任意一种情形)。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319" w:type="dxa"/>
            <w:vAlign w:val="center"/>
            <w:textDirection w:val="lrTb"/>
            <w:noWrap w:val="false"/>
          </w:tcPr>
          <w:p>
            <w:pPr>
              <w:jc w:val="center"/>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质量保证措施</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10</w:t>
            </w:r>
            <w:r>
              <w:rPr>
                <w:rFonts w:hint="eastAsia" w:ascii="仿宋_GB2312" w:hAnsi="仿宋_GB2312" w:eastAsia="仿宋_GB2312" w:cs="仿宋_GB2312"/>
                <w:color w:val="000000"/>
                <w:sz w:val="22"/>
                <w:szCs w:val="22"/>
              </w:rPr>
              <w:t xml:space="preserve">分）</w:t>
            </w:r>
            <w:r/>
          </w:p>
        </w:tc>
        <w:tc>
          <w:tcPr>
            <w:tcW w:w="6521" w:type="dxa"/>
            <w:vAlign w:val="center"/>
            <w:textDirection w:val="lrTb"/>
            <w:noWrap w:val="false"/>
          </w:tcPr>
          <w:p>
            <w:pPr>
              <w:jc w:val="lef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 xml:space="preserve">根据供应商提供的</w:t>
            </w:r>
            <w:r>
              <w:rPr>
                <w:rFonts w:hint="eastAsia" w:ascii="仿宋_GB2312" w:hAnsi="仿宋_GB2312" w:eastAsia="仿宋_GB2312" w:cs="仿宋_GB2312"/>
                <w:sz w:val="22"/>
                <w:szCs w:val="22"/>
              </w:rPr>
              <w:t xml:space="preserve">服务质量保障措施</w:t>
            </w: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rPr>
              <w:t xml:space="preserve">科学、可行、具体的进度控制措施</w:t>
            </w: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lang w:val="en-US" w:eastAsia="zh-CN"/>
              </w:rPr>
              <w:t xml:space="preserve">进行评价打分。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(1)以上内容不存在瑕疵:</w:t>
            </w:r>
            <w:r>
              <w:rPr>
                <w:rFonts w:hint="eastAsia" w:ascii="仿宋_GB2312" w:hAnsi="仿宋_GB2312" w:eastAsia="仿宋_GB2312" w:cs="仿宋_GB2312"/>
                <w:sz w:val="22"/>
                <w:szCs w:val="22"/>
                <w:highlight w:val="none"/>
                <w:lang w:val="en-US" w:eastAsia="zh-CN"/>
              </w:rPr>
              <w:t xml:space="preserve">10</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(2)以上内容存在1处瑕疵:</w:t>
            </w:r>
            <w:r>
              <w:rPr>
                <w:rFonts w:hint="eastAsia" w:ascii="仿宋_GB2312" w:hAnsi="仿宋_GB2312" w:eastAsia="仿宋_GB2312" w:cs="仿宋_GB2312"/>
                <w:sz w:val="22"/>
                <w:szCs w:val="22"/>
                <w:highlight w:val="none"/>
                <w:lang w:val="en-US" w:eastAsia="zh-CN"/>
              </w:rPr>
              <w:t xml:space="preserve">8</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rPr>
              <w:t xml:space="preserve">(3)以上内容存在2处瑕疵:</w:t>
            </w:r>
            <w:r>
              <w:rPr>
                <w:rFonts w:hint="eastAsia" w:ascii="仿宋_GB2312" w:hAnsi="仿宋_GB2312" w:eastAsia="仿宋_GB2312" w:cs="仿宋_GB2312"/>
                <w:sz w:val="22"/>
                <w:szCs w:val="22"/>
                <w:highlight w:val="none"/>
                <w:lang w:val="en-US" w:eastAsia="zh-CN"/>
              </w:rPr>
              <w:t xml:space="preserve">6</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lang w:eastAsia="zh-CN"/>
              </w:rPr>
            </w:pP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w:t>
            </w:r>
            <w:r>
              <w:rPr>
                <w:rFonts w:hint="eastAsia" w:ascii="仿宋_GB2312" w:hAnsi="仿宋_GB2312" w:eastAsia="仿宋_GB2312" w:cs="仿宋_GB2312"/>
                <w:sz w:val="22"/>
                <w:szCs w:val="22"/>
                <w:highlight w:val="none"/>
                <w:lang w:val="en-US" w:eastAsia="zh-CN"/>
              </w:rPr>
              <w:t xml:space="preserve">6</w:t>
            </w:r>
            <w:r>
              <w:rPr>
                <w:rFonts w:hint="eastAsia" w:ascii="仿宋_GB2312" w:hAnsi="仿宋_GB2312" w:eastAsia="仿宋_GB2312" w:cs="仿宋_GB2312"/>
                <w:sz w:val="22"/>
                <w:szCs w:val="22"/>
                <w:highlight w:val="none"/>
              </w:rPr>
              <w:t xml:space="preserve">)未提供方案或</w:t>
            </w:r>
            <w:r>
              <w:rPr>
                <w:rFonts w:hint="eastAsia" w:ascii="仿宋_GB2312" w:hAnsi="仿宋_GB2312" w:eastAsia="仿宋_GB2312" w:cs="仿宋_GB2312"/>
                <w:color w:val="auto"/>
                <w:sz w:val="22"/>
                <w:szCs w:val="22"/>
                <w:highlight w:val="none"/>
              </w:rPr>
              <w:t xml:space="preserve">不满足要求</w:t>
            </w:r>
            <w:r>
              <w:rPr>
                <w:rFonts w:hint="eastAsia" w:ascii="仿宋_GB2312" w:hAnsi="仿宋_GB2312" w:eastAsia="仿宋_GB2312" w:cs="仿宋_GB2312"/>
                <w:sz w:val="22"/>
                <w:szCs w:val="22"/>
                <w:highlight w:val="none"/>
              </w:rPr>
              <w:t xml:space="preserve">或内容存在</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处及以上瑕疵:0 分。</w:t>
            </w:r>
            <w:r/>
          </w:p>
          <w:p>
            <w:pPr>
              <w:jc w:val="left"/>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(本项所称“瑕疵”是指内容缺项、不完整或缺少关键点;非专门针对本项目或不适用本项目特性、套用其他项目内容;对同一问题前后表述矛盾;存在逻辑</w:t>
            </w:r>
            <w:r>
              <w:rPr>
                <w:rFonts w:hint="eastAsia" w:ascii="仿宋_GB2312" w:hAnsi="仿宋_GB2312" w:eastAsia="仿宋_GB2312" w:cs="仿宋_GB2312"/>
                <w:color w:val="auto"/>
                <w:sz w:val="22"/>
                <w:szCs w:val="22"/>
                <w:highlight w:val="none"/>
                <w:lang w:val="en-US" w:eastAsia="zh-CN" w:bidi="ar-SA"/>
              </w:rPr>
              <w:t xml:space="preserve">漏洞</w:t>
            </w:r>
            <w:r>
              <w:rPr>
                <w:rFonts w:hint="eastAsia" w:ascii="仿宋_GB2312" w:hAnsi="仿宋_GB2312" w:eastAsia="仿宋_GB2312" w:cs="仿宋_GB2312"/>
                <w:sz w:val="22"/>
                <w:szCs w:val="22"/>
                <w:lang w:val="en-US" w:eastAsia="zh-CN" w:bidi="ar-SA"/>
              </w:rPr>
              <w:t xml:space="preserve">、科学原理或常识错误;不利于本项目目标的实现、现有技术条件下不可能出现的情形等任意一种情形)。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319" w:type="dxa"/>
            <w:vAlign w:val="center"/>
            <w:textDirection w:val="lrTb"/>
            <w:noWrap w:val="false"/>
          </w:tcPr>
          <w:p>
            <w:pPr>
              <w:jc w:val="center"/>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项目进度控制措施</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8</w:t>
            </w:r>
            <w:r>
              <w:rPr>
                <w:rFonts w:hint="eastAsia" w:ascii="仿宋_GB2312" w:hAnsi="仿宋_GB2312" w:eastAsia="仿宋_GB2312" w:cs="仿宋_GB2312"/>
                <w:color w:val="000000"/>
                <w:sz w:val="22"/>
                <w:szCs w:val="22"/>
              </w:rPr>
              <w:t xml:space="preserve">分）</w:t>
            </w:r>
            <w:r/>
          </w:p>
        </w:tc>
        <w:tc>
          <w:tcPr>
            <w:tcW w:w="6521" w:type="dxa"/>
            <w:vAlign w:val="center"/>
            <w:textDirection w:val="lrTb"/>
            <w:noWrap w:val="false"/>
          </w:tcPr>
          <w:p>
            <w:pPr>
              <w:jc w:val="lef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 xml:space="preserve">根据供应商提供的</w:t>
            </w:r>
            <w:r>
              <w:rPr>
                <w:rFonts w:hint="eastAsia" w:ascii="仿宋_GB2312" w:hAnsi="仿宋_GB2312" w:eastAsia="仿宋_GB2312" w:cs="仿宋_GB2312"/>
                <w:sz w:val="22"/>
                <w:szCs w:val="22"/>
              </w:rPr>
              <w:t xml:space="preserve">项目进度控制措施</w:t>
            </w: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rPr>
              <w:t xml:space="preserve">科学、可行、具体的进度控制措施</w:t>
            </w: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lang w:val="en-US" w:eastAsia="zh-CN"/>
              </w:rPr>
              <w:t xml:space="preserve">进行评价打分。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(1)以上内容不存在瑕疵:</w:t>
            </w:r>
            <w:r>
              <w:rPr>
                <w:rFonts w:hint="eastAsia" w:ascii="仿宋_GB2312" w:hAnsi="仿宋_GB2312" w:eastAsia="仿宋_GB2312" w:cs="仿宋_GB2312"/>
                <w:sz w:val="22"/>
                <w:szCs w:val="22"/>
                <w:highlight w:val="none"/>
                <w:lang w:val="en-US" w:eastAsia="zh-CN"/>
              </w:rPr>
              <w:t xml:space="preserve">8</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(2)以上内容存在1处瑕疵:</w:t>
            </w:r>
            <w:r>
              <w:rPr>
                <w:rFonts w:hint="eastAsia" w:ascii="仿宋_GB2312" w:hAnsi="仿宋_GB2312" w:eastAsia="仿宋_GB2312" w:cs="仿宋_GB2312"/>
                <w:sz w:val="22"/>
                <w:szCs w:val="22"/>
                <w:highlight w:val="none"/>
                <w:lang w:val="en-US" w:eastAsia="zh-CN"/>
              </w:rPr>
              <w:t xml:space="preserve">6</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rPr>
              <w:t xml:space="preserve">(3)以上内容存在2处瑕疵:</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)未提供方案或</w:t>
            </w:r>
            <w:r>
              <w:rPr>
                <w:rFonts w:hint="eastAsia" w:ascii="仿宋_GB2312" w:hAnsi="仿宋_GB2312" w:eastAsia="仿宋_GB2312" w:cs="仿宋_GB2312"/>
                <w:color w:val="auto"/>
                <w:sz w:val="22"/>
                <w:szCs w:val="22"/>
                <w:highlight w:val="none"/>
              </w:rPr>
              <w:t xml:space="preserve">不满足要求</w:t>
            </w:r>
            <w:r>
              <w:rPr>
                <w:rFonts w:hint="eastAsia" w:ascii="仿宋_GB2312" w:hAnsi="仿宋_GB2312" w:eastAsia="仿宋_GB2312" w:cs="仿宋_GB2312"/>
                <w:sz w:val="22"/>
                <w:szCs w:val="22"/>
                <w:highlight w:val="none"/>
              </w:rPr>
              <w:t xml:space="preserve">或内容存在</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处及以上瑕疵:0 分。</w:t>
            </w:r>
            <w:r/>
          </w:p>
          <w:p>
            <w:pPr>
              <w:jc w:val="left"/>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(本项所称“瑕疵”是指内容缺项、不完整或缺少关键点;非专门针对本项目或不适用本项目特性、套用其他项目内容;对同一问题前后表述矛盾;存在逻辑</w:t>
            </w:r>
            <w:r>
              <w:rPr>
                <w:rFonts w:hint="eastAsia" w:ascii="仿宋_GB2312" w:hAnsi="仿宋_GB2312" w:eastAsia="仿宋_GB2312" w:cs="仿宋_GB2312"/>
                <w:color w:val="auto"/>
                <w:sz w:val="22"/>
                <w:szCs w:val="22"/>
                <w:highlight w:val="none"/>
                <w:lang w:val="en-US" w:eastAsia="zh-CN" w:bidi="ar-SA"/>
              </w:rPr>
              <w:t xml:space="preserve">漏洞</w:t>
            </w:r>
            <w:r>
              <w:rPr>
                <w:rFonts w:hint="eastAsia" w:ascii="仿宋_GB2312" w:hAnsi="仿宋_GB2312" w:eastAsia="仿宋_GB2312" w:cs="仿宋_GB2312"/>
                <w:sz w:val="22"/>
                <w:szCs w:val="22"/>
                <w:lang w:val="en-US" w:eastAsia="zh-CN" w:bidi="ar-SA"/>
              </w:rPr>
              <w:t xml:space="preserve">、科学原理或常识错误;不利于本项目目标的实现、现有技术条件下不可能出现的情形等任意一种情形)。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319" w:type="dxa"/>
            <w:vAlign w:val="center"/>
            <w:textDirection w:val="lrTb"/>
            <w:noWrap w:val="false"/>
          </w:tcPr>
          <w:p>
            <w:pPr>
              <w:jc w:val="center"/>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重难点分析</w:t>
            </w:r>
            <w:r>
              <w:rPr>
                <w:rFonts w:hint="eastAsia" w:ascii="仿宋_GB2312" w:hAnsi="仿宋_GB2312" w:eastAsia="仿宋_GB2312" w:cs="仿宋_GB2312"/>
                <w:sz w:val="22"/>
                <w:szCs w:val="22"/>
                <w:lang w:val="en-US" w:eastAsia="zh-CN"/>
              </w:rPr>
              <w:t xml:space="preserve">及合理化建议</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7</w:t>
            </w:r>
            <w:r>
              <w:rPr>
                <w:rFonts w:hint="eastAsia" w:ascii="仿宋_GB2312" w:hAnsi="仿宋_GB2312" w:eastAsia="仿宋_GB2312" w:cs="仿宋_GB2312"/>
                <w:color w:val="000000"/>
                <w:sz w:val="22"/>
                <w:szCs w:val="22"/>
              </w:rPr>
              <w:t xml:space="preserve">分）</w:t>
            </w:r>
            <w:r/>
          </w:p>
        </w:tc>
        <w:tc>
          <w:tcPr>
            <w:tcW w:w="6521" w:type="dxa"/>
            <w:vAlign w:val="top"/>
            <w:textDirection w:val="lrTb"/>
            <w:noWrap w:val="false"/>
          </w:tcPr>
          <w:p>
            <w:pPr>
              <w:jc w:val="lef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 xml:space="preserve">根据供应商提供的</w:t>
            </w:r>
            <w:r>
              <w:rPr>
                <w:rFonts w:hint="eastAsia" w:ascii="仿宋_GB2312" w:hAnsi="仿宋_GB2312" w:eastAsia="仿宋_GB2312" w:cs="仿宋_GB2312"/>
                <w:sz w:val="22"/>
                <w:szCs w:val="22"/>
              </w:rPr>
              <w:t xml:space="preserve">本项目的重点、难点分析</w:t>
            </w:r>
            <w:r>
              <w:rPr>
                <w:rFonts w:hint="eastAsia" w:ascii="仿宋_GB2312" w:hAnsi="仿宋_GB2312" w:eastAsia="仿宋_GB2312" w:cs="仿宋_GB2312"/>
                <w:sz w:val="22"/>
                <w:szCs w:val="22"/>
                <w:lang w:val="en-US" w:eastAsia="zh-CN"/>
              </w:rPr>
              <w:t xml:space="preserve">及合理化建议（</w:t>
            </w:r>
            <w:r>
              <w:rPr>
                <w:rFonts w:hint="eastAsia" w:ascii="仿宋_GB2312" w:hAnsi="仿宋_GB2312" w:eastAsia="仿宋_GB2312" w:cs="仿宋_GB2312"/>
                <w:sz w:val="22"/>
                <w:szCs w:val="22"/>
              </w:rPr>
              <w:t xml:space="preserve">多角度系统分析，在服务于本项目的重点、难点等方面，有不同于其他投标人的新颖思路，且能提出合理建议</w:t>
            </w: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lang w:val="en-US" w:eastAsia="zh-CN"/>
              </w:rPr>
              <w:t xml:space="preserve">进行评价打分。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(1)以上内容不存在瑕疵:</w:t>
            </w:r>
            <w:r>
              <w:rPr>
                <w:rFonts w:hint="eastAsia" w:ascii="仿宋_GB2312" w:hAnsi="仿宋_GB2312" w:eastAsia="仿宋_GB2312" w:cs="仿宋_GB2312"/>
                <w:sz w:val="22"/>
                <w:szCs w:val="22"/>
                <w:highlight w:val="none"/>
                <w:lang w:val="en-US" w:eastAsia="zh-CN"/>
              </w:rPr>
              <w:t xml:space="preserve">7</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(2)以上内容存在1处瑕疵:</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rPr>
              <w:t xml:space="preserve">(3)以上内容存在2处瑕疵:</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1</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)未提供方案或不满足</w:t>
            </w:r>
            <w:r>
              <w:rPr>
                <w:rFonts w:hint="eastAsia" w:ascii="仿宋_GB2312" w:hAnsi="仿宋_GB2312" w:eastAsia="仿宋_GB2312" w:cs="仿宋_GB2312"/>
                <w:color w:val="auto"/>
                <w:sz w:val="22"/>
                <w:szCs w:val="22"/>
                <w:highlight w:val="none"/>
              </w:rPr>
              <w:t xml:space="preserve">要求</w:t>
            </w:r>
            <w:r>
              <w:rPr>
                <w:rFonts w:hint="eastAsia" w:ascii="仿宋_GB2312" w:hAnsi="仿宋_GB2312" w:eastAsia="仿宋_GB2312" w:cs="仿宋_GB2312"/>
                <w:sz w:val="22"/>
                <w:szCs w:val="22"/>
                <w:highlight w:val="none"/>
              </w:rPr>
              <w:t xml:space="preserve">或内容存在</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处及以上瑕疵:0 分。</w:t>
            </w:r>
            <w:r/>
          </w:p>
          <w:p>
            <w:pPr>
              <w:pStyle w:val="760"/>
              <w:ind w:left="0" w:right="6" w:firstLine="0"/>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(本项所称“瑕疵”是指内容缺项、不完整或缺少关键点;非专门针对本项目或不适用本项目特性、套用其他项目内容;对同一问题前后表述矛盾;存在逻辑</w:t>
            </w:r>
            <w:r>
              <w:rPr>
                <w:rFonts w:hint="eastAsia" w:ascii="仿宋_GB2312" w:hAnsi="仿宋_GB2312" w:eastAsia="仿宋_GB2312" w:cs="仿宋_GB2312"/>
                <w:color w:val="auto"/>
                <w:sz w:val="22"/>
                <w:szCs w:val="22"/>
                <w:highlight w:val="none"/>
                <w:lang w:val="en-US" w:eastAsia="zh-CN" w:bidi="ar-SA"/>
              </w:rPr>
              <w:t xml:space="preserve">漏洞</w:t>
            </w:r>
            <w:r>
              <w:rPr>
                <w:rFonts w:hint="eastAsia" w:ascii="仿宋_GB2312" w:hAnsi="仿宋_GB2312" w:eastAsia="仿宋_GB2312" w:cs="仿宋_GB2312"/>
                <w:sz w:val="22"/>
                <w:szCs w:val="22"/>
                <w:lang w:val="en-US" w:eastAsia="zh-CN" w:bidi="ar-SA"/>
              </w:rPr>
              <w:t xml:space="preserve">、科学原理或常识错误;不利于本项目目标的实现、现有技术条件下不可能出现的情形等任意一种情形)。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319" w:type="dxa"/>
            <w:vAlign w:val="center"/>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bCs/>
                <w:color w:val="auto"/>
                <w:sz w:val="22"/>
                <w:szCs w:val="22"/>
                <w:highlight w:val="none"/>
                <w:lang w:eastAsia="zh-CN"/>
              </w:rPr>
              <w:t xml:space="preserve">售后服务</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7</w:t>
            </w:r>
            <w:r>
              <w:rPr>
                <w:rFonts w:hint="eastAsia" w:ascii="仿宋_GB2312" w:hAnsi="仿宋_GB2312" w:eastAsia="仿宋_GB2312" w:cs="仿宋_GB2312"/>
                <w:color w:val="000000"/>
                <w:sz w:val="22"/>
                <w:szCs w:val="22"/>
              </w:rPr>
              <w:t xml:space="preserve">分）</w:t>
            </w:r>
            <w:r/>
          </w:p>
        </w:tc>
        <w:tc>
          <w:tcPr>
            <w:tcW w:w="6521" w:type="dxa"/>
            <w:vAlign w:val="top"/>
            <w:textDirection w:val="lrTb"/>
            <w:noWrap w:val="false"/>
          </w:tcPr>
          <w:p>
            <w:pPr>
              <w:jc w:val="lef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bCs/>
                <w:color w:val="auto"/>
                <w:sz w:val="22"/>
                <w:szCs w:val="22"/>
                <w:lang w:val="en-US" w:eastAsia="zh-CN"/>
              </w:rPr>
              <w:t xml:space="preserve">根据供应商提供的</w:t>
            </w:r>
            <w:r>
              <w:rPr>
                <w:rFonts w:hint="eastAsia" w:ascii="仿宋_GB2312" w:hAnsi="仿宋_GB2312" w:eastAsia="仿宋_GB2312" w:cs="仿宋_GB2312"/>
                <w:bCs/>
                <w:color w:val="auto"/>
                <w:sz w:val="22"/>
                <w:szCs w:val="22"/>
                <w:highlight w:val="none"/>
                <w:lang w:eastAsia="zh-CN"/>
              </w:rPr>
              <w:t xml:space="preserve">售后服务</w:t>
            </w:r>
            <w:r>
              <w:rPr>
                <w:rFonts w:hint="eastAsia" w:ascii="仿宋_GB2312" w:hAnsi="仿宋_GB2312" w:eastAsia="仿宋_GB2312" w:cs="仿宋_GB2312"/>
                <w:bCs/>
                <w:color w:val="auto"/>
                <w:sz w:val="22"/>
                <w:szCs w:val="22"/>
                <w:lang w:eastAsia="zh-CN"/>
              </w:rPr>
              <w:t xml:space="preserve">（</w:t>
            </w:r>
            <w:r>
              <w:rPr>
                <w:rFonts w:hint="eastAsia" w:ascii="仿宋_GB2312" w:hAnsi="仿宋_GB2312" w:eastAsia="仿宋_GB2312" w:cs="仿宋_GB2312"/>
                <w:bCs/>
                <w:color w:val="auto"/>
                <w:sz w:val="22"/>
                <w:szCs w:val="22"/>
              </w:rPr>
              <w:t xml:space="preserve">科学、全面、可行的</w:t>
            </w:r>
            <w:r>
              <w:rPr>
                <w:rFonts w:hint="eastAsia" w:ascii="仿宋_GB2312" w:hAnsi="仿宋_GB2312" w:eastAsia="仿宋_GB2312" w:cs="仿宋_GB2312"/>
                <w:bCs/>
                <w:color w:val="auto"/>
                <w:sz w:val="22"/>
                <w:szCs w:val="22"/>
                <w:lang w:eastAsia="zh-CN"/>
              </w:rPr>
              <w:t xml:space="preserve">）</w:t>
            </w:r>
            <w:r>
              <w:rPr>
                <w:rFonts w:hint="eastAsia" w:ascii="仿宋_GB2312" w:hAnsi="仿宋_GB2312" w:eastAsia="仿宋_GB2312" w:cs="仿宋_GB2312"/>
                <w:sz w:val="22"/>
                <w:szCs w:val="22"/>
                <w:lang w:val="en-US" w:eastAsia="zh-CN"/>
              </w:rPr>
              <w:t xml:space="preserve">进行评价打分。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(1)以上内容不存在瑕疵:</w:t>
            </w:r>
            <w:r>
              <w:rPr>
                <w:rFonts w:hint="eastAsia" w:ascii="仿宋_GB2312" w:hAnsi="仿宋_GB2312" w:eastAsia="仿宋_GB2312" w:cs="仿宋_GB2312"/>
                <w:sz w:val="22"/>
                <w:szCs w:val="22"/>
                <w:highlight w:val="none"/>
                <w:lang w:val="en-US" w:eastAsia="zh-CN"/>
              </w:rPr>
              <w:t xml:space="preserve">7</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(2)以上内容存在1处瑕疵:</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rPr>
              <w:t xml:space="preserve">(3)以上内容存在2处瑕疵:</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1</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)未提供方案或不满足</w:t>
            </w:r>
            <w:r>
              <w:rPr>
                <w:rFonts w:hint="eastAsia" w:ascii="仿宋_GB2312" w:hAnsi="仿宋_GB2312" w:eastAsia="仿宋_GB2312" w:cs="仿宋_GB2312"/>
                <w:color w:val="auto"/>
                <w:sz w:val="22"/>
                <w:szCs w:val="22"/>
                <w:highlight w:val="none"/>
              </w:rPr>
              <w:t xml:space="preserve">要求</w:t>
            </w:r>
            <w:r>
              <w:rPr>
                <w:rFonts w:hint="eastAsia" w:ascii="仿宋_GB2312" w:hAnsi="仿宋_GB2312" w:eastAsia="仿宋_GB2312" w:cs="仿宋_GB2312"/>
                <w:sz w:val="22"/>
                <w:szCs w:val="22"/>
                <w:highlight w:val="none"/>
              </w:rPr>
              <w:t xml:space="preserve">或内容存在</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处及以上瑕疵:0 分。</w:t>
            </w:r>
            <w:r/>
          </w:p>
          <w:p>
            <w:pPr>
              <w:pStyle w:val="1069"/>
              <w:jc w:val="both"/>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bidi="ar-SA"/>
              </w:rPr>
              <w:t xml:space="preserve">(本项所称“瑕疵”是指内容缺项、不完整或缺少关键点;非专门针对本项目或不适用本项目特性、套用其他项目内容;对同一问题前后表述矛盾;存在逻辑</w:t>
            </w:r>
            <w:r>
              <w:rPr>
                <w:rFonts w:hint="eastAsia" w:ascii="仿宋_GB2312" w:hAnsi="仿宋_GB2312" w:eastAsia="仿宋_GB2312" w:cs="仿宋_GB2312"/>
                <w:color w:val="auto"/>
                <w:sz w:val="22"/>
                <w:szCs w:val="22"/>
                <w:highlight w:val="none"/>
                <w:lang w:val="en-US" w:eastAsia="zh-CN" w:bidi="ar-SA"/>
              </w:rPr>
              <w:t xml:space="preserve">漏洞</w:t>
            </w:r>
            <w:r>
              <w:rPr>
                <w:rFonts w:hint="eastAsia" w:ascii="仿宋_GB2312" w:hAnsi="仿宋_GB2312" w:eastAsia="仿宋_GB2312" w:cs="仿宋_GB2312"/>
                <w:sz w:val="22"/>
                <w:szCs w:val="22"/>
                <w:lang w:val="en-US" w:eastAsia="zh-CN" w:bidi="ar-SA"/>
              </w:rPr>
              <w:t xml:space="preserve">、科学原理或常识错误;不利于本项目目标的实现、现有技术条件下不可能出现的情形等任意一种情形)。</w:t>
            </w:r>
            <w:r/>
          </w:p>
        </w:tc>
      </w:tr>
    </w:tbl>
    <w:p>
      <w:pPr>
        <w:pStyle w:val="760"/>
        <w:rPr>
          <w:rStyle w:val="999"/>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pStyle w:val="760"/>
        <w:rPr>
          <w:rStyle w:val="999"/>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pStyle w:val="760"/>
        <w:rPr>
          <w:rStyle w:val="999"/>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pStyle w:val="760"/>
        <w:rPr>
          <w:rStyle w:val="999"/>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rPr>
          <w:rFonts w:hint="eastAsia" w:ascii="仿宋_GB2312" w:hAnsi="仿宋_GB2312" w:eastAsia="仿宋_GB2312" w:cs="仿宋_GB2312"/>
        </w:rPr>
        <w:sectPr>
          <w:footnotePr/>
          <w:endnotePr/>
          <w:type w:val="nextColumn"/>
          <w:pgSz w:w="11906" w:h="16838" w:orient="portrait"/>
          <w:pgMar w:top="1440" w:right="1701" w:bottom="1440" w:left="1701" w:header="851" w:footer="992" w:gutter="0"/>
          <w:cols w:num="1" w:sep="0" w:space="0" w:equalWidth="1"/>
          <w:docGrid w:linePitch="360"/>
        </w:sectPr>
      </w:pPr>
      <w:r>
        <w:rPr>
          <w:rFonts w:hint="eastAsia" w:ascii="仿宋_GB2312" w:hAnsi="仿宋_GB2312" w:eastAsia="仿宋_GB2312" w:cs="仿宋_GB2312"/>
        </w:rPr>
      </w:r>
      <w:r/>
    </w:p>
    <w:p>
      <w:pPr>
        <w:ind w:firstLine="480"/>
        <w:jc w:val="center"/>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2、采购需求</w:t>
      </w:r>
      <w:r/>
    </w:p>
    <w:p>
      <w:pPr>
        <w:pStyle w:val="1069"/>
        <w:ind w:firstLine="482"/>
        <w:jc w:val="both"/>
        <w:spacing w:line="360" w:lineRule="auto"/>
        <w:rPr>
          <w:rFonts w:hint="eastAsia" w:ascii="仿宋" w:hAnsi="仿宋" w:eastAsia="仿宋" w:cs="仿宋"/>
          <w:b/>
          <w:bCs/>
          <w:szCs w:val="22"/>
          <w:highlight w:val="none"/>
          <w:lang w:val="en-US" w:eastAsia="zh-CN"/>
        </w:rPr>
        <w:outlineLvl w:val="0"/>
      </w:pPr>
      <w:r/>
      <w:bookmarkStart w:id="7" w:name="_Toc80122298"/>
      <w:r>
        <w:rPr>
          <w:rFonts w:hint="eastAsia" w:ascii="仿宋" w:hAnsi="仿宋" w:eastAsia="仿宋" w:cs="仿宋"/>
          <w:b/>
          <w:bCs/>
          <w:szCs w:val="22"/>
          <w:highlight w:val="none"/>
          <w:lang w:val="en-US" w:eastAsia="zh-CN"/>
        </w:rPr>
        <w:t xml:space="preserve">一、项目内容</w:t>
      </w:r>
      <w:r/>
    </w:p>
    <w:p>
      <w:pPr>
        <w:pStyle w:val="1069"/>
        <w:ind w:firstLine="480"/>
        <w:jc w:val="both"/>
        <w:spacing w:line="360" w:lineRule="auto"/>
        <w:rPr>
          <w:rFonts w:hint="eastAsia" w:ascii="仿宋" w:hAnsi="仿宋" w:eastAsia="仿宋" w:cs="仿宋"/>
          <w:highlight w:val="none"/>
          <w:lang w:eastAsia="zh-CN"/>
        </w:rPr>
      </w:pPr>
      <w:r>
        <w:rPr>
          <w:rFonts w:hint="eastAsia" w:ascii="仿宋" w:hAnsi="仿宋" w:eastAsia="仿宋" w:cs="仿宋"/>
          <w:highlight w:val="none"/>
        </w:rPr>
        <w:t xml:space="preserve">项目名称：</w:t>
      </w:r>
      <w:r>
        <w:rPr>
          <w:rFonts w:hint="eastAsia" w:ascii="仿宋" w:hAnsi="仿宋" w:eastAsia="仿宋" w:cs="仿宋"/>
          <w:highlight w:val="none"/>
          <w:lang w:eastAsia="zh-CN"/>
        </w:rPr>
        <w:t xml:space="preserve">新沂市2025年度国土变更调查与2026年日常变更调查项目</w:t>
      </w:r>
      <w:r/>
    </w:p>
    <w:p>
      <w:pPr>
        <w:pStyle w:val="1069"/>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采购预算：本项目采购预算金额为</w:t>
      </w:r>
      <w:r>
        <w:rPr>
          <w:rFonts w:hint="eastAsia" w:ascii="仿宋" w:hAnsi="仿宋" w:eastAsia="仿宋" w:cs="仿宋"/>
          <w:highlight w:val="none"/>
          <w:lang w:val="en-US" w:eastAsia="zh-CN"/>
        </w:rPr>
        <w:t xml:space="preserve">180.00</w:t>
      </w:r>
      <w:r>
        <w:rPr>
          <w:rFonts w:hint="eastAsia" w:ascii="仿宋" w:hAnsi="仿宋" w:eastAsia="仿宋" w:cs="仿宋"/>
          <w:highlight w:val="none"/>
        </w:rPr>
        <w:t xml:space="preserve">万元。</w:t>
      </w:r>
      <w:bookmarkEnd w:id="7"/>
      <w:r>
        <w:rPr>
          <w:rFonts w:hint="eastAsia" w:ascii="仿宋" w:hAnsi="仿宋" w:eastAsia="仿宋" w:cs="仿宋"/>
          <w:highlight w:val="none"/>
          <w:lang w:eastAsia="zh-CN"/>
        </w:rPr>
        <w:t xml:space="preserve">报价包含完成项目的所有费用，</w:t>
      </w:r>
      <w:r>
        <w:rPr>
          <w:rFonts w:hint="eastAsia" w:ascii="仿宋" w:hAnsi="仿宋" w:eastAsia="仿宋" w:cs="仿宋"/>
          <w:highlight w:val="none"/>
        </w:rPr>
        <w:t xml:space="preserve">采购人不再支付报价以外的任何费用。</w:t>
      </w:r>
      <w:r/>
    </w:p>
    <w:p>
      <w:pPr>
        <w:pStyle w:val="1069"/>
        <w:ind w:firstLine="482"/>
        <w:jc w:val="both"/>
        <w:spacing w:line="360" w:lineRule="auto"/>
        <w:rPr>
          <w:rFonts w:hint="eastAsia" w:ascii="仿宋" w:hAnsi="仿宋" w:eastAsia="仿宋" w:cs="仿宋"/>
          <w:b/>
          <w:bCs/>
          <w:szCs w:val="22"/>
          <w:highlight w:val="none"/>
          <w:lang w:val="en-US" w:eastAsia="zh-CN"/>
        </w:rPr>
        <w:outlineLvl w:val="0"/>
      </w:pPr>
      <w:r>
        <w:rPr>
          <w:rFonts w:hint="eastAsia" w:ascii="仿宋" w:hAnsi="仿宋" w:eastAsia="仿宋" w:cs="仿宋"/>
          <w:b/>
          <w:bCs/>
          <w:szCs w:val="22"/>
          <w:highlight w:val="none"/>
          <w:lang w:val="en-US" w:eastAsia="zh-CN"/>
        </w:rPr>
        <w:t xml:space="preserve">二、项目背景</w:t>
      </w:r>
      <w:r/>
    </w:p>
    <w:p>
      <w:pPr>
        <w:ind w:firstLine="480"/>
        <w:spacing w:line="360" w:lineRule="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根据自然资源部《关于开展年度全国国土变更调查及森林草地湿地荒漠调查监测工作的通知》和《年度江苏省国土变更调查实施细则》等文件要求，在上年度变更调查成果基础上，结合2025年度各类监测监管成果，开展全覆盖遥感监测工作，通过实地调查，全面掌握全市土地利用变化情况，更新土地调查成果数据库，完成新沂市2025年度国土变更调查。同时根据自然资源管理需要，在年度国土变更调查基础上持续做好2026年日常国土变更调查工作。</w:t>
      </w:r>
      <w:r/>
    </w:p>
    <w:p>
      <w:pPr>
        <w:pStyle w:val="1069"/>
        <w:ind w:firstLine="482"/>
        <w:jc w:val="both"/>
        <w:spacing w:line="360" w:lineRule="auto"/>
        <w:rPr>
          <w:rFonts w:hint="default" w:ascii="仿宋" w:hAnsi="仿宋" w:eastAsia="仿宋" w:cs="仿宋"/>
          <w:b/>
          <w:bCs/>
          <w:highlight w:val="none"/>
          <w:lang w:val="en-US" w:eastAsia="zh-CN"/>
        </w:rPr>
        <w:outlineLvl w:val="0"/>
      </w:pPr>
      <w:r>
        <w:rPr>
          <w:rFonts w:hint="eastAsia" w:ascii="仿宋" w:hAnsi="仿宋" w:eastAsia="仿宋" w:cs="仿宋"/>
          <w:b/>
          <w:bCs/>
          <w:highlight w:val="none"/>
          <w:lang w:val="en-US" w:eastAsia="zh-CN"/>
        </w:rPr>
        <w:t xml:space="preserve">三、主要工作任务</w:t>
      </w:r>
      <w:r/>
    </w:p>
    <w:p>
      <w:pPr>
        <w:ind w:firstLine="480"/>
        <w:spacing w:line="360" w:lineRule="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根据自然资源部《关于开展年度全国国土变更调查及森林草地湿地荒漠调查监测工作的通知》和《年度江苏省国土变更调查实施细则》等文件要求，在上年度变更调查成果基础上，结合2025年度各类监测监管成果，开展全覆盖遥感监测工作，通过实地调查，全面掌握全市土地利用变化情况，更新土地调查成果数据库，完成新沂市2025年度国土变更调查。同时根据自然资源管理需要，在年度国土变更调查基础上持续做好2026年日常国土变更调查工作。</w:t>
      </w:r>
      <w:r/>
    </w:p>
    <w:p>
      <w:pPr>
        <w:pStyle w:val="1069"/>
        <w:ind w:firstLine="482"/>
        <w:jc w:val="both"/>
        <w:spacing w:line="360" w:lineRule="auto"/>
        <w:rPr>
          <w:rFonts w:hint="eastAsia" w:ascii="仿宋" w:hAnsi="仿宋" w:eastAsia="仿宋" w:cs="仿宋"/>
          <w:b/>
          <w:bCs/>
          <w:szCs w:val="22"/>
          <w:highlight w:val="none"/>
          <w:lang w:val="zh-CN" w:eastAsia="zh-CN"/>
        </w:rPr>
        <w:outlineLvl w:val="0"/>
      </w:pPr>
      <w:r>
        <w:rPr>
          <w:rFonts w:hint="eastAsia" w:ascii="仿宋" w:hAnsi="仿宋" w:eastAsia="仿宋" w:cs="仿宋"/>
          <w:b/>
          <w:bCs/>
          <w:szCs w:val="22"/>
          <w:highlight w:val="none"/>
          <w:lang w:val="en-US" w:eastAsia="zh-CN"/>
        </w:rPr>
        <w:t xml:space="preserve">四、服务成果</w:t>
      </w:r>
      <w:r/>
    </w:p>
    <w:p>
      <w:pPr>
        <w:ind w:firstLine="480"/>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1、新沂市年度变更调查/年底集中主要成果按照年度全国国土变更调查相关要求形成整套国土调查成果资料，应包括影像、图形、权属、文字报告等。其中国土调查矢量数据包括年度变更调查更新数据包（含增量信息与统计报表，由数据库质检软件打包生成）；“互联网+”举证成果为DB格式；举证信息表为MDB格式；《遥感监测图斑信息核实记录表》为MDB格式，根据遥感监测图斑的变更情况逐图斑填写。</w:t>
      </w:r>
      <w:r/>
    </w:p>
    <w:p>
      <w:pPr>
        <w:ind w:firstLine="480"/>
        <w:spacing w:line="360" w:lineRule="auto"/>
        <w:rPr>
          <w:rFonts w:hint="eastAsia" w:ascii="仿宋" w:hAnsi="仿宋" w:eastAsia="仿宋" w:cs="仿宋"/>
          <w:b/>
          <w:bCs/>
          <w:highlight w:val="none"/>
        </w:rPr>
      </w:pPr>
      <w:r>
        <w:rPr>
          <w:rFonts w:hint="eastAsia" w:ascii="仿宋_GB2312" w:hAnsi="仿宋_GB2312" w:eastAsia="仿宋_GB2312" w:cs="仿宋_GB2312"/>
          <w:bCs/>
          <w:sz w:val="24"/>
          <w:szCs w:val="24"/>
        </w:rPr>
        <w:t xml:space="preserve">2、新沂市日常变更调查的主要成果包括矢量数据和举证信息等。其中，矢量数据为拟变更图斑以及相关单独图层（MDB格式，DLTB图层属性字段参照年度变更调查地类图斑更新过程层并增加相关项目的项目名称和编号等）；举证信息为符合年度变更调查要求的举证成果包（DB 格式或在线接口）和举证信息表（MDB 格式）等。</w:t>
      </w:r>
      <w:r/>
    </w:p>
    <w:p>
      <w:pPr>
        <w:pStyle w:val="1069"/>
        <w:ind w:firstLine="482"/>
        <w:jc w:val="both"/>
        <w:spacing w:line="360" w:lineRule="auto"/>
        <w:rPr>
          <w:rFonts w:hint="eastAsia" w:ascii="仿宋" w:hAnsi="仿宋" w:eastAsia="仿宋" w:cs="仿宋"/>
          <w:b/>
          <w:bCs/>
          <w:highlight w:val="none"/>
          <w:lang w:val="zh-CN" w:eastAsia="zh-CN"/>
        </w:rPr>
        <w:outlineLvl w:val="0"/>
      </w:pPr>
      <w:r>
        <w:rPr>
          <w:rFonts w:hint="eastAsia" w:ascii="仿宋" w:hAnsi="仿宋" w:eastAsia="仿宋" w:cs="仿宋"/>
          <w:b/>
          <w:bCs/>
          <w:highlight w:val="none"/>
          <w:lang w:val="zh-CN" w:eastAsia="zh-CN"/>
        </w:rPr>
        <w:t xml:space="preserve">五、质量要求</w:t>
      </w:r>
      <w:r/>
    </w:p>
    <w:p>
      <w:pPr>
        <w:ind w:firstLine="480"/>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lang w:eastAsia="zh-CN"/>
        </w:rPr>
        <w:t xml:space="preserve">项目中标单位必须保证成果数据质量合格，项目成果需通过自然资源部、江苏省自然资源厅等上级部门的检查</w:t>
      </w:r>
      <w:r>
        <w:rPr>
          <w:rFonts w:hint="eastAsia" w:ascii="仿宋_GB2312" w:hAnsi="仿宋_GB2312" w:eastAsia="仿宋_GB2312" w:cs="仿宋_GB2312"/>
          <w:bCs/>
          <w:sz w:val="24"/>
          <w:szCs w:val="24"/>
        </w:rPr>
        <w:t xml:space="preserve">。</w:t>
      </w:r>
      <w:r/>
    </w:p>
    <w:p>
      <w:pPr>
        <w:ind w:firstLine="482"/>
        <w:keepLines w:val="0"/>
        <w:keepNext w:val="0"/>
        <w:pageBreakBefore w:val="0"/>
        <w:spacing w:line="360" w:lineRule="auto"/>
        <w:widowControl w:val="off"/>
        <w:rPr>
          <w:rFonts w:hint="eastAsia" w:ascii="仿宋" w:hAnsi="仿宋" w:eastAsia="仿宋" w:cs="仿宋"/>
          <w:b/>
          <w:bCs/>
          <w:sz w:val="24"/>
          <w:szCs w:val="24"/>
          <w:lang w:val="en-US" w:eastAsia="zh-CN"/>
        </w:rPr>
        <w:outlineLvl w:val="9"/>
      </w:pPr>
      <w:r>
        <w:rPr>
          <w:rFonts w:hint="eastAsia" w:ascii="仿宋" w:hAnsi="仿宋" w:eastAsia="仿宋" w:cs="仿宋"/>
          <w:b/>
          <w:bCs/>
          <w:sz w:val="24"/>
          <w:szCs w:val="24"/>
          <w:lang w:val="en-US" w:eastAsia="zh-CN"/>
        </w:rPr>
        <w:t xml:space="preserve">六、报价要求</w:t>
      </w:r>
      <w:r/>
    </w:p>
    <w:p>
      <w:pPr>
        <w:ind w:firstLine="480"/>
        <w:keepLines w:val="0"/>
        <w:keepNext w:val="0"/>
        <w:pageBreakBefore w:val="0"/>
        <w:spacing w:line="460" w:lineRule="exact"/>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本项目报价为固定总价（总价包干）。投标报价应包括采购文件要求范围内的全部工作内容的价格体现，包括实施和完成本次招标内容所需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spacing w:line="4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2、报价货币为人民币，评审时以人民币为准。</w:t>
      </w:r>
      <w:r/>
    </w:p>
    <w:p>
      <w:pPr>
        <w:ind w:firstLine="482"/>
        <w:keepLines w:val="0"/>
        <w:keepNext w:val="0"/>
        <w:pageBreakBefore w:val="0"/>
        <w:spacing w:line="360" w:lineRule="auto"/>
        <w:widowControl w:val="off"/>
        <w:rPr>
          <w:rFonts w:hint="eastAsia" w:ascii="仿宋" w:hAnsi="仿宋" w:eastAsia="仿宋" w:cs="仿宋"/>
          <w:b/>
          <w:bCs/>
          <w:sz w:val="24"/>
          <w:szCs w:val="24"/>
          <w:lang w:val="en-US" w:eastAsia="zh-CN"/>
        </w:rPr>
        <w:outlineLvl w:val="9"/>
      </w:pPr>
      <w:r/>
      <w:bookmarkStart w:id="8" w:name="_Toc93563409"/>
      <w:r>
        <w:rPr>
          <w:rFonts w:hint="eastAsia" w:ascii="仿宋" w:hAnsi="仿宋" w:eastAsia="仿宋" w:cs="仿宋"/>
          <w:b/>
          <w:bCs/>
          <w:sz w:val="24"/>
          <w:szCs w:val="24"/>
          <w:lang w:val="en-US" w:eastAsia="zh-CN"/>
        </w:rPr>
        <w:t xml:space="preserve">七、工期要求</w:t>
      </w:r>
      <w:r/>
    </w:p>
    <w:p>
      <w:pPr>
        <w:ind w:firstLine="480"/>
        <w:keepLines w:val="0"/>
        <w:keepNext w:val="0"/>
        <w:pageBreakBefore w:val="0"/>
        <w:spacing w:line="46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新沂市2025年度国土变更调查与2026年日常变更调查项目工期进度要求以自然资源部、江苏省自然资源厅和徐州市局具体工作进度要求为准。</w:t>
      </w:r>
      <w:r/>
    </w:p>
    <w:p>
      <w:pPr>
        <w:ind w:firstLine="482"/>
        <w:keepLines w:val="0"/>
        <w:keepNext w:val="0"/>
        <w:pageBreakBefore w:val="0"/>
        <w:spacing w:line="360" w:lineRule="auto"/>
        <w:widowControl w:val="off"/>
        <w:rPr>
          <w:rFonts w:hint="default" w:ascii="仿宋" w:hAnsi="仿宋" w:eastAsia="仿宋" w:cs="仿宋"/>
          <w:b/>
          <w:bCs/>
          <w:sz w:val="24"/>
          <w:szCs w:val="24"/>
          <w:lang w:val="en-US" w:eastAsia="zh-CN"/>
        </w:rPr>
        <w:outlineLvl w:val="9"/>
      </w:pPr>
      <w:r>
        <w:rPr>
          <w:rFonts w:hint="eastAsia" w:ascii="仿宋" w:hAnsi="仿宋" w:eastAsia="仿宋" w:cs="仿宋"/>
          <w:b/>
          <w:bCs/>
          <w:sz w:val="24"/>
          <w:szCs w:val="24"/>
          <w:lang w:val="en-US" w:eastAsia="zh-CN"/>
        </w:rPr>
        <w:t xml:space="preserve">八、</w:t>
      </w:r>
      <w:r>
        <w:rPr>
          <w:rFonts w:hint="default" w:ascii="仿宋" w:hAnsi="仿宋" w:eastAsia="仿宋" w:cs="仿宋"/>
          <w:b/>
          <w:bCs/>
          <w:sz w:val="24"/>
          <w:szCs w:val="24"/>
          <w:lang w:val="en-US" w:eastAsia="zh-CN"/>
        </w:rPr>
        <w:t xml:space="preserve">安全要求</w:t>
      </w:r>
      <w:bookmarkEnd w:id="8"/>
      <w:r/>
      <w:r/>
    </w:p>
    <w:p>
      <w:pPr>
        <w:ind w:firstLine="480"/>
        <w:keepLines w:val="0"/>
        <w:keepNext w:val="0"/>
        <w:pageBreakBefore w:val="0"/>
        <w:spacing w:line="460" w:lineRule="exact"/>
        <w:widowControl w:val="off"/>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 xml:space="preserve">实施单位在项目的实施过程中应做好人身、财产、交通、数据成果等的安全工作，如自身管理疏忽造成的安全问题，所有的损失皆由实施单位自行承担，与采购人无关。</w:t>
      </w:r>
      <w:r/>
    </w:p>
    <w:p>
      <w:pPr>
        <w:ind w:firstLine="482"/>
        <w:keepLines w:val="0"/>
        <w:keepNext w:val="0"/>
        <w:pageBreakBefore w:val="0"/>
        <w:spacing w:line="360" w:lineRule="auto"/>
        <w:widowControl w:val="off"/>
        <w:rPr>
          <w:rFonts w:hint="eastAsia" w:ascii="仿宋" w:hAnsi="仿宋" w:eastAsia="仿宋" w:cs="仿宋"/>
          <w:b/>
          <w:bCs/>
          <w:sz w:val="24"/>
          <w:szCs w:val="24"/>
          <w:lang w:val="en-US" w:eastAsia="zh-CN"/>
        </w:rPr>
        <w:outlineLvl w:val="9"/>
      </w:pPr>
      <w:r>
        <w:rPr>
          <w:rFonts w:hint="eastAsia" w:ascii="仿宋" w:hAnsi="仿宋" w:eastAsia="仿宋" w:cs="仿宋"/>
          <w:b/>
          <w:bCs/>
          <w:sz w:val="24"/>
          <w:szCs w:val="24"/>
          <w:lang w:val="en-US" w:eastAsia="zh-CN"/>
        </w:rPr>
        <w:t xml:space="preserve">九、付款方式</w:t>
      </w:r>
      <w:r/>
    </w:p>
    <w:p>
      <w:pPr>
        <w:ind w:firstLine="480"/>
        <w:keepLines w:val="0"/>
        <w:keepNext w:val="0"/>
        <w:pageBreakBefore w:val="0"/>
        <w:spacing w:line="46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1、本合同项下所有款项均以人民币支付。</w:t>
      </w:r>
      <w:r/>
    </w:p>
    <w:p>
      <w:pPr>
        <w:ind w:firstLine="480"/>
        <w:keepLines w:val="0"/>
        <w:keepNext w:val="0"/>
        <w:pageBreakBefore w:val="0"/>
        <w:spacing w:line="46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2、付款方式：</w:t>
      </w:r>
      <w:r/>
    </w:p>
    <w:p>
      <w:pPr>
        <w:ind w:firstLine="480"/>
        <w:spacing w:line="4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合同签订后30个工作日内支付合同总价的30%；完成调查工作任务，项目成果经甲方或上级部门验收或检查合格后30个工作日内支付合同总价的剩余70%费用。</w:t>
      </w:r>
      <w:r/>
    </w:p>
    <w:p>
      <w:pPr>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lang w:val="en-US" w:eastAsia="zh-CN"/>
        </w:rPr>
        <w:t xml:space="preserve">3、在采购人每次付款前，成交供应商应向采购人提供等额有效的正式发票，否则采购人有权延期付款且不承担违约责任，成交供应商的各项合同义务仍应按合同约定履行</w:t>
      </w:r>
      <w:r>
        <w:rPr>
          <w:rFonts w:hint="eastAsia" w:ascii="仿宋_GB2312" w:hAnsi="仿宋_GB2312" w:eastAsia="仿宋_GB2312" w:cs="仿宋_GB2312"/>
          <w:bCs/>
          <w:sz w:val="24"/>
          <w:szCs w:val="24"/>
          <w:lang w:val="en-US" w:eastAsia="zh-CN"/>
        </w:rPr>
        <w:t xml:space="preserve">。</w:t>
      </w:r>
      <w:r/>
    </w:p>
    <w:p>
      <w:pPr>
        <w:pStyle w:val="1069"/>
        <w:ind w:firstLine="482"/>
        <w:jc w:val="both"/>
        <w:spacing w:line="360" w:lineRule="auto"/>
        <w:rPr>
          <w:rFonts w:hint="eastAsia" w:ascii="仿宋" w:hAnsi="仿宋" w:eastAsia="仿宋" w:cs="仿宋"/>
          <w:b/>
          <w:bCs/>
          <w:highlight w:val="none"/>
          <w:lang w:val="en-US" w:eastAsia="zh-CN"/>
        </w:rPr>
        <w:outlineLvl w:val="0"/>
      </w:pPr>
      <w:r>
        <w:rPr>
          <w:rFonts w:hint="eastAsia" w:ascii="仿宋" w:hAnsi="仿宋" w:eastAsia="仿宋" w:cs="仿宋"/>
          <w:b/>
          <w:bCs/>
          <w:highlight w:val="none"/>
          <w:lang w:val="en-US" w:eastAsia="zh-CN"/>
        </w:rPr>
        <w:t xml:space="preserve">十、其他要求：见采购文件 《拟签订的合同文本》。</w:t>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jc w:val="center"/>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3、（一）磋商报价表</w:t>
      </w:r>
      <w:r/>
    </w:p>
    <w:p>
      <w:pPr>
        <w:jc w:val="cente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（首次报价）</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JSZC-320381-SRGC-C2026-0007</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货币单位：人民币元</w:t>
      </w:r>
      <w:r/>
    </w:p>
    <w:tbl>
      <w:tblPr>
        <w:tblStyle w:val="752"/>
        <w:tblW w:w="881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55"/>
        <w:gridCol w:w="4065"/>
        <w:gridCol w:w="2590"/>
      </w:tblGrid>
      <w:tr>
        <w:trPr>
          <w:cantSplit/>
          <w:jc w:val="center"/>
          <w:trHeight w:val="631"/>
        </w:trPr>
        <w:tc>
          <w:tcPr>
            <w:tcW w:w="2155" w:type="dxa"/>
            <w:vAlign w:val="center"/>
            <w:textDirection w:val="lrTb"/>
            <w:noWrap w:val="false"/>
          </w:tcPr>
          <w:p>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项目名称</w:t>
            </w:r>
            <w:r/>
          </w:p>
        </w:tc>
        <w:tc>
          <w:tcPr>
            <w:tcW w:w="4065" w:type="dxa"/>
            <w:vAlign w:val="center"/>
            <w:textDirection w:val="lrTb"/>
            <w:noWrap w:val="false"/>
          </w:tcPr>
          <w:p>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报价（小写）</w:t>
            </w:r>
            <w:r/>
          </w:p>
        </w:tc>
        <w:tc>
          <w:tcPr>
            <w:tcW w:w="2590" w:type="dxa"/>
            <w:vAlign w:val="center"/>
            <w:textDirection w:val="lrTb"/>
            <w:noWrap w:val="false"/>
          </w:tcPr>
          <w:p>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备注</w:t>
            </w:r>
            <w:r/>
          </w:p>
        </w:tc>
      </w:tr>
      <w:tr>
        <w:trPr>
          <w:cantSplit/>
          <w:jc w:val="center"/>
          <w:trHeight w:val="1939"/>
        </w:trPr>
        <w:tc>
          <w:tcPr>
            <w:tcW w:w="2155" w:type="dxa"/>
            <w:vAlign w:val="center"/>
            <w:textDirection w:val="lrTb"/>
            <w:noWrap w:val="false"/>
          </w:tcPr>
          <w:p>
            <w:pPr>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 xml:space="preserve">新沂市2025年度国土变更调查与2026年日常变更调查项目</w:t>
            </w:r>
            <w:r/>
          </w:p>
        </w:tc>
        <w:tc>
          <w:tcPr>
            <w:tcW w:w="4065" w:type="dxa"/>
            <w:vAlign w:val="center"/>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2590" w:type="dxa"/>
            <w:vAlign w:val="center"/>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cantSplit/>
          <w:jc w:val="center"/>
          <w:trHeight w:val="789"/>
        </w:trPr>
        <w:tc>
          <w:tcPr>
            <w:tcW w:w="2155" w:type="dxa"/>
            <w:vAlign w:val="center"/>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t xml:space="preserve">报价（大写）：</w:t>
            </w:r>
            <w:r/>
          </w:p>
        </w:tc>
        <w:tc>
          <w:tcPr>
            <w:gridSpan w:val="2"/>
            <w:tcW w:w="6655" w:type="dxa"/>
            <w:vAlign w:val="center"/>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r>
    </w:tbl>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供应商承诺：本报价（总价）为供应商本企业提供的服务。</w:t>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报价说明：</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1、报价包括完成项目的所有费用。采购人不再支付报价以外的任何费用。</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2、报价以总价为准，大小写不一致以大写为准；</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3、偏离说明：详见《偏离表》；</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4、如最后报价未列明单价，则最后所报各项单价计算方法为：（最后总价/最初总价）*各项最初报价的单价。</w:t>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jc w:val="left"/>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供应商名称：</w:t>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法定代表人(负责人)或授权代表（签字或盖章）：</w:t>
      </w:r>
      <w:r/>
    </w:p>
    <w:p>
      <w:pPr>
        <w:ind w:firstLine="472"/>
        <w:jc w:val="left"/>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jc w:val="left"/>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pStyle w:val="1003"/>
        <w:ind w:left="0" w:firstLine="0"/>
        <w:rPr>
          <w:rFonts w:hint="eastAsia" w:ascii="仿宋_GB2312" w:hAnsi="仿宋_GB2312" w:eastAsia="仿宋_GB2312" w:cs="仿宋_GB2312"/>
          <w:sz w:val="24"/>
        </w:rPr>
      </w:pPr>
      <w:r>
        <w:rPr>
          <w:rFonts w:hint="eastAsia" w:ascii="仿宋_GB2312" w:hAnsi="仿宋_GB2312" w:eastAsia="仿宋_GB2312" w:cs="仿宋_GB2312"/>
          <w:sz w:val="24"/>
        </w:rPr>
      </w:r>
      <w:r/>
    </w:p>
    <w:p>
      <w:pPr>
        <w:jc w:val="center"/>
        <w:rPr>
          <w:rStyle w:val="999"/>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jc w:val="center"/>
        <w:rPr>
          <w:rStyle w:val="999"/>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jc w:val="cente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30"/>
          <w:szCs w:val="30"/>
          <w:lang w:val="en-US" w:eastAsia="zh-CN"/>
        </w:rPr>
        <w:t xml:space="preserve">4、偏离表</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JSZC-320381-SRGC-C2026-0007</w:t>
      </w:r>
      <w:r/>
    </w:p>
    <w:tbl>
      <w:tblPr>
        <w:tblStyle w:val="752"/>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3"/>
        <w:gridCol w:w="1356"/>
        <w:gridCol w:w="1765"/>
        <w:gridCol w:w="1595"/>
        <w:gridCol w:w="1980"/>
      </w:tblGrid>
      <w:tr>
        <w:trPr>
          <w:jc w:val="center"/>
          <w:trHeight w:val="414"/>
        </w:trPr>
        <w:tc>
          <w:tcPr>
            <w:tcW w:w="959"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序号</w:t>
            </w:r>
            <w:r/>
          </w:p>
        </w:tc>
        <w:tc>
          <w:tcPr>
            <w:tcW w:w="1273"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内容</w:t>
            </w:r>
            <w:r/>
          </w:p>
        </w:tc>
        <w:tc>
          <w:tcPr>
            <w:tcW w:w="1356"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磋商文件要求</w:t>
            </w:r>
            <w:r/>
          </w:p>
        </w:tc>
        <w:tc>
          <w:tcPr>
            <w:tcW w:w="1765"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供应商首次响应文件内容</w:t>
            </w:r>
            <w:r/>
          </w:p>
        </w:tc>
        <w:tc>
          <w:tcPr>
            <w:tcW w:w="1595"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（正/负/无）偏离</w:t>
            </w:r>
            <w:r/>
          </w:p>
        </w:tc>
        <w:tc>
          <w:tcPr>
            <w:tcW w:w="1980"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说明</w:t>
            </w:r>
            <w:r/>
          </w:p>
        </w:tc>
      </w:tr>
      <w:tr>
        <w:trPr>
          <w:jc w:val="center"/>
          <w:trHeight w:val="794"/>
        </w:trPr>
        <w:tc>
          <w:tcPr>
            <w:tcW w:w="959"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273"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356"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765"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595"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980"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bl>
    <w:p>
      <w:pPr>
        <w:rPr>
          <w:rFonts w:hint="eastAsia" w:ascii="仿宋_GB2312" w:hAnsi="仿宋_GB2312" w:eastAsia="仿宋_GB2312" w:cs="仿宋_GB2312"/>
          <w:sz w:val="24"/>
        </w:rPr>
      </w:pPr>
      <w:r>
        <w:rPr>
          <w:rFonts w:hint="eastAsia" w:ascii="仿宋_GB2312" w:hAnsi="仿宋_GB2312" w:eastAsia="仿宋_GB2312" w:cs="仿宋_GB2312"/>
          <w:sz w:val="24"/>
        </w:rPr>
        <w:t xml:space="preserve">注：供应商递交的首次响应文件中与《磋商文件》和《磋商文件修改（澄清）》（如有）的要求有不同时，应逐条列在偏离表中，否则将认为供应商接受磋商文件的要求。</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供应商名称： </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法定代表人(负责人)或授权代表（签字或盖章）：</w:t>
      </w:r>
      <w:r/>
    </w:p>
    <w:p>
      <w:pPr>
        <w:ind w:firstLine="472"/>
        <w:spacing w:line="360" w:lineRule="auto"/>
        <w:rPr>
          <w:rStyle w:val="999"/>
          <w:rFonts w:hint="eastAsia" w:ascii="仿宋_GB2312" w:hAnsi="仿宋_GB2312" w:eastAsia="仿宋_GB2312" w:cs="仿宋_GB2312"/>
          <w:b w:val="0"/>
          <w:bCs w:val="0"/>
          <w:sz w:val="24"/>
          <w:szCs w:val="24"/>
        </w:rPr>
      </w:pPr>
      <w:r>
        <w:rPr>
          <w:rStyle w:val="999"/>
          <w:rFonts w:hint="eastAsia" w:ascii="仿宋_GB2312" w:hAnsi="仿宋_GB2312" w:eastAsia="仿宋_GB2312" w:cs="仿宋_GB2312"/>
          <w:b w:val="0"/>
          <w:bCs w:val="0"/>
          <w:sz w:val="24"/>
          <w:szCs w:val="24"/>
        </w:rPr>
        <w:t xml:space="preserve">日期：    年   月   日</w:t>
      </w:r>
      <w:r/>
    </w:p>
    <w:p>
      <w:pPr>
        <w:jc w:val="center"/>
        <w:spacing w:line="360" w:lineRule="auto"/>
        <w:rPr>
          <w:rStyle w:val="999"/>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834"/>
        <w:ind w:firstLine="0"/>
        <w:rPr>
          <w:rFonts w:hint="eastAsia" w:ascii="仿宋_GB2312" w:hAnsi="仿宋_GB2312" w:eastAsia="仿宋_GB2312" w:cs="仿宋_GB2312"/>
        </w:rPr>
      </w:pPr>
      <w:r>
        <w:rPr>
          <w:rFonts w:hint="eastAsia" w:ascii="仿宋_GB2312" w:hAnsi="仿宋_GB2312" w:eastAsia="仿宋_GB2312" w:cs="仿宋_GB2312"/>
        </w:rPr>
      </w:r>
      <w:r/>
    </w:p>
    <w:p>
      <w:pPr>
        <w:spacing w:line="360" w:lineRule="auto"/>
        <w:rPr>
          <w:rStyle w:val="999"/>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ind w:firstLine="480"/>
        <w:jc w:val="center"/>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5、承诺书</w:t>
      </w:r>
      <w:r/>
    </w:p>
    <w:p>
      <w:pPr>
        <w:ind w:firstLine="472"/>
        <w:widowControl/>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致：</w:t>
      </w:r>
      <w:r>
        <w:rPr>
          <w:rFonts w:hint="eastAsia" w:ascii="仿宋_GB2312" w:hAnsi="仿宋_GB2312" w:eastAsia="仿宋_GB2312" w:cs="仿宋_GB2312"/>
          <w:sz w:val="24"/>
          <w:lang w:eastAsia="zh-CN"/>
        </w:rPr>
        <w:t xml:space="preserve">江苏盛仁工程项目管理有限公司</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根据贵方</w:t>
      </w:r>
      <w:r>
        <w:rPr>
          <w:rFonts w:hint="eastAsia" w:ascii="仿宋_GB2312" w:hAnsi="仿宋_GB2312" w:eastAsia="仿宋_GB2312" w:cs="仿宋_GB2312"/>
          <w:sz w:val="24"/>
          <w:u w:val="single"/>
          <w:lang w:eastAsia="zh-CN"/>
        </w:rPr>
        <w:t xml:space="preserve">新沂市2025年度国土变更调查与2026年日常变更调查项目</w:t>
      </w:r>
      <w:r>
        <w:rPr>
          <w:rFonts w:hint="eastAsia" w:ascii="仿宋_GB2312" w:hAnsi="仿宋_GB2312" w:eastAsia="仿宋_GB2312" w:cs="仿宋_GB2312"/>
          <w:sz w:val="24"/>
        </w:rPr>
        <w:t xml:space="preserve">《竞争性磋商文件》（项目编号：</w:t>
      </w:r>
      <w:r>
        <w:rPr>
          <w:rFonts w:hint="eastAsia" w:ascii="仿宋_GB2312" w:hAnsi="仿宋_GB2312" w:eastAsia="仿宋_GB2312" w:cs="仿宋_GB2312"/>
          <w:sz w:val="24"/>
          <w:lang w:eastAsia="zh-CN"/>
        </w:rPr>
        <w:t xml:space="preserve">JSZC-320381-SRGC-C2026-0007</w:t>
      </w:r>
      <w:r>
        <w:rPr>
          <w:rFonts w:hint="eastAsia" w:ascii="仿宋_GB2312" w:hAnsi="仿宋_GB2312" w:eastAsia="仿宋_GB2312" w:cs="仿宋_GB2312"/>
          <w:sz w:val="24"/>
        </w:rPr>
        <w:t xml:space="preserve">）要求，本供应商正式提交以下首次响应文件。</w:t>
      </w:r>
      <w:r/>
    </w:p>
    <w:p>
      <w:pPr>
        <w:ind w:firstLine="472"/>
        <w:widowControl/>
        <w:rPr>
          <w:rFonts w:hint="eastAsia" w:ascii="仿宋_GB2312" w:hAnsi="仿宋_GB2312" w:eastAsia="仿宋_GB2312" w:cs="仿宋_GB2312"/>
        </w:rPr>
      </w:pP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_GB2312" w:hAnsi="仿宋_GB2312" w:eastAsia="仿宋_GB2312" w:cs="仿宋_GB2312"/>
          <w:sz w:val="24"/>
        </w:rPr>
        <w:t xml:space="preserve">（1）承诺书；</w:t>
      </w:r>
      <w:r/>
    </w:p>
    <w:p>
      <w:pPr>
        <w:ind w:firstLine="472"/>
        <w:widowControl/>
        <w:rPr>
          <w:rFonts w:hint="eastAsia" w:ascii="仿宋_GB2312" w:hAnsi="仿宋_GB2312" w:eastAsia="仿宋_GB2312" w:cs="仿宋_GB2312"/>
        </w:rPr>
      </w:pPr>
      <w:r>
        <w:rPr>
          <w:rFonts w:hint="eastAsia" w:ascii="仿宋_GB2312" w:hAnsi="仿宋_GB2312" w:eastAsia="仿宋_GB2312" w:cs="仿宋_GB2312"/>
          <w:sz w:val="24"/>
        </w:rPr>
        <w:t xml:space="preserve">（2）磋商报价表；</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（3）偏离表；</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（4）磋商文件要求提供的其他响应文件。</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我单位符合《中华人民共和国政府采购法》第二十二条的规定，符合本项目供应商资格要求。</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我单位按照磋商文件的要求编制响应文件，并对其提交的响应文件的真实性、合法性承担法律责任。</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供应商兹宣布同意如下: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_GB2312" w:hAnsi="仿宋_GB2312" w:eastAsia="仿宋_GB2312" w:cs="仿宋_GB2312"/>
          <w:sz w:val="24"/>
        </w:rPr>
        <w:t xml:space="preserve">一、完全承担根据《磋商文件》规定完成合同的责任和义务（如有偏离，将全部填写在偏离表中）。</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_GB2312" w:hAnsi="仿宋_GB2312" w:eastAsia="仿宋_GB2312" w:cs="仿宋_GB2312"/>
          <w:sz w:val="24"/>
        </w:rPr>
        <w:t xml:space="preserve">二、保证所提供的响应文件及所有材料的真实、合法、有效，并对其负责。</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三、已详细审核竞争性磋商文件（含竞争性磋商文件的澄清或者修改），本供应商完全理解并同意放弃对这方面不明及误解的权利。</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四、所供服务保证符合国家有关产品质量、性能和安全标准，无权利瑕疵。</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五、同意向贵方提供贵方可能要求的与本次磋商采购有关的任何证据或资料。</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六、</w:t>
      </w:r>
      <w:r>
        <w:rPr>
          <w:rFonts w:hint="eastAsia" w:ascii="仿宋_GB2312" w:hAnsi="仿宋_GB2312" w:eastAsia="仿宋_GB2312" w:cs="仿宋_GB2312"/>
          <w:sz w:val="24"/>
          <w:lang w:eastAsia="zh-CN"/>
        </w:rPr>
        <w:t xml:space="preserve">江苏盛仁工程项目管理有限公司</w:t>
      </w:r>
      <w:r>
        <w:rPr>
          <w:rFonts w:hint="eastAsia" w:ascii="仿宋_GB2312" w:hAnsi="仿宋_GB2312" w:eastAsia="仿宋_GB2312" w:cs="仿宋_GB2312"/>
          <w:sz w:val="24"/>
        </w:rPr>
        <w:t xml:space="preserve">有权将我单位本项目的《磋商报价表》予以公示，公示的方式由</w:t>
      </w:r>
      <w:r>
        <w:rPr>
          <w:rFonts w:hint="eastAsia" w:ascii="仿宋_GB2312" w:hAnsi="仿宋_GB2312" w:eastAsia="仿宋_GB2312" w:cs="仿宋_GB2312"/>
          <w:sz w:val="24"/>
          <w:lang w:eastAsia="zh-CN"/>
        </w:rPr>
        <w:t xml:space="preserve">江苏盛仁工程项目管理有限公司</w:t>
      </w:r>
      <w:r>
        <w:rPr>
          <w:rFonts w:hint="eastAsia" w:ascii="仿宋_GB2312" w:hAnsi="仿宋_GB2312" w:eastAsia="仿宋_GB2312" w:cs="仿宋_GB2312"/>
          <w:sz w:val="24"/>
        </w:rPr>
        <w:t xml:space="preserve">确定。</w:t>
      </w:r>
      <w:r/>
    </w:p>
    <w:p>
      <w:pPr>
        <w:ind w:firstLine="472"/>
        <w:rPr>
          <w:rFonts w:hint="eastAsia" w:ascii="仿宋_GB2312" w:hAnsi="仿宋_GB2312" w:eastAsia="仿宋_GB2312" w:cs="仿宋_GB2312"/>
          <w:sz w:val="24"/>
        </w:rPr>
      </w:pPr>
      <w:r>
        <w:rPr>
          <w:rFonts w:hint="eastAsia" w:ascii="仿宋_GB2312" w:hAnsi="仿宋_GB2312" w:eastAsia="仿宋_GB2312" w:cs="仿宋_GB2312"/>
          <w:sz w:val="24"/>
        </w:rPr>
        <w:t xml:space="preserve">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八、同意在收到成交通知书后，按照有关规定支付代理服务费。</w:t>
      </w:r>
      <w:r/>
    </w:p>
    <w:p>
      <w:pPr>
        <w:ind w:firstLine="472"/>
        <w:rPr>
          <w:rFonts w:hint="eastAsia" w:ascii="仿宋_GB2312" w:hAnsi="仿宋_GB2312" w:eastAsia="仿宋_GB2312" w:cs="仿宋_GB2312"/>
          <w:sz w:val="24"/>
        </w:rPr>
      </w:pPr>
      <w:r>
        <w:rPr>
          <w:rFonts w:hint="eastAsia" w:ascii="仿宋_GB2312" w:hAnsi="仿宋_GB2312" w:eastAsia="仿宋_GB2312" w:cs="仿宋_GB2312"/>
          <w:sz w:val="24"/>
        </w:rPr>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pStyle w:val="827"/>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法定代表人(负责人)或授权代表（签字或盖章）：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联系电话：</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w:t>
      </w:r>
      <w:r/>
    </w:p>
    <w:p>
      <w:pPr>
        <w:pStyle w:val="834"/>
        <w:ind w:firstLine="0"/>
        <w:rPr>
          <w:rFonts w:hint="eastAsia" w:ascii="仿宋_GB2312" w:hAnsi="仿宋_GB2312" w:eastAsia="仿宋_GB2312" w:cs="仿宋_GB2312"/>
        </w:rPr>
      </w:pPr>
      <w:r>
        <w:rPr>
          <w:rFonts w:hint="eastAsia" w:ascii="仿宋_GB2312" w:hAnsi="仿宋_GB2312" w:eastAsia="仿宋_GB2312" w:cs="仿宋_GB2312"/>
        </w:rPr>
      </w:r>
      <w:r/>
    </w:p>
    <w:p>
      <w:pPr>
        <w:pStyle w:val="827"/>
        <w:rPr>
          <w:rFonts w:hint="eastAsia" w:ascii="仿宋_GB2312" w:hAnsi="仿宋_GB2312" w:eastAsia="仿宋_GB2312" w:cs="仿宋_GB2312"/>
        </w:rPr>
      </w:pPr>
      <w:r>
        <w:rPr>
          <w:rFonts w:hint="eastAsia" w:ascii="仿宋_GB2312" w:hAnsi="仿宋_GB2312" w:eastAsia="仿宋_GB2312" w:cs="仿宋_GB2312"/>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ind w:firstLine="480"/>
        <w:jc w:val="center"/>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6、法人授权委托书</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委托人（全称）：</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地  址：</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法人营业执照注册号（统一社会信用代码）：</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受托人：                  先生（女士）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联系电话：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身份证号：</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兹委托（           ）全权代表我企业（公司）参与</w:t>
      </w:r>
      <w:r>
        <w:rPr>
          <w:rFonts w:hint="eastAsia" w:ascii="仿宋_GB2312" w:hAnsi="仿宋_GB2312" w:eastAsia="仿宋_GB2312" w:cs="仿宋_GB2312"/>
          <w:sz w:val="24"/>
          <w:u w:val="single"/>
          <w:lang w:eastAsia="zh-CN"/>
        </w:rPr>
        <w:t xml:space="preserve">新沂市2025年度国土变更调查与2026年日常变更调查项目</w:t>
      </w: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JSZC-320381-SRGC-C2026-0007</w:t>
      </w:r>
      <w:r>
        <w:rPr>
          <w:rFonts w:hint="eastAsia" w:ascii="仿宋_GB2312" w:hAnsi="仿宋_GB2312" w:eastAsia="仿宋_GB2312" w:cs="仿宋_GB2312"/>
          <w:sz w:val="24"/>
        </w:rPr>
        <w:t xml:space="preserve">]的磋商活动。（           ）以我单位名义所为的行为及签署的文件，我单位均予以认可。有关法律责任均由我单位承担。（           ）无转委托权。</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委托期限自     年   月  日起至    年   月   日止。</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委托人（</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法定代表人（签字或盖章）：</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受托人（签字）：</w:t>
      </w:r>
      <w:r/>
    </w:p>
    <w:p>
      <w:pPr>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(受托人身份证正反面附后)</w:t>
      </w:r>
      <w:r/>
    </w:p>
    <w:p>
      <w:pPr>
        <w:jc w:val="center"/>
        <w:rPr>
          <w:rStyle w:val="999"/>
          <w:rFonts w:hint="eastAsia" w:ascii="仿宋_GB2312" w:hAnsi="仿宋_GB2312" w:eastAsia="仿宋_GB2312" w:cs="仿宋_GB2312"/>
          <w:sz w:val="24"/>
          <w:szCs w:val="24"/>
        </w:rPr>
      </w:pPr>
      <w:r>
        <w:rPr>
          <w:rFonts w:hint="eastAsia" w:ascii="仿宋_GB2312" w:hAnsi="仿宋_GB2312" w:eastAsia="仿宋_GB2312" w:cs="仿宋_GB2312"/>
          <w:b/>
          <w:sz w:val="24"/>
        </w:rPr>
        <w:br w:type="page" w:clear="all"/>
      </w:r>
      <w:r>
        <w:rPr>
          <w:rFonts w:hint="eastAsia" w:ascii="仿宋_GB2312" w:hAnsi="仿宋_GB2312" w:eastAsia="仿宋_GB2312" w:cs="仿宋_GB2312"/>
          <w:b/>
          <w:bCs/>
          <w:sz w:val="30"/>
          <w:szCs w:val="30"/>
          <w:lang w:val="en-US" w:eastAsia="zh-CN"/>
        </w:rPr>
        <w:t xml:space="preserve">7、供应商参加政府采购活动前3年内在经营活动中没有重大违法记录的书面声明</w:t>
      </w:r>
      <w:r/>
    </w:p>
    <w:p>
      <w:pPr>
        <w:ind w:firstLine="472"/>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ind w:firstLine="472"/>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我单位在参加</w:t>
      </w:r>
      <w:r>
        <w:rPr>
          <w:rFonts w:hint="eastAsia" w:ascii="仿宋_GB2312" w:hAnsi="仿宋_GB2312" w:eastAsia="仿宋_GB2312" w:cs="仿宋_GB2312"/>
          <w:sz w:val="24"/>
          <w:lang w:eastAsia="zh-CN"/>
        </w:rPr>
        <w:t xml:space="preserve">新沂市2025年度国土变更调查与2026年日常变更调查项目</w:t>
      </w: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JSZC-320381-SRGC-C2026-0007</w:t>
      </w:r>
      <w:r>
        <w:rPr>
          <w:rFonts w:hint="eastAsia" w:ascii="仿宋_GB2312" w:hAnsi="仿宋_GB2312" w:eastAsia="仿宋_GB2312" w:cs="仿宋_GB2312"/>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我单位对上述声明的真实性负责。如有虚假，将依法承担相应责任。</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法定代表人或授权代表（签字或盖章）：</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供应商名称：</w:t>
      </w:r>
      <w:r/>
    </w:p>
    <w:p>
      <w:pPr>
        <w:pStyle w:val="827"/>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pStyle w:val="827"/>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ind w:firstLine="472"/>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ind w:firstLine="472"/>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br w:type="page" w:clear="all"/>
      </w:r>
      <w:r>
        <w:rPr>
          <w:rFonts w:hint="eastAsia" w:ascii="仿宋_GB2312" w:hAnsi="仿宋_GB2312" w:eastAsia="仿宋_GB2312" w:cs="仿宋_GB2312"/>
          <w:b/>
          <w:bCs/>
          <w:sz w:val="30"/>
          <w:szCs w:val="30"/>
          <w:lang w:val="en-US" w:eastAsia="zh-CN"/>
        </w:rPr>
        <w:t xml:space="preserve">8、中小企业声明函</w:t>
      </w:r>
      <w:r/>
    </w:p>
    <w:p>
      <w:pPr>
        <w:ind w:firstLine="472"/>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项目名称：</w:t>
      </w:r>
      <w:r>
        <w:rPr>
          <w:rFonts w:hint="eastAsia" w:ascii="仿宋_GB2312" w:hAnsi="仿宋_GB2312" w:eastAsia="仿宋_GB2312" w:cs="仿宋_GB2312"/>
          <w:sz w:val="24"/>
          <w:lang w:eastAsia="zh-CN"/>
        </w:rPr>
        <w:t xml:space="preserve">新沂市2025年度国土变更调查与2026年日常变更调查项目</w:t>
      </w:r>
      <w:r/>
    </w:p>
    <w:p>
      <w:pPr>
        <w:ind w:firstLine="472"/>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JSZC-320381-SRGC-C2026-0007</w:t>
      </w:r>
      <w:r/>
    </w:p>
    <w:p>
      <w:pPr>
        <w:ind w:firstLine="472"/>
        <w:spacing w:line="48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本公司（联合体）郑重声明，根据《政府采购促进中小企业发展管理办法》（财库﹝2020﹞46 号）的规定，本公司（联合体）参加</w:t>
      </w:r>
      <w:r>
        <w:rPr>
          <w:rFonts w:hint="eastAsia" w:ascii="仿宋_GB2312" w:hAnsi="仿宋_GB2312" w:eastAsia="仿宋_GB2312" w:cs="仿宋_GB2312"/>
          <w:sz w:val="24"/>
          <w:u w:val="single"/>
        </w:rPr>
        <w:t xml:space="preserve">（单位名称）</w:t>
      </w:r>
      <w:r>
        <w:rPr>
          <w:rFonts w:hint="eastAsia" w:ascii="仿宋_GB2312" w:hAnsi="仿宋_GB2312" w:eastAsia="仿宋_GB2312" w:cs="仿宋_GB2312"/>
          <w:sz w:val="24"/>
        </w:rPr>
        <w:t xml:space="preserve">的</w:t>
      </w:r>
      <w:r>
        <w:rPr>
          <w:rFonts w:hint="eastAsia" w:ascii="仿宋_GB2312" w:hAnsi="仿宋_GB2312" w:eastAsia="仿宋_GB2312" w:cs="仿宋_GB2312"/>
          <w:sz w:val="24"/>
          <w:u w:val="single"/>
        </w:rPr>
        <w:t xml:space="preserve">（项目名称）</w:t>
      </w:r>
      <w:r>
        <w:rPr>
          <w:rFonts w:hint="eastAsia" w:ascii="仿宋_GB2312" w:hAnsi="仿宋_GB2312" w:eastAsia="仿宋_GB2312" w:cs="仿宋_GB2312"/>
          <w:sz w:val="24"/>
        </w:rPr>
        <w:t xml:space="preserve">采购活动，服务全部由符合政策要求的中小企业承接。相关企业（含联合体中的中小企业、签订分包意向协议的中小企业）的具体情况如下：</w:t>
      </w:r>
      <w:r/>
    </w:p>
    <w:p>
      <w:pPr>
        <w:ind w:firstLine="472"/>
        <w:spacing w:line="48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rPr>
          <w:rFonts w:hint="eastAsia" w:ascii="仿宋_GB2312" w:hAnsi="仿宋_GB2312" w:eastAsia="仿宋_GB2312" w:cs="仿宋_GB2312"/>
          <w:sz w:val="24"/>
          <w:u w:val="single"/>
        </w:rPr>
        <w:t xml:space="preserve">（标的名称）</w:t>
      </w:r>
      <w:r>
        <w:rPr>
          <w:rFonts w:hint="eastAsia" w:ascii="仿宋_GB2312" w:hAnsi="仿宋_GB2312" w:eastAsia="仿宋_GB2312" w:cs="仿宋_GB2312"/>
          <w:sz w:val="24"/>
        </w:rPr>
        <w:t xml:space="preserve"> ，属于</w:t>
      </w:r>
      <w:r>
        <w:rPr>
          <w:rFonts w:hint="eastAsia" w:ascii="仿宋_GB2312" w:hAnsi="仿宋_GB2312" w:eastAsia="仿宋_GB2312" w:cs="仿宋_GB2312"/>
          <w:sz w:val="24"/>
          <w:u w:val="single"/>
        </w:rPr>
        <w:t xml:space="preserve">（技术服务业）</w:t>
      </w:r>
      <w:r>
        <w:rPr>
          <w:rFonts w:hint="eastAsia" w:ascii="仿宋_GB2312" w:hAnsi="仿宋_GB2312" w:eastAsia="仿宋_GB2312" w:cs="仿宋_GB2312"/>
          <w:sz w:val="24"/>
        </w:rPr>
        <w:t xml:space="preserve">； 承建（承接）企业为</w:t>
      </w:r>
      <w:r>
        <w:rPr>
          <w:rFonts w:hint="eastAsia" w:ascii="仿宋_GB2312" w:hAnsi="仿宋_GB2312" w:eastAsia="仿宋_GB2312" w:cs="仿宋_GB2312"/>
          <w:sz w:val="24"/>
          <w:u w:val="single"/>
        </w:rPr>
        <w:t xml:space="preserve">（企业名称）</w:t>
      </w:r>
      <w:r>
        <w:rPr>
          <w:rFonts w:hint="eastAsia" w:ascii="仿宋_GB2312" w:hAnsi="仿宋_GB2312" w:eastAsia="仿宋_GB2312" w:cs="仿宋_GB2312"/>
          <w:sz w:val="24"/>
        </w:rPr>
        <w:t xml:space="preserve">，从业人员</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人，营业收入为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万元，资产总额为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万元 ，属于</w:t>
      </w:r>
      <w:r>
        <w:rPr>
          <w:rFonts w:hint="eastAsia" w:ascii="仿宋_GB2312" w:hAnsi="仿宋_GB2312" w:eastAsia="仿宋_GB2312" w:cs="仿宋_GB2312"/>
          <w:sz w:val="24"/>
          <w:u w:val="single"/>
        </w:rPr>
        <w:t xml:space="preserve">    （中型企业、 小型企业、微型企业）</w:t>
      </w:r>
      <w:r>
        <w:rPr>
          <w:rFonts w:hint="eastAsia" w:ascii="仿宋_GB2312" w:hAnsi="仿宋_GB2312" w:eastAsia="仿宋_GB2312" w:cs="仿宋_GB2312"/>
          <w:sz w:val="24"/>
        </w:rPr>
        <w:t xml:space="preserve">；</w:t>
      </w:r>
      <w:r/>
    </w:p>
    <w:p>
      <w:pPr>
        <w:ind w:firstLine="472"/>
        <w:rPr>
          <w:rFonts w:hint="eastAsia" w:ascii="仿宋_GB2312" w:hAnsi="仿宋_GB2312" w:eastAsia="仿宋_GB2312" w:cs="仿宋_GB2312"/>
          <w:sz w:val="24"/>
        </w:rPr>
      </w:pPr>
      <w:r>
        <w:rPr>
          <w:rFonts w:hint="eastAsia" w:ascii="仿宋_GB2312" w:hAnsi="仿宋_GB2312" w:eastAsia="仿宋_GB2312" w:cs="仿宋_GB2312"/>
          <w:b/>
          <w:sz w:val="24"/>
        </w:rPr>
        <w:t xml:space="preserve">.........</w:t>
      </w:r>
      <w:r>
        <w:rPr>
          <w:rFonts w:hint="eastAsia" w:ascii="仿宋_GB2312" w:hAnsi="仿宋_GB2312" w:eastAsia="仿宋_GB2312" w:cs="仿宋_GB2312"/>
          <w:sz w:val="24"/>
        </w:rPr>
        <w:t xml:space="preserve"> </w:t>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以上企业，不属于大企业的分支机构，不存在控股股东 为大企业的情形，也不存在与大企业的负责人为同一人的情形。 </w:t>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本企业对上述声明内容的真实性负责。如有虚假，将依法承担相应责任。 </w:t>
      </w:r>
      <w:r/>
    </w:p>
    <w:p>
      <w:pPr>
        <w:jc w:val="cente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企业名称（</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 </w:t>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日 期：   年  月  日</w:t>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说明：如提供虚假中小企业声明函的，则采购人有权取消投标、中标候选或中标资格，有权终止合同，并报政府采购监管部门。</w:t>
      </w:r>
      <w:r/>
    </w:p>
    <w:p>
      <w:pPr>
        <w:jc w:val="center"/>
        <w:rPr>
          <w:rStyle w:val="999"/>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827"/>
        <w:rPr>
          <w:rFonts w:hint="eastAsia" w:ascii="仿宋_GB2312" w:hAnsi="仿宋_GB2312" w:eastAsia="仿宋_GB2312" w:cs="仿宋_GB2312"/>
        </w:rPr>
      </w:pPr>
      <w:r>
        <w:rPr>
          <w:rFonts w:hint="eastAsia" w:ascii="仿宋_GB2312" w:hAnsi="仿宋_GB2312" w:eastAsia="仿宋_GB2312" w:cs="仿宋_GB2312"/>
        </w:rPr>
      </w:r>
      <w:r/>
    </w:p>
    <w:p>
      <w:pPr>
        <w:rPr>
          <w:rFonts w:hint="eastAsia" w:ascii="仿宋_GB2312" w:hAnsi="仿宋_GB2312" w:eastAsia="仿宋_GB2312" w:cs="仿宋_GB2312"/>
          <w:color w:val="333333"/>
          <w:spacing w:val="8"/>
          <w:sz w:val="33"/>
          <w:szCs w:val="33"/>
          <w:shd w:val="clear" w:color="auto" w:fill="ffffff"/>
        </w:rPr>
      </w:pPr>
      <w:r>
        <w:rPr>
          <w:rFonts w:hint="eastAsia" w:ascii="仿宋_GB2312" w:hAnsi="仿宋_GB2312" w:eastAsia="仿宋_GB2312" w:cs="仿宋_GB2312"/>
          <w:color w:val="333333"/>
          <w:spacing w:val="8"/>
          <w:sz w:val="33"/>
          <w:szCs w:val="33"/>
          <w:shd w:val="clear" w:color="auto" w:fill="ffffff"/>
        </w:rPr>
        <w:br w:type="page" w:clear="all"/>
      </w:r>
      <w:r/>
    </w:p>
    <w:p>
      <w:pPr>
        <w:pStyle w:val="993"/>
        <w:jc w:val="center"/>
        <w:keepLines w:val="0"/>
        <w:keepNext w:val="0"/>
        <w:spacing w:before="0" w:after="210" w:line="21" w:lineRule="atLeast"/>
        <w:shd w:val="clear" w:color="auto" w:fill="ffffff"/>
        <w:widowControl/>
        <w:rPr>
          <w:rFonts w:hint="eastAsia" w:ascii="仿宋_GB2312" w:hAnsi="仿宋_GB2312" w:eastAsia="仿宋_GB2312" w:cs="仿宋_GB2312"/>
          <w:color w:val="333333"/>
          <w:spacing w:val="8"/>
          <w:sz w:val="33"/>
          <w:szCs w:val="33"/>
        </w:rPr>
      </w:pPr>
      <w:r>
        <w:rPr>
          <w:rFonts w:hint="eastAsia" w:ascii="仿宋_GB2312" w:hAnsi="仿宋_GB2312" w:eastAsia="仿宋_GB2312" w:cs="仿宋_GB2312"/>
          <w:color w:val="333333"/>
          <w:spacing w:val="8"/>
          <w:sz w:val="33"/>
          <w:szCs w:val="33"/>
          <w:shd w:val="clear" w:color="auto" w:fill="ffffff"/>
        </w:rPr>
        <w:t xml:space="preserve">中小企业规模类型自测小程序</w:t>
      </w:r>
      <w:r/>
    </w:p>
    <w:p>
      <w:pPr>
        <w:pStyle w:val="1004"/>
        <w:rPr>
          <w:rFonts w:hint="eastAsia" w:ascii="仿宋_GB2312" w:hAnsi="仿宋_GB2312" w:eastAsia="仿宋_GB2312" w:cs="仿宋_GB2312"/>
          <w:sz w:val="24"/>
        </w:rPr>
      </w:pPr>
      <w:r>
        <w:rPr>
          <w:rFonts w:hint="eastAsia" w:ascii="仿宋_GB2312" w:hAnsi="仿宋_GB2312" w:eastAsia="仿宋_GB2312" w:cs="仿宋_GB2312"/>
          <w:sz w:val="24"/>
        </w:rPr>
      </w:r>
      <w:r/>
    </w:p>
    <w:p>
      <w:pPr>
        <w:pStyle w:val="1004"/>
        <w:ind w:left="0" w:firstLine="0"/>
        <w:rPr>
          <w:rFonts w:hint="eastAsia" w:ascii="仿宋_GB2312" w:hAnsi="仿宋_GB2312" w:eastAsia="仿宋_GB2312" w:cs="仿宋_GB2312"/>
          <w:sz w:val="24"/>
          <w:lang w:eastAsia="zh-CN"/>
        </w:rPr>
      </w:pPr>
      <w:r>
        <w:rPr>
          <w:rFonts w:hint="eastAsia" w:ascii="宋体" w:hAnsi="宋体" w:eastAsia="宋体" w:cs="宋体"/>
          <w:b/>
          <w:color w:val="000000"/>
          <w:sz w:val="28"/>
          <w:szCs w:val="28"/>
          <w:highlight w:val="none"/>
          <w:lang w:eastAsia="zh-CN"/>
        </w:rPr>
        <mc:AlternateContent>
          <mc:Choice Requires="wpg">
            <w:drawing>
              <wp:inline xmlns:wp="http://schemas.openxmlformats.org/drawingml/2006/wordprocessingDrawing" distT="0" distB="0" distL="0" distR="0">
                <wp:extent cx="5380990" cy="2691130"/>
                <wp:effectExtent l="0" t="0" r="10160" b="13970"/>
                <wp:docPr id="8" name="图片 20" descr="c29a4c76a23db129dee4dec6a5f8c2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0" descr="c29a4c76a23db129dee4dec6a5f8c29a"/>
                        <pic:cNvPicPr>
                          <a:picLocks noChangeAspect="1"/>
                        </pic:cNvPicPr>
                        <pic:nvPr/>
                      </pic:nvPicPr>
                      <pic:blipFill>
                        <a:blip r:embed="rId17"/>
                        <a:stretch/>
                      </pic:blipFill>
                      <pic:spPr bwMode="auto">
                        <a:xfrm>
                          <a:off x="0" y="0"/>
                          <a:ext cx="5380990" cy="2691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3.7pt;height:211.9pt;mso-wrap-distance-left:0.0pt;mso-wrap-distance-top:0.0pt;mso-wrap-distance-right:0.0pt;mso-wrap-distance-bottom:0.0pt;" stroked="false">
                <v:path textboxrect="0,0,0,0"/>
                <v:imagedata r:id="rId17" o:title=""/>
              </v:shape>
            </w:pict>
          </mc:Fallback>
        </mc:AlternateContent>
      </w:r>
      <w:r/>
    </w:p>
    <w:p>
      <w:pPr>
        <w:pStyle w:val="1004"/>
        <w:rPr>
          <w:rFonts w:hint="eastAsia" w:ascii="仿宋_GB2312" w:hAnsi="仿宋_GB2312" w:eastAsia="仿宋_GB2312" w:cs="仿宋_GB2312"/>
          <w:sz w:val="24"/>
        </w:rPr>
      </w:pPr>
      <w:r>
        <w:rPr>
          <w:rFonts w:hint="eastAsia" w:ascii="仿宋_GB2312" w:hAnsi="仿宋_GB2312" w:eastAsia="仿宋_GB2312" w:cs="仿宋_GB2312"/>
          <w:sz w:val="24"/>
        </w:rPr>
      </w:r>
      <w:r/>
    </w:p>
    <w:p>
      <w:pPr>
        <w:jc w:val="both"/>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jc w:val="cente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9、残疾人福利性单位声明函</w:t>
      </w:r>
      <w:r/>
    </w:p>
    <w:p>
      <w:pPr>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ind w:firstLine="472"/>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项目名称：</w:t>
      </w:r>
      <w:r>
        <w:rPr>
          <w:rFonts w:hint="eastAsia" w:ascii="仿宋_GB2312" w:hAnsi="仿宋_GB2312" w:eastAsia="仿宋_GB2312" w:cs="仿宋_GB2312"/>
          <w:sz w:val="24"/>
          <w:lang w:eastAsia="zh-CN"/>
        </w:rPr>
        <w:t xml:space="preserve">新沂市2025年度国土变更调查与2026年日常变更调查项目</w:t>
      </w:r>
      <w:r/>
    </w:p>
    <w:p>
      <w:pPr>
        <w:ind w:firstLine="472"/>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JSZC-320381-SRGC-C2026-0007</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单位的</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项目采购活动提供本单位制造的货物（由本单位承担工程/提供服务），或者提供其他残疾人福利性单位制造的货物（不包括使用非残疾人福利性单位注册商标的货物）。</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本单位对上述声明的真实性负责。如有虚假，将依法承担相应责任。</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法定代表人或授权代表（签字或盖章）：</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pStyle w:val="993"/>
        <w:rPr>
          <w:rFonts w:hint="eastAsia" w:ascii="仿宋_GB2312" w:hAnsi="仿宋_GB2312" w:eastAsia="仿宋_GB2312" w:cs="仿宋_GB2312"/>
          <w:sz w:val="24"/>
        </w:rPr>
      </w:pPr>
      <w:r>
        <w:rPr>
          <w:rFonts w:hint="eastAsia" w:ascii="仿宋_GB2312" w:hAnsi="仿宋_GB2312" w:eastAsia="仿宋_GB2312" w:cs="仿宋_GB2312"/>
          <w:sz w:val="24"/>
        </w:rPr>
      </w:r>
      <w:r/>
    </w:p>
    <w:p>
      <w:pPr>
        <w:rPr>
          <w:rFonts w:hint="eastAsia" w:ascii="仿宋_GB2312" w:hAnsi="仿宋_GB2312" w:eastAsia="仿宋_GB2312" w:cs="仿宋_GB2312"/>
          <w:sz w:val="24"/>
        </w:rPr>
      </w:pPr>
      <w:r>
        <w:rPr>
          <w:rFonts w:hint="eastAsia" w:ascii="仿宋_GB2312" w:hAnsi="仿宋_GB2312" w:eastAsia="仿宋_GB2312" w:cs="仿宋_GB2312"/>
          <w:sz w:val="24"/>
        </w:rPr>
      </w:r>
      <w:r/>
    </w:p>
    <w:p>
      <w:pPr>
        <w:jc w:val="center"/>
        <w:rPr>
          <w:rFonts w:hint="eastAsia" w:ascii="仿宋_GB2312" w:hAnsi="仿宋_GB2312" w:eastAsia="仿宋_GB2312" w:cs="仿宋_GB2312"/>
          <w:sz w:val="24"/>
        </w:rPr>
      </w:pPr>
      <w:r>
        <w:rPr>
          <w:rFonts w:hint="eastAsia" w:ascii="仿宋_GB2312" w:hAnsi="仿宋_GB2312" w:eastAsia="仿宋_GB2312" w:cs="仿宋_GB2312"/>
          <w:sz w:val="24"/>
        </w:rPr>
        <w:br w:type="page" w:clear="all"/>
      </w:r>
      <w:r>
        <w:rPr>
          <w:rFonts w:hint="eastAsia" w:ascii="仿宋_GB2312" w:hAnsi="仿宋_GB2312" w:eastAsia="仿宋_GB2312" w:cs="仿宋_GB2312"/>
          <w:b/>
          <w:bCs/>
          <w:sz w:val="30"/>
          <w:szCs w:val="30"/>
          <w:lang w:val="en-US" w:eastAsia="zh-CN"/>
        </w:rPr>
        <w:t xml:space="preserve">10、方案</w:t>
      </w:r>
      <w:r/>
    </w:p>
    <w:p>
      <w:pPr>
        <w:pStyle w:val="1007"/>
        <w:ind w:left="1275" w:firstLine="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07"/>
        <w:ind w:left="0" w:firstLine="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cs="仿宋_GB2312"/>
          <w:sz w:val="28"/>
          <w:szCs w:val="28"/>
          <w:lang w:eastAsia="zh-CN"/>
        </w:rPr>
        <w:t xml:space="preserve">参照评分细则，格式自拟</w:t>
      </w:r>
      <w:r>
        <w:rPr>
          <w:rFonts w:hint="eastAsia" w:ascii="仿宋_GB2312" w:hAnsi="仿宋_GB2312" w:eastAsia="仿宋_GB2312" w:cs="仿宋_GB2312"/>
          <w:sz w:val="28"/>
          <w:szCs w:val="28"/>
        </w:rPr>
        <w:t xml:space="preserve">）</w:t>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1007"/>
        <w:ind w:left="1275" w:firstLine="0"/>
        <w:rPr>
          <w:rFonts w:hint="eastAsia" w:ascii="仿宋_GB2312" w:hAnsi="仿宋_GB2312" w:eastAsia="仿宋_GB2312" w:cs="仿宋_GB2312"/>
        </w:rPr>
      </w:pPr>
      <w:r>
        <w:rPr>
          <w:rFonts w:hint="eastAsia" w:ascii="仿宋_GB2312" w:hAnsi="仿宋_GB2312" w:eastAsia="仿宋_GB2312" w:cs="仿宋_GB2312"/>
        </w:rPr>
      </w:r>
      <w:r/>
    </w:p>
    <w:p>
      <w:pPr>
        <w:jc w:val="both"/>
        <w:rPr>
          <w:rFonts w:hint="eastAsia" w:ascii="仿宋_GB2312" w:hAnsi="仿宋_GB2312" w:eastAsia="仿宋_GB2312" w:cs="仿宋_GB2312"/>
          <w:b/>
          <w:sz w:val="24"/>
        </w:rPr>
      </w:pPr>
      <w:r>
        <w:rPr>
          <w:rFonts w:hint="eastAsia" w:ascii="仿宋_GB2312" w:hAnsi="仿宋_GB2312" w:eastAsia="仿宋_GB2312" w:cs="仿宋_GB2312"/>
          <w:b/>
          <w:sz w:val="24"/>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numPr>
          <w:ilvl w:val="0"/>
          <w:numId w:val="3"/>
        </w:numPr>
        <w:jc w:val="cente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合同草案条款</w:t>
      </w:r>
      <w:r/>
    </w:p>
    <w:p>
      <w:pPr>
        <w:pStyle w:val="760"/>
        <w:numPr>
          <w:ilvl w:val="0"/>
          <w:numId w:val="0"/>
        </w:numPr>
        <w:ind w:left="880" w:right="6"/>
        <w:rPr>
          <w:rFonts w:hint="eastAsia"/>
          <w:lang w:val="en-US" w:eastAsia="zh-CN"/>
        </w:rPr>
      </w:pPr>
      <w:r>
        <w:rPr>
          <w:rFonts w:hint="eastAsia"/>
          <w:lang w:val="en-US" w:eastAsia="zh-CN"/>
        </w:rPr>
      </w:r>
      <w:r/>
    </w:p>
    <w:p>
      <w:pPr>
        <w:spacing w:line="400" w:lineRule="exact"/>
        <w:rPr>
          <w:rFonts w:hint="eastAsia" w:ascii="仿宋_GB2312" w:hAnsi="仿宋_GB2312" w:eastAsia="仿宋_GB2312" w:cs="仿宋_GB2312"/>
        </w:rPr>
      </w:pPr>
      <w:r>
        <w:rPr>
          <w:rFonts w:hint="eastAsia" w:ascii="仿宋_GB2312" w:hAnsi="仿宋_GB2312" w:eastAsia="仿宋_GB2312" w:cs="仿宋_GB2312"/>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合同编号：</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pStyle w:val="824"/>
        <w:jc w:val="center"/>
        <w:rPr>
          <w:rFonts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政府采购合同</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项目名称：                               </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委托方（甲方）：                              </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受托方（乙方）：                    </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签订地点：</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签订日期：   年   月  日</w:t>
      </w:r>
      <w:r/>
    </w:p>
    <w:p>
      <w:pPr>
        <w:pStyle w:val="822"/>
        <w:keepLines w:val="0"/>
        <w:keepNext w:val="0"/>
        <w:pageBreakBefore w:val="0"/>
        <w:spacing w:line="400" w:lineRule="exact"/>
        <w:widowControl w:val="off"/>
        <w:rPr>
          <w:rFonts w:hint="eastAsia" w:ascii="仿宋_GB2312" w:hAnsi="仿宋_GB2312" w:eastAsia="仿宋_GB2312" w:cs="仿宋_GB2312"/>
          <w:color w:val="000000"/>
          <w:sz w:val="24"/>
        </w:rPr>
        <w:outlineLvl w:val="9"/>
      </w:pPr>
      <w:r>
        <w:rPr>
          <w:rFonts w:hint="eastAsia" w:ascii="仿宋_GB2312" w:hAnsi="仿宋_GB2312" w:eastAsia="仿宋_GB2312" w:cs="仿宋_GB2312"/>
          <w:color w:val="000000"/>
          <w:sz w:val="24"/>
        </w:rPr>
        <w:t xml:space="preserve">有效期限：   年   月  日至    年  月  日</w:t>
      </w:r>
      <w:r/>
    </w:p>
    <w:p>
      <w:pPr>
        <w:pStyle w:val="822"/>
        <w:keepLines w:val="0"/>
        <w:keepNext w:val="0"/>
        <w:pageBreakBefore w:val="0"/>
        <w:spacing w:line="400" w:lineRule="exact"/>
        <w:widowControl w:val="off"/>
        <w:rPr>
          <w:rFonts w:hint="eastAsia" w:ascii="仿宋_GB2312" w:hAnsi="仿宋_GB2312" w:eastAsia="仿宋_GB2312" w:cs="仿宋_GB2312"/>
          <w:color w:val="000000"/>
          <w:sz w:val="24"/>
        </w:rPr>
        <w:outlineLvl w:val="9"/>
      </w:pPr>
      <w:r>
        <w:rPr>
          <w:rFonts w:hint="eastAsia" w:ascii="仿宋_GB2312" w:hAnsi="仿宋_GB2312" w:eastAsia="仿宋_GB2312" w:cs="仿宋_GB2312"/>
          <w:color w:val="000000"/>
          <w:sz w:val="24"/>
        </w:rPr>
      </w:r>
      <w:r/>
    </w:p>
    <w:p>
      <w:pPr>
        <w:pStyle w:val="822"/>
        <w:keepLines w:val="0"/>
        <w:keepNext w:val="0"/>
        <w:pageBreakBefore w:val="0"/>
        <w:spacing w:line="400" w:lineRule="exact"/>
        <w:widowControl w:val="off"/>
        <w:rPr>
          <w:rFonts w:hint="eastAsia" w:ascii="仿宋_GB2312" w:hAnsi="仿宋_GB2312" w:eastAsia="仿宋_GB2312" w:cs="仿宋_GB2312"/>
          <w:color w:val="000000"/>
          <w:sz w:val="24"/>
        </w:rPr>
        <w:outlineLvl w:val="9"/>
      </w:pPr>
      <w:r>
        <w:rPr>
          <w:rFonts w:hint="eastAsia" w:ascii="仿宋_GB2312" w:hAnsi="仿宋_GB2312" w:eastAsia="仿宋_GB2312" w:cs="仿宋_GB2312"/>
          <w:color w:val="000000"/>
          <w:sz w:val="24"/>
        </w:rPr>
      </w:r>
      <w:r/>
    </w:p>
    <w:p>
      <w:pPr>
        <w:pStyle w:val="822"/>
        <w:ind w:firstLine="480"/>
        <w:keepLines w:val="0"/>
        <w:keepNext w:val="0"/>
        <w:pageBreakBefore w:val="0"/>
        <w:spacing w:line="400" w:lineRule="exact"/>
        <w:widowControl w:val="off"/>
        <w:rPr>
          <w:rFonts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822"/>
        <w:ind w:firstLine="562"/>
        <w:keepLines w:val="0"/>
        <w:keepNext w:val="0"/>
        <w:pageBreakBefore w:val="0"/>
        <w:spacing w:line="400" w:lineRule="exact"/>
        <w:widowControl w:val="off"/>
        <w:rPr>
          <w:rFonts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22"/>
        <w:ind w:firstLine="480"/>
        <w:keepLines w:val="0"/>
        <w:keepNext w:val="0"/>
        <w:pageBreakBefore w:val="0"/>
        <w:spacing w:line="400" w:lineRule="exact"/>
        <w:widowControl w:val="off"/>
        <w:rPr>
          <w:rFonts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本合同买方委托卖方就</w:t>
      </w:r>
      <w:r>
        <w:rPr>
          <w:rFonts w:hint="eastAsia" w:ascii="仿宋" w:hAnsi="仿宋" w:eastAsia="仿宋" w:cs="仿宋"/>
          <w:color w:val="auto"/>
          <w:sz w:val="24"/>
          <w:szCs w:val="24"/>
          <w:highlight w:val="none"/>
          <w:lang w:eastAsia="zh-CN"/>
        </w:rPr>
        <w:t xml:space="preserve">新沂市2025年度国土变更调查与2026年日常变更调查项目</w:t>
      </w:r>
      <w:r>
        <w:rPr>
          <w:rFonts w:hint="eastAsia" w:ascii="仿宋" w:hAnsi="仿宋" w:eastAsia="仿宋" w:cs="仿宋"/>
          <w:color w:val="auto"/>
          <w:sz w:val="24"/>
          <w:szCs w:val="24"/>
          <w:highlight w:val="none"/>
        </w:rPr>
        <w:t xml:space="preserve">进行安全技术服务，并支付相应技术服务报酬。双方经过平等协商，在真实、充分地表达各自意愿的基础上，根据《中华人民共和国政府采购法》、《中华人民共和国民法典》的规定，达成如下协议，并由双方共同恪守。</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rPr>
          <w:rFonts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合同通用条款</w:t>
      </w:r>
      <w:r/>
    </w:p>
    <w:p>
      <w:pPr>
        <w:ind w:firstLine="560"/>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目录</w:t>
      </w:r>
      <w:r/>
    </w:p>
    <w:p>
      <w:pPr>
        <w:ind w:firstLine="560"/>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定义</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    合同范围</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价格</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支付</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交货</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包装和标记</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    技术资料</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    安装</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第九条    验收</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第十条    售后服务和技术培训</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第十一条  索赔</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第十二条  不可抗力</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第十三条  合同的终止</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第十四条  争议的解决</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第十五条  适用法律</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第十六条  权利保证</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第十七条  保密</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第十八条  合同生效及其他</w:t>
      </w:r>
      <w:r/>
    </w:p>
    <w:p>
      <w:pPr>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spacing w:line="520" w:lineRule="exact"/>
        <w:rPr>
          <w:rStyle w:val="1078"/>
          <w:rFonts w:ascii="仿宋" w:hAnsi="仿宋" w:eastAsia="仿宋" w:cs="仿宋"/>
          <w:color w:val="auto"/>
          <w:highlight w:val="none"/>
        </w:rPr>
      </w:pPr>
      <w:r>
        <w:rPr>
          <w:rFonts w:hint="eastAsia" w:ascii="仿宋" w:hAnsi="仿宋" w:eastAsia="仿宋" w:cs="仿宋"/>
          <w:color w:val="auto"/>
          <w:sz w:val="24"/>
          <w:highlight w:val="none"/>
        </w:rPr>
        <w:br w:type="page" w:clear="all"/>
      </w:r>
      <w:r>
        <w:rPr>
          <w:rStyle w:val="1078"/>
          <w:rFonts w:hint="eastAsia" w:ascii="仿宋" w:hAnsi="仿宋" w:eastAsia="仿宋" w:cs="仿宋"/>
          <w:color w:val="auto"/>
          <w:highlight w:val="none"/>
        </w:rPr>
        <w:t xml:space="preserve">合同通用条款</w:t>
      </w:r>
      <w:r/>
    </w:p>
    <w:p>
      <w:pPr>
        <w:ind w:firstLine="480"/>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第一条  定义</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除本合同上下文中另有规定外，下列各词语定义如下：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1.1“买方”见《合同专用条款》。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1.2“卖方”见《合同专用条款》。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1.3“工作现场”见《合同专用条款》。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1.4“合同标的”见合同附件4。</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1.5“技术资料”是指与合同标的的安装、试运行、验收、操作以及维修有关的技术指标、规格、图纸和文件。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1.6“技术培训”是指在合同标的的安装、试运行、验收、操作、维修以及其他方面卖方给予买方的培训。</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1.7“安装”是指有关合同标的、备件和材料的安装工作。</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1.8“试运行”是指为验明合同标的的技术性能，在安装完毕后对合同标的进行的测试。</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1.9“验收”是指根据合同附件的规定进行的，用以确定合同标的是否达到合同附件2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1.10“合同货币”见《合同专用条款》。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1.11“合同价格”见合同附件。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1.12“合同生效日”见《合同协议书》。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1.13“日”是指日历天数。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1.14“月”是指日历月数。</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第二条 合同范围</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2.1买方同意从卖方购买、卖方同意向买方出售和提供的合同标的以及相关售后服务、技术培训和技术资料。</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第三条 价格</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3.1 合同总价见《合同专用条款》。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3.2 合同总价是固定价格。</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第四条 支付</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4.2卖方有义务根据合同的规定向买方支付违约金和/或赔偿金时，买方有权从任何一笔应付款中予以扣除。</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第五条 服务周期</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5.1服务周期和交付条件见《合同专用条款》。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5.2交付地点见《合同专用条款》。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5.3在《合同专用条款》规定的期限内，卖方应将合同号、合同标的的名称、数量、件数以及交付的时间以书面方式通知买方。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5.4卖方应按下列规定交付合同标的：</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5.4.1卖方负责将合同标的送至《合同专用条款》规定的交货地点。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5.4.2买方出具的收据日期是合同标的的实际交货日期。</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5.5如果卖方未能按照合同规定的服务期限交付，卖方应按《合同专用条款》的规定支付违约金或提供其他救济。</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第六条 包装与标记</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6.1除非合同中另有规定，合同标的应保持产品制造企业原包装完好。</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6.2在合同标的的每件包装中都应附有下列单据：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A. 装箱明细单；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B. 质量合格证；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C. 技术资料。</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第七条 技术资料</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7.1 技术资料交付的期限和方式见《合同专用条款》。</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第八条 交付</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8.1 合同标的的交付期限见《合同专用条款》。</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第九条 验收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9.1合同标的的试运行、验收见《合同专用条款》。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9.2如果合同附件2 所规定的所有技术性能在验收中都已经达到，双方应在验收合格后5 日内签署验收书。</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9.3买方派出1-3名技术人员参加项目实施，卖方应积极配合买方派出的1-3名技术人员监督管理。</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第十条 售后服务和技术培训</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10.1售后服务和技术培训见合同附件3。</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第十一条 违约责任</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11.1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11.2卖方保证所提供产品符合技术要求，并兑现质量保证。如验收未通过，卖方应赔偿买方损失。</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11.3卖方应按期交付产品。如未能如期交付，视为违约，且从第二天起每延迟一天按合同总价的1‰计算违约金，从合同总价款中扣除。支付违约金后仍应履行合同义务。</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第十二条 不可抗力</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12.4如一方迟延通知，给合同相对方造成损失扩大的，迟延通知方应对相对方损失扩大部分承担赔偿责任。</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12.5受不可抗力影响的一方当事人应采取合理措施避免或降低不可抗力给合同对方带来的损失扩大，如未采取措施造成合同相对方损失扩大的，遭受不可抗力方的当事人应就损失扩大部分赔偿合同相对方的损失。</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第十三条 合同的终止</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A. 卖方在合同规定的交付期限后未能按《合同专用条款》中规定的最终期限交付合同标的和/或技术资料；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B. 合同标的未能达到合同附件2 规定的技术性能；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C. 卖方未能履行合同项下任何其它义务，并且在收到买方违约通知后未能按《合同专用条款》中规定的期限对其违约行为作出补救。</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13.3如果买方认定卖方在投标或执行合同中有腐败或欺诈行为,买方有权在任何时候发出书面通知终止合同。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A.“腐败行为”系指在招标、采购和合同执行等过程中，为谋求利益、影响相关人员而提供、给予、接受或索取任何有价物的行为。</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B.“欺诈行为”系指为了影响招标、采购和合同执行等过程而隐瞒事实，从而给买方造成损害的行为，其中包括供应商之间的串通行为。</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13.4 在买方全部或部分终止合同的情况下，卖方应按《合同专用条款》的规定对买方给予补偿。</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第十四条 争议的解决</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14.1 因执行本合同所发生的或者与本合同有关的一切争议由合同双方通过友好协商解决，如果不能协商一致，按《合同专用条款》规定的方式解决。</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第十五条 适用法律</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15.1 本合同的执行和争议的解决适用中华人民共和国的法律并按中华人民共和国的法律进行解释。</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第十六条  权利保证</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16.1卖方应保证买方在使用合同标的时不受第三方提出侵犯其专利权、版权、商标权或其他权利的起诉。一旦出现侵权，卖方承担全部责任。</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第十七条  保密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17.2上述秘密，卖方只能用于本合同，而且只能由卖方相应的人员使用；没有必要接触的卖方人员，不得接触。</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17.3卖方应当采取适当有效的方式保护所获取的上述秘密。</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第十八条 合同生效及其他</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18.1 本合同在合同协议书（合同附件1）规定的条件全部满足后生效。</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18.3 合同双方各自承担与本合同有关的应负税费。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18.4合同双方除非《合同专用条款》另有规定，所有合同文件及相关的修订和合同双方之间的书面联络，应使用中文书就并按中文解释。</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18.5对本合同的任何补充、增添或修改以书面方式进行。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18.6没有另一方的事先书面同意，合同任何一方不得将合同项下的任何权利和义务转让给第三方。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18.8合同条款中的标题和边注仅供参考使用，不应视为合同的一部分，也不影响本文的解释。</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18.10合同双方之间的一切联络往来应以书面形式按《合同专用条款》中规定的通讯地址发往合同另一方。有关重要事项的传真应及时用挂号信或快件确认。</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第十九条 通知和送达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19.1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19.2.1采用面呈传递时，被通知人(含其法定代表人、约定收件人、雇员或代理人，下同)签收视为送达。若被通知人拒绝签收的，通知留置被通知人通讯地址处视为送达。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19.3上述通讯地址和联系方式适用至本合同履行完毕或争议经过一审、二审至案件执行终结时止，除非双方依下款告知变更。</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19.4任何-方通讯地址、 收件人或联系电话需要变更的，应提前5个工作日向合同其他方和司法机关送交书面变更告知书(若争议已经进入司法程序解决)。否则，因此而导致的通知迟延或不能送达的后果，均由变更方承担。因一方在本合同中载明的或</w:t>
      </w:r>
      <w:r>
        <w:rPr>
          <w:rFonts w:hint="eastAsia" w:ascii="仿宋" w:hAnsi="仿宋" w:eastAsia="仿宋" w:cs="仿宋"/>
          <w:b w:val="0"/>
          <w:bCs w:val="0"/>
          <w:color w:val="auto"/>
          <w:sz w:val="24"/>
          <w:highlight w:val="none"/>
        </w:rPr>
        <w:t xml:space="preserve">书面</w:t>
      </w:r>
      <w:r>
        <w:rPr>
          <w:rFonts w:hint="eastAsia" w:ascii="仿宋" w:hAnsi="仿宋" w:eastAsia="仿宋" w:cs="仿宋"/>
          <w:color w:val="auto"/>
          <w:sz w:val="24"/>
          <w:highlight w:val="none"/>
        </w:rPr>
        <w:t xml:space="preserve">通知变更后的通讯地址、收件人或联系方式不详，导致通知迟延或不能送达的后果，由该方自行承担。</w:t>
      </w:r>
      <w:r/>
    </w:p>
    <w:p>
      <w:pPr>
        <w:ind w:firstLine="24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ind w:firstLine="240"/>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12"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540"/>
        <w:spacing w:line="312"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540"/>
        <w:spacing w:line="312"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pStyle w:val="742"/>
        <w:ind w:left="0" w:firstLine="0"/>
        <w:jc w:val="center"/>
        <w:rPr>
          <w:rFonts w:ascii="仿宋" w:hAnsi="仿宋" w:eastAsia="仿宋" w:cs="仿宋"/>
          <w:color w:val="auto"/>
          <w:sz w:val="24"/>
          <w:highlight w:val="none"/>
        </w:rPr>
      </w:pPr>
      <w:r>
        <w:rPr>
          <w:rFonts w:hint="eastAsia" w:ascii="仿宋" w:hAnsi="仿宋" w:eastAsia="仿宋" w:cs="仿宋"/>
          <w:color w:val="auto"/>
          <w:highlight w:val="none"/>
        </w:rPr>
        <w:t xml:space="preserve">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第一条 定义</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 “买方”为</w:t>
      </w:r>
      <w:r>
        <w:rPr>
          <w:rFonts w:hint="eastAsia" w:ascii="仿宋" w:hAnsi="仿宋" w:eastAsia="仿宋" w:cs="仿宋"/>
          <w:color w:val="auto"/>
          <w:sz w:val="24"/>
          <w:highlight w:val="none"/>
          <w:u w:val="single"/>
          <w:lang w:eastAsia="zh-CN"/>
        </w:rPr>
        <w:t xml:space="preserve">新沂市自然资源和规划局</w:t>
      </w:r>
      <w:r>
        <w:rPr>
          <w:rFonts w:hint="eastAsia" w:ascii="仿宋" w:hAnsi="仿宋" w:eastAsia="仿宋" w:cs="仿宋"/>
          <w:color w:val="auto"/>
          <w:sz w:val="24"/>
          <w:highlight w:val="none"/>
        </w:rPr>
        <w:t xml:space="preserve">。</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 “卖方”为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 “工作现场”为</w:t>
      </w:r>
      <w:r>
        <w:rPr>
          <w:rFonts w:hint="eastAsia" w:ascii="仿宋" w:hAnsi="仿宋" w:eastAsia="仿宋" w:cs="仿宋"/>
          <w:color w:val="auto"/>
          <w:sz w:val="24"/>
          <w:highlight w:val="none"/>
          <w:u w:val="single"/>
        </w:rPr>
        <w:t xml:space="preserve">买方指定地点</w:t>
      </w:r>
      <w:r>
        <w:rPr>
          <w:rFonts w:hint="eastAsia" w:ascii="仿宋" w:hAnsi="仿宋" w:eastAsia="仿宋" w:cs="仿宋"/>
          <w:color w:val="auto"/>
          <w:sz w:val="24"/>
          <w:highlight w:val="none"/>
        </w:rPr>
        <w:t xml:space="preserve">。</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1.10 “合同货币”即</w:t>
      </w:r>
      <w:r>
        <w:rPr>
          <w:rFonts w:hint="eastAsia" w:ascii="仿宋" w:hAnsi="仿宋" w:eastAsia="仿宋" w:cs="仿宋"/>
          <w:color w:val="auto"/>
          <w:sz w:val="24"/>
          <w:highlight w:val="none"/>
          <w:u w:val="single"/>
        </w:rPr>
        <w:t xml:space="preserve">人民币</w:t>
      </w:r>
      <w:r>
        <w:rPr>
          <w:rFonts w:hint="eastAsia" w:ascii="仿宋" w:hAnsi="仿宋" w:eastAsia="仿宋" w:cs="仿宋"/>
          <w:color w:val="auto"/>
          <w:sz w:val="24"/>
          <w:highlight w:val="none"/>
        </w:rPr>
        <w:t xml:space="preserve">。</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第二条 合同范围</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2.1买方同意从卖方购买、卖方同意向买方出售的合同标的是</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。详见合同附件。</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第三条 价格</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3.1合同总价为￥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第四条 支付</w:t>
      </w:r>
      <w:r/>
    </w:p>
    <w:p>
      <w:pPr>
        <w:ind w:firstLine="480"/>
        <w:spacing w:line="312"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1、本合同项下所有款项均以人民币支付。</w:t>
      </w:r>
      <w:r/>
    </w:p>
    <w:p>
      <w:pPr>
        <w:ind w:firstLine="480"/>
        <w:spacing w:line="312"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2、付款方式：</w:t>
      </w:r>
      <w:r/>
    </w:p>
    <w:p>
      <w:pPr>
        <w:ind w:firstLine="480"/>
        <w:spacing w:line="312"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合同签订后30个工作日内支付本合同总价的30%；完成调查工作任务，项目成果经甲方或上级部门验收或检查合格后30个工作日内支付本合同总价的剩余70%费用。</w:t>
      </w:r>
      <w:r/>
    </w:p>
    <w:p>
      <w:pPr>
        <w:ind w:firstLine="480"/>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3、在采购人每次付款前，成交供应商应向采购人提供等额有效的正式发票，否则采购人有权延期付款且不承担违约责任，成交供应商的各项合同义务仍应按合同约定履行。</w:t>
      </w:r>
      <w:r/>
    </w:p>
    <w:p>
      <w:pPr>
        <w:ind w:firstLine="480"/>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卖方需提交的支付文件包括：成交通知书、合同、验收报告、卖方出具的全额正式发票。本合同执行中相关的一切税费均由乙方负担。</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第五条 成果交付</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5.1卖方严格按照相关规程、规范操作，确保成果符合采购需求及相关规定，成果编制完成后按规定程序上报。</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如果卖方未能按照合同规定的服务期限</w:t>
      </w:r>
      <w:r>
        <w:rPr>
          <w:rFonts w:hint="eastAsia" w:ascii="仿宋" w:hAnsi="仿宋" w:eastAsia="仿宋" w:cs="仿宋"/>
          <w:color w:val="auto"/>
          <w:sz w:val="24"/>
          <w:highlight w:val="none"/>
          <w:lang w:val="en-US" w:eastAsia="zh-CN"/>
        </w:rPr>
        <w:t xml:space="preserve">提交服务成果</w:t>
      </w:r>
      <w:r>
        <w:rPr>
          <w:rFonts w:hint="eastAsia" w:ascii="仿宋" w:hAnsi="仿宋" w:eastAsia="仿宋" w:cs="仿宋"/>
          <w:color w:val="auto"/>
          <w:sz w:val="24"/>
          <w:highlight w:val="none"/>
        </w:rPr>
        <w:t xml:space="preserve">，卖方应按每天迟交合同标的金额的百分之一 (1%)的比率支付违约金。违约金的总金额不超过合同总价的百分之十(10%) ，违约金的支付不能免除卖方继续交付相关合同标的的义务。</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如果卖方在合同规定的服务期限后十日内仍未能交付全部或部分标的，在不妨碍买方采取其他救济手段的情况下，买方可以向卖方发出书面违约通知从而全部或部分地终止合同。</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第六条、履约保证金</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本项目无需缴纳履约保证金。</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第七条 技术资料</w:t>
      </w:r>
      <w:r/>
    </w:p>
    <w:p>
      <w:pPr>
        <w:ind w:firstLine="480"/>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 技术资料随合同标的同时交付给买方。</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第八条 交付</w:t>
      </w:r>
      <w:r/>
    </w:p>
    <w:p>
      <w:pPr>
        <w:ind w:firstLine="480"/>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8.1 按照省厅要求提交全部成果。</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第九条 验收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9.1 根据《土地调查条例》《土地调查条例实施办法》《国土变更调查技术规程》等规范标准</w:t>
      </w:r>
      <w:r>
        <w:rPr>
          <w:rFonts w:hint="eastAsia" w:ascii="仿宋" w:hAnsi="仿宋" w:eastAsia="仿宋" w:cs="仿宋"/>
          <w:color w:val="auto"/>
          <w:sz w:val="24"/>
          <w:highlight w:val="none"/>
          <w:lang w:eastAsia="zh-CN"/>
        </w:rPr>
        <w:t xml:space="preserve">进行验收</w:t>
      </w:r>
      <w:r>
        <w:rPr>
          <w:rFonts w:hint="eastAsia" w:ascii="仿宋" w:hAnsi="仿宋" w:eastAsia="仿宋" w:cs="仿宋"/>
          <w:color w:val="auto"/>
          <w:sz w:val="24"/>
          <w:highlight w:val="none"/>
        </w:rPr>
        <w:t xml:space="preserve">。</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第十条 违约责任</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.1买方有权选择本条款规定的任意或全部救济方式。</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.2卖方应在收到买方索赔要求后14日内作出书面回复，否则该索赔要求将被视为已被卖方接受。卖方应在买方发出索赔要求后14日内，按照买方选择的救济方法解决索赔事宜。</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.3如果合同标的在服务期间、试运行和验收中卖方未能履行其在本合同项下承担的义务，买方有权向卖方提出索赔并寻求《合同专用条款》中规定的救济方式，救济方式包括：</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A. 卖方替换不符合合同规定的合同标的。</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B. 按质量低劣的程度、买方受损害的程度及损失的数额对合同标的进行降价。</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C. 拒收合同标的。</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D. 赔偿由卖方违约引起的其他损失。</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w:t>
      </w:r>
      <w:r>
        <w:rPr>
          <w:rFonts w:hint="eastAsia" w:ascii="仿宋" w:hAnsi="仿宋" w:eastAsia="仿宋" w:cs="仿宋"/>
          <w:b/>
          <w:bCs/>
          <w:color w:val="auto"/>
          <w:sz w:val="24"/>
          <w:highlight w:val="none"/>
          <w:lang w:val="en-US" w:eastAsia="zh-CN"/>
        </w:rPr>
        <w:t xml:space="preserve">一</w:t>
      </w:r>
      <w:r>
        <w:rPr>
          <w:rFonts w:hint="eastAsia" w:ascii="仿宋" w:hAnsi="仿宋" w:eastAsia="仿宋" w:cs="仿宋"/>
          <w:b/>
          <w:bCs/>
          <w:color w:val="auto"/>
          <w:sz w:val="24"/>
          <w:highlight w:val="none"/>
        </w:rPr>
        <w:t xml:space="preserve">条 不可抗力</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不可抗力事件持续超过30日，任一方均有权解除本合同。</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rPr>
        <w:t xml:space="preserve">条 合同的终止</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如果卖方有下述违约行为，买方可以全部或部分地终止合同：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卖方在合同规定的交付期限后</w:t>
      </w:r>
      <w:r>
        <w:rPr>
          <w:rFonts w:hint="eastAsia" w:ascii="仿宋" w:hAnsi="仿宋" w:eastAsia="仿宋" w:cs="仿宋"/>
          <w:color w:val="auto"/>
          <w:sz w:val="24"/>
          <w:highlight w:val="none"/>
          <w:u w:val="single"/>
        </w:rPr>
        <w:t xml:space="preserve">10</w:t>
      </w:r>
      <w:r>
        <w:rPr>
          <w:rFonts w:hint="eastAsia" w:ascii="仿宋" w:hAnsi="仿宋" w:eastAsia="仿宋" w:cs="仿宋"/>
          <w:color w:val="auto"/>
          <w:sz w:val="24"/>
          <w:highlight w:val="none"/>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highlight w:val="none"/>
          <w:u w:val="single"/>
        </w:rPr>
        <w:t xml:space="preserve">5</w:t>
      </w:r>
      <w:r>
        <w:rPr>
          <w:rFonts w:hint="eastAsia" w:ascii="仿宋" w:hAnsi="仿宋" w:eastAsia="仿宋" w:cs="仿宋"/>
          <w:color w:val="auto"/>
          <w:sz w:val="24"/>
          <w:highlight w:val="none"/>
        </w:rPr>
        <w:t xml:space="preserve">日内仍未能对其违约行为作出补救。</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w:t>
      </w: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条 争议的解决</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如果不能协商一致，合同任何一方有权向买方所在地人民法院提起诉讼。</w:t>
      </w:r>
      <w:r/>
    </w:p>
    <w:p>
      <w:pPr>
        <w:numPr>
          <w:ilvl w:val="0"/>
          <w:numId w:val="0"/>
        </w:num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第十四条 </w:t>
      </w:r>
      <w:r>
        <w:rPr>
          <w:rFonts w:hint="eastAsia" w:ascii="仿宋" w:hAnsi="仿宋" w:eastAsia="仿宋" w:cs="仿宋"/>
          <w:b/>
          <w:bCs/>
          <w:color w:val="auto"/>
          <w:sz w:val="24"/>
          <w:highlight w:val="none"/>
        </w:rPr>
        <w:t xml:space="preserve">合同生效及其他</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14.1</w:t>
      </w:r>
      <w:r>
        <w:rPr>
          <w:rFonts w:hint="eastAsia" w:ascii="仿宋" w:hAnsi="仿宋" w:eastAsia="仿宋" w:cs="仿宋"/>
          <w:color w:val="auto"/>
          <w:sz w:val="24"/>
          <w:highlight w:val="none"/>
        </w:rPr>
        <w:t xml:space="preserve">（1）合同附件包括：</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①买方发布的磋商文件；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②卖方提交的响应文件；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③《成交通知书》；</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④买方和卖方商定的其他必要文件。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（2）合同附件与合同具有同等效力。</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（3）合同文件应能相互解释、相互说明。若合同文件之间有矛盾，则以最新的文件为准。</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14.2</w:t>
      </w:r>
      <w:r>
        <w:rPr>
          <w:rFonts w:hint="eastAsia" w:ascii="仿宋" w:hAnsi="仿宋" w:eastAsia="仿宋" w:cs="仿宋"/>
          <w:color w:val="auto"/>
          <w:sz w:val="24"/>
          <w:highlight w:val="none"/>
        </w:rPr>
        <w:t xml:space="preserve"> 按照《财政部关于做好政府采购信息公开工作的通知》（财库〔2015〕135号），买方依据《保守国家秘密法》等法律制度规定确定本合同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部分涉及国家秘密，该涉及国家秘密部分不公告；买方依据《反不正当竞争法》等法律制度的规定与卖方约定本合同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部分涉及商业秘密，该涉及商业秘密部分不公告。</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14.3</w:t>
      </w:r>
      <w:r>
        <w:rPr>
          <w:rFonts w:hint="eastAsia" w:ascii="仿宋" w:hAnsi="仿宋" w:eastAsia="仿宋" w:cs="仿宋"/>
          <w:color w:val="auto"/>
          <w:sz w:val="24"/>
          <w:highlight w:val="none"/>
        </w:rPr>
        <w:t xml:space="preserve"> 合同双方： </w:t>
      </w:r>
      <w:r/>
    </w:p>
    <w:p>
      <w:pPr>
        <w:ind w:firstLine="480"/>
        <w:spacing w:line="360" w:lineRule="auto"/>
        <w:rPr>
          <w:rFonts w:ascii="仿宋_GB2312" w:eastAsia="仿宋_GB2312"/>
          <w:color w:val="auto"/>
          <w:sz w:val="24"/>
          <w:szCs w:val="24"/>
          <w:highlight w:val="none"/>
        </w:rPr>
      </w:pPr>
      <w:r>
        <w:rPr>
          <w:rFonts w:hint="eastAsia" w:ascii="仿宋" w:hAnsi="仿宋" w:eastAsia="仿宋" w:cs="仿宋"/>
          <w:color w:val="auto"/>
          <w:sz w:val="24"/>
          <w:highlight w:val="none"/>
        </w:rPr>
        <w:t xml:space="preserve">买方:</w:t>
      </w:r>
      <w:r>
        <w:rPr>
          <w:rFonts w:hint="eastAsia" w:ascii="仿宋_GB2312" w:eastAsia="仿宋_GB2312"/>
          <w:color w:val="auto"/>
          <w:sz w:val="24"/>
          <w:szCs w:val="24"/>
          <w:highlight w:val="none"/>
        </w:rPr>
        <w:t xml:space="preserve"> </w:t>
      </w:r>
      <w:r>
        <w:rPr>
          <w:rFonts w:hint="eastAsia" w:ascii="仿宋" w:hAnsi="仿宋" w:eastAsia="仿宋" w:cs="仿宋"/>
          <w:color w:val="auto"/>
          <w:sz w:val="24"/>
          <w:highlight w:val="none"/>
        </w:rPr>
        <w:t xml:space="preserve">(公章)</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卖方: </w:t>
      </w:r>
      <w:r>
        <w:rPr>
          <w:rFonts w:hint="eastAsia" w:ascii="仿宋_GB2312" w:eastAsia="仿宋_GB2312"/>
          <w:color w:val="auto"/>
          <w:sz w:val="24"/>
          <w:szCs w:val="24"/>
          <w:highlight w:val="none"/>
        </w:rPr>
        <w:t xml:space="preserve"> (公章)</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法定代表人或其委托代理人</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法定代表人或其委托代理人</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（签字）：</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（签字）：</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地址: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邮编:</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邮编: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电话: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传真:</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传真: </w:t>
      </w:r>
      <w:r/>
    </w:p>
    <w:p>
      <w:pPr>
        <w:ind w:firstLine="480"/>
        <w:spacing w:line="360" w:lineRule="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_GB2312" w:eastAsia="仿宋_GB2312"/>
          <w:color w:val="auto"/>
          <w:sz w:val="24"/>
          <w:szCs w:val="24"/>
          <w:highlight w:val="none"/>
        </w:rPr>
        <w:t xml:space="preserve">开户银行：</w:t>
      </w:r>
      <w:r/>
    </w:p>
    <w:p>
      <w:pPr>
        <w:ind w:firstLine="480"/>
        <w:spacing w:line="360" w:lineRule="auto"/>
        <w:widowControl w:val="off"/>
        <w:rPr>
          <w:rFonts w:ascii="Times New Roman" w:hAnsi="Times New Roman" w:eastAsia="宋体"/>
          <w:color w:val="auto"/>
          <w:sz w:val="24"/>
          <w:szCs w:val="24"/>
          <w:highlight w:val="none"/>
        </w:rPr>
      </w:pPr>
      <w:r>
        <w:rPr>
          <w:rFonts w:hint="eastAsia" w:ascii="仿宋_GB2312" w:hAnsi="Times New Roman" w:eastAsia="仿宋_GB2312"/>
          <w:color w:val="auto"/>
          <w:sz w:val="24"/>
          <w:szCs w:val="24"/>
          <w:highlight w:val="none"/>
        </w:rPr>
        <w:t xml:space="preserve">账号：</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_GB2312" w:hAnsi="Times New Roman" w:eastAsia="仿宋_GB2312"/>
          <w:color w:val="auto"/>
          <w:sz w:val="24"/>
          <w:szCs w:val="24"/>
          <w:highlight w:val="none"/>
        </w:rPr>
        <w:t xml:space="preserve">账号：</w:t>
      </w:r>
      <w:r/>
    </w:p>
    <w:p>
      <w:pPr>
        <w:ind w:firstLine="480"/>
        <w:spacing w:line="360" w:lineRule="auto"/>
        <w:widowControl w:val="off"/>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日期：</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_GB2312" w:hAnsi="Times New Roman" w:eastAsia="仿宋_GB2312"/>
          <w:color w:val="auto"/>
          <w:sz w:val="24"/>
          <w:szCs w:val="24"/>
          <w:highlight w:val="none"/>
        </w:rPr>
        <w:t xml:space="preserve">日期：</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合</w:t>
      </w:r>
      <w:r>
        <w:rPr>
          <w:rFonts w:hint="eastAsia" w:ascii="仿宋" w:hAnsi="仿宋" w:eastAsia="仿宋" w:cs="仿宋"/>
          <w:color w:val="auto"/>
          <w:sz w:val="24"/>
          <w:highlight w:val="none"/>
          <w:lang w:val="zh-CN"/>
        </w:rPr>
        <w:t xml:space="preserve">同一式</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份，具有同等法律效力，买方</w:t>
      </w:r>
      <w:r>
        <w:rPr>
          <w:rFonts w:hint="eastAsia" w:ascii="仿宋_GB2312" w:eastAsia="仿宋_GB2312"/>
          <w:bCs/>
          <w:color w:val="auto"/>
          <w:sz w:val="24"/>
          <w:szCs w:val="24"/>
          <w:highlight w:val="none"/>
        </w:rPr>
        <w:t xml:space="preserve">执</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份，卖方</w:t>
      </w:r>
      <w:r>
        <w:rPr>
          <w:rFonts w:hint="eastAsia" w:ascii="仿宋_GB2312" w:eastAsia="仿宋_GB2312"/>
          <w:bCs/>
          <w:color w:val="auto"/>
          <w:sz w:val="24"/>
          <w:szCs w:val="24"/>
          <w:highlight w:val="none"/>
        </w:rPr>
        <w:t xml:space="preserve">执</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w:t>
      </w:r>
      <w:r>
        <w:rPr>
          <w:rFonts w:hint="eastAsia" w:ascii="仿宋" w:hAnsi="仿宋" w:eastAsia="仿宋" w:cs="仿宋"/>
          <w:color w:val="auto"/>
          <w:sz w:val="24"/>
          <w:highlight w:val="none"/>
        </w:rPr>
        <w:t xml:space="preserve">代理机构</w:t>
      </w:r>
      <w:r>
        <w:rPr>
          <w:rFonts w:hint="eastAsia" w:ascii="仿宋_GB2312" w:eastAsia="仿宋_GB2312"/>
          <w:bCs/>
          <w:color w:val="auto"/>
          <w:sz w:val="24"/>
          <w:szCs w:val="24"/>
          <w:highlight w:val="none"/>
        </w:rPr>
        <w:t xml:space="preserve">执</w:t>
      </w:r>
      <w:r>
        <w:rPr>
          <w:rFonts w:hint="eastAsia" w:ascii="仿宋" w:hAnsi="仿宋" w:eastAsia="仿宋" w:cs="仿宋"/>
          <w:color w:val="auto"/>
          <w:sz w:val="24"/>
          <w:highlight w:val="none"/>
          <w:u w:val="single"/>
          <w:lang w:val="zh-CN"/>
        </w:rPr>
        <w:t xml:space="preserve">一</w:t>
      </w:r>
      <w:r>
        <w:rPr>
          <w:rFonts w:hint="eastAsia" w:ascii="仿宋" w:hAnsi="仿宋" w:eastAsia="仿宋" w:cs="仿宋"/>
          <w:color w:val="auto"/>
          <w:sz w:val="24"/>
          <w:highlight w:val="none"/>
          <w:lang w:val="zh-CN"/>
        </w:rPr>
        <w:t xml:space="preserve">份。</w:t>
      </w:r>
      <w:r/>
    </w:p>
    <w:p>
      <w:pPr>
        <w:ind w:firstLine="240"/>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lang w:val="zh-CN"/>
        </w:rPr>
        <w:t xml:space="preserve">注：甲乙双方可根据项目实际情况，经协商一致可对本合同范本内容作出相应调整。</w:t>
      </w:r>
      <w:r/>
    </w:p>
    <w:p>
      <w:pPr>
        <w:jc w:val="cente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12、具备履行合同所必需的设备和专业技术能力的书面声明</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项目名称：</w:t>
      </w:r>
      <w:r>
        <w:rPr>
          <w:rFonts w:hint="eastAsia" w:ascii="仿宋_GB2312" w:hAnsi="仿宋_GB2312" w:eastAsia="仿宋_GB2312" w:cs="仿宋_GB2312"/>
          <w:sz w:val="24"/>
          <w:lang w:eastAsia="zh-CN"/>
        </w:rPr>
        <w:t xml:space="preserve">新沂市2025年度国土变更调查与2026年日常变更调查项目</w:t>
      </w:r>
      <w:r/>
    </w:p>
    <w:p>
      <w:pPr>
        <w:ind w:firstLine="480"/>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JSZC-320381-SRGC-C2026-0007</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我单位郑重声明：我单位具备履行合同（项目名称：</w:t>
      </w:r>
      <w:r>
        <w:rPr>
          <w:rFonts w:hint="eastAsia" w:ascii="仿宋_GB2312" w:hAnsi="仿宋_GB2312" w:eastAsia="仿宋_GB2312" w:cs="仿宋_GB2312"/>
          <w:sz w:val="24"/>
          <w:lang w:eastAsia="zh-CN"/>
        </w:rPr>
        <w:t xml:space="preserve">新沂市2025年度国土变更调查与2026年日常变更调查项目</w:t>
      </w: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JSZC-320381-SRGC-C2026-0007</w:t>
      </w:r>
      <w:r>
        <w:rPr>
          <w:rFonts w:hint="eastAsia" w:ascii="仿宋_GB2312" w:hAnsi="仿宋_GB2312" w:eastAsia="仿宋_GB2312" w:cs="仿宋_GB2312"/>
          <w:sz w:val="24"/>
        </w:rPr>
        <w:t xml:space="preserve">）所必需的设备和专业技术能力。</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特此声明。</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我单位对上述声明的真实性负责。如有虚假，将依法承担相应责任。</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80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sz w:val="24"/>
        </w:rPr>
        <w:t xml:space="preserve">日期：   年  月  日</w:t>
      </w:r>
      <w:r/>
    </w:p>
    <w:p>
      <w:pPr>
        <w:pStyle w:val="844"/>
        <w:rPr>
          <w:rFonts w:hint="eastAsia" w:ascii="仿宋_GB2312" w:hAnsi="仿宋_GB2312" w:eastAsia="仿宋_GB2312" w:cs="仿宋_GB2312"/>
        </w:rPr>
      </w:pPr>
      <w:r>
        <w:rPr>
          <w:rFonts w:hint="eastAsia" w:ascii="仿宋_GB2312" w:hAnsi="仿宋_GB2312" w:eastAsia="仿宋_GB2312" w:cs="仿宋_GB2312"/>
        </w:rPr>
      </w:r>
      <w:r/>
    </w:p>
    <w:p>
      <w:pPr>
        <w:pStyle w:val="822"/>
        <w:rPr>
          <w:rFonts w:hint="eastAsia" w:ascii="仿宋_GB2312" w:hAnsi="仿宋_GB2312" w:eastAsia="仿宋_GB2312" w:cs="仿宋_GB2312"/>
        </w:rPr>
      </w:pPr>
      <w:r>
        <w:rPr>
          <w:rFonts w:hint="eastAsia" w:ascii="仿宋_GB2312" w:hAnsi="仿宋_GB2312" w:eastAsia="仿宋_GB2312" w:cs="仿宋_GB2312"/>
        </w:rPr>
      </w:r>
      <w:r/>
    </w:p>
    <w:p>
      <w:pPr>
        <w:pStyle w:val="834"/>
        <w:rPr>
          <w:rFonts w:hint="eastAsia" w:ascii="仿宋_GB2312" w:hAnsi="仿宋_GB2312" w:eastAsia="仿宋_GB2312" w:cs="仿宋_GB2312"/>
        </w:rPr>
      </w:pPr>
      <w:r>
        <w:rPr>
          <w:rFonts w:hint="eastAsia" w:ascii="仿宋_GB2312" w:hAnsi="仿宋_GB2312" w:eastAsia="仿宋_GB2312" w:cs="仿宋_GB2312"/>
        </w:rPr>
      </w:r>
      <w:r/>
    </w:p>
    <w:p>
      <w:pPr>
        <w:pStyle w:val="844"/>
        <w:rPr>
          <w:rFonts w:hint="eastAsia" w:ascii="仿宋_GB2312" w:hAnsi="仿宋_GB2312" w:eastAsia="仿宋_GB2312" w:cs="仿宋_GB2312"/>
        </w:rPr>
      </w:pPr>
      <w:r>
        <w:rPr>
          <w:rFonts w:hint="eastAsia" w:ascii="仿宋_GB2312" w:hAnsi="仿宋_GB2312" w:eastAsia="仿宋_GB2312" w:cs="仿宋_GB2312"/>
        </w:rPr>
      </w:r>
      <w:r/>
    </w:p>
    <w:p>
      <w:pPr>
        <w:pStyle w:val="822"/>
        <w:rPr>
          <w:rFonts w:hint="eastAsia" w:ascii="仿宋_GB2312" w:hAnsi="仿宋_GB2312" w:eastAsia="仿宋_GB2312" w:cs="仿宋_GB2312"/>
        </w:rPr>
      </w:pPr>
      <w:r>
        <w:rPr>
          <w:rFonts w:hint="eastAsia" w:ascii="仿宋_GB2312" w:hAnsi="仿宋_GB2312" w:eastAsia="仿宋_GB2312" w:cs="仿宋_GB2312"/>
        </w:rPr>
      </w:r>
      <w:r/>
    </w:p>
    <w:p>
      <w:pPr>
        <w:pStyle w:val="834"/>
        <w:rPr>
          <w:rFonts w:hint="eastAsia" w:ascii="仿宋_GB2312" w:hAnsi="仿宋_GB2312" w:eastAsia="仿宋_GB2312" w:cs="仿宋_GB2312"/>
        </w:rPr>
      </w:pPr>
      <w:r>
        <w:rPr>
          <w:rFonts w:hint="eastAsia" w:ascii="仿宋_GB2312" w:hAnsi="仿宋_GB2312" w:eastAsia="仿宋_GB2312" w:cs="仿宋_GB2312"/>
        </w:rPr>
      </w:r>
      <w:r/>
    </w:p>
    <w:p>
      <w:pPr>
        <w:pStyle w:val="844"/>
        <w:rPr>
          <w:rFonts w:hint="eastAsia" w:ascii="仿宋_GB2312" w:hAnsi="仿宋_GB2312" w:eastAsia="仿宋_GB2312" w:cs="仿宋_GB2312"/>
        </w:rPr>
      </w:pPr>
      <w:r>
        <w:rPr>
          <w:rFonts w:hint="eastAsia" w:ascii="仿宋_GB2312" w:hAnsi="仿宋_GB2312" w:eastAsia="仿宋_GB2312" w:cs="仿宋_GB2312"/>
        </w:rPr>
      </w:r>
      <w:r/>
    </w:p>
    <w:p>
      <w:pPr>
        <w:pStyle w:val="822"/>
        <w:rPr>
          <w:rFonts w:hint="eastAsia" w:ascii="仿宋_GB2312" w:hAnsi="仿宋_GB2312" w:eastAsia="仿宋_GB2312" w:cs="仿宋_GB2312"/>
        </w:rPr>
      </w:pPr>
      <w:r>
        <w:rPr>
          <w:rFonts w:hint="eastAsia" w:ascii="仿宋_GB2312" w:hAnsi="仿宋_GB2312" w:eastAsia="仿宋_GB2312" w:cs="仿宋_GB2312"/>
        </w:rPr>
      </w:r>
      <w:r/>
    </w:p>
    <w:p>
      <w:pPr>
        <w:pStyle w:val="834"/>
        <w:rPr>
          <w:rFonts w:hint="eastAsia" w:ascii="仿宋_GB2312" w:hAnsi="仿宋_GB2312" w:eastAsia="仿宋_GB2312" w:cs="仿宋_GB2312"/>
        </w:rPr>
      </w:pPr>
      <w:r>
        <w:rPr>
          <w:rFonts w:hint="eastAsia" w:ascii="仿宋_GB2312" w:hAnsi="仿宋_GB2312" w:eastAsia="仿宋_GB2312" w:cs="仿宋_GB2312"/>
        </w:rPr>
      </w:r>
      <w:r/>
    </w:p>
    <w:p>
      <w:pPr>
        <w:pStyle w:val="844"/>
        <w:rPr>
          <w:rFonts w:hint="eastAsia" w:ascii="仿宋_GB2312" w:hAnsi="仿宋_GB2312" w:eastAsia="仿宋_GB2312" w:cs="仿宋_GB2312"/>
        </w:rPr>
      </w:pPr>
      <w:r>
        <w:rPr>
          <w:rFonts w:hint="eastAsia" w:ascii="仿宋_GB2312" w:hAnsi="仿宋_GB2312" w:eastAsia="仿宋_GB2312" w:cs="仿宋_GB2312"/>
        </w:rPr>
      </w:r>
      <w:r/>
    </w:p>
    <w:p>
      <w:pPr>
        <w:pStyle w:val="822"/>
        <w:rPr>
          <w:rFonts w:hint="eastAsia" w:ascii="仿宋_GB2312" w:hAnsi="仿宋_GB2312" w:eastAsia="仿宋_GB2312" w:cs="仿宋_GB2312"/>
        </w:rPr>
      </w:pPr>
      <w:r>
        <w:rPr>
          <w:rFonts w:hint="eastAsia" w:ascii="仿宋_GB2312" w:hAnsi="仿宋_GB2312" w:eastAsia="仿宋_GB2312" w:cs="仿宋_GB2312"/>
        </w:rPr>
      </w:r>
      <w:r/>
    </w:p>
    <w:p>
      <w:pPr>
        <w:pStyle w:val="834"/>
        <w:rPr>
          <w:rFonts w:hint="eastAsia" w:ascii="仿宋_GB2312" w:hAnsi="仿宋_GB2312" w:eastAsia="仿宋_GB2312" w:cs="仿宋_GB2312"/>
        </w:rPr>
      </w:pPr>
      <w:r>
        <w:rPr>
          <w:rFonts w:hint="eastAsia" w:ascii="仿宋_GB2312" w:hAnsi="仿宋_GB2312" w:eastAsia="仿宋_GB2312" w:cs="仿宋_GB2312"/>
        </w:rPr>
      </w:r>
      <w:r/>
    </w:p>
    <w:p>
      <w:pPr>
        <w:pStyle w:val="844"/>
        <w:rPr>
          <w:rFonts w:hint="eastAsia" w:ascii="仿宋_GB2312" w:hAnsi="仿宋_GB2312" w:eastAsia="仿宋_GB2312" w:cs="仿宋_GB2312"/>
        </w:rPr>
      </w:pPr>
      <w:r>
        <w:rPr>
          <w:rFonts w:hint="eastAsia" w:ascii="仿宋_GB2312" w:hAnsi="仿宋_GB2312" w:eastAsia="仿宋_GB2312" w:cs="仿宋_GB2312"/>
        </w:rPr>
      </w:r>
      <w:r/>
    </w:p>
    <w:p>
      <w:pPr>
        <w:pStyle w:val="822"/>
        <w:rPr>
          <w:rFonts w:hint="eastAsia" w:ascii="仿宋_GB2312" w:hAnsi="仿宋_GB2312" w:eastAsia="仿宋_GB2312" w:cs="仿宋_GB2312"/>
        </w:rPr>
      </w:pPr>
      <w:r>
        <w:rPr>
          <w:rFonts w:hint="eastAsia" w:ascii="仿宋_GB2312" w:hAnsi="仿宋_GB2312" w:eastAsia="仿宋_GB2312" w:cs="仿宋_GB2312"/>
        </w:rPr>
      </w:r>
      <w:r/>
    </w:p>
    <w:p>
      <w:pPr>
        <w:pStyle w:val="834"/>
        <w:rPr>
          <w:rFonts w:hint="eastAsia" w:ascii="仿宋_GB2312" w:hAnsi="仿宋_GB2312" w:eastAsia="仿宋_GB2312" w:cs="仿宋_GB2312"/>
        </w:rPr>
      </w:pPr>
      <w:r>
        <w:rPr>
          <w:rFonts w:hint="eastAsia" w:ascii="仿宋_GB2312" w:hAnsi="仿宋_GB2312" w:eastAsia="仿宋_GB2312" w:cs="仿宋_GB2312"/>
        </w:rPr>
      </w:r>
      <w:r/>
    </w:p>
    <w:p>
      <w:pPr>
        <w:pStyle w:val="844"/>
        <w:rPr>
          <w:rFonts w:hint="eastAsia" w:ascii="仿宋_GB2312" w:hAnsi="仿宋_GB2312" w:eastAsia="仿宋_GB2312" w:cs="仿宋_GB2312"/>
        </w:rPr>
      </w:pPr>
      <w:r>
        <w:rPr>
          <w:rFonts w:hint="eastAsia" w:ascii="仿宋_GB2312" w:hAnsi="仿宋_GB2312" w:eastAsia="仿宋_GB2312" w:cs="仿宋_GB2312"/>
        </w:rPr>
      </w:r>
      <w:r/>
    </w:p>
    <w:p>
      <w:pPr>
        <w:pStyle w:val="822"/>
        <w:rPr>
          <w:rFonts w:hint="eastAsia" w:ascii="仿宋_GB2312" w:hAnsi="仿宋_GB2312" w:eastAsia="仿宋_GB2312" w:cs="仿宋_GB2312"/>
        </w:rPr>
      </w:pPr>
      <w:r>
        <w:rPr>
          <w:rFonts w:hint="eastAsia" w:ascii="仿宋_GB2312" w:hAnsi="仿宋_GB2312" w:eastAsia="仿宋_GB2312" w:cs="仿宋_GB2312"/>
        </w:rPr>
      </w:r>
      <w:r/>
    </w:p>
    <w:p>
      <w:pPr>
        <w:pStyle w:val="834"/>
        <w:rPr>
          <w:rFonts w:hint="eastAsia" w:ascii="仿宋_GB2312" w:hAnsi="仿宋_GB2312" w:eastAsia="仿宋_GB2312" w:cs="仿宋_GB2312"/>
        </w:rPr>
      </w:pPr>
      <w:r>
        <w:rPr>
          <w:rFonts w:hint="eastAsia" w:ascii="仿宋_GB2312" w:hAnsi="仿宋_GB2312" w:eastAsia="仿宋_GB2312" w:cs="仿宋_GB2312"/>
        </w:rPr>
      </w:r>
      <w:r/>
    </w:p>
    <w:p>
      <w:pPr>
        <w:pStyle w:val="834"/>
        <w:rPr>
          <w:rFonts w:hint="eastAsia" w:ascii="仿宋_GB2312" w:hAnsi="仿宋_GB2312" w:eastAsia="仿宋_GB2312" w:cs="仿宋_GB2312"/>
        </w:rPr>
      </w:pPr>
      <w:r>
        <w:rPr>
          <w:rFonts w:hint="eastAsia" w:ascii="仿宋_GB2312" w:hAnsi="仿宋_GB2312" w:eastAsia="仿宋_GB2312" w:cs="仿宋_GB2312"/>
        </w:rPr>
      </w:r>
      <w:r/>
    </w:p>
    <w:p>
      <w:pPr>
        <w:pStyle w:val="833"/>
        <w:rPr>
          <w:rFonts w:hint="eastAsia" w:ascii="仿宋_GB2312" w:hAnsi="仿宋_GB2312" w:eastAsia="仿宋_GB2312" w:cs="仿宋_GB2312"/>
        </w:rPr>
      </w:pPr>
      <w:r>
        <w:rPr>
          <w:rFonts w:hint="eastAsia" w:ascii="仿宋_GB2312" w:hAnsi="仿宋_GB2312" w:eastAsia="仿宋_GB2312" w:cs="仿宋_GB2312"/>
        </w:rPr>
      </w:r>
      <w:r/>
    </w:p>
    <w:p>
      <w:pPr>
        <w:pStyle w:val="826"/>
        <w:rPr>
          <w:rFonts w:hint="eastAsia"/>
        </w:rPr>
      </w:pPr>
      <w:r>
        <w:rPr>
          <w:rFonts w:hint="eastAsia"/>
        </w:rPr>
      </w:r>
      <w:r/>
    </w:p>
    <w:p>
      <w:pPr>
        <w:pStyle w:val="844"/>
        <w:rPr>
          <w:rFonts w:hint="eastAsia" w:ascii="仿宋_GB2312" w:hAnsi="仿宋_GB2312" w:eastAsia="仿宋_GB2312" w:cs="仿宋_GB2312"/>
        </w:rPr>
      </w:pPr>
      <w:r>
        <w:rPr>
          <w:rFonts w:hint="eastAsia" w:ascii="仿宋_GB2312" w:hAnsi="仿宋_GB2312" w:eastAsia="仿宋_GB2312" w:cs="仿宋_GB2312"/>
        </w:rPr>
      </w:r>
      <w:r/>
    </w:p>
    <w:p>
      <w:pPr>
        <w:pStyle w:val="822"/>
        <w:rPr>
          <w:rFonts w:hint="eastAsia" w:ascii="仿宋_GB2312" w:hAnsi="仿宋_GB2312" w:eastAsia="仿宋_GB2312" w:cs="仿宋_GB2312"/>
        </w:rPr>
      </w:pPr>
      <w:r>
        <w:rPr>
          <w:rFonts w:hint="eastAsia" w:ascii="仿宋_GB2312" w:hAnsi="仿宋_GB2312" w:eastAsia="仿宋_GB2312" w:cs="仿宋_GB2312"/>
        </w:rPr>
      </w:r>
      <w:r/>
    </w:p>
    <w:p>
      <w:pPr>
        <w:pStyle w:val="774"/>
        <w:ind w:left="0" w:right="0"/>
        <w:jc w:val="center"/>
        <w:keepLines w:val="0"/>
        <w:keepNext w:val="0"/>
        <w:pageBreakBefore w:val="0"/>
        <w:spacing w:before="0" w:beforeAutospacing="0" w:after="0" w:afterAutospacing="0" w:line="460" w:lineRule="exact"/>
        <w:widowControl w:val="off"/>
        <w:rPr>
          <w:rFonts w:hint="eastAsia" w:ascii="仿宋_GB2312" w:hAnsi="仿宋_GB2312" w:eastAsia="仿宋_GB2312" w:cs="仿宋_GB2312"/>
          <w:b/>
          <w:bCs/>
          <w:sz w:val="30"/>
          <w:szCs w:val="3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sz w:val="30"/>
          <w:szCs w:val="30"/>
          <w:lang w:val="en-US" w:eastAsia="zh-CN" w:bidi="ar-SA"/>
        </w:rPr>
        <w:t xml:space="preserve">13.招标代理服务收费标准</w:t>
      </w:r>
      <w:r/>
    </w:p>
    <w:p>
      <w:pPr>
        <w:pStyle w:val="774"/>
        <w:ind w:left="0" w:right="0"/>
        <w:jc w:val="center"/>
        <w:keepLines w:val="0"/>
        <w:keepNext w:val="0"/>
        <w:pageBreakBefore w:val="0"/>
        <w:spacing w:before="0" w:beforeAutospacing="0" w:after="0" w:afterAutospacing="0" w:line="460" w:lineRule="exact"/>
        <w:widowControl/>
        <w:rPr>
          <w:rFonts w:hint="eastAsia" w:ascii="仿宋" w:hAnsi="仿宋" w:eastAsia="仿宋" w:cs="仿宋"/>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4"/>
          <w:szCs w:val="24"/>
        </w:rPr>
        <w:t xml:space="preserve"> </w:t>
      </w:r>
      <w:r>
        <w:rPr>
          <w:rFonts w:hint="eastAsia" w:ascii="仿宋" w:hAnsi="仿宋" w:eastAsia="仿宋" w:cs="仿宋"/>
          <w:color w:val="000000"/>
          <w:sz w:val="24"/>
          <w:szCs w:val="24"/>
        </w:rPr>
        <w:t xml:space="preserve">江苏省政府采购代理常规服务收费指导价</w:t>
      </w:r>
      <w:r>
        <w:rPr>
          <w:rFonts w:hint="eastAsia" w:ascii="仿宋" w:hAnsi="仿宋" w:eastAsia="仿宋" w:cs="仿宋"/>
          <w:color w:val="000000"/>
          <w:sz w:val="24"/>
          <w:szCs w:val="24"/>
          <w:lang w:eastAsia="zh-CN"/>
        </w:rPr>
        <w:t xml:space="preserve">（苏政采协【2024】20号）</w:t>
      </w:r>
      <w:r/>
    </w:p>
    <w:p>
      <w:pPr>
        <w:pStyle w:val="774"/>
        <w:jc w:val="both"/>
        <w:keepLines w:val="0"/>
        <w:keepNext w:val="0"/>
        <w:pageBreakBefore w:val="0"/>
        <w:spacing w:before="0" w:beforeAutospacing="0" w:after="0" w:afterAutospacing="0" w:line="460" w:lineRule="exact"/>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4"/>
          <w:szCs w:val="24"/>
        </w:rPr>
      </w:r>
      <w:r/>
    </w:p>
    <w:tbl>
      <w:tblPr>
        <w:tblStyle w:val="752"/>
        <w:tblW w:w="8780" w:type="dxa"/>
        <w:tblCellSpacing w:w="0"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25"/>
        <w:gridCol w:w="2755"/>
      </w:tblGrid>
      <w:tr>
        <w:trPr>
          <w:tblCellSpacing w:w="0" w:type="dxa"/>
          <w:trHeight w:val="492"/>
        </w:trPr>
        <w:tc>
          <w:tcPr>
            <w:shd w:val="clear" w:color="auto" w:fill="auto"/>
            <w:tcW w:w="6025" w:type="dxa"/>
            <w:vAlign w:val="center"/>
            <w:textDirection w:val="lrTb"/>
            <w:noWrap w:val="false"/>
          </w:tcPr>
          <w:p>
            <w:pPr>
              <w:pStyle w:val="774"/>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中标或成交金额</w:t>
            </w:r>
            <w:r/>
          </w:p>
        </w:tc>
        <w:tc>
          <w:tcPr>
            <w:shd w:val="clear" w:color="auto" w:fill="auto"/>
            <w:tcW w:w="2755" w:type="dxa"/>
            <w:vAlign w:val="center"/>
            <w:textDirection w:val="lrTb"/>
            <w:noWrap w:val="false"/>
          </w:tcPr>
          <w:p>
            <w:pPr>
              <w:pStyle w:val="774"/>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费率</w:t>
            </w:r>
            <w:r/>
          </w:p>
        </w:tc>
      </w:tr>
      <w:tr>
        <w:trPr>
          <w:tblCellSpacing w:w="0" w:type="dxa"/>
          <w:trHeight w:val="502"/>
        </w:trPr>
        <w:tc>
          <w:tcPr>
            <w:shd w:val="clear" w:color="auto" w:fill="auto"/>
            <w:tcW w:w="6025" w:type="dxa"/>
            <w:vAlign w:val="center"/>
            <w:textDirection w:val="lrTb"/>
            <w:noWrap w:val="false"/>
          </w:tcPr>
          <w:p>
            <w:pPr>
              <w:pStyle w:val="774"/>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最低收费金额(每个委托项目)</w:t>
            </w:r>
            <w:r/>
          </w:p>
        </w:tc>
        <w:tc>
          <w:tcPr>
            <w:shd w:val="clear" w:color="auto" w:fill="auto"/>
            <w:tcW w:w="2755" w:type="dxa"/>
            <w:vAlign w:val="center"/>
            <w:textDirection w:val="lrTb"/>
            <w:noWrap w:val="false"/>
          </w:tcPr>
          <w:p>
            <w:pPr>
              <w:pStyle w:val="774"/>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5000元</w:t>
            </w:r>
            <w:r/>
          </w:p>
        </w:tc>
      </w:tr>
      <w:tr>
        <w:trPr>
          <w:tblCellSpacing w:w="0" w:type="dxa"/>
          <w:trHeight w:val="492"/>
        </w:trPr>
        <w:tc>
          <w:tcPr>
            <w:shd w:val="clear" w:color="auto" w:fill="auto"/>
            <w:tcW w:w="6025" w:type="dxa"/>
            <w:vAlign w:val="center"/>
            <w:textDirection w:val="lrTb"/>
            <w:noWrap w:val="false"/>
          </w:tcPr>
          <w:p>
            <w:pPr>
              <w:pStyle w:val="774"/>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50万元以</w:t>
            </w:r>
            <w:r>
              <w:rPr>
                <w:rFonts w:hint="eastAsia" w:ascii="仿宋" w:hAnsi="仿宋" w:eastAsia="仿宋" w:cs="仿宋"/>
                <w:b w:val="0"/>
                <w:bCs w:val="0"/>
                <w:color w:val="000000"/>
                <w:sz w:val="24"/>
                <w:szCs w:val="24"/>
                <w:lang w:val="en-US" w:eastAsia="zh-CN"/>
              </w:rPr>
              <w:t xml:space="preserve">下</w:t>
            </w:r>
            <w:r>
              <w:rPr>
                <w:rFonts w:hint="eastAsia" w:ascii="仿宋" w:hAnsi="仿宋" w:eastAsia="仿宋" w:cs="仿宋"/>
                <w:b w:val="0"/>
                <w:bCs w:val="0"/>
                <w:color w:val="000000"/>
                <w:sz w:val="24"/>
                <w:szCs w:val="24"/>
              </w:rPr>
              <w:t xml:space="preserve">（含50万元）</w:t>
            </w:r>
            <w:r/>
          </w:p>
        </w:tc>
        <w:tc>
          <w:tcPr>
            <w:shd w:val="clear" w:color="auto" w:fill="auto"/>
            <w:tcW w:w="2755" w:type="dxa"/>
            <w:vAlign w:val="center"/>
            <w:textDirection w:val="lrTb"/>
            <w:noWrap w:val="false"/>
          </w:tcPr>
          <w:p>
            <w:pPr>
              <w:pStyle w:val="774"/>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1.60%</w:t>
            </w:r>
            <w:r/>
          </w:p>
        </w:tc>
      </w:tr>
      <w:tr>
        <w:trPr>
          <w:tblCellSpacing w:w="0" w:type="dxa"/>
          <w:trHeight w:val="492"/>
        </w:trPr>
        <w:tc>
          <w:tcPr>
            <w:shd w:val="clear" w:color="auto" w:fill="auto"/>
            <w:tcW w:w="6025" w:type="dxa"/>
            <w:vAlign w:val="center"/>
            <w:textDirection w:val="lrTb"/>
            <w:noWrap w:val="false"/>
          </w:tcPr>
          <w:p>
            <w:pPr>
              <w:pStyle w:val="774"/>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50-400万元以上（含400万元）</w:t>
            </w:r>
            <w:r/>
          </w:p>
        </w:tc>
        <w:tc>
          <w:tcPr>
            <w:shd w:val="clear" w:color="auto" w:fill="auto"/>
            <w:tcW w:w="2755" w:type="dxa"/>
            <w:vAlign w:val="center"/>
            <w:textDirection w:val="lrTb"/>
            <w:noWrap w:val="false"/>
          </w:tcPr>
          <w:p>
            <w:pPr>
              <w:pStyle w:val="774"/>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1.50%</w:t>
            </w:r>
            <w:r/>
          </w:p>
        </w:tc>
      </w:tr>
      <w:tr>
        <w:trPr>
          <w:tblCellSpacing w:w="0" w:type="dxa"/>
          <w:trHeight w:val="612"/>
        </w:trPr>
        <w:tc>
          <w:tcPr>
            <w:shd w:val="clear" w:color="auto" w:fill="auto"/>
            <w:tcW w:w="6025" w:type="dxa"/>
            <w:vAlign w:val="center"/>
            <w:textDirection w:val="lrTb"/>
            <w:noWrap w:val="false"/>
          </w:tcPr>
          <w:p>
            <w:pPr>
              <w:pStyle w:val="774"/>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400-1000万元以上（含1000万元）</w:t>
            </w:r>
            <w:r/>
          </w:p>
        </w:tc>
        <w:tc>
          <w:tcPr>
            <w:shd w:val="clear" w:color="auto" w:fill="auto"/>
            <w:tcW w:w="2755" w:type="dxa"/>
            <w:vAlign w:val="center"/>
            <w:textDirection w:val="lrTb"/>
            <w:noWrap w:val="false"/>
          </w:tcPr>
          <w:p>
            <w:pPr>
              <w:pStyle w:val="774"/>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1.10%</w:t>
            </w:r>
            <w:r/>
          </w:p>
        </w:tc>
      </w:tr>
      <w:tr>
        <w:trPr>
          <w:tblCellSpacing w:w="0" w:type="dxa"/>
          <w:trHeight w:val="494"/>
        </w:trPr>
        <w:tc>
          <w:tcPr>
            <w:shd w:val="clear" w:color="auto" w:fill="auto"/>
            <w:tcW w:w="6025" w:type="dxa"/>
            <w:vAlign w:val="center"/>
            <w:textDirection w:val="lrTb"/>
            <w:noWrap w:val="false"/>
          </w:tcPr>
          <w:p>
            <w:pPr>
              <w:pStyle w:val="774"/>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1000-5000万元以上（含5000万元）</w:t>
            </w:r>
            <w:r/>
          </w:p>
        </w:tc>
        <w:tc>
          <w:tcPr>
            <w:shd w:val="clear" w:color="auto" w:fill="auto"/>
            <w:tcW w:w="2755" w:type="dxa"/>
            <w:vAlign w:val="center"/>
            <w:textDirection w:val="lrTb"/>
            <w:noWrap w:val="false"/>
          </w:tcPr>
          <w:p>
            <w:pPr>
              <w:pStyle w:val="774"/>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0.80%</w:t>
            </w:r>
            <w:r/>
          </w:p>
        </w:tc>
      </w:tr>
      <w:tr>
        <w:trPr>
          <w:tblCellSpacing w:w="0" w:type="dxa"/>
          <w:trHeight w:val="499"/>
        </w:trPr>
        <w:tc>
          <w:tcPr>
            <w:shd w:val="clear" w:color="auto" w:fill="auto"/>
            <w:tcW w:w="6025" w:type="dxa"/>
            <w:vAlign w:val="center"/>
            <w:textDirection w:val="lrTb"/>
            <w:noWrap w:val="false"/>
          </w:tcPr>
          <w:p>
            <w:pPr>
              <w:pStyle w:val="774"/>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5000-1亿元以上（含1亿元）</w:t>
            </w:r>
            <w:r/>
          </w:p>
        </w:tc>
        <w:tc>
          <w:tcPr>
            <w:shd w:val="clear" w:color="auto" w:fill="auto"/>
            <w:tcW w:w="2755" w:type="dxa"/>
            <w:vAlign w:val="center"/>
            <w:textDirection w:val="lrTb"/>
            <w:noWrap w:val="false"/>
          </w:tcPr>
          <w:p>
            <w:pPr>
              <w:pStyle w:val="774"/>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0.25%</w:t>
            </w:r>
            <w:r/>
          </w:p>
        </w:tc>
      </w:tr>
      <w:tr>
        <w:trPr>
          <w:tblCellSpacing w:w="0" w:type="dxa"/>
          <w:trHeight w:val="494"/>
        </w:trPr>
        <w:tc>
          <w:tcPr>
            <w:shd w:val="clear" w:color="auto" w:fill="auto"/>
            <w:tcW w:w="6025" w:type="dxa"/>
            <w:vAlign w:val="center"/>
            <w:textDirection w:val="lrTb"/>
            <w:noWrap w:val="false"/>
          </w:tcPr>
          <w:p>
            <w:pPr>
              <w:pStyle w:val="774"/>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1-10亿以上（含10亿元）</w:t>
            </w:r>
            <w:r/>
          </w:p>
        </w:tc>
        <w:tc>
          <w:tcPr>
            <w:shd w:val="clear" w:color="auto" w:fill="auto"/>
            <w:tcW w:w="2755" w:type="dxa"/>
            <w:vAlign w:val="center"/>
            <w:textDirection w:val="lrTb"/>
            <w:noWrap w:val="false"/>
          </w:tcPr>
          <w:p>
            <w:pPr>
              <w:pStyle w:val="774"/>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0.05%</w:t>
            </w:r>
            <w:r/>
          </w:p>
        </w:tc>
      </w:tr>
      <w:tr>
        <w:trPr>
          <w:tblCellSpacing w:w="0" w:type="dxa"/>
          <w:trHeight w:val="494"/>
        </w:trPr>
        <w:tc>
          <w:tcPr>
            <w:shd w:val="clear" w:color="auto" w:fill="auto"/>
            <w:tcW w:w="6025" w:type="dxa"/>
            <w:vAlign w:val="center"/>
            <w:textDirection w:val="lrTb"/>
            <w:noWrap w:val="false"/>
          </w:tcPr>
          <w:p>
            <w:pPr>
              <w:pStyle w:val="774"/>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10-50亿元以上（含50亿元）</w:t>
            </w:r>
            <w:r/>
          </w:p>
        </w:tc>
        <w:tc>
          <w:tcPr>
            <w:shd w:val="clear" w:color="auto" w:fill="auto"/>
            <w:tcW w:w="2755" w:type="dxa"/>
            <w:vAlign w:val="center"/>
            <w:textDirection w:val="lrTb"/>
            <w:noWrap w:val="false"/>
          </w:tcPr>
          <w:p>
            <w:pPr>
              <w:pStyle w:val="774"/>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0.01%</w:t>
            </w:r>
            <w:r/>
          </w:p>
        </w:tc>
      </w:tr>
      <w:tr>
        <w:trPr>
          <w:tblCellSpacing w:w="0" w:type="dxa"/>
          <w:trHeight w:val="513"/>
        </w:trPr>
        <w:tc>
          <w:tcPr>
            <w:shd w:val="clear" w:color="auto" w:fill="auto"/>
            <w:tcW w:w="6025" w:type="dxa"/>
            <w:vAlign w:val="center"/>
            <w:textDirection w:val="lrTb"/>
            <w:noWrap w:val="false"/>
          </w:tcPr>
          <w:p>
            <w:pPr>
              <w:pStyle w:val="774"/>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50亿元以上</w:t>
            </w:r>
            <w:r/>
          </w:p>
        </w:tc>
        <w:tc>
          <w:tcPr>
            <w:shd w:val="clear" w:color="auto" w:fill="auto"/>
            <w:tcW w:w="2755" w:type="dxa"/>
            <w:vAlign w:val="center"/>
            <w:textDirection w:val="lrTb"/>
            <w:noWrap w:val="false"/>
          </w:tcPr>
          <w:p>
            <w:pPr>
              <w:pStyle w:val="774"/>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0.01%</w:t>
            </w:r>
            <w:r/>
          </w:p>
        </w:tc>
      </w:tr>
    </w:tbl>
    <w:p>
      <w:pPr>
        <w:pStyle w:val="774"/>
        <w:ind w:left="0" w:firstLine="2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说明：</w:t>
      </w:r>
      <w:r/>
    </w:p>
    <w:p>
      <w:pPr>
        <w:pStyle w:val="774"/>
        <w:ind w:left="0" w:firstLine="56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1.按上表计算的收费为代理服务全过程的收费金额。各社会代理机构不另外收取采购文件制作售卖费用。</w:t>
      </w:r>
      <w:r/>
    </w:p>
    <w:p>
      <w:pPr>
        <w:pStyle w:val="774"/>
        <w:ind w:left="0" w:firstLine="4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2.代理服务费按差额定率累进法计算。</w:t>
      </w:r>
      <w:r/>
    </w:p>
    <w:p>
      <w:pPr>
        <w:pStyle w:val="774"/>
        <w:ind w:left="0" w:firstLine="4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3.代理服务费基准金额（按差额定率累进法计算的）=中标金额（按差额定率累进法计算的）* 费率（%）</w:t>
      </w:r>
      <w:r/>
    </w:p>
    <w:p>
      <w:pPr>
        <w:pStyle w:val="774"/>
        <w:ind w:left="0" w:firstLine="4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4.代理服务费应收取金额=代理服务费基准金额（按差额定率累进法计算的）的合计数。</w:t>
      </w:r>
      <w:r/>
    </w:p>
    <w:p>
      <w:pPr>
        <w:pStyle w:val="774"/>
        <w:ind w:left="0" w:firstLine="4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5.计算出的代理服务费应收取金额如低于5千元，按5千元收取；</w:t>
      </w:r>
      <w:r/>
    </w:p>
    <w:p>
      <w:pPr>
        <w:pStyle w:val="774"/>
        <w:ind w:left="0" w:firstLine="480"/>
        <w:keepLines w:val="0"/>
        <w:keepNext w:val="0"/>
        <w:pageBreakBefore w:val="0"/>
        <w:spacing w:before="0" w:beforeAutospacing="0" w:after="0" w:afterAutospacing="0" w:line="460" w:lineRule="exact"/>
        <w:widowControl/>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6.定点类等无金额或事先不能计算出价格总额的项目，按中标（成交）金额100万元计算服务费。</w:t>
      </w:r>
      <w:r/>
    </w:p>
    <w:p>
      <w:pPr>
        <w:pStyle w:val="774"/>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8"/>
          <w:szCs w:val="28"/>
        </w:rPr>
      </w:r>
      <w:r/>
    </w:p>
    <w:p>
      <w:pPr>
        <w:pageBreakBefore w:val="0"/>
        <w:spacing w:line="460" w:lineRule="exact"/>
        <w:rPr>
          <w:rFonts w:hint="eastAsia"/>
          <w:highlight w:val="none"/>
        </w:rPr>
      </w:pPr>
      <w:r>
        <w:rPr>
          <w:rFonts w:hint="eastAsia"/>
          <w:highlight w:val="none"/>
        </w:rPr>
      </w:r>
      <w:r/>
    </w:p>
    <w:p>
      <w:pPr>
        <w:spacing w:line="48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sectPr>
      <w:headerReference w:type="default" r:id="rId10"/>
      <w:headerReference w:type="first" r:id="rId11"/>
      <w:footerReference w:type="default" r:id="rId12"/>
      <w:footerReference w:type="even" r:id="rId13"/>
      <w:footerReference w:type="first" r:id="rId14"/>
      <w:footnotePr/>
      <w:endnotePr/>
      <w:type w:val="nextColumn"/>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Courier New">
    <w:panose1 w:val="02070309020205020404"/>
  </w:font>
  <w:font w:name="PMingLiU">
    <w:panose1 w:val="02020500000000000000"/>
  </w:font>
  <w:font w:name="Cambria">
    <w:panose1 w:val="02040503050406030204"/>
  </w:font>
  <w:font w:name="黑体">
    <w:panose1 w:val="02010609060101010101"/>
  </w:font>
  <w:font w:name="仿宋_GB2312">
    <w:panose1 w:val="02010609060101010101"/>
  </w:font>
  <w:font w:name="Arial">
    <w:panose1 w:val="020B0604020202020204"/>
  </w:font>
  <w:font w:name="仿宋">
    <w:panose1 w:val="02010609060101010101"/>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v:textbox>
            </v:shape>
          </w:pict>
        </mc:Fallback>
      </mc:AlternateContent>
    </w:r>
    <w:r>
      <w:rPr>
        <w:lang w:val="zh-CN"/>
      </w:rPr>
      <w:t xml:space="preserve"> </w:t>
    </w:r>
    <w:r/>
  </w:p>
  <w:p>
    <w:pPr>
      <w:pStyle w:val="10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p>
  <w:p>
    <w:pPr>
      <w:pStyle w:val="10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right="360"/>
      <w:jc w:val="both"/>
      <w:pBdr>
        <w:bottom w:val="single" w:color="000000" w:sz="6"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5760"/>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right="360"/>
      <w:jc w:val="both"/>
      <w:tabs>
        <w:tab w:val="left" w:pos="6585" w:leader="none"/>
      </w:tabs>
      <w:pBdr>
        <w:bottom w:val="single" w:color="000000" w:sz="6"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pStyle w:val="842"/>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2">
    <w:name w:val="Heading 1"/>
    <w:basedOn w:val="741"/>
    <w:next w:val="741"/>
    <w:link w:val="1078"/>
    <w:uiPriority w:val="1"/>
    <w:qFormat/>
    <w:pPr>
      <w:ind w:left="1373"/>
      <w:jc w:val="left"/>
      <w:spacing w:before="59"/>
      <w:outlineLvl w:val="0"/>
    </w:pPr>
    <w:rPr>
      <w:rFonts w:ascii="仿宋" w:hAnsi="仿宋" w:eastAsia="仿宋" w:cs="仿宋"/>
      <w:b/>
      <w:bCs/>
      <w:sz w:val="30"/>
      <w:szCs w:val="30"/>
      <w:lang w:val="zh-CN" w:bidi="zh-CN"/>
    </w:rPr>
  </w:style>
  <w:style w:type="paragraph" w:styleId="743">
    <w:name w:val="Heading 2"/>
    <w:basedOn w:val="741"/>
    <w:next w:val="741"/>
    <w:link w:val="846"/>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847"/>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848"/>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849"/>
    <w:uiPriority w:val="9"/>
    <w:unhideWhenUsed/>
    <w:qFormat/>
    <w:pPr>
      <w:keepLines/>
      <w:keepNext/>
      <w:spacing w:before="320" w:after="200"/>
      <w:outlineLvl w:val="4"/>
    </w:pPr>
    <w:rPr>
      <w:rFonts w:ascii="Arial" w:hAnsi="Arial" w:eastAsia="Arial" w:cs="Arial"/>
      <w:b/>
      <w:bCs/>
      <w:sz w:val="24"/>
    </w:rPr>
  </w:style>
  <w:style w:type="paragraph" w:styleId="747">
    <w:name w:val="Heading 6"/>
    <w:basedOn w:val="741"/>
    <w:next w:val="741"/>
    <w:link w:val="850"/>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52"/>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53"/>
    <w:uiPriority w:val="9"/>
    <w:unhideWhenUsed/>
    <w:qFormat/>
    <w:pPr>
      <w:keepLines/>
      <w:keepNext/>
      <w:spacing w:before="320" w:after="200"/>
      <w:outlineLvl w:val="8"/>
    </w:pPr>
    <w:rPr>
      <w:rFonts w:ascii="Arial" w:hAnsi="Arial" w:eastAsia="Arial" w:cs="Arial"/>
      <w:i/>
      <w:iCs/>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Body Text First Indent"/>
    <w:basedOn w:val="754"/>
    <w:next w:val="755"/>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54">
    <w:name w:val="Body Text"/>
    <w:basedOn w:val="741"/>
    <w:next w:val="753"/>
    <w:uiPriority w:val="99"/>
    <w:semiHidden/>
    <w:unhideWhenUsed/>
    <w:qFormat/>
    <w:pPr>
      <w:spacing w:after="120"/>
    </w:pPr>
  </w:style>
  <w:style w:type="paragraph" w:styleId="755">
    <w:name w:val="toc 6"/>
    <w:basedOn w:val="741"/>
    <w:next w:val="741"/>
    <w:uiPriority w:val="39"/>
    <w:unhideWhenUsed/>
    <w:qFormat/>
    <w:pPr>
      <w:ind w:left="1417"/>
      <w:spacing w:after="57"/>
    </w:pPr>
  </w:style>
  <w:style w:type="paragraph" w:styleId="756">
    <w:name w:val="toc 7"/>
    <w:basedOn w:val="741"/>
    <w:next w:val="741"/>
    <w:uiPriority w:val="39"/>
    <w:unhideWhenUsed/>
    <w:qFormat/>
    <w:pPr>
      <w:ind w:left="1701"/>
      <w:spacing w:after="57"/>
    </w:pPr>
  </w:style>
  <w:style w:type="paragraph" w:styleId="757">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Body Text Indent"/>
    <w:basedOn w:val="741"/>
    <w:next w:val="759"/>
    <w:uiPriority w:val="0"/>
    <w:qFormat/>
    <w:pPr>
      <w:ind w:firstLine="567"/>
      <w:spacing w:line="500" w:lineRule="exact"/>
      <w:tabs>
        <w:tab w:val="left" w:pos="0" w:leader="none"/>
        <w:tab w:val="left" w:pos="993" w:leader="none"/>
        <w:tab w:val="left" w:pos="1134" w:leader="none"/>
      </w:tabs>
    </w:pPr>
    <w:rPr>
      <w:rFonts w:ascii="宋体"/>
    </w:rPr>
  </w:style>
  <w:style w:type="paragraph" w:styleId="759">
    <w:name w:val="envelope return"/>
    <w:basedOn w:val="741"/>
    <w:uiPriority w:val="0"/>
    <w:qFormat/>
    <w:pPr>
      <w:spacing w:after="200"/>
    </w:pPr>
    <w:rPr>
      <w:rFonts w:ascii="Arial" w:hAnsi="Arial" w:eastAsia="微软雅黑"/>
      <w:sz w:val="22"/>
      <w:szCs w:val="22"/>
    </w:rPr>
  </w:style>
  <w:style w:type="paragraph" w:styleId="760">
    <w:name w:val="Block Text"/>
    <w:basedOn w:val="741"/>
    <w:uiPriority w:val="0"/>
    <w:qFormat/>
    <w:pPr>
      <w:ind w:left="256" w:right="6" w:firstLine="624"/>
    </w:pPr>
    <w:rPr>
      <w:rFonts w:eastAsia="仿宋_GB2312"/>
      <w:sz w:val="28"/>
      <w:szCs w:val="20"/>
    </w:rPr>
  </w:style>
  <w:style w:type="paragraph" w:styleId="761">
    <w:name w:val="toc 5"/>
    <w:basedOn w:val="741"/>
    <w:next w:val="741"/>
    <w:uiPriority w:val="39"/>
    <w:unhideWhenUsed/>
    <w:qFormat/>
    <w:pPr>
      <w:ind w:left="1134"/>
      <w:spacing w:after="57"/>
    </w:pPr>
  </w:style>
  <w:style w:type="paragraph" w:styleId="762">
    <w:name w:val="toc 3"/>
    <w:basedOn w:val="741"/>
    <w:next w:val="741"/>
    <w:uiPriority w:val="39"/>
    <w:unhideWhenUsed/>
    <w:qFormat/>
    <w:pPr>
      <w:ind w:left="567"/>
      <w:spacing w:after="57"/>
    </w:pPr>
  </w:style>
  <w:style w:type="paragraph" w:styleId="763">
    <w:name w:val="toc 8"/>
    <w:basedOn w:val="741"/>
    <w:next w:val="741"/>
    <w:uiPriority w:val="39"/>
    <w:unhideWhenUsed/>
    <w:qFormat/>
    <w:pPr>
      <w:ind w:left="1984"/>
      <w:spacing w:after="57"/>
    </w:pPr>
  </w:style>
  <w:style w:type="paragraph" w:styleId="764">
    <w:name w:val="endnote text"/>
    <w:basedOn w:val="741"/>
    <w:link w:val="991"/>
    <w:uiPriority w:val="99"/>
    <w:semiHidden/>
    <w:unhideWhenUsed/>
    <w:qFormat/>
    <w:rPr>
      <w:sz w:val="20"/>
    </w:rPr>
  </w:style>
  <w:style w:type="paragraph" w:styleId="765">
    <w:name w:val="Footer"/>
    <w:basedOn w:val="741"/>
    <w:link w:val="864"/>
    <w:uiPriority w:val="99"/>
    <w:unhideWhenUsed/>
    <w:qFormat/>
    <w:pPr>
      <w:tabs>
        <w:tab w:val="center" w:pos="7143" w:leader="none"/>
        <w:tab w:val="right" w:pos="14287" w:leader="none"/>
      </w:tabs>
    </w:pPr>
  </w:style>
  <w:style w:type="paragraph" w:styleId="766">
    <w:name w:val="Header"/>
    <w:basedOn w:val="741"/>
    <w:link w:val="862"/>
    <w:uiPriority w:val="99"/>
    <w:unhideWhenUsed/>
    <w:qFormat/>
    <w:pPr>
      <w:tabs>
        <w:tab w:val="center" w:pos="7143" w:leader="none"/>
        <w:tab w:val="right" w:pos="14287" w:leader="none"/>
      </w:tabs>
    </w:pPr>
  </w:style>
  <w:style w:type="paragraph" w:styleId="767">
    <w:name w:val="toc 1"/>
    <w:basedOn w:val="741"/>
    <w:next w:val="741"/>
    <w:uiPriority w:val="39"/>
    <w:unhideWhenUsed/>
    <w:qFormat/>
    <w:pPr>
      <w:spacing w:after="57"/>
    </w:pPr>
  </w:style>
  <w:style w:type="paragraph" w:styleId="768">
    <w:name w:val="toc 4"/>
    <w:basedOn w:val="741"/>
    <w:next w:val="741"/>
    <w:uiPriority w:val="39"/>
    <w:unhideWhenUsed/>
    <w:qFormat/>
    <w:pPr>
      <w:ind w:left="850"/>
      <w:spacing w:after="57"/>
    </w:pPr>
  </w:style>
  <w:style w:type="paragraph" w:styleId="769">
    <w:name w:val="Subtitle"/>
    <w:basedOn w:val="741"/>
    <w:next w:val="741"/>
    <w:link w:val="857"/>
    <w:uiPriority w:val="11"/>
    <w:qFormat/>
    <w:pPr>
      <w:spacing w:before="200" w:after="200"/>
    </w:pPr>
    <w:rPr>
      <w:sz w:val="24"/>
    </w:rPr>
  </w:style>
  <w:style w:type="paragraph" w:styleId="770">
    <w:name w:val="footnote text"/>
    <w:basedOn w:val="741"/>
    <w:link w:val="990"/>
    <w:uiPriority w:val="99"/>
    <w:semiHidden/>
    <w:unhideWhenUsed/>
    <w:qFormat/>
    <w:pPr>
      <w:spacing w:after="40"/>
    </w:pPr>
    <w:rPr>
      <w:sz w:val="18"/>
    </w:rPr>
  </w:style>
  <w:style w:type="paragraph" w:styleId="771">
    <w:name w:val="table of figures"/>
    <w:basedOn w:val="741"/>
    <w:next w:val="741"/>
    <w:uiPriority w:val="99"/>
    <w:unhideWhenUsed/>
    <w:qFormat/>
  </w:style>
  <w:style w:type="paragraph" w:styleId="772">
    <w:name w:val="toc 2"/>
    <w:basedOn w:val="741"/>
    <w:next w:val="741"/>
    <w:uiPriority w:val="39"/>
    <w:unhideWhenUsed/>
    <w:qFormat/>
    <w:pPr>
      <w:ind w:left="283"/>
      <w:spacing w:after="57"/>
    </w:pPr>
  </w:style>
  <w:style w:type="paragraph" w:styleId="773">
    <w:name w:val="toc 9"/>
    <w:basedOn w:val="741"/>
    <w:next w:val="741"/>
    <w:uiPriority w:val="39"/>
    <w:unhideWhenUsed/>
    <w:qFormat/>
    <w:pPr>
      <w:ind w:left="2268"/>
      <w:spacing w:after="57"/>
    </w:pPr>
  </w:style>
  <w:style w:type="paragraph" w:styleId="774">
    <w:name w:val="Normal (Web)"/>
    <w:basedOn w:val="741"/>
    <w:uiPriority w:val="99"/>
    <w:semiHidden/>
    <w:unhideWhenUsed/>
    <w:qFormat/>
    <w:rPr>
      <w:sz w:val="24"/>
    </w:rPr>
  </w:style>
  <w:style w:type="paragraph" w:styleId="775">
    <w:name w:val="Title"/>
    <w:basedOn w:val="741"/>
    <w:next w:val="741"/>
    <w:link w:val="856"/>
    <w:uiPriority w:val="10"/>
    <w:qFormat/>
    <w:pPr>
      <w:contextualSpacing/>
      <w:spacing w:before="300" w:after="200"/>
    </w:pPr>
    <w:rPr>
      <w:sz w:val="48"/>
      <w:szCs w:val="48"/>
    </w:rPr>
  </w:style>
  <w:style w:type="paragraph" w:styleId="776">
    <w:name w:val="Body Text First Indent 2"/>
    <w:basedOn w:val="758"/>
    <w:next w:val="741"/>
    <w:uiPriority w:val="0"/>
    <w:qFormat/>
    <w:pPr>
      <w:ind w:left="420" w:firstLine="420"/>
      <w:spacing w:after="120" w:line="240" w:lineRule="auto"/>
    </w:pPr>
    <w:rPr>
      <w:rFonts w:ascii="Times New Roman"/>
    </w:rPr>
  </w:style>
  <w:style w:type="table" w:styleId="7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uiPriority w:val="99"/>
    <w:semiHidden/>
    <w:unhideWhenUsed/>
    <w:qFormat/>
    <w:rPr>
      <w:vertAlign w:val="superscript"/>
    </w:rPr>
  </w:style>
  <w:style w:type="character" w:styleId="779">
    <w:name w:val="FollowedHyperlink"/>
    <w:basedOn w:val="751"/>
    <w:uiPriority w:val="99"/>
    <w:semiHidden/>
    <w:unhideWhenUsed/>
    <w:qFormat/>
    <w:rPr>
      <w:color w:val="333333"/>
      <w:u w:val="none"/>
    </w:rPr>
  </w:style>
  <w:style w:type="character" w:styleId="780">
    <w:name w:val="Hyperlink"/>
    <w:uiPriority w:val="99"/>
    <w:unhideWhenUsed/>
    <w:qFormat/>
    <w:rPr>
      <w:color w:val="0000ff" w:themeColor="hyperlink"/>
      <w:u w:val="single"/>
      <w14:textFill>
        <w14:solidFill>
          <w14:schemeClr w14:val="hlink"/>
        </w14:solidFill>
      </w14:textFill>
    </w:rPr>
  </w:style>
  <w:style w:type="character" w:styleId="781">
    <w:name w:val="footnote reference"/>
    <w:uiPriority w:val="99"/>
    <w:unhideWhenUsed/>
    <w:qFormat/>
    <w:rPr>
      <w:vertAlign w:val="superscript"/>
    </w:rPr>
  </w:style>
  <w:style w:type="paragraph" w:styleId="782" w:customStyle="1">
    <w:name w:val="style4"/>
    <w:basedOn w:val="783"/>
    <w:next w:val="784"/>
    <w:uiPriority w:val="0"/>
    <w:qFormat/>
    <w:pPr>
      <w:spacing w:before="280" w:after="280"/>
      <w:widowControl/>
    </w:pPr>
    <w:rPr>
      <w:rFonts w:ascii="宋体"/>
      <w:sz w:val="18"/>
    </w:rPr>
  </w:style>
  <w:style w:type="paragraph" w:styleId="783" w:customStyle="1">
    <w:name w:val="正文_0"/>
    <w:next w:val="753"/>
    <w:uiPriority w:val="0"/>
    <w:qFormat/>
    <w:pPr>
      <w:jc w:val="both"/>
      <w:widowControl w:val="off"/>
    </w:pPr>
    <w:rPr>
      <w:rFonts w:hint="default" w:ascii="Calibri" w:hAnsi="Calibri" w:eastAsia="宋体" w:cs="Times New Roman"/>
      <w:sz w:val="21"/>
      <w:szCs w:val="24"/>
    </w:rPr>
  </w:style>
  <w:style w:type="paragraph" w:styleId="784" w:customStyle="1">
    <w:name w:val="2"/>
    <w:next w:val="741"/>
    <w:uiPriority w:val="0"/>
    <w:qFormat/>
    <w:pPr>
      <w:jc w:val="both"/>
      <w:widowControl w:val="off"/>
    </w:pPr>
    <w:rPr>
      <w:rFonts w:hint="default" w:ascii="Times New Roman" w:hAnsi="Times New Roman" w:eastAsia="宋体" w:cs="Times New Roman"/>
      <w:sz w:val="21"/>
      <w:szCs w:val="22"/>
    </w:rPr>
  </w:style>
  <w:style w:type="character" w:styleId="785" w:customStyle="1">
    <w:name w:val="Heading 2 Char"/>
    <w:basedOn w:val="751"/>
    <w:uiPriority w:val="9"/>
    <w:qFormat/>
    <w:rPr>
      <w:rFonts w:ascii="Arial" w:hAnsi="Arial" w:eastAsia="Arial" w:cs="Arial"/>
      <w:sz w:val="34"/>
    </w:rPr>
  </w:style>
  <w:style w:type="character" w:styleId="786" w:customStyle="1">
    <w:name w:val="Heading 3 Char"/>
    <w:basedOn w:val="751"/>
    <w:uiPriority w:val="9"/>
    <w:qFormat/>
    <w:rPr>
      <w:rFonts w:ascii="Arial" w:hAnsi="Arial" w:eastAsia="Arial" w:cs="Arial"/>
      <w:sz w:val="30"/>
      <w:szCs w:val="30"/>
    </w:rPr>
  </w:style>
  <w:style w:type="character" w:styleId="787" w:customStyle="1">
    <w:name w:val="Heading 4 Char"/>
    <w:basedOn w:val="751"/>
    <w:uiPriority w:val="9"/>
    <w:qFormat/>
    <w:rPr>
      <w:rFonts w:ascii="Arial" w:hAnsi="Arial" w:eastAsia="Arial" w:cs="Arial"/>
      <w:b/>
      <w:bCs/>
      <w:sz w:val="26"/>
      <w:szCs w:val="26"/>
    </w:rPr>
  </w:style>
  <w:style w:type="character" w:styleId="788" w:customStyle="1">
    <w:name w:val="Heading 5 Char"/>
    <w:basedOn w:val="751"/>
    <w:uiPriority w:val="9"/>
    <w:qFormat/>
    <w:rPr>
      <w:rFonts w:ascii="Arial" w:hAnsi="Arial" w:eastAsia="Arial" w:cs="Arial"/>
      <w:b/>
      <w:bCs/>
      <w:sz w:val="24"/>
      <w:szCs w:val="24"/>
    </w:rPr>
  </w:style>
  <w:style w:type="character" w:styleId="789" w:customStyle="1">
    <w:name w:val="Heading 6 Char"/>
    <w:basedOn w:val="751"/>
    <w:uiPriority w:val="9"/>
    <w:qFormat/>
    <w:rPr>
      <w:rFonts w:ascii="Arial" w:hAnsi="Arial" w:eastAsia="Arial" w:cs="Arial"/>
      <w:b/>
      <w:bCs/>
      <w:sz w:val="22"/>
      <w:szCs w:val="22"/>
    </w:rPr>
  </w:style>
  <w:style w:type="character" w:styleId="790" w:customStyle="1">
    <w:name w:val="Heading 7 Char"/>
    <w:basedOn w:val="751"/>
    <w:uiPriority w:val="9"/>
    <w:qFormat/>
    <w:rPr>
      <w:rFonts w:ascii="Arial" w:hAnsi="Arial" w:eastAsia="Arial" w:cs="Arial"/>
      <w:b/>
      <w:bCs/>
      <w:i/>
      <w:iCs/>
      <w:sz w:val="22"/>
      <w:szCs w:val="22"/>
    </w:rPr>
  </w:style>
  <w:style w:type="character" w:styleId="791" w:customStyle="1">
    <w:name w:val="Heading 8 Char"/>
    <w:basedOn w:val="751"/>
    <w:uiPriority w:val="9"/>
    <w:qFormat/>
    <w:rPr>
      <w:rFonts w:ascii="Arial" w:hAnsi="Arial" w:eastAsia="Arial" w:cs="Arial"/>
      <w:i/>
      <w:iCs/>
      <w:sz w:val="22"/>
      <w:szCs w:val="22"/>
    </w:rPr>
  </w:style>
  <w:style w:type="character" w:styleId="792" w:customStyle="1">
    <w:name w:val="Heading 9 Char"/>
    <w:basedOn w:val="751"/>
    <w:uiPriority w:val="9"/>
    <w:qFormat/>
    <w:rPr>
      <w:rFonts w:ascii="Arial" w:hAnsi="Arial" w:eastAsia="Arial" w:cs="Arial"/>
      <w:i/>
      <w:iCs/>
      <w:sz w:val="21"/>
      <w:szCs w:val="21"/>
    </w:rPr>
  </w:style>
  <w:style w:type="character" w:styleId="793" w:customStyle="1">
    <w:name w:val="Title Char"/>
    <w:basedOn w:val="751"/>
    <w:uiPriority w:val="10"/>
    <w:qFormat/>
    <w:rPr>
      <w:sz w:val="48"/>
      <w:szCs w:val="48"/>
    </w:rPr>
  </w:style>
  <w:style w:type="character" w:styleId="794" w:customStyle="1">
    <w:name w:val="Subtitle Char"/>
    <w:basedOn w:val="751"/>
    <w:uiPriority w:val="11"/>
    <w:qFormat/>
    <w:rPr>
      <w:sz w:val="24"/>
      <w:szCs w:val="24"/>
    </w:rPr>
  </w:style>
  <w:style w:type="character" w:styleId="795" w:customStyle="1">
    <w:name w:val="Quote Char"/>
    <w:uiPriority w:val="29"/>
    <w:qFormat/>
    <w:rPr>
      <w:i/>
    </w:rPr>
  </w:style>
  <w:style w:type="character" w:styleId="796" w:customStyle="1">
    <w:name w:val="Intense Quote Char"/>
    <w:uiPriority w:val="30"/>
    <w:qFormat/>
    <w:rPr>
      <w:i/>
    </w:rPr>
  </w:style>
  <w:style w:type="character" w:styleId="797" w:customStyle="1">
    <w:name w:val="Header Char"/>
    <w:basedOn w:val="751"/>
    <w:uiPriority w:val="99"/>
    <w:qFormat/>
  </w:style>
  <w:style w:type="character" w:styleId="798" w:customStyle="1">
    <w:name w:val="Caption Char"/>
    <w:uiPriority w:val="99"/>
    <w:qFormat/>
  </w:style>
  <w:style w:type="table" w:styleId="799"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8" w:customStyle="1">
    <w:name w:val="Footnote Text Char"/>
    <w:uiPriority w:val="99"/>
    <w:qFormat/>
    <w:rPr>
      <w:sz w:val="18"/>
    </w:rPr>
  </w:style>
  <w:style w:type="character" w:styleId="819" w:customStyle="1">
    <w:name w:val="Endnote Text Char"/>
    <w:uiPriority w:val="99"/>
    <w:qFormat/>
    <w:rPr>
      <w:sz w:val="20"/>
    </w:rPr>
  </w:style>
  <w:style w:type="paragraph" w:styleId="820" w:customStyle="1">
    <w:name w:val="TOC Heading"/>
    <w:uiPriority w:val="39"/>
    <w:unhideWhenUsed/>
    <w:qFormat/>
    <w:rPr>
      <w:rFonts w:hint="default" w:ascii="Times New Roman" w:hAnsi="Times New Roman" w:eastAsia="宋体" w:cs="Times New Roman"/>
    </w:rPr>
  </w:style>
  <w:style w:type="paragraph" w:styleId="821" w:customStyle="1">
    <w:name w:val="段"/>
    <w:basedOn w:val="822"/>
    <w:next w:val="822"/>
    <w:uiPriority w:val="99"/>
    <w:qFormat/>
    <w:pPr>
      <w:ind w:firstLine="200"/>
      <w:widowControl/>
    </w:pPr>
    <w:rPr>
      <w:rFonts w:ascii="宋体"/>
      <w:sz w:val="20"/>
      <w:szCs w:val="20"/>
    </w:rPr>
  </w:style>
  <w:style w:type="paragraph" w:styleId="822" w:customStyle="1">
    <w:name w:val="正文11"/>
    <w:next w:val="8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3" w:customStyle="1">
    <w:name w:val="正文首行缩进11"/>
    <w:basedOn w:val="824"/>
    <w:next w:val="829"/>
    <w:uiPriority w:val="0"/>
    <w:qFormat/>
    <w:pPr>
      <w:ind w:firstLine="200"/>
      <w:spacing w:line="360" w:lineRule="auto"/>
      <w:tabs>
        <w:tab w:val="left" w:pos="420" w:leader="none"/>
      </w:tabs>
    </w:pPr>
    <w:rPr>
      <w:rFonts w:ascii="仿宋_GB2312" w:hAnsi="Calibri" w:eastAsia="仿宋_GB2312"/>
      <w:sz w:val="30"/>
      <w:szCs w:val="30"/>
    </w:rPr>
  </w:style>
  <w:style w:type="paragraph" w:styleId="824" w:customStyle="1">
    <w:name w:val="正文文本1"/>
    <w:basedOn w:val="825"/>
    <w:next w:val="831"/>
    <w:uiPriority w:val="0"/>
    <w:qFormat/>
    <w:pPr>
      <w:tabs>
        <w:tab w:val="left" w:pos="420" w:leader="none"/>
      </w:tabs>
    </w:pPr>
    <w:rPr>
      <w:rFonts w:eastAsia="黑体"/>
      <w:bCs/>
      <w:spacing w:val="20"/>
      <w:sz w:val="56"/>
    </w:rPr>
  </w:style>
  <w:style w:type="paragraph" w:styleId="825" w:customStyle="1">
    <w:name w:val="正文13"/>
    <w:next w:val="8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6" w:customStyle="1">
    <w:name w:val="正文首行缩进1"/>
    <w:basedOn w:val="827"/>
    <w:next w:val="829"/>
    <w:uiPriority w:val="0"/>
    <w:qFormat/>
    <w:pPr>
      <w:ind w:firstLine="100"/>
      <w:tabs>
        <w:tab w:val="left" w:pos="180" w:leader="none"/>
      </w:tabs>
    </w:pPr>
  </w:style>
  <w:style w:type="paragraph" w:styleId="827" w:customStyle="1">
    <w:name w:val="正文文本11"/>
    <w:basedOn w:val="828"/>
    <w:next w:val="822"/>
    <w:uiPriority w:val="0"/>
    <w:qFormat/>
    <w:pPr>
      <w:spacing w:after="120"/>
    </w:pPr>
  </w:style>
  <w:style w:type="paragraph" w:styleId="828" w:customStyle="1">
    <w:name w:val="正文112"/>
    <w:next w:val="8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正文首行缩进 211"/>
    <w:basedOn w:val="830"/>
    <w:uiPriority w:val="0"/>
    <w:qFormat/>
    <w:pPr>
      <w:ind w:left="0" w:firstLine="420"/>
      <w:spacing w:after="0"/>
    </w:pPr>
    <w:rPr>
      <w:sz w:val="24"/>
    </w:rPr>
  </w:style>
  <w:style w:type="paragraph" w:styleId="830" w:customStyle="1">
    <w:name w:val="正文文本缩进11"/>
    <w:basedOn w:val="828"/>
    <w:next w:val="828"/>
    <w:uiPriority w:val="0"/>
    <w:qFormat/>
    <w:pPr>
      <w:ind w:left="420"/>
      <w:spacing w:after="120"/>
    </w:pPr>
  </w:style>
  <w:style w:type="paragraph" w:styleId="831" w:customStyle="1">
    <w:name w:val="一级条标题"/>
    <w:basedOn w:val="832"/>
    <w:next w:val="821"/>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832" w:customStyle="1">
    <w:name w:val="章标题"/>
    <w:next w:val="741"/>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833" w:customStyle="1">
    <w:name w:val="正文111"/>
    <w:next w:val="8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正文首行缩进 21"/>
    <w:basedOn w:val="835"/>
    <w:next w:val="833"/>
    <w:uiPriority w:val="0"/>
    <w:qFormat/>
    <w:pPr>
      <w:ind w:left="0" w:firstLine="420"/>
      <w:spacing w:after="0" w:line="360" w:lineRule="auto"/>
    </w:pPr>
    <w:rPr>
      <w:rFonts w:ascii="宋体" w:hAnsi="宋体"/>
      <w:sz w:val="20"/>
      <w:szCs w:val="20"/>
    </w:rPr>
  </w:style>
  <w:style w:type="paragraph" w:styleId="835" w:customStyle="1">
    <w:name w:val="正文文本缩进1"/>
    <w:basedOn w:val="822"/>
    <w:next w:val="836"/>
    <w:uiPriority w:val="0"/>
    <w:qFormat/>
    <w:pPr>
      <w:ind w:left="420"/>
      <w:spacing w:after="120"/>
    </w:pPr>
  </w:style>
  <w:style w:type="paragraph" w:styleId="836" w:customStyle="1">
    <w:name w:val="寄信人地址1"/>
    <w:basedOn w:val="741"/>
    <w:uiPriority w:val="99"/>
    <w:unhideWhenUsed/>
    <w:qFormat/>
    <w:rPr>
      <w:rFonts w:ascii="Arial" w:hAnsi="Arial"/>
    </w:rPr>
  </w:style>
  <w:style w:type="paragraph" w:styleId="837" w:customStyle="1">
    <w:name w:val="正文1"/>
    <w:basedOn w:val="741"/>
    <w:next w:val="838"/>
    <w:uiPriority w:val="0"/>
    <w:qFormat/>
    <w:pPr>
      <w:ind w:firstLine="432"/>
      <w:spacing w:line="360" w:lineRule="auto"/>
      <w:tabs>
        <w:tab w:val="left" w:pos="420" w:leader="none"/>
      </w:tabs>
    </w:pPr>
    <w:rPr>
      <w:rFonts w:ascii="宋体" w:hAnsi="宋体"/>
      <w:b/>
      <w:sz w:val="24"/>
    </w:rPr>
  </w:style>
  <w:style w:type="paragraph" w:styleId="838" w:customStyle="1">
    <w:name w:val="标题 21"/>
    <w:basedOn w:val="741"/>
    <w:next w:val="822"/>
    <w:link w:val="999"/>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839" w:customStyle="1">
    <w:name w:val="正文12"/>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列出段落1"/>
    <w:basedOn w:val="841"/>
    <w:next w:val="842"/>
    <w:uiPriority w:val="0"/>
    <w:qFormat/>
    <w:pPr>
      <w:ind w:left="480"/>
      <w:jc w:val="left"/>
    </w:pPr>
    <w:rPr>
      <w:rFonts w:eastAsia="PMingLiU"/>
      <w:sz w:val="24"/>
      <w:szCs w:val="20"/>
      <w:lang w:eastAsia="zh-TW"/>
    </w:rPr>
  </w:style>
  <w:style w:type="paragraph" w:styleId="841"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标题 71"/>
    <w:basedOn w:val="828"/>
    <w:next w:val="828"/>
    <w:uiPriority w:val="0"/>
    <w:qFormat/>
    <w:pPr>
      <w:numPr>
        <w:ilvl w:val="6"/>
        <w:numId w:val="1"/>
      </w:numPr>
      <w:keepLines/>
      <w:keepNext/>
      <w:spacing w:before="240" w:after="64" w:line="320" w:lineRule="auto"/>
      <w:outlineLvl w:val="6"/>
    </w:pPr>
    <w:rPr>
      <w:b/>
      <w:bCs/>
      <w:sz w:val="24"/>
    </w:rPr>
  </w:style>
  <w:style w:type="paragraph" w:styleId="843" w:customStyle="1">
    <w:name w:val="寄信人地址11"/>
    <w:basedOn w:val="741"/>
    <w:uiPriority w:val="99"/>
    <w:unhideWhenUsed/>
    <w:qFormat/>
    <w:rPr>
      <w:rFonts w:ascii="Arial" w:hAnsi="Arial"/>
    </w:rPr>
  </w:style>
  <w:style w:type="paragraph" w:styleId="844" w:customStyle="1">
    <w:name w:val="正文缩进1"/>
    <w:basedOn w:val="741"/>
    <w:next w:val="822"/>
    <w:uiPriority w:val="99"/>
    <w:unhideWhenUsed/>
    <w:qFormat/>
    <w:pPr>
      <w:ind w:firstLine="420"/>
    </w:pPr>
  </w:style>
  <w:style w:type="character" w:styleId="845" w:customStyle="1">
    <w:name w:val="Heading 1 Char"/>
    <w:uiPriority w:val="9"/>
    <w:qFormat/>
    <w:rPr>
      <w:rFonts w:ascii="Arial" w:hAnsi="Arial" w:eastAsia="Arial" w:cs="Arial"/>
      <w:sz w:val="40"/>
      <w:szCs w:val="40"/>
    </w:rPr>
  </w:style>
  <w:style w:type="character" w:styleId="846" w:customStyle="1">
    <w:name w:val="标题 2 字符"/>
    <w:link w:val="743"/>
    <w:uiPriority w:val="9"/>
    <w:qFormat/>
    <w:rPr>
      <w:rFonts w:ascii="Arial" w:hAnsi="Arial" w:eastAsia="Arial" w:cs="Arial"/>
      <w:sz w:val="34"/>
    </w:rPr>
  </w:style>
  <w:style w:type="character" w:styleId="847" w:customStyle="1">
    <w:name w:val="标题 3 字符"/>
    <w:link w:val="744"/>
    <w:uiPriority w:val="9"/>
    <w:qFormat/>
    <w:rPr>
      <w:rFonts w:ascii="Arial" w:hAnsi="Arial" w:eastAsia="Arial" w:cs="Arial"/>
      <w:sz w:val="30"/>
      <w:szCs w:val="30"/>
    </w:rPr>
  </w:style>
  <w:style w:type="character" w:styleId="848" w:customStyle="1">
    <w:name w:val="标题 4 字符"/>
    <w:link w:val="745"/>
    <w:uiPriority w:val="9"/>
    <w:qFormat/>
    <w:rPr>
      <w:rFonts w:ascii="Arial" w:hAnsi="Arial" w:eastAsia="Arial" w:cs="Arial"/>
      <w:b/>
      <w:bCs/>
      <w:sz w:val="26"/>
      <w:szCs w:val="26"/>
    </w:rPr>
  </w:style>
  <w:style w:type="character" w:styleId="849" w:customStyle="1">
    <w:name w:val="标题 5 字符"/>
    <w:link w:val="746"/>
    <w:uiPriority w:val="9"/>
    <w:qFormat/>
    <w:rPr>
      <w:rFonts w:ascii="Arial" w:hAnsi="Arial" w:eastAsia="Arial" w:cs="Arial"/>
      <w:b/>
      <w:bCs/>
      <w:sz w:val="24"/>
      <w:szCs w:val="24"/>
    </w:rPr>
  </w:style>
  <w:style w:type="character" w:styleId="850" w:customStyle="1">
    <w:name w:val="标题 6 字符"/>
    <w:link w:val="747"/>
    <w:uiPriority w:val="9"/>
    <w:qFormat/>
    <w:rPr>
      <w:rFonts w:ascii="Arial" w:hAnsi="Arial" w:eastAsia="Arial" w:cs="Arial"/>
      <w:b/>
      <w:bCs/>
      <w:sz w:val="22"/>
      <w:szCs w:val="22"/>
    </w:rPr>
  </w:style>
  <w:style w:type="character" w:styleId="851" w:customStyle="1">
    <w:name w:val="标题 7 字符"/>
    <w:link w:val="748"/>
    <w:uiPriority w:val="9"/>
    <w:qFormat/>
    <w:rPr>
      <w:rFonts w:ascii="Arial" w:hAnsi="Arial" w:eastAsia="Arial" w:cs="Arial"/>
      <w:b/>
      <w:bCs/>
      <w:i/>
      <w:iCs/>
      <w:sz w:val="22"/>
      <w:szCs w:val="22"/>
    </w:rPr>
  </w:style>
  <w:style w:type="character" w:styleId="852" w:customStyle="1">
    <w:name w:val="标题 8 字符"/>
    <w:link w:val="749"/>
    <w:uiPriority w:val="9"/>
    <w:qFormat/>
    <w:rPr>
      <w:rFonts w:ascii="Arial" w:hAnsi="Arial" w:eastAsia="Arial" w:cs="Arial"/>
      <w:i/>
      <w:iCs/>
      <w:sz w:val="22"/>
      <w:szCs w:val="22"/>
    </w:rPr>
  </w:style>
  <w:style w:type="character" w:styleId="853" w:customStyle="1">
    <w:name w:val="标题 9 字符"/>
    <w:link w:val="750"/>
    <w:uiPriority w:val="9"/>
    <w:qFormat/>
    <w:rPr>
      <w:rFonts w:ascii="Arial" w:hAnsi="Arial" w:eastAsia="Arial" w:cs="Arial"/>
      <w:i/>
      <w:iCs/>
      <w:sz w:val="21"/>
      <w:szCs w:val="21"/>
    </w:rPr>
  </w:style>
  <w:style w:type="paragraph" w:styleId="854">
    <w:name w:val="List Paragraph"/>
    <w:basedOn w:val="741"/>
    <w:uiPriority w:val="34"/>
    <w:qFormat/>
    <w:pPr>
      <w:contextualSpacing/>
      <w:ind w:left="720"/>
    </w:pPr>
  </w:style>
  <w:style w:type="paragraph" w:styleId="855">
    <w:name w:val="No Spacing"/>
    <w:uiPriority w:val="1"/>
    <w:qFormat/>
    <w:rPr>
      <w:rFonts w:hint="default" w:ascii="Times New Roman" w:hAnsi="Times New Roman" w:eastAsia="宋体" w:cs="Times New Roman"/>
      <w:lang w:val="en-US" w:eastAsia="zh-CN" w:bidi="ar-SA"/>
    </w:rPr>
  </w:style>
  <w:style w:type="character" w:styleId="856" w:customStyle="1">
    <w:name w:val="标题 字符"/>
    <w:link w:val="775"/>
    <w:uiPriority w:val="10"/>
    <w:qFormat/>
    <w:rPr>
      <w:sz w:val="48"/>
      <w:szCs w:val="48"/>
    </w:rPr>
  </w:style>
  <w:style w:type="character" w:styleId="857" w:customStyle="1">
    <w:name w:val="副标题 字符"/>
    <w:link w:val="769"/>
    <w:uiPriority w:val="11"/>
    <w:qFormat/>
    <w:rPr>
      <w:sz w:val="24"/>
      <w:szCs w:val="24"/>
    </w:rPr>
  </w:style>
  <w:style w:type="paragraph" w:styleId="858">
    <w:name w:val="Quote"/>
    <w:basedOn w:val="741"/>
    <w:next w:val="741"/>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741"/>
    <w:next w:val="741"/>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页眉 字符"/>
    <w:link w:val="766"/>
    <w:uiPriority w:val="99"/>
    <w:qFormat/>
  </w:style>
  <w:style w:type="character" w:styleId="863" w:customStyle="1">
    <w:name w:val="Footer Char"/>
    <w:uiPriority w:val="99"/>
    <w:qFormat/>
  </w:style>
  <w:style w:type="character" w:styleId="864" w:customStyle="1">
    <w:name w:val="页脚 字符"/>
    <w:link w:val="765"/>
    <w:uiPriority w:val="99"/>
    <w:qFormat/>
  </w:style>
  <w:style w:type="table" w:styleId="8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脚注文本 字符"/>
    <w:link w:val="770"/>
    <w:uiPriority w:val="99"/>
    <w:qFormat/>
    <w:rPr>
      <w:sz w:val="18"/>
    </w:rPr>
  </w:style>
  <w:style w:type="character" w:styleId="991" w:customStyle="1">
    <w:name w:val="尾注文本 字符"/>
    <w:link w:val="764"/>
    <w:uiPriority w:val="99"/>
    <w:qFormat/>
    <w:rPr>
      <w:sz w:val="20"/>
    </w:rPr>
  </w:style>
  <w:style w:type="paragraph" w:styleId="992" w:customStyle="1">
    <w:name w:val="TOC 标题1"/>
    <w:uiPriority w:val="39"/>
    <w:unhideWhenUsed/>
    <w:qFormat/>
    <w:rPr>
      <w:rFonts w:hint="default" w:ascii="Times New Roman" w:hAnsi="Times New Roman" w:eastAsia="宋体" w:cs="Times New Roman"/>
      <w:lang w:val="en-US" w:eastAsia="zh-CN" w:bidi="ar-SA"/>
    </w:rPr>
  </w:style>
  <w:style w:type="paragraph" w:styleId="993" w:customStyle="1">
    <w:name w:val="标题 11"/>
    <w:basedOn w:val="741"/>
    <w:next w:val="741"/>
    <w:link w:val="998"/>
    <w:uiPriority w:val="0"/>
    <w:qFormat/>
    <w:pPr>
      <w:keepLines/>
      <w:keepNext/>
      <w:spacing w:before="340" w:after="330" w:line="576" w:lineRule="auto"/>
      <w:outlineLvl w:val="0"/>
    </w:pPr>
    <w:rPr>
      <w:b/>
      <w:sz w:val="44"/>
      <w:szCs w:val="20"/>
    </w:rPr>
  </w:style>
  <w:style w:type="paragraph" w:styleId="994" w:customStyle="1">
    <w:name w:val="标题 31"/>
    <w:basedOn w:val="741"/>
    <w:next w:val="741"/>
    <w:uiPriority w:val="1"/>
    <w:qFormat/>
    <w:pPr>
      <w:ind w:left="50" w:right="31"/>
      <w:jc w:val="center"/>
      <w:spacing w:before="39"/>
      <w:outlineLvl w:val="2"/>
    </w:pPr>
    <w:rPr>
      <w:sz w:val="30"/>
      <w:szCs w:val="30"/>
    </w:rPr>
  </w:style>
  <w:style w:type="paragraph" w:styleId="995" w:customStyle="1">
    <w:name w:val="标题 411"/>
    <w:basedOn w:val="741"/>
    <w:next w:val="741"/>
    <w:uiPriority w:val="0"/>
    <w:qFormat/>
    <w:pPr>
      <w:keepLines/>
      <w:keepNext/>
      <w:spacing w:before="280" w:after="290" w:line="376" w:lineRule="auto"/>
      <w:outlineLvl w:val="3"/>
    </w:pPr>
    <w:rPr>
      <w:rFonts w:ascii="Cambria" w:hAnsi="Cambria"/>
      <w:b/>
      <w:bCs/>
      <w:sz w:val="28"/>
      <w:szCs w:val="28"/>
    </w:rPr>
  </w:style>
  <w:style w:type="character" w:styleId="996" w:customStyle="1">
    <w:name w:val="默认段落字体1"/>
    <w:uiPriority w:val="0"/>
    <w:qFormat/>
    <w:rPr>
      <w:rFonts w:ascii="Times New Roman" w:hAnsi="Times New Roman" w:eastAsia="宋体" w:cs="Times New Roman"/>
    </w:rPr>
  </w:style>
  <w:style w:type="table" w:styleId="997" w:customStyle="1">
    <w:name w:val="普通表格1"/>
    <w:uiPriority w:val="0"/>
    <w:qFormat/>
    <w:tblPr>
      <w:tblCellMar>
        <w:left w:w="0" w:type="dxa"/>
        <w:top w:w="0" w:type="dxa"/>
        <w:right w:w="0" w:type="dxa"/>
        <w:bottom w:w="0" w:type="dxa"/>
      </w:tblCellMar>
    </w:tblPr>
  </w:style>
  <w:style w:type="character" w:styleId="998" w:customStyle="1">
    <w:name w:val="标题 1 Char"/>
    <w:link w:val="993"/>
    <w:uiPriority w:val="0"/>
    <w:qFormat/>
    <w:rPr>
      <w:b/>
      <w:sz w:val="44"/>
    </w:rPr>
  </w:style>
  <w:style w:type="character" w:styleId="999" w:customStyle="1">
    <w:name w:val="标题 2 Char"/>
    <w:link w:val="838"/>
    <w:uiPriority w:val="0"/>
    <w:qFormat/>
    <w:rPr>
      <w:rFonts w:ascii="Cambria" w:hAnsi="Cambria" w:eastAsia="宋体" w:cs="Times New Roman"/>
      <w:b/>
      <w:bCs/>
      <w:sz w:val="28"/>
      <w:szCs w:val="32"/>
    </w:rPr>
  </w:style>
  <w:style w:type="paragraph" w:styleId="1000" w:customStyle="1">
    <w:name w:val="索引 51"/>
    <w:basedOn w:val="741"/>
    <w:next w:val="741"/>
    <w:uiPriority w:val="0"/>
    <w:qFormat/>
    <w:pPr>
      <w:ind w:left="798"/>
      <w:jc w:val="left"/>
    </w:pPr>
    <w:rPr>
      <w:rFonts w:ascii="Calibri" w:hAnsi="Calibri"/>
    </w:rPr>
  </w:style>
  <w:style w:type="paragraph" w:styleId="1001" w:customStyle="1">
    <w:name w:val="批注文字1"/>
    <w:basedOn w:val="741"/>
    <w:link w:val="1002"/>
    <w:uiPriority w:val="0"/>
    <w:qFormat/>
    <w:pPr>
      <w:jc w:val="left"/>
    </w:pPr>
  </w:style>
  <w:style w:type="character" w:styleId="1002" w:customStyle="1">
    <w:name w:val="批注文字 Char"/>
    <w:link w:val="1001"/>
    <w:uiPriority w:val="0"/>
    <w:qFormat/>
    <w:rPr>
      <w:rFonts w:ascii="Times New Roman" w:hAnsi="Times New Roman" w:eastAsia="宋体" w:cs="Times New Roman"/>
      <w:sz w:val="21"/>
      <w:szCs w:val="24"/>
    </w:rPr>
  </w:style>
  <w:style w:type="paragraph" w:styleId="1003" w:customStyle="1">
    <w:name w:val="列表 21"/>
    <w:basedOn w:val="741"/>
    <w:uiPriority w:val="0"/>
    <w:qFormat/>
    <w:pPr>
      <w:ind w:left="100" w:hanging="200"/>
    </w:pPr>
  </w:style>
  <w:style w:type="paragraph" w:styleId="1004" w:customStyle="1">
    <w:name w:val="文本块1"/>
    <w:basedOn w:val="741"/>
    <w:next w:val="741"/>
    <w:uiPriority w:val="0"/>
    <w:qFormat/>
    <w:pPr>
      <w:ind w:left="256" w:right="6" w:firstLine="624"/>
    </w:pPr>
    <w:rPr>
      <w:rFonts w:eastAsia="仿宋_GB2312"/>
      <w:sz w:val="28"/>
      <w:szCs w:val="20"/>
    </w:rPr>
  </w:style>
  <w:style w:type="paragraph" w:styleId="1005" w:customStyle="1">
    <w:name w:val="纯文本1"/>
    <w:basedOn w:val="741"/>
    <w:link w:val="1006"/>
    <w:uiPriority w:val="0"/>
    <w:qFormat/>
    <w:rPr>
      <w:rFonts w:ascii="宋体" w:hAnsi="Courier New"/>
      <w:szCs w:val="21"/>
    </w:rPr>
  </w:style>
  <w:style w:type="character" w:styleId="1006" w:customStyle="1">
    <w:name w:val="纯文本 Char"/>
    <w:link w:val="1005"/>
    <w:uiPriority w:val="0"/>
    <w:qFormat/>
    <w:rPr>
      <w:rFonts w:ascii="宋体" w:hAnsi="Courier New" w:eastAsia="宋体" w:cs="Times New Roman"/>
      <w:sz w:val="21"/>
      <w:szCs w:val="21"/>
      <w:lang w:bidi="ar-SA"/>
    </w:rPr>
  </w:style>
  <w:style w:type="paragraph" w:styleId="1007" w:customStyle="1">
    <w:name w:val="正文文本缩进 21"/>
    <w:basedOn w:val="741"/>
    <w:uiPriority w:val="99"/>
    <w:qFormat/>
    <w:pPr>
      <w:ind w:left="630" w:firstLine="645"/>
    </w:pPr>
    <w:rPr>
      <w:rFonts w:ascii="Arial" w:hAnsi="Arial" w:eastAsia="仿宋_GB2312" w:cs="Arial"/>
      <w:sz w:val="32"/>
      <w:szCs w:val="32"/>
    </w:rPr>
  </w:style>
  <w:style w:type="paragraph" w:styleId="1008" w:customStyle="1">
    <w:name w:val="批注框文本1"/>
    <w:basedOn w:val="741"/>
    <w:link w:val="1009"/>
    <w:uiPriority w:val="0"/>
    <w:qFormat/>
    <w:rPr>
      <w:sz w:val="18"/>
      <w:szCs w:val="18"/>
    </w:rPr>
  </w:style>
  <w:style w:type="character" w:styleId="1009" w:customStyle="1">
    <w:name w:val="批注框文本 Char"/>
    <w:link w:val="1008"/>
    <w:uiPriority w:val="0"/>
    <w:qFormat/>
    <w:rPr>
      <w:rFonts w:ascii="Times New Roman" w:hAnsi="Times New Roman" w:eastAsia="宋体" w:cs="Times New Roman"/>
      <w:sz w:val="18"/>
      <w:szCs w:val="18"/>
    </w:rPr>
  </w:style>
  <w:style w:type="paragraph" w:styleId="1010" w:customStyle="1">
    <w:name w:val="页脚1"/>
    <w:basedOn w:val="741"/>
    <w:link w:val="1011"/>
    <w:uiPriority w:val="99"/>
    <w:qFormat/>
    <w:pPr>
      <w:jc w:val="left"/>
      <w:tabs>
        <w:tab w:val="center" w:pos="4153" w:leader="none"/>
        <w:tab w:val="right" w:pos="8306" w:leader="none"/>
      </w:tabs>
    </w:pPr>
    <w:rPr>
      <w:sz w:val="18"/>
      <w:szCs w:val="18"/>
    </w:rPr>
  </w:style>
  <w:style w:type="character" w:styleId="1011" w:customStyle="1">
    <w:name w:val="页脚 Char"/>
    <w:link w:val="1010"/>
    <w:uiPriority w:val="99"/>
    <w:qFormat/>
    <w:rPr>
      <w:sz w:val="18"/>
      <w:szCs w:val="18"/>
    </w:rPr>
  </w:style>
  <w:style w:type="paragraph" w:styleId="1012" w:customStyle="1">
    <w:name w:val="页眉1"/>
    <w:basedOn w:val="741"/>
    <w:link w:val="1013"/>
    <w:uiPriority w:val="99"/>
    <w:qFormat/>
    <w:pPr>
      <w:jc w:val="center"/>
      <w:tabs>
        <w:tab w:val="center" w:pos="4153" w:leader="none"/>
        <w:tab w:val="right" w:pos="8306" w:leader="none"/>
      </w:tabs>
      <w:pBdr>
        <w:bottom w:val="single" w:color="000000" w:sz="6" w:space="1"/>
      </w:pBdr>
    </w:pPr>
    <w:rPr>
      <w:sz w:val="18"/>
      <w:szCs w:val="18"/>
    </w:rPr>
  </w:style>
  <w:style w:type="character" w:styleId="1013" w:customStyle="1">
    <w:name w:val="页眉 Char"/>
    <w:link w:val="1012"/>
    <w:uiPriority w:val="99"/>
    <w:qFormat/>
    <w:rPr>
      <w:sz w:val="18"/>
      <w:szCs w:val="18"/>
    </w:rPr>
  </w:style>
  <w:style w:type="paragraph" w:styleId="1014" w:customStyle="1">
    <w:name w:val="脚注文本1"/>
    <w:basedOn w:val="741"/>
    <w:next w:val="1000"/>
    <w:uiPriority w:val="0"/>
    <w:qFormat/>
    <w:pPr>
      <w:jc w:val="left"/>
    </w:pPr>
    <w:rPr>
      <w:rFonts w:ascii="宋体" w:eastAsia="Times New Roman"/>
      <w:sz w:val="18"/>
      <w:szCs w:val="18"/>
    </w:rPr>
  </w:style>
  <w:style w:type="paragraph" w:styleId="1015" w:customStyle="1">
    <w:name w:val="普通(网站)1"/>
    <w:basedOn w:val="741"/>
    <w:uiPriority w:val="0"/>
    <w:qFormat/>
    <w:pPr>
      <w:jc w:val="left"/>
      <w:spacing w:before="100" w:beforeAutospacing="1" w:after="100" w:afterAutospacing="1"/>
      <w:widowControl/>
    </w:pPr>
    <w:rPr>
      <w:rFonts w:ascii="宋体" w:hAnsi="宋体" w:cs="宋体"/>
      <w:sz w:val="24"/>
    </w:rPr>
  </w:style>
  <w:style w:type="paragraph" w:styleId="1016" w:customStyle="1">
    <w:name w:val="标题1"/>
    <w:basedOn w:val="741"/>
    <w:next w:val="741"/>
    <w:uiPriority w:val="10"/>
    <w:qFormat/>
    <w:pPr>
      <w:jc w:val="center"/>
      <w:spacing w:before="240" w:after="60"/>
      <w:outlineLvl w:val="0"/>
    </w:pPr>
    <w:rPr>
      <w:rFonts w:ascii="Cambria" w:hAnsi="Cambria"/>
      <w:b/>
      <w:bCs/>
      <w:sz w:val="32"/>
      <w:szCs w:val="32"/>
    </w:rPr>
  </w:style>
  <w:style w:type="paragraph" w:styleId="1017" w:customStyle="1">
    <w:name w:val="批注主题1"/>
    <w:basedOn w:val="1001"/>
    <w:next w:val="1001"/>
    <w:link w:val="1018"/>
    <w:uiPriority w:val="0"/>
    <w:qFormat/>
    <w:rPr>
      <w:b/>
      <w:bCs/>
    </w:rPr>
  </w:style>
  <w:style w:type="character" w:styleId="1018" w:customStyle="1">
    <w:name w:val="批注主题 Char"/>
    <w:link w:val="1017"/>
    <w:uiPriority w:val="0"/>
    <w:qFormat/>
    <w:rPr>
      <w:rFonts w:ascii="Times New Roman" w:hAnsi="Times New Roman" w:eastAsia="宋体" w:cs="Times New Roman"/>
      <w:b/>
      <w:bCs/>
      <w:sz w:val="21"/>
      <w:szCs w:val="24"/>
    </w:rPr>
  </w:style>
  <w:style w:type="table" w:styleId="1019" w:customStyle="1">
    <w:name w:val="网格型1"/>
    <w:basedOn w:val="997"/>
    <w:uiPriority w:val="0"/>
    <w:qFormat/>
    <w:tblPr>
      <w:tblCellMar>
        <w:left w:w="0" w:type="dxa"/>
        <w:top w:w="0" w:type="dxa"/>
        <w:right w:w="0" w:type="dxa"/>
        <w:bottom w:w="0" w:type="dxa"/>
      </w:tblCellMar>
    </w:tblPr>
  </w:style>
  <w:style w:type="character" w:styleId="1020" w:customStyle="1">
    <w:name w:val="页码1"/>
    <w:basedOn w:val="996"/>
    <w:uiPriority w:val="0"/>
    <w:qFormat/>
    <w:rPr>
      <w:rFonts w:ascii="Times New Roman" w:hAnsi="Times New Roman" w:eastAsia="宋体" w:cs="Times New Roman"/>
    </w:rPr>
  </w:style>
  <w:style w:type="character" w:styleId="1021" w:customStyle="1">
    <w:name w:val="已访问的超链接1"/>
    <w:uiPriority w:val="0"/>
    <w:qFormat/>
    <w:rPr>
      <w:color w:val="771caa"/>
      <w:u w:val="none"/>
    </w:rPr>
  </w:style>
  <w:style w:type="character" w:styleId="1022" w:customStyle="1">
    <w:name w:val="强调1"/>
    <w:uiPriority w:val="0"/>
    <w:qFormat/>
    <w:rPr>
      <w:color w:val="f73131"/>
    </w:rPr>
  </w:style>
  <w:style w:type="character" w:styleId="1023" w:customStyle="1">
    <w:name w:val="超链接1"/>
    <w:uiPriority w:val="99"/>
    <w:unhideWhenUsed/>
    <w:qFormat/>
    <w:rPr>
      <w:color w:val="2440b3"/>
      <w:u w:val="none"/>
    </w:rPr>
  </w:style>
  <w:style w:type="character" w:styleId="1024" w:customStyle="1">
    <w:name w:val="批注引用1"/>
    <w:uiPriority w:val="0"/>
    <w:qFormat/>
    <w:rPr>
      <w:rFonts w:ascii="Times New Roman" w:hAnsi="Times New Roman" w:eastAsia="宋体" w:cs="Times New Roman"/>
      <w:sz w:val="21"/>
      <w:szCs w:val="21"/>
    </w:rPr>
  </w:style>
  <w:style w:type="character" w:styleId="1025" w:customStyle="1">
    <w:name w:val="HTML 引文1"/>
    <w:uiPriority w:val="0"/>
    <w:qFormat/>
    <w:rPr>
      <w:color w:val="008000"/>
    </w:rPr>
  </w:style>
  <w:style w:type="paragraph" w:styleId="1026" w:customStyle="1">
    <w:name w:val="样式 正文文本缩进 + 首行缩进:  2 字符 行距: 1.5 倍行距"/>
    <w:basedOn w:val="835"/>
    <w:uiPriority w:val="0"/>
    <w:qFormat/>
    <w:pPr>
      <w:ind w:firstLine="645"/>
      <w:spacing w:before="156"/>
    </w:pPr>
    <w:rPr>
      <w:rFonts w:ascii="Calibri" w:hAnsi="Calibri" w:cs="宋体"/>
      <w:sz w:val="28"/>
    </w:rPr>
  </w:style>
  <w:style w:type="paragraph" w:styleId="1027" w:customStyle="1">
    <w:name w:val="首行缩进"/>
    <w:basedOn w:val="741"/>
    <w:next w:val="741"/>
    <w:uiPriority w:val="0"/>
    <w:qFormat/>
    <w:pPr>
      <w:ind w:firstLine="480"/>
      <w:spacing w:line="360" w:lineRule="auto"/>
    </w:pPr>
    <w:rPr>
      <w:rFonts w:ascii="宋体" w:hAnsi="宋体" w:cs="宋体"/>
      <w:sz w:val="24"/>
    </w:rPr>
  </w:style>
  <w:style w:type="paragraph" w:styleId="1028" w:customStyle="1">
    <w:name w:val="表格文字"/>
    <w:basedOn w:val="741"/>
    <w:next w:val="827"/>
    <w:uiPriority w:val="0"/>
    <w:qFormat/>
    <w:pPr>
      <w:jc w:val="left"/>
    </w:pPr>
    <w:rPr>
      <w:bCs/>
      <w:spacing w:val="10"/>
      <w:szCs w:val="20"/>
    </w:rPr>
  </w:style>
  <w:style w:type="character" w:styleId="1029" w:customStyle="1">
    <w:name w:val="无间隔 Char"/>
    <w:link w:val="1030"/>
    <w:uiPriority w:val="1"/>
    <w:qFormat/>
    <w:rPr>
      <w:sz w:val="22"/>
      <w:szCs w:val="22"/>
      <w:lang w:val="en-US" w:eastAsia="zh-CN" w:bidi="ar-SA"/>
    </w:rPr>
  </w:style>
  <w:style w:type="paragraph" w:styleId="1030" w:customStyle="1">
    <w:name w:val="无间隔1"/>
    <w:link w:val="1029"/>
    <w:uiPriority w:val="1"/>
    <w:qFormat/>
    <w:rPr>
      <w:rFonts w:hint="default" w:ascii="Times New Roman" w:hAnsi="Times New Roman" w:eastAsia="宋体" w:cs="Times New Roman"/>
      <w:sz w:val="22"/>
      <w:szCs w:val="22"/>
      <w:lang w:val="en-US" w:eastAsia="zh-CN" w:bidi="ar-SA"/>
    </w:rPr>
  </w:style>
  <w:style w:type="paragraph" w:styleId="1031" w:customStyle="1">
    <w:name w:val="Table Paragraph"/>
    <w:basedOn w:val="741"/>
    <w:uiPriority w:val="1"/>
    <w:qFormat/>
    <w:pPr>
      <w:jc w:val="left"/>
    </w:pPr>
    <w:rPr>
      <w:rFonts w:ascii="仿宋" w:hAnsi="仿宋" w:eastAsia="仿宋" w:cs="仿宋"/>
      <w:sz w:val="22"/>
      <w:szCs w:val="22"/>
      <w:lang w:val="zh-CN" w:bidi="zh-CN"/>
    </w:rPr>
  </w:style>
  <w:style w:type="paragraph" w:styleId="1032" w:customStyle="1">
    <w:name w:val="+正文"/>
    <w:basedOn w:val="741"/>
    <w:uiPriority w:val="0"/>
    <w:qFormat/>
    <w:pPr>
      <w:ind w:firstLine="200"/>
      <w:jc w:val="left"/>
      <w:spacing w:line="500" w:lineRule="exact"/>
    </w:pPr>
    <w:rPr>
      <w:sz w:val="24"/>
      <w:szCs w:val="28"/>
    </w:rPr>
  </w:style>
  <w:style w:type="paragraph" w:styleId="1033" w:customStyle="1">
    <w:name w:val="Char"/>
    <w:basedOn w:val="741"/>
    <w:uiPriority w:val="0"/>
    <w:qFormat/>
    <w:pPr>
      <w:tabs>
        <w:tab w:val="left" w:pos="360" w:leader="none"/>
      </w:tabs>
    </w:pPr>
    <w:rPr>
      <w:sz w:val="24"/>
    </w:rPr>
  </w:style>
  <w:style w:type="paragraph" w:styleId="1034" w:customStyle="1">
    <w:name w:val="默认段落字体 Para Char Char Char Char Char Char Char"/>
    <w:basedOn w:val="741"/>
    <w:uiPriority w:val="0"/>
    <w:qFormat/>
    <w:rPr>
      <w:rFonts w:ascii="Tahoma" w:hAnsi="Tahoma"/>
      <w:sz w:val="24"/>
      <w:szCs w:val="20"/>
    </w:rPr>
  </w:style>
  <w:style w:type="paragraph" w:styleId="1035" w:customStyle="1">
    <w:name w:val="表格3"/>
    <w:basedOn w:val="741"/>
    <w:uiPriority w:val="0"/>
    <w:qFormat/>
    <w:pPr>
      <w:jc w:val="center"/>
    </w:pPr>
  </w:style>
  <w:style w:type="paragraph" w:styleId="1036" w:customStyle="1">
    <w:name w:val="列出段落"/>
    <w:basedOn w:val="741"/>
    <w:next w:val="741"/>
    <w:uiPriority w:val="34"/>
    <w:qFormat/>
    <w:pPr>
      <w:ind w:firstLine="420"/>
      <w:jc w:val="left"/>
      <w:spacing w:line="360" w:lineRule="atLeast"/>
    </w:pPr>
    <w:rPr>
      <w:sz w:val="24"/>
    </w:rPr>
  </w:style>
  <w:style w:type="table" w:styleId="1037"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038" w:customStyle="1">
    <w:name w:val="样式"/>
    <w:basedOn w:val="741"/>
    <w:uiPriority w:val="0"/>
    <w:qFormat/>
    <w:pPr>
      <w:jc w:val="left"/>
    </w:pPr>
    <w:rPr>
      <w:rFonts w:ascii="宋体" w:hAnsi="宋体" w:cs="宋体"/>
      <w:sz w:val="24"/>
    </w:rPr>
  </w:style>
  <w:style w:type="character" w:styleId="1039" w:customStyle="1">
    <w:name w:val="c-icon"/>
    <w:uiPriority w:val="0"/>
    <w:qFormat/>
  </w:style>
  <w:style w:type="character" w:styleId="1040" w:customStyle="1">
    <w:name w:val="hover24"/>
    <w:uiPriority w:val="0"/>
    <w:qFormat/>
    <w:rPr>
      <w:color w:val="315efb"/>
    </w:rPr>
  </w:style>
  <w:style w:type="character" w:styleId="1041" w:customStyle="1">
    <w:name w:val="hover25"/>
    <w:uiPriority w:val="0"/>
    <w:qFormat/>
  </w:style>
  <w:style w:type="character" w:styleId="1042" w:customStyle="1">
    <w:name w:val="hover26"/>
    <w:uiPriority w:val="0"/>
    <w:qFormat/>
  </w:style>
  <w:style w:type="character" w:styleId="1043" w:customStyle="1">
    <w:name w:val="hover27"/>
    <w:uiPriority w:val="0"/>
    <w:qFormat/>
    <w:rPr>
      <w:color w:val="315efb"/>
    </w:rPr>
  </w:style>
  <w:style w:type="character" w:styleId="1044" w:customStyle="1">
    <w:name w:val="c-icon30"/>
    <w:uiPriority w:val="0"/>
    <w:qFormat/>
  </w:style>
  <w:style w:type="character" w:styleId="1045" w:customStyle="1">
    <w:name w:val="page-cur"/>
    <w:uiPriority w:val="0"/>
    <w:qFormat/>
    <w:rPr>
      <w:color w:val="999999"/>
      <w:u w:val="none"/>
      <w:shd w:val="clear" w:color="auto" w:fill="fafafa"/>
    </w:rPr>
  </w:style>
  <w:style w:type="character" w:styleId="1046" w:customStyle="1">
    <w:name w:val="page-start"/>
    <w:uiPriority w:val="0"/>
    <w:qFormat/>
    <w:rPr>
      <w:color w:val="999999"/>
      <w:u w:val="none"/>
      <w:shd w:val="clear" w:color="auto" w:fill="fafafa"/>
    </w:rPr>
  </w:style>
  <w:style w:type="character" w:styleId="1047" w:customStyle="1">
    <w:name w:val="chewduserlogo"/>
    <w:uiPriority w:val="0"/>
    <w:qFormat/>
  </w:style>
  <w:style w:type="character" w:styleId="1048" w:customStyle="1">
    <w:name w:val="font11"/>
    <w:basedOn w:val="996"/>
    <w:uiPriority w:val="0"/>
    <w:qFormat/>
    <w:rPr>
      <w:rFonts w:hint="eastAsia" w:ascii="宋体" w:hAnsi="宋体" w:eastAsia="宋体" w:cs="宋体"/>
      <w:color w:val="000000"/>
      <w:sz w:val="28"/>
      <w:szCs w:val="28"/>
      <w:u w:val="none"/>
      <w:vertAlign w:val="superscript"/>
    </w:rPr>
  </w:style>
  <w:style w:type="character" w:styleId="1049" w:customStyle="1">
    <w:name w:val="awspan"/>
    <w:uiPriority w:val="0"/>
    <w:qFormat/>
  </w:style>
  <w:style w:type="paragraph" w:styleId="1050" w:customStyle="1">
    <w:name w:val="表格文本"/>
    <w:basedOn w:val="741"/>
    <w:uiPriority w:val="0"/>
    <w:qFormat/>
    <w:pPr>
      <w:jc w:val="center"/>
    </w:pPr>
    <w:rPr>
      <w:rFonts w:ascii="宋体" w:hAnsi="宋体"/>
      <w:bCs/>
      <w:szCs w:val="21"/>
    </w:rPr>
  </w:style>
  <w:style w:type="character" w:styleId="1051" w:customStyle="1">
    <w:name w:val="awspan1"/>
    <w:uiPriority w:val="0"/>
    <w:qFormat/>
    <w:rPr>
      <w:color w:val="000000"/>
      <w:sz w:val="24"/>
      <w:szCs w:val="24"/>
    </w:rPr>
  </w:style>
  <w:style w:type="paragraph" w:styleId="1052" w:customStyle="1">
    <w:name w:val="[基本段落]"/>
    <w:basedOn w:val="741"/>
    <w:uiPriority w:val="99"/>
    <w:qFormat/>
    <w:pPr>
      <w:spacing w:line="288" w:lineRule="auto"/>
    </w:pPr>
    <w:rPr>
      <w:rFonts w:ascii="宋体" w:cs="宋体"/>
      <w:color w:val="000000"/>
      <w:sz w:val="24"/>
      <w:lang w:val="zh-CN"/>
    </w:rPr>
  </w:style>
  <w:style w:type="character" w:styleId="1053" w:customStyle="1">
    <w:name w:val="font01"/>
    <w:uiPriority w:val="0"/>
    <w:qFormat/>
    <w:rPr>
      <w:rFonts w:hint="eastAsia" w:ascii="宋体" w:hAnsi="宋体" w:eastAsia="宋体" w:cs="宋体"/>
      <w:color w:val="000000"/>
      <w:sz w:val="18"/>
      <w:szCs w:val="18"/>
      <w:u w:val="none"/>
    </w:rPr>
  </w:style>
  <w:style w:type="paragraph" w:styleId="1054" w:customStyle="1">
    <w:name w:val="列表段落1"/>
    <w:basedOn w:val="741"/>
    <w:uiPriority w:val="0"/>
    <w:qFormat/>
    <w:pPr>
      <w:ind w:firstLine="420"/>
    </w:pPr>
    <w:rPr>
      <w:rFonts w:ascii="Calibri" w:hAnsi="Calibri"/>
      <w:szCs w:val="22"/>
    </w:rPr>
  </w:style>
  <w:style w:type="paragraph" w:styleId="1055" w:customStyle="1">
    <w:name w:val="样式 首行缩进:  2 字符"/>
    <w:basedOn w:val="741"/>
    <w:uiPriority w:val="0"/>
    <w:qFormat/>
    <w:pPr>
      <w:ind w:firstLine="200"/>
      <w:spacing w:line="400" w:lineRule="exact"/>
    </w:pPr>
    <w:rPr>
      <w:rFonts w:ascii="Calibri" w:hAnsi="Calibri" w:cs="宋体"/>
      <w:sz w:val="24"/>
    </w:rPr>
  </w:style>
  <w:style w:type="paragraph" w:styleId="1056" w:customStyle="1">
    <w:name w:val="标题 41"/>
    <w:basedOn w:val="839"/>
    <w:next w:val="839"/>
    <w:uiPriority w:val="0"/>
    <w:qFormat/>
    <w:pPr>
      <w:keepLines/>
      <w:keepNext/>
      <w:spacing w:before="280" w:after="290" w:line="376" w:lineRule="auto"/>
      <w:outlineLvl w:val="3"/>
    </w:pPr>
    <w:rPr>
      <w:rFonts w:ascii="Cambria" w:hAnsi="Cambria"/>
      <w:b/>
      <w:bCs/>
      <w:sz w:val="28"/>
      <w:szCs w:val="28"/>
    </w:rPr>
  </w:style>
  <w:style w:type="character" w:styleId="1057" w:customStyle="1">
    <w:name w:val="NormalCharacter1"/>
    <w:uiPriority w:val="0"/>
    <w:qFormat/>
    <w:rPr>
      <w:sz w:val="21"/>
      <w:szCs w:val="24"/>
      <w:lang w:val="en-US" w:eastAsia="zh-CN" w:bidi="ar-SA"/>
    </w:rPr>
  </w:style>
  <w:style w:type="paragraph" w:styleId="1058" w:customStyle="1">
    <w:name w:val="正文360首行缩进"/>
    <w:basedOn w:val="741"/>
    <w:uiPriority w:val="0"/>
    <w:qFormat/>
    <w:pPr>
      <w:ind w:firstLine="200"/>
      <w:spacing w:before="120" w:line="300" w:lineRule="auto"/>
    </w:pPr>
    <w:rPr>
      <w:szCs w:val="20"/>
    </w:rPr>
  </w:style>
  <w:style w:type="paragraph" w:styleId="1059" w:customStyle="1">
    <w:name w:val="BodyTextIndent1"/>
    <w:basedOn w:val="741"/>
    <w:next w:val="1060"/>
    <w:uiPriority w:val="0"/>
    <w:qFormat/>
    <w:pPr>
      <w:ind w:left="420"/>
      <w:spacing w:after="120"/>
    </w:pPr>
  </w:style>
  <w:style w:type="paragraph" w:styleId="1060" w:customStyle="1">
    <w:name w:val="EnvelopeReturn1"/>
    <w:basedOn w:val="741"/>
    <w:uiPriority w:val="0"/>
    <w:qFormat/>
    <w:rPr>
      <w:rFonts w:ascii="Arial" w:hAnsi="Arial"/>
    </w:rPr>
  </w:style>
  <w:style w:type="character" w:styleId="1061" w:customStyle="1">
    <w:name w:val="font21"/>
    <w:basedOn w:val="996"/>
    <w:uiPriority w:val="0"/>
    <w:qFormat/>
    <w:rPr>
      <w:rFonts w:hint="eastAsia" w:ascii="宋体" w:hAnsi="宋体" w:eastAsia="宋体" w:cs="宋体"/>
      <w:color w:val="ff0000"/>
      <w:sz w:val="22"/>
      <w:szCs w:val="22"/>
      <w:u w:val="none"/>
    </w:rPr>
  </w:style>
  <w:style w:type="paragraph" w:styleId="1062" w:customStyle="1">
    <w:name w:val="UserStyle_291"/>
    <w:uiPriority w:val="0"/>
    <w:qFormat/>
    <w:rPr>
      <w:rFonts w:hint="default" w:ascii="黑体" w:hAnsi="黑体" w:eastAsia="黑体" w:cs="Times New Roman"/>
      <w:b/>
      <w:sz w:val="32"/>
      <w:szCs w:val="24"/>
      <w:lang w:val="en-US" w:eastAsia="zh-CN" w:bidi="ar-SA"/>
    </w:rPr>
  </w:style>
  <w:style w:type="paragraph" w:styleId="1063" w:customStyle="1">
    <w:name w:val="目录 11"/>
    <w:basedOn w:val="833"/>
    <w:next w:val="833"/>
    <w:uiPriority w:val="0"/>
    <w:qFormat/>
    <w:pPr>
      <w:jc w:val="left"/>
      <w:spacing w:after="100" w:line="259" w:lineRule="auto"/>
      <w:widowControl/>
    </w:pPr>
    <w:rPr>
      <w:rFonts w:ascii="Calibri" w:hAnsi="Calibri"/>
      <w:sz w:val="22"/>
      <w:szCs w:val="22"/>
    </w:rPr>
  </w:style>
  <w:style w:type="character" w:styleId="1064" w:customStyle="1">
    <w:name w:val="font91"/>
    <w:basedOn w:val="996"/>
    <w:uiPriority w:val="0"/>
    <w:qFormat/>
    <w:rPr>
      <w:rFonts w:hint="eastAsia" w:ascii="宋体" w:hAnsi="宋体" w:eastAsia="宋体" w:cs="宋体"/>
      <w:color w:val="ff0000"/>
      <w:sz w:val="22"/>
      <w:szCs w:val="22"/>
      <w:u w:val="none"/>
    </w:rPr>
  </w:style>
  <w:style w:type="character" w:styleId="1065" w:customStyle="1">
    <w:name w:val="font112"/>
    <w:basedOn w:val="996"/>
    <w:uiPriority w:val="0"/>
    <w:qFormat/>
    <w:rPr>
      <w:rFonts w:hint="eastAsia" w:ascii="宋体" w:hAnsi="宋体" w:eastAsia="宋体" w:cs="宋体"/>
      <w:color w:val="000000"/>
      <w:sz w:val="22"/>
      <w:szCs w:val="22"/>
      <w:u w:val="none"/>
    </w:rPr>
  </w:style>
  <w:style w:type="paragraph" w:styleId="1066" w:customStyle="1">
    <w:name w:val="正文文本 21"/>
    <w:basedOn w:val="741"/>
    <w:uiPriority w:val="0"/>
    <w:qFormat/>
    <w:pPr>
      <w:ind w:firstLine="640"/>
      <w:jc w:val="center"/>
      <w:spacing w:line="300" w:lineRule="auto"/>
    </w:pPr>
    <w:rPr>
      <w:rFonts w:hint="eastAsia" w:ascii="宋体" w:hAnsi="宋体"/>
    </w:rPr>
  </w:style>
  <w:style w:type="paragraph" w:styleId="1067" w:customStyle="1">
    <w:name w:val="正文1111"/>
    <w:next w:val="10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目录 112"/>
    <w:basedOn w:val="1067"/>
    <w:next w:val="1067"/>
    <w:uiPriority w:val="0"/>
    <w:qFormat/>
  </w:style>
  <w:style w:type="paragraph" w:styleId="1069" w:customStyle="1">
    <w:name w:val="Default"/>
    <w:uiPriority w:val="0"/>
    <w:qFormat/>
    <w:pPr>
      <w:widowControl w:val="off"/>
    </w:pPr>
    <w:rPr>
      <w:rFonts w:hint="default" w:ascii="宋体" w:hAnsi="Courier New" w:eastAsia="宋体" w:cs="黑体"/>
      <w:color w:val="000000"/>
      <w:sz w:val="24"/>
      <w:lang w:val="en-US" w:eastAsia="zh-CN" w:bidi="ar-SA"/>
    </w:rPr>
  </w:style>
  <w:style w:type="paragraph" w:styleId="1070" w:customStyle="1">
    <w:name w:val="公文正文"/>
    <w:basedOn w:val="741"/>
    <w:uiPriority w:val="0"/>
    <w:qFormat/>
    <w:pPr>
      <w:ind w:firstLine="200"/>
      <w:spacing w:line="560" w:lineRule="exact"/>
    </w:pPr>
    <w:rPr>
      <w:rFonts w:ascii="仿宋_GB2312" w:hAnsi="仿宋_GB2312" w:eastAsia="仿宋_GB2312" w:cs="仿宋_GB2312"/>
      <w:sz w:val="32"/>
      <w:szCs w:val="32"/>
      <w:lang w:val="zh-CN"/>
    </w:rPr>
  </w:style>
  <w:style w:type="paragraph" w:styleId="1071" w:customStyle="1">
    <w:name w:val="Table Text"/>
    <w:basedOn w:val="741"/>
    <w:uiPriority w:val="0"/>
    <w:semiHidden/>
    <w:qFormat/>
    <w:rPr>
      <w:rFonts w:ascii="宋体" w:hAnsi="宋体" w:cs="宋体"/>
      <w:sz w:val="20"/>
      <w:szCs w:val="20"/>
    </w:rPr>
  </w:style>
  <w:style w:type="paragraph" w:styleId="1072" w:customStyle="1">
    <w:name w:val="表格"/>
    <w:basedOn w:val="741"/>
    <w:uiPriority w:val="0"/>
    <w:qFormat/>
    <w:pPr>
      <w:ind w:firstLine="0"/>
      <w:jc w:val="center"/>
      <w:spacing w:line="240" w:lineRule="auto"/>
    </w:pPr>
    <w:rPr>
      <w:rFonts w:hint="eastAsia"/>
    </w:rPr>
  </w:style>
  <w:style w:type="paragraph" w:styleId="1073" w:customStyle="1">
    <w:name w:val="Heading 4"/>
    <w:basedOn w:val="741"/>
    <w:next w:val="741"/>
    <w:uiPriority w:val="0"/>
    <w:qFormat/>
    <w:pPr>
      <w:jc w:val="center"/>
      <w:keepNext/>
      <w:outlineLvl w:val="3"/>
    </w:pPr>
    <w:rPr>
      <w:rFonts w:eastAsia="新宋体"/>
      <w:sz w:val="30"/>
      <w:szCs w:val="21"/>
    </w:rPr>
  </w:style>
  <w:style w:type="paragraph" w:styleId="1074" w:customStyle="1">
    <w:name w:val="标题 211"/>
    <w:basedOn w:val="741"/>
    <w:next w:val="741"/>
    <w:uiPriority w:val="0"/>
    <w:qFormat/>
    <w:pPr>
      <w:keepLines/>
      <w:keepNext/>
      <w:spacing w:before="260" w:after="260" w:line="416" w:lineRule="auto"/>
      <w:outlineLvl w:val="1"/>
    </w:pPr>
    <w:rPr>
      <w:rFonts w:ascii="Arial" w:hAnsi="Arial" w:eastAsia="黑体"/>
      <w:b/>
      <w:bCs/>
      <w:sz w:val="32"/>
      <w:szCs w:val="32"/>
    </w:rPr>
  </w:style>
  <w:style w:type="paragraph" w:styleId="1075" w:customStyle="1">
    <w:name w:val="文本块111"/>
    <w:basedOn w:val="741"/>
    <w:uiPriority w:val="6"/>
    <w:qFormat/>
    <w:pPr>
      <w:ind w:left="256" w:right="6" w:firstLine="624"/>
    </w:pPr>
    <w:rPr>
      <w:rFonts w:ascii="Times New Roman" w:hAnsi="Times New Roman" w:eastAsia="仿宋" w:cs="Times New Roman"/>
      <w:sz w:val="28"/>
      <w:szCs w:val="20"/>
    </w:rPr>
  </w:style>
  <w:style w:type="paragraph" w:styleId="1076" w:customStyle="1">
    <w:name w:val="footer1"/>
    <w:basedOn w:val="741"/>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77" w:customStyle="1">
    <w:name w:val="正文_16_0_0"/>
    <w:next w:val="741"/>
    <w:uiPriority w:val="0"/>
    <w:qFormat/>
    <w:pPr>
      <w:jc w:val="both"/>
      <w:widowControl w:val="off"/>
    </w:pPr>
    <w:rPr>
      <w:rFonts w:hint="default" w:ascii="Calibri" w:hAnsi="Calibri" w:eastAsia="宋体" w:cs="Times New Roman"/>
      <w:sz w:val="21"/>
      <w:szCs w:val="22"/>
      <w:lang w:val="en-US" w:eastAsia="zh-CN" w:bidi="ar-SA"/>
    </w:rPr>
  </w:style>
  <w:style w:type="character" w:styleId="1078" w:customStyle="1">
    <w:name w:val="标题 1 字符"/>
    <w:link w:val="742"/>
    <w:uiPriority w:val="0"/>
    <w:qFormat/>
    <w:rPr>
      <w:rFonts w:ascii="仿宋" w:hAnsi="仿宋" w:eastAsia="仿宋" w:cs="仿宋"/>
      <w:b/>
      <w:bCs/>
      <w:sz w:val="30"/>
      <w:szCs w:val="30"/>
      <w:lang w:val="zh-CN" w:bidi="zh-CN"/>
    </w:rPr>
  </w:style>
  <w:style w:type="numbering" w:styleId="1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靳西朋邳州</cp:lastModifiedBy>
  <cp:revision>34</cp:revision>
  <dcterms:created xsi:type="dcterms:W3CDTF">2021-06-11T03:05:00Z</dcterms:created>
  <dcterms:modified xsi:type="dcterms:W3CDTF">2026-06-15T01:54:22Z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74E1687D2AC04E28B3136CE753C6EF1B_13</vt:lpwstr>
  </property>
  <property fmtid="{D5CDD505-2E9C-101B-9397-08002B2CF9AE}" pid="4" name="KSOTemplateDocerSaveRecord">
    <vt:lpwstr>eyJoZGlkIjoiMDc3MjdkOWYyMTI5OWFiYTM5MTgzNWYxYjRlNzZmMzIiLCJ1c2VySWQiOiI4Mjc5OTQ0NTkifQ==</vt:lpwstr>
  </property>
</Properties>
</file>